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9"/>
        <w:jc w:val="center"/>
      </w:pPr>
      <w:r>
        <w:drawing>
          <wp:inline distT="0" distB="0" distL="0" distR="0">
            <wp:extent cx="4973955" cy="7266940"/>
            <wp:effectExtent l="0" t="0" r="17145" b="10160"/>
            <wp:docPr id="685682239"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82239" name="图片 1" descr="图片包含 文本&#10;&#10;描述已自动生成"/>
                    <pic:cNvPicPr>
                      <a:picLocks noChangeAspect="1"/>
                    </pic:cNvPicPr>
                  </pic:nvPicPr>
                  <pic:blipFill>
                    <a:blip r:embed="rId31"/>
                    <a:stretch>
                      <a:fillRect/>
                    </a:stretch>
                  </pic:blipFill>
                  <pic:spPr>
                    <a:xfrm>
                      <a:off x="0" y="0"/>
                      <a:ext cx="4978172" cy="7266940"/>
                    </a:xfrm>
                    <a:prstGeom prst="rect">
                      <a:avLst/>
                    </a:prstGeom>
                  </pic:spPr>
                </pic:pic>
              </a:graphicData>
            </a:graphic>
          </wp:inline>
        </w:drawing>
      </w:r>
    </w:p>
    <w:p>
      <w:pPr>
        <w:pStyle w:val="89"/>
      </w:pPr>
    </w:p>
    <w:p>
      <w:pPr>
        <w:pStyle w:val="89"/>
      </w:pPr>
    </w:p>
    <w:p>
      <w:pPr>
        <w:pStyle w:val="89"/>
        <w:sectPr>
          <w:headerReference r:id="rId3" w:type="default"/>
          <w:footerReference r:id="rId4" w:type="default"/>
          <w:pgSz w:w="11907" w:h="16840"/>
          <w:pgMar w:top="1701" w:right="1588" w:bottom="1701" w:left="1588" w:header="851" w:footer="1134" w:gutter="0"/>
          <w:pgNumType w:start="1" w:chapStyle="1"/>
          <w:cols w:space="720" w:num="1"/>
        </w:sectPr>
      </w:pPr>
    </w:p>
    <w:p>
      <w:pPr>
        <w:pStyle w:val="89"/>
        <w:rPr>
          <w:rFonts w:ascii="Times New Roman" w:hAnsi="Times New Roman"/>
          <w:color w:val="000000" w:themeColor="text1"/>
          <w14:textFill>
            <w14:solidFill>
              <w14:schemeClr w14:val="tx1"/>
            </w14:solidFill>
          </w14:textFill>
        </w:rPr>
      </w:pPr>
      <w:bookmarkStart w:id="276" w:name="_GoBack"/>
      <w:r>
        <w:drawing>
          <wp:anchor distT="0" distB="0" distL="114300" distR="114300" simplePos="0" relativeHeight="251747328" behindDoc="0" locked="0" layoutInCell="1" allowOverlap="1">
            <wp:simplePos x="0" y="0"/>
            <wp:positionH relativeFrom="column">
              <wp:posOffset>3175</wp:posOffset>
            </wp:positionH>
            <wp:positionV relativeFrom="paragraph">
              <wp:posOffset>0</wp:posOffset>
            </wp:positionV>
            <wp:extent cx="5092065" cy="7272020"/>
            <wp:effectExtent l="0" t="0" r="13335" b="5080"/>
            <wp:wrapNone/>
            <wp:docPr id="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3"/>
                    <pic:cNvPicPr>
                      <a:picLocks noChangeAspect="1"/>
                    </pic:cNvPicPr>
                  </pic:nvPicPr>
                  <pic:blipFill>
                    <a:blip r:embed="rId32"/>
                    <a:stretch>
                      <a:fillRect/>
                    </a:stretch>
                  </pic:blipFill>
                  <pic:spPr>
                    <a:xfrm>
                      <a:off x="0" y="0"/>
                      <a:ext cx="5092065" cy="7272020"/>
                    </a:xfrm>
                    <a:prstGeom prst="rect">
                      <a:avLst/>
                    </a:prstGeom>
                    <a:noFill/>
                    <a:ln>
                      <a:noFill/>
                    </a:ln>
                  </pic:spPr>
                </pic:pic>
              </a:graphicData>
            </a:graphic>
          </wp:anchor>
        </w:drawing>
      </w:r>
      <w:bookmarkEnd w:id="276"/>
    </w:p>
    <w:p>
      <w:pPr>
        <w:pStyle w:val="89"/>
      </w:pPr>
    </w:p>
    <w:p>
      <w:pPr>
        <w:pStyle w:val="89"/>
        <w:sectPr>
          <w:pgSz w:w="11907" w:h="16840"/>
          <w:pgMar w:top="1701" w:right="1588" w:bottom="1701" w:left="1588" w:header="851" w:footer="1134" w:gutter="0"/>
          <w:pgNumType w:start="1" w:chapStyle="1"/>
          <w:cols w:space="720" w:num="1"/>
        </w:sectPr>
      </w:pPr>
    </w:p>
    <w:p>
      <w:pPr>
        <w:pStyle w:val="89"/>
        <w:rPr>
          <w:rFonts w:ascii="Times New Roman" w:hAnsi="Times New Roman"/>
          <w:color w:val="000000" w:themeColor="text1"/>
          <w14:textFill>
            <w14:solidFill>
              <w14:schemeClr w14:val="tx1"/>
            </w14:solidFill>
          </w14:textFill>
        </w:rPr>
      </w:pPr>
      <w:r>
        <w:drawing>
          <wp:inline distT="0" distB="0" distL="0" distR="0">
            <wp:extent cx="5541645" cy="7371080"/>
            <wp:effectExtent l="0" t="0" r="1905" b="1270"/>
            <wp:docPr id="968130013"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30013" name="图片 1" descr="表格&#10;&#10;描述已自动生成"/>
                    <pic:cNvPicPr>
                      <a:picLocks noChangeAspect="1"/>
                    </pic:cNvPicPr>
                  </pic:nvPicPr>
                  <pic:blipFill>
                    <a:blip r:embed="rId33"/>
                    <a:stretch>
                      <a:fillRect/>
                    </a:stretch>
                  </pic:blipFill>
                  <pic:spPr>
                    <a:xfrm>
                      <a:off x="0" y="0"/>
                      <a:ext cx="5541645" cy="7371080"/>
                    </a:xfrm>
                    <a:prstGeom prst="rect">
                      <a:avLst/>
                    </a:prstGeom>
                  </pic:spPr>
                </pic:pic>
              </a:graphicData>
            </a:graphic>
          </wp:inline>
        </w:drawing>
      </w:r>
    </w:p>
    <w:p>
      <w:pPr>
        <w:pStyle w:val="89"/>
      </w:pPr>
    </w:p>
    <w:p>
      <w:pPr>
        <w:pStyle w:val="89"/>
        <w:sectPr>
          <w:pgSz w:w="11907" w:h="16840"/>
          <w:pgMar w:top="1701" w:right="1588" w:bottom="1701" w:left="1588" w:header="851" w:footer="1134" w:gutter="0"/>
          <w:pgNumType w:start="1" w:chapStyle="1"/>
          <w:cols w:space="720" w:num="1"/>
        </w:sectPr>
      </w:pPr>
    </w:p>
    <w:p>
      <w:pPr>
        <w:pStyle w:val="89"/>
        <w:rPr>
          <w:rFonts w:ascii="Times New Roman" w:hAnsi="Times New Roman"/>
          <w:color w:val="000000" w:themeColor="text1"/>
          <w14:textFill>
            <w14:solidFill>
              <w14:schemeClr w14:val="tx1"/>
            </w14:solidFill>
          </w14:textFill>
        </w:rPr>
      </w:pPr>
      <w:r>
        <w:drawing>
          <wp:inline distT="0" distB="0" distL="0" distR="0">
            <wp:extent cx="6858000" cy="4705350"/>
            <wp:effectExtent l="0" t="0" r="0" b="0"/>
            <wp:docPr id="694111431"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11431" name="图片 1" descr="文本&#10;&#10;描述已自动生成"/>
                    <pic:cNvPicPr>
                      <a:picLocks noChangeAspect="1"/>
                    </pic:cNvPicPr>
                  </pic:nvPicPr>
                  <pic:blipFill>
                    <a:blip r:embed="rId34"/>
                    <a:stretch>
                      <a:fillRect/>
                    </a:stretch>
                  </pic:blipFill>
                  <pic:spPr>
                    <a:xfrm>
                      <a:off x="0" y="0"/>
                      <a:ext cx="6858000" cy="4705350"/>
                    </a:xfrm>
                    <a:prstGeom prst="rect">
                      <a:avLst/>
                    </a:prstGeom>
                  </pic:spPr>
                </pic:pic>
              </a:graphicData>
            </a:graphic>
          </wp:inline>
        </w:drawing>
      </w:r>
    </w:p>
    <w:p>
      <w:pPr>
        <w:pStyle w:val="89"/>
        <w:sectPr>
          <w:pgSz w:w="16840" w:h="11907" w:orient="landscape"/>
          <w:pgMar w:top="1588" w:right="1701" w:bottom="1588" w:left="1701" w:header="851" w:footer="1134" w:gutter="0"/>
          <w:pgNumType w:start="1" w:chapStyle="1"/>
          <w:cols w:space="720" w:num="1"/>
          <w:docGrid w:linePitch="286" w:charSpace="0"/>
        </w:sectPr>
      </w:pPr>
    </w:p>
    <w:p>
      <w:pPr>
        <w:pStyle w:val="89"/>
        <w:rPr>
          <w:rFonts w:ascii="Times New Roman" w:hAnsi="Times New Roman"/>
          <w:color w:val="000000" w:themeColor="text1"/>
          <w14:textFill>
            <w14:solidFill>
              <w14:schemeClr w14:val="tx1"/>
            </w14:solidFill>
          </w14:textFill>
        </w:rPr>
      </w:pPr>
      <w:r>
        <w:drawing>
          <wp:inline distT="0" distB="0" distL="0" distR="0">
            <wp:extent cx="4991100" cy="8134350"/>
            <wp:effectExtent l="0" t="0" r="0" b="0"/>
            <wp:docPr id="159565042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50421" name="图片 1" descr="表格&#10;&#10;描述已自动生成"/>
                    <pic:cNvPicPr>
                      <a:picLocks noChangeAspect="1"/>
                    </pic:cNvPicPr>
                  </pic:nvPicPr>
                  <pic:blipFill>
                    <a:blip r:embed="rId35"/>
                    <a:stretch>
                      <a:fillRect/>
                    </a:stretch>
                  </pic:blipFill>
                  <pic:spPr>
                    <a:xfrm>
                      <a:off x="0" y="0"/>
                      <a:ext cx="4991100" cy="8134350"/>
                    </a:xfrm>
                    <a:prstGeom prst="rect">
                      <a:avLst/>
                    </a:prstGeom>
                  </pic:spPr>
                </pic:pic>
              </a:graphicData>
            </a:graphic>
          </wp:inline>
        </w:drawing>
      </w:r>
    </w:p>
    <w:p>
      <w:pPr>
        <w:pStyle w:val="89"/>
      </w:pPr>
    </w:p>
    <w:p>
      <w:pPr>
        <w:pStyle w:val="89"/>
        <w:sectPr>
          <w:pgSz w:w="11907" w:h="16840"/>
          <w:pgMar w:top="1701" w:right="1588" w:bottom="1701" w:left="1588" w:header="851" w:footer="1134" w:gutter="0"/>
          <w:pgNumType w:start="1" w:chapStyle="1"/>
          <w:cols w:space="720" w:num="1"/>
          <w:docGrid w:linePitch="286" w:charSpace="0"/>
        </w:sectPr>
      </w:pPr>
    </w:p>
    <w:p>
      <w:pPr>
        <w:pStyle w:val="89"/>
        <w:rPr>
          <w:rFonts w:ascii="Times New Roman" w:hAnsi="Times New Roman"/>
          <w:color w:val="000000" w:themeColor="text1"/>
          <w14:textFill>
            <w14:solidFill>
              <w14:schemeClr w14:val="tx1"/>
            </w14:solidFill>
          </w14:textFill>
        </w:rPr>
      </w:pPr>
      <w:r>
        <w:drawing>
          <wp:inline distT="0" distB="0" distL="0" distR="0">
            <wp:extent cx="4422775" cy="6302375"/>
            <wp:effectExtent l="0" t="0" r="3175" b="15875"/>
            <wp:docPr id="1475937486" name="图片 1"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37486" name="图片 1" descr="社交网站的手机截图&#10;&#10;描述已自动生成"/>
                    <pic:cNvPicPr>
                      <a:picLocks noChangeAspect="1"/>
                    </pic:cNvPicPr>
                  </pic:nvPicPr>
                  <pic:blipFill>
                    <a:blip r:embed="rId36"/>
                    <a:stretch>
                      <a:fillRect/>
                    </a:stretch>
                  </pic:blipFill>
                  <pic:spPr>
                    <a:xfrm rot="5400000">
                      <a:off x="0" y="0"/>
                      <a:ext cx="4422775" cy="6310592"/>
                    </a:xfrm>
                    <a:prstGeom prst="rect">
                      <a:avLst/>
                    </a:prstGeom>
                  </pic:spPr>
                </pic:pic>
              </a:graphicData>
            </a:graphic>
          </wp:inline>
        </w:drawing>
      </w:r>
    </w:p>
    <w:p>
      <w:pPr>
        <w:pStyle w:val="89"/>
      </w:pPr>
    </w:p>
    <w:p>
      <w:pPr>
        <w:pStyle w:val="89"/>
      </w:pPr>
    </w:p>
    <w:p>
      <w:pPr>
        <w:pStyle w:val="89"/>
      </w:pPr>
    </w:p>
    <w:p>
      <w:pPr>
        <w:pStyle w:val="89"/>
        <w:sectPr>
          <w:pgSz w:w="16840" w:h="11907" w:orient="landscape"/>
          <w:pgMar w:top="1588" w:right="1701" w:bottom="1588" w:left="1701" w:header="851" w:footer="1134" w:gutter="0"/>
          <w:pgNumType w:start="1" w:chapStyle="1"/>
          <w:cols w:space="720" w:num="1"/>
          <w:docGrid w:linePitch="286" w:charSpace="0"/>
        </w:sectPr>
      </w:pPr>
    </w:p>
    <w:sdt>
      <w:sdtPr>
        <w:rPr>
          <w:rFonts w:ascii="宋体" w:hAnsi="宋体"/>
          <w:szCs w:val="24"/>
        </w:rPr>
        <w:id w:val="147450991"/>
        <w15:color w:val="DBDBDB"/>
        <w:docPartObj>
          <w:docPartGallery w:val="Table of Contents"/>
          <w:docPartUnique/>
        </w:docPartObj>
      </w:sdtPr>
      <w:sdtEndPr>
        <w:rPr>
          <w:rFonts w:ascii="宋体" w:hAnsi="宋体"/>
          <w:sz w:val="20"/>
          <w:szCs w:val="20"/>
        </w:rPr>
      </w:sdtEndPr>
      <w:sdtContent>
        <w:p>
          <w:pPr>
            <w:adjustRightInd w:val="0"/>
            <w:snapToGrid w:val="0"/>
            <w:spacing w:before="240" w:after="120"/>
            <w:jc w:val="center"/>
            <w:textAlignment w:val="baseline"/>
            <w:rPr>
              <w:b/>
              <w:bCs/>
              <w:kern w:val="28"/>
              <w:sz w:val="48"/>
              <w:szCs w:val="32"/>
            </w:rPr>
          </w:pPr>
          <w:bookmarkStart w:id="0" w:name="_Toc524717122"/>
          <w:r>
            <w:rPr>
              <w:b/>
              <w:bCs/>
              <w:kern w:val="28"/>
              <w:sz w:val="48"/>
              <w:szCs w:val="32"/>
            </w:rPr>
            <w:t>目录</w:t>
          </w:r>
          <w:bookmarkEnd w:id="0"/>
        </w:p>
        <w:p>
          <w:pPr>
            <w:pStyle w:val="32"/>
          </w:pPr>
          <w:r>
            <w:rPr>
              <w:bCs/>
              <w:caps/>
              <w:smallCaps/>
              <w:kern w:val="0"/>
            </w:rPr>
            <w:fldChar w:fldCharType="begin"/>
          </w:r>
          <w:r>
            <w:rPr>
              <w:bCs/>
              <w:caps/>
              <w:kern w:val="0"/>
            </w:rPr>
            <w:instrText xml:space="preserve"> TOC \o "1-2" \f \u </w:instrText>
          </w:r>
          <w:r>
            <w:rPr>
              <w:bCs/>
              <w:caps/>
              <w:smallCaps/>
              <w:kern w:val="0"/>
            </w:rPr>
            <w:fldChar w:fldCharType="separate"/>
          </w:r>
          <w:r>
            <w:t>第1章 概述</w:t>
          </w:r>
          <w:r>
            <w:tab/>
          </w:r>
          <w:r>
            <w:rPr>
              <w:rFonts w:hint="eastAsia"/>
              <w:lang w:val="en-US"/>
            </w:rPr>
            <w:t>1-</w:t>
          </w:r>
          <w:r>
            <w:fldChar w:fldCharType="begin"/>
          </w:r>
          <w:r>
            <w:instrText xml:space="preserve"> PAGEREF _Toc26681 \h </w:instrText>
          </w:r>
          <w:r>
            <w:fldChar w:fldCharType="separate"/>
          </w:r>
          <w:r>
            <w:t>1</w:t>
          </w:r>
          <w:r>
            <w:fldChar w:fldCharType="end"/>
          </w:r>
        </w:p>
        <w:p>
          <w:pPr>
            <w:pStyle w:val="39"/>
            <w:tabs>
              <w:tab w:val="right" w:leader="dot" w:pos="8306"/>
            </w:tabs>
            <w:spacing w:line="440" w:lineRule="exact"/>
            <w:rPr>
              <w:sz w:val="24"/>
              <w:szCs w:val="24"/>
            </w:rPr>
          </w:pPr>
          <w:r>
            <w:rPr>
              <w:bCs/>
              <w:sz w:val="24"/>
              <w:szCs w:val="24"/>
              <w:lang w:val="zh-CN"/>
            </w:rPr>
            <w:t>1.1 项目由来</w:t>
          </w:r>
          <w:r>
            <w:rPr>
              <w:sz w:val="24"/>
              <w:szCs w:val="24"/>
            </w:rPr>
            <w:tab/>
          </w:r>
          <w:r>
            <w:rPr>
              <w:rFonts w:hint="eastAsia"/>
              <w:sz w:val="24"/>
              <w:szCs w:val="24"/>
            </w:rPr>
            <w:t>1-</w:t>
          </w:r>
          <w:r>
            <w:rPr>
              <w:sz w:val="24"/>
              <w:szCs w:val="24"/>
            </w:rPr>
            <w:fldChar w:fldCharType="begin"/>
          </w:r>
          <w:r>
            <w:rPr>
              <w:sz w:val="24"/>
              <w:szCs w:val="24"/>
            </w:rPr>
            <w:instrText xml:space="preserve"> PAGEREF _Toc23900 \h </w:instrText>
          </w:r>
          <w:r>
            <w:rPr>
              <w:sz w:val="24"/>
              <w:szCs w:val="24"/>
            </w:rPr>
            <w:fldChar w:fldCharType="separate"/>
          </w:r>
          <w:r>
            <w:rPr>
              <w:sz w:val="24"/>
              <w:szCs w:val="24"/>
            </w:rPr>
            <w:t>1</w:t>
          </w:r>
          <w:r>
            <w:rPr>
              <w:sz w:val="24"/>
              <w:szCs w:val="24"/>
            </w:rPr>
            <w:fldChar w:fldCharType="end"/>
          </w:r>
        </w:p>
        <w:p>
          <w:pPr>
            <w:pStyle w:val="39"/>
            <w:tabs>
              <w:tab w:val="right" w:leader="dot" w:pos="8306"/>
            </w:tabs>
            <w:spacing w:line="440" w:lineRule="exact"/>
            <w:rPr>
              <w:sz w:val="24"/>
              <w:szCs w:val="24"/>
            </w:rPr>
          </w:pPr>
          <w:r>
            <w:rPr>
              <w:bCs/>
              <w:sz w:val="24"/>
              <w:szCs w:val="24"/>
              <w:lang w:val="zh-CN"/>
            </w:rPr>
            <w:t>1.2 工程和环境特点</w:t>
          </w:r>
          <w:r>
            <w:rPr>
              <w:sz w:val="24"/>
              <w:szCs w:val="24"/>
            </w:rPr>
            <w:tab/>
          </w:r>
          <w:r>
            <w:rPr>
              <w:rFonts w:hint="eastAsia"/>
              <w:sz w:val="24"/>
              <w:szCs w:val="24"/>
            </w:rPr>
            <w:t>1-</w:t>
          </w:r>
          <w:r>
            <w:rPr>
              <w:sz w:val="24"/>
              <w:szCs w:val="24"/>
            </w:rPr>
            <w:fldChar w:fldCharType="begin"/>
          </w:r>
          <w:r>
            <w:rPr>
              <w:sz w:val="24"/>
              <w:szCs w:val="24"/>
            </w:rPr>
            <w:instrText xml:space="preserve"> PAGEREF _Toc288 \h </w:instrText>
          </w:r>
          <w:r>
            <w:rPr>
              <w:sz w:val="24"/>
              <w:szCs w:val="24"/>
            </w:rPr>
            <w:fldChar w:fldCharType="separate"/>
          </w:r>
          <w:r>
            <w:rPr>
              <w:sz w:val="24"/>
              <w:szCs w:val="24"/>
            </w:rPr>
            <w:t>2</w:t>
          </w:r>
          <w:r>
            <w:rPr>
              <w:sz w:val="24"/>
              <w:szCs w:val="24"/>
            </w:rPr>
            <w:fldChar w:fldCharType="end"/>
          </w:r>
        </w:p>
        <w:p>
          <w:pPr>
            <w:pStyle w:val="39"/>
            <w:tabs>
              <w:tab w:val="right" w:leader="dot" w:pos="8306"/>
            </w:tabs>
            <w:spacing w:line="440" w:lineRule="exact"/>
            <w:rPr>
              <w:sz w:val="24"/>
              <w:szCs w:val="24"/>
            </w:rPr>
          </w:pPr>
          <w:r>
            <w:rPr>
              <w:bCs/>
              <w:sz w:val="24"/>
              <w:szCs w:val="24"/>
              <w:lang w:val="zh-CN"/>
            </w:rPr>
            <w:t>1.3 环境影响评价的工作过程</w:t>
          </w:r>
          <w:r>
            <w:rPr>
              <w:sz w:val="24"/>
              <w:szCs w:val="24"/>
            </w:rPr>
            <w:tab/>
          </w:r>
          <w:r>
            <w:rPr>
              <w:rFonts w:hint="eastAsia"/>
              <w:sz w:val="24"/>
              <w:szCs w:val="24"/>
            </w:rPr>
            <w:t>1-</w:t>
          </w:r>
          <w:r>
            <w:rPr>
              <w:sz w:val="24"/>
              <w:szCs w:val="24"/>
            </w:rPr>
            <w:fldChar w:fldCharType="begin"/>
          </w:r>
          <w:r>
            <w:rPr>
              <w:sz w:val="24"/>
              <w:szCs w:val="24"/>
            </w:rPr>
            <w:instrText xml:space="preserve"> PAGEREF _Toc1407 \h </w:instrText>
          </w:r>
          <w:r>
            <w:rPr>
              <w:sz w:val="24"/>
              <w:szCs w:val="24"/>
            </w:rPr>
            <w:fldChar w:fldCharType="separate"/>
          </w:r>
          <w:r>
            <w:rPr>
              <w:sz w:val="24"/>
              <w:szCs w:val="24"/>
            </w:rPr>
            <w:t>4</w:t>
          </w:r>
          <w:r>
            <w:rPr>
              <w:sz w:val="24"/>
              <w:szCs w:val="24"/>
            </w:rPr>
            <w:fldChar w:fldCharType="end"/>
          </w:r>
        </w:p>
        <w:p>
          <w:pPr>
            <w:pStyle w:val="39"/>
            <w:tabs>
              <w:tab w:val="right" w:leader="dot" w:pos="8306"/>
            </w:tabs>
            <w:spacing w:line="440" w:lineRule="exact"/>
            <w:rPr>
              <w:sz w:val="24"/>
              <w:szCs w:val="24"/>
            </w:rPr>
          </w:pPr>
          <w:r>
            <w:rPr>
              <w:bCs/>
              <w:sz w:val="24"/>
              <w:szCs w:val="24"/>
              <w:lang w:val="zh-CN"/>
            </w:rPr>
            <w:t>1.4分析判定相关情况</w:t>
          </w:r>
          <w:r>
            <w:rPr>
              <w:sz w:val="24"/>
              <w:szCs w:val="24"/>
            </w:rPr>
            <w:tab/>
          </w:r>
          <w:r>
            <w:rPr>
              <w:rFonts w:hint="eastAsia"/>
              <w:sz w:val="24"/>
              <w:szCs w:val="24"/>
            </w:rPr>
            <w:t>1-</w:t>
          </w:r>
          <w:r>
            <w:rPr>
              <w:sz w:val="24"/>
              <w:szCs w:val="24"/>
            </w:rPr>
            <w:fldChar w:fldCharType="begin"/>
          </w:r>
          <w:r>
            <w:rPr>
              <w:sz w:val="24"/>
              <w:szCs w:val="24"/>
            </w:rPr>
            <w:instrText xml:space="preserve"> PAGEREF _Toc32211 \h </w:instrText>
          </w:r>
          <w:r>
            <w:rPr>
              <w:sz w:val="24"/>
              <w:szCs w:val="24"/>
            </w:rPr>
            <w:fldChar w:fldCharType="separate"/>
          </w:r>
          <w:r>
            <w:rPr>
              <w:sz w:val="24"/>
              <w:szCs w:val="24"/>
            </w:rPr>
            <w:t>4</w:t>
          </w:r>
          <w:r>
            <w:rPr>
              <w:sz w:val="24"/>
              <w:szCs w:val="24"/>
            </w:rPr>
            <w:fldChar w:fldCharType="end"/>
          </w:r>
        </w:p>
        <w:p>
          <w:pPr>
            <w:pStyle w:val="39"/>
            <w:tabs>
              <w:tab w:val="right" w:leader="dot" w:pos="8306"/>
            </w:tabs>
            <w:spacing w:line="440" w:lineRule="exact"/>
            <w:rPr>
              <w:sz w:val="24"/>
              <w:szCs w:val="24"/>
            </w:rPr>
          </w:pPr>
          <w:r>
            <w:rPr>
              <w:bCs/>
              <w:sz w:val="24"/>
              <w:szCs w:val="24"/>
              <w:lang w:val="zh-CN"/>
            </w:rPr>
            <w:t>1.5 关注的主要环境问题及环境影响</w:t>
          </w:r>
          <w:r>
            <w:rPr>
              <w:sz w:val="24"/>
              <w:szCs w:val="24"/>
            </w:rPr>
            <w:tab/>
          </w:r>
          <w:r>
            <w:rPr>
              <w:rFonts w:hint="eastAsia"/>
              <w:sz w:val="24"/>
              <w:szCs w:val="24"/>
            </w:rPr>
            <w:t>1-</w:t>
          </w:r>
          <w:r>
            <w:rPr>
              <w:sz w:val="24"/>
              <w:szCs w:val="24"/>
            </w:rPr>
            <w:fldChar w:fldCharType="begin"/>
          </w:r>
          <w:r>
            <w:rPr>
              <w:sz w:val="24"/>
              <w:szCs w:val="24"/>
            </w:rPr>
            <w:instrText xml:space="preserve"> PAGEREF _Toc18228 \h </w:instrText>
          </w:r>
          <w:r>
            <w:rPr>
              <w:sz w:val="24"/>
              <w:szCs w:val="24"/>
            </w:rPr>
            <w:fldChar w:fldCharType="separate"/>
          </w:r>
          <w:r>
            <w:rPr>
              <w:sz w:val="24"/>
              <w:szCs w:val="24"/>
            </w:rPr>
            <w:t>5</w:t>
          </w:r>
          <w:r>
            <w:rPr>
              <w:sz w:val="24"/>
              <w:szCs w:val="24"/>
            </w:rPr>
            <w:fldChar w:fldCharType="end"/>
          </w:r>
        </w:p>
        <w:p>
          <w:pPr>
            <w:pStyle w:val="39"/>
            <w:tabs>
              <w:tab w:val="right" w:leader="dot" w:pos="8306"/>
            </w:tabs>
            <w:spacing w:line="440" w:lineRule="exact"/>
            <w:rPr>
              <w:sz w:val="24"/>
              <w:szCs w:val="24"/>
            </w:rPr>
          </w:pPr>
          <w:r>
            <w:rPr>
              <w:bCs/>
              <w:sz w:val="24"/>
              <w:szCs w:val="24"/>
              <w:lang w:val="zh-CN"/>
            </w:rPr>
            <w:t>1.6与产业政策、区域规划的相符性</w:t>
          </w:r>
          <w:r>
            <w:rPr>
              <w:sz w:val="24"/>
              <w:szCs w:val="24"/>
            </w:rPr>
            <w:tab/>
          </w:r>
          <w:r>
            <w:rPr>
              <w:rFonts w:hint="eastAsia"/>
              <w:sz w:val="24"/>
              <w:szCs w:val="24"/>
            </w:rPr>
            <w:t>1-</w:t>
          </w:r>
          <w:r>
            <w:rPr>
              <w:sz w:val="24"/>
              <w:szCs w:val="24"/>
            </w:rPr>
            <w:fldChar w:fldCharType="begin"/>
          </w:r>
          <w:r>
            <w:rPr>
              <w:sz w:val="24"/>
              <w:szCs w:val="24"/>
            </w:rPr>
            <w:instrText xml:space="preserve"> PAGEREF _Toc19433 \h </w:instrText>
          </w:r>
          <w:r>
            <w:rPr>
              <w:sz w:val="24"/>
              <w:szCs w:val="24"/>
            </w:rPr>
            <w:fldChar w:fldCharType="separate"/>
          </w:r>
          <w:r>
            <w:rPr>
              <w:sz w:val="24"/>
              <w:szCs w:val="24"/>
            </w:rPr>
            <w:t>5</w:t>
          </w:r>
          <w:r>
            <w:rPr>
              <w:sz w:val="24"/>
              <w:szCs w:val="24"/>
            </w:rPr>
            <w:fldChar w:fldCharType="end"/>
          </w:r>
        </w:p>
        <w:p>
          <w:pPr>
            <w:pStyle w:val="39"/>
            <w:tabs>
              <w:tab w:val="right" w:leader="dot" w:pos="8306"/>
            </w:tabs>
            <w:spacing w:line="440" w:lineRule="exact"/>
            <w:rPr>
              <w:sz w:val="24"/>
              <w:szCs w:val="24"/>
            </w:rPr>
          </w:pPr>
          <w:r>
            <w:rPr>
              <w:bCs/>
              <w:sz w:val="24"/>
              <w:szCs w:val="24"/>
              <w:lang w:val="zh-CN"/>
            </w:rPr>
            <w:t>1.7评价思路及重点</w:t>
          </w:r>
          <w:r>
            <w:rPr>
              <w:sz w:val="24"/>
              <w:szCs w:val="24"/>
            </w:rPr>
            <w:tab/>
          </w:r>
          <w:r>
            <w:rPr>
              <w:rFonts w:hint="eastAsia"/>
              <w:sz w:val="24"/>
              <w:szCs w:val="24"/>
            </w:rPr>
            <w:t>1-</w:t>
          </w:r>
          <w:r>
            <w:rPr>
              <w:sz w:val="24"/>
              <w:szCs w:val="24"/>
            </w:rPr>
            <w:fldChar w:fldCharType="begin"/>
          </w:r>
          <w:r>
            <w:rPr>
              <w:sz w:val="24"/>
              <w:szCs w:val="24"/>
            </w:rPr>
            <w:instrText xml:space="preserve"> PAGEREF _Toc29551 \h </w:instrText>
          </w:r>
          <w:r>
            <w:rPr>
              <w:sz w:val="24"/>
              <w:szCs w:val="24"/>
            </w:rPr>
            <w:fldChar w:fldCharType="separate"/>
          </w:r>
          <w:r>
            <w:rPr>
              <w:sz w:val="24"/>
              <w:szCs w:val="24"/>
            </w:rPr>
            <w:t>6</w:t>
          </w:r>
          <w:r>
            <w:rPr>
              <w:sz w:val="24"/>
              <w:szCs w:val="24"/>
            </w:rPr>
            <w:fldChar w:fldCharType="end"/>
          </w:r>
        </w:p>
        <w:p>
          <w:pPr>
            <w:pStyle w:val="39"/>
            <w:tabs>
              <w:tab w:val="right" w:leader="dot" w:pos="8306"/>
            </w:tabs>
            <w:spacing w:line="440" w:lineRule="exact"/>
            <w:rPr>
              <w:sz w:val="24"/>
              <w:szCs w:val="24"/>
            </w:rPr>
          </w:pPr>
          <w:r>
            <w:rPr>
              <w:bCs/>
              <w:sz w:val="24"/>
              <w:szCs w:val="24"/>
              <w:lang w:val="zh-CN"/>
            </w:rPr>
            <w:t>1.8评价工作程序</w:t>
          </w:r>
          <w:r>
            <w:rPr>
              <w:sz w:val="24"/>
              <w:szCs w:val="24"/>
            </w:rPr>
            <w:tab/>
          </w:r>
          <w:r>
            <w:rPr>
              <w:rFonts w:hint="eastAsia"/>
              <w:sz w:val="24"/>
              <w:szCs w:val="24"/>
            </w:rPr>
            <w:t>1-</w:t>
          </w:r>
          <w:r>
            <w:rPr>
              <w:sz w:val="24"/>
              <w:szCs w:val="24"/>
            </w:rPr>
            <w:fldChar w:fldCharType="begin"/>
          </w:r>
          <w:r>
            <w:rPr>
              <w:sz w:val="24"/>
              <w:szCs w:val="24"/>
            </w:rPr>
            <w:instrText xml:space="preserve"> PAGEREF _Toc4952 \h </w:instrText>
          </w:r>
          <w:r>
            <w:rPr>
              <w:sz w:val="24"/>
              <w:szCs w:val="24"/>
            </w:rPr>
            <w:fldChar w:fldCharType="separate"/>
          </w:r>
          <w:r>
            <w:rPr>
              <w:sz w:val="24"/>
              <w:szCs w:val="24"/>
            </w:rPr>
            <w:t>7</w:t>
          </w:r>
          <w:r>
            <w:rPr>
              <w:sz w:val="24"/>
              <w:szCs w:val="24"/>
            </w:rPr>
            <w:fldChar w:fldCharType="end"/>
          </w:r>
        </w:p>
        <w:p>
          <w:pPr>
            <w:pStyle w:val="39"/>
            <w:tabs>
              <w:tab w:val="right" w:leader="dot" w:pos="8306"/>
            </w:tabs>
            <w:spacing w:line="440" w:lineRule="exact"/>
            <w:rPr>
              <w:sz w:val="24"/>
              <w:szCs w:val="24"/>
            </w:rPr>
          </w:pPr>
          <w:r>
            <w:rPr>
              <w:bCs/>
              <w:sz w:val="24"/>
              <w:szCs w:val="24"/>
              <w:lang w:val="zh-CN"/>
            </w:rPr>
            <w:t>1.9环境影响评价的主要结论</w:t>
          </w:r>
          <w:r>
            <w:rPr>
              <w:sz w:val="24"/>
              <w:szCs w:val="24"/>
            </w:rPr>
            <w:tab/>
          </w:r>
          <w:r>
            <w:rPr>
              <w:rFonts w:hint="eastAsia"/>
              <w:sz w:val="24"/>
              <w:szCs w:val="24"/>
            </w:rPr>
            <w:t>1-</w:t>
          </w:r>
          <w:r>
            <w:rPr>
              <w:sz w:val="24"/>
              <w:szCs w:val="24"/>
            </w:rPr>
            <w:fldChar w:fldCharType="begin"/>
          </w:r>
          <w:r>
            <w:rPr>
              <w:sz w:val="24"/>
              <w:szCs w:val="24"/>
            </w:rPr>
            <w:instrText xml:space="preserve"> PAGEREF _Toc2527 \h </w:instrText>
          </w:r>
          <w:r>
            <w:rPr>
              <w:sz w:val="24"/>
              <w:szCs w:val="24"/>
            </w:rPr>
            <w:fldChar w:fldCharType="separate"/>
          </w:r>
          <w:r>
            <w:rPr>
              <w:sz w:val="24"/>
              <w:szCs w:val="24"/>
            </w:rPr>
            <w:t>7</w:t>
          </w:r>
          <w:r>
            <w:rPr>
              <w:sz w:val="24"/>
              <w:szCs w:val="24"/>
            </w:rPr>
            <w:fldChar w:fldCharType="end"/>
          </w:r>
        </w:p>
        <w:p>
          <w:pPr>
            <w:pStyle w:val="32"/>
          </w:pPr>
          <w:r>
            <w:t>第2章  总则</w:t>
          </w:r>
          <w:r>
            <w:tab/>
          </w:r>
          <w:r>
            <w:rPr>
              <w:rFonts w:hint="eastAsia"/>
              <w:lang w:val="en-US"/>
            </w:rPr>
            <w:t>2-</w:t>
          </w:r>
          <w:r>
            <w:fldChar w:fldCharType="begin"/>
          </w:r>
          <w:r>
            <w:instrText xml:space="preserve"> PAGEREF _Toc5753 \h </w:instrText>
          </w:r>
          <w:r>
            <w:fldChar w:fldCharType="separate"/>
          </w:r>
          <w:r>
            <w:t>1</w:t>
          </w:r>
          <w:r>
            <w:fldChar w:fldCharType="end"/>
          </w:r>
        </w:p>
        <w:p>
          <w:pPr>
            <w:pStyle w:val="39"/>
            <w:tabs>
              <w:tab w:val="right" w:leader="dot" w:pos="8306"/>
            </w:tabs>
            <w:spacing w:line="440" w:lineRule="exact"/>
            <w:rPr>
              <w:bCs/>
              <w:sz w:val="24"/>
              <w:szCs w:val="24"/>
              <w:lang w:val="zh-CN"/>
            </w:rPr>
          </w:pPr>
          <w:r>
            <w:rPr>
              <w:bCs/>
              <w:sz w:val="24"/>
              <w:szCs w:val="24"/>
              <w:lang w:val="zh-CN"/>
            </w:rPr>
            <w:t>2.1 编制依据</w:t>
          </w:r>
          <w:r>
            <w:rPr>
              <w:bCs/>
              <w:sz w:val="24"/>
              <w:szCs w:val="24"/>
              <w:lang w:val="zh-CN"/>
            </w:rPr>
            <w:tab/>
          </w:r>
          <w:r>
            <w:rPr>
              <w:rFonts w:hint="eastAsia"/>
              <w:bCs/>
              <w:sz w:val="24"/>
              <w:szCs w:val="24"/>
            </w:rPr>
            <w:t>2-</w:t>
          </w:r>
          <w:r>
            <w:rPr>
              <w:bCs/>
              <w:sz w:val="24"/>
              <w:szCs w:val="24"/>
              <w:lang w:val="zh-CN"/>
            </w:rPr>
            <w:fldChar w:fldCharType="begin"/>
          </w:r>
          <w:r>
            <w:rPr>
              <w:bCs/>
              <w:sz w:val="24"/>
              <w:szCs w:val="24"/>
              <w:lang w:val="zh-CN"/>
            </w:rPr>
            <w:instrText xml:space="preserve"> PAGEREF _Toc1867 \h </w:instrText>
          </w:r>
          <w:r>
            <w:rPr>
              <w:bCs/>
              <w:sz w:val="24"/>
              <w:szCs w:val="24"/>
              <w:lang w:val="zh-CN"/>
            </w:rPr>
            <w:fldChar w:fldCharType="separate"/>
          </w:r>
          <w:r>
            <w:rPr>
              <w:bCs/>
              <w:sz w:val="24"/>
              <w:szCs w:val="24"/>
              <w:lang w:val="zh-CN"/>
            </w:rPr>
            <w:t>1</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2.2 评价对象、评价目的、评价原则</w:t>
          </w:r>
          <w:r>
            <w:rPr>
              <w:bCs/>
              <w:sz w:val="24"/>
              <w:szCs w:val="24"/>
              <w:lang w:val="zh-CN"/>
            </w:rPr>
            <w:tab/>
          </w:r>
          <w:r>
            <w:rPr>
              <w:rFonts w:hint="eastAsia"/>
              <w:bCs/>
              <w:sz w:val="24"/>
              <w:szCs w:val="24"/>
            </w:rPr>
            <w:t>2-</w:t>
          </w:r>
          <w:r>
            <w:rPr>
              <w:bCs/>
              <w:sz w:val="24"/>
              <w:szCs w:val="24"/>
              <w:lang w:val="zh-CN"/>
            </w:rPr>
            <w:fldChar w:fldCharType="begin"/>
          </w:r>
          <w:r>
            <w:rPr>
              <w:bCs/>
              <w:sz w:val="24"/>
              <w:szCs w:val="24"/>
              <w:lang w:val="zh-CN"/>
            </w:rPr>
            <w:instrText xml:space="preserve"> PAGEREF _Toc31590 \h </w:instrText>
          </w:r>
          <w:r>
            <w:rPr>
              <w:bCs/>
              <w:sz w:val="24"/>
              <w:szCs w:val="24"/>
              <w:lang w:val="zh-CN"/>
            </w:rPr>
            <w:fldChar w:fldCharType="separate"/>
          </w:r>
          <w:r>
            <w:rPr>
              <w:bCs/>
              <w:sz w:val="24"/>
              <w:szCs w:val="24"/>
              <w:lang w:val="zh-CN"/>
            </w:rPr>
            <w:t>4</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2.3 环境影响因素识别与评价因子筛选</w:t>
          </w:r>
          <w:r>
            <w:rPr>
              <w:bCs/>
              <w:sz w:val="24"/>
              <w:szCs w:val="24"/>
              <w:lang w:val="zh-CN"/>
            </w:rPr>
            <w:tab/>
          </w:r>
          <w:r>
            <w:rPr>
              <w:rFonts w:hint="eastAsia"/>
              <w:bCs/>
              <w:sz w:val="24"/>
              <w:szCs w:val="24"/>
            </w:rPr>
            <w:t>2-</w:t>
          </w:r>
          <w:r>
            <w:rPr>
              <w:bCs/>
              <w:sz w:val="24"/>
              <w:szCs w:val="24"/>
              <w:lang w:val="zh-CN"/>
            </w:rPr>
            <w:fldChar w:fldCharType="begin"/>
          </w:r>
          <w:r>
            <w:rPr>
              <w:bCs/>
              <w:sz w:val="24"/>
              <w:szCs w:val="24"/>
              <w:lang w:val="zh-CN"/>
            </w:rPr>
            <w:instrText xml:space="preserve"> PAGEREF _Toc27667 \h </w:instrText>
          </w:r>
          <w:r>
            <w:rPr>
              <w:bCs/>
              <w:sz w:val="24"/>
              <w:szCs w:val="24"/>
              <w:lang w:val="zh-CN"/>
            </w:rPr>
            <w:fldChar w:fldCharType="separate"/>
          </w:r>
          <w:r>
            <w:rPr>
              <w:bCs/>
              <w:sz w:val="24"/>
              <w:szCs w:val="24"/>
              <w:lang w:val="zh-CN"/>
            </w:rPr>
            <w:t>5</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2.4 环境功能区划</w:t>
          </w:r>
          <w:r>
            <w:rPr>
              <w:bCs/>
              <w:sz w:val="24"/>
              <w:szCs w:val="24"/>
              <w:lang w:val="zh-CN"/>
            </w:rPr>
            <w:tab/>
          </w:r>
          <w:r>
            <w:rPr>
              <w:rFonts w:hint="eastAsia"/>
              <w:bCs/>
              <w:sz w:val="24"/>
              <w:szCs w:val="24"/>
            </w:rPr>
            <w:t>2-</w:t>
          </w:r>
          <w:r>
            <w:rPr>
              <w:bCs/>
              <w:sz w:val="24"/>
              <w:szCs w:val="24"/>
              <w:lang w:val="zh-CN"/>
            </w:rPr>
            <w:fldChar w:fldCharType="begin"/>
          </w:r>
          <w:r>
            <w:rPr>
              <w:bCs/>
              <w:sz w:val="24"/>
              <w:szCs w:val="24"/>
              <w:lang w:val="zh-CN"/>
            </w:rPr>
            <w:instrText xml:space="preserve"> PAGEREF _Toc4352 \h </w:instrText>
          </w:r>
          <w:r>
            <w:rPr>
              <w:bCs/>
              <w:sz w:val="24"/>
              <w:szCs w:val="24"/>
              <w:lang w:val="zh-CN"/>
            </w:rPr>
            <w:fldChar w:fldCharType="separate"/>
          </w:r>
          <w:r>
            <w:rPr>
              <w:bCs/>
              <w:sz w:val="24"/>
              <w:szCs w:val="24"/>
              <w:lang w:val="zh-CN"/>
            </w:rPr>
            <w:t>7</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2.5 评价标准</w:t>
          </w:r>
          <w:r>
            <w:rPr>
              <w:bCs/>
              <w:sz w:val="24"/>
              <w:szCs w:val="24"/>
              <w:lang w:val="zh-CN"/>
            </w:rPr>
            <w:tab/>
          </w:r>
          <w:r>
            <w:rPr>
              <w:rFonts w:hint="eastAsia"/>
              <w:bCs/>
              <w:sz w:val="24"/>
              <w:szCs w:val="24"/>
            </w:rPr>
            <w:t>2-</w:t>
          </w:r>
          <w:r>
            <w:rPr>
              <w:bCs/>
              <w:sz w:val="24"/>
              <w:szCs w:val="24"/>
              <w:lang w:val="zh-CN"/>
            </w:rPr>
            <w:fldChar w:fldCharType="begin"/>
          </w:r>
          <w:r>
            <w:rPr>
              <w:bCs/>
              <w:sz w:val="24"/>
              <w:szCs w:val="24"/>
              <w:lang w:val="zh-CN"/>
            </w:rPr>
            <w:instrText xml:space="preserve"> PAGEREF _Toc25484 \h </w:instrText>
          </w:r>
          <w:r>
            <w:rPr>
              <w:bCs/>
              <w:sz w:val="24"/>
              <w:szCs w:val="24"/>
              <w:lang w:val="zh-CN"/>
            </w:rPr>
            <w:fldChar w:fldCharType="separate"/>
          </w:r>
          <w:r>
            <w:rPr>
              <w:bCs/>
              <w:sz w:val="24"/>
              <w:szCs w:val="24"/>
              <w:lang w:val="zh-CN"/>
            </w:rPr>
            <w:t>8</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2.6 评价工作等级及评价范围</w:t>
          </w:r>
          <w:r>
            <w:rPr>
              <w:bCs/>
              <w:sz w:val="24"/>
              <w:szCs w:val="24"/>
              <w:lang w:val="zh-CN"/>
            </w:rPr>
            <w:tab/>
          </w:r>
          <w:r>
            <w:rPr>
              <w:rFonts w:hint="eastAsia"/>
              <w:bCs/>
              <w:sz w:val="24"/>
              <w:szCs w:val="24"/>
            </w:rPr>
            <w:t>2-</w:t>
          </w:r>
          <w:r>
            <w:rPr>
              <w:bCs/>
              <w:sz w:val="24"/>
              <w:szCs w:val="24"/>
              <w:lang w:val="zh-CN"/>
            </w:rPr>
            <w:fldChar w:fldCharType="begin"/>
          </w:r>
          <w:r>
            <w:rPr>
              <w:bCs/>
              <w:sz w:val="24"/>
              <w:szCs w:val="24"/>
              <w:lang w:val="zh-CN"/>
            </w:rPr>
            <w:instrText xml:space="preserve"> PAGEREF _Toc30044 \h </w:instrText>
          </w:r>
          <w:r>
            <w:rPr>
              <w:bCs/>
              <w:sz w:val="24"/>
              <w:szCs w:val="24"/>
              <w:lang w:val="zh-CN"/>
            </w:rPr>
            <w:fldChar w:fldCharType="separate"/>
          </w:r>
          <w:r>
            <w:rPr>
              <w:bCs/>
              <w:sz w:val="24"/>
              <w:szCs w:val="24"/>
              <w:lang w:val="zh-CN"/>
            </w:rPr>
            <w:t>12</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2.7 环境敏感目标</w:t>
          </w:r>
          <w:r>
            <w:rPr>
              <w:bCs/>
              <w:sz w:val="24"/>
              <w:szCs w:val="24"/>
              <w:lang w:val="zh-CN"/>
            </w:rPr>
            <w:tab/>
          </w:r>
          <w:r>
            <w:rPr>
              <w:rFonts w:hint="eastAsia"/>
              <w:bCs/>
              <w:sz w:val="24"/>
              <w:szCs w:val="24"/>
            </w:rPr>
            <w:t>2-</w:t>
          </w:r>
          <w:r>
            <w:rPr>
              <w:bCs/>
              <w:sz w:val="24"/>
              <w:szCs w:val="24"/>
              <w:lang w:val="zh-CN"/>
            </w:rPr>
            <w:fldChar w:fldCharType="begin"/>
          </w:r>
          <w:r>
            <w:rPr>
              <w:bCs/>
              <w:sz w:val="24"/>
              <w:szCs w:val="24"/>
              <w:lang w:val="zh-CN"/>
            </w:rPr>
            <w:instrText xml:space="preserve"> PAGEREF _Toc31558 \h </w:instrText>
          </w:r>
          <w:r>
            <w:rPr>
              <w:bCs/>
              <w:sz w:val="24"/>
              <w:szCs w:val="24"/>
              <w:lang w:val="zh-CN"/>
            </w:rPr>
            <w:fldChar w:fldCharType="separate"/>
          </w:r>
          <w:r>
            <w:rPr>
              <w:bCs/>
              <w:sz w:val="24"/>
              <w:szCs w:val="24"/>
              <w:lang w:val="zh-CN"/>
            </w:rPr>
            <w:t>19</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2.8 与相关规划相符性分析</w:t>
          </w:r>
          <w:r>
            <w:rPr>
              <w:bCs/>
              <w:sz w:val="24"/>
              <w:szCs w:val="24"/>
              <w:lang w:val="zh-CN"/>
            </w:rPr>
            <w:tab/>
          </w:r>
          <w:r>
            <w:rPr>
              <w:rFonts w:hint="eastAsia"/>
              <w:bCs/>
              <w:sz w:val="24"/>
              <w:szCs w:val="24"/>
            </w:rPr>
            <w:t>2-</w:t>
          </w:r>
          <w:r>
            <w:rPr>
              <w:bCs/>
              <w:sz w:val="24"/>
              <w:szCs w:val="24"/>
              <w:lang w:val="zh-CN"/>
            </w:rPr>
            <w:fldChar w:fldCharType="begin"/>
          </w:r>
          <w:r>
            <w:rPr>
              <w:bCs/>
              <w:sz w:val="24"/>
              <w:szCs w:val="24"/>
              <w:lang w:val="zh-CN"/>
            </w:rPr>
            <w:instrText xml:space="preserve"> PAGEREF _Toc28778 \h </w:instrText>
          </w:r>
          <w:r>
            <w:rPr>
              <w:bCs/>
              <w:sz w:val="24"/>
              <w:szCs w:val="24"/>
              <w:lang w:val="zh-CN"/>
            </w:rPr>
            <w:fldChar w:fldCharType="separate"/>
          </w:r>
          <w:r>
            <w:rPr>
              <w:bCs/>
              <w:sz w:val="24"/>
              <w:szCs w:val="24"/>
              <w:lang w:val="zh-CN"/>
            </w:rPr>
            <w:t>20</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2.9 与相关政策相符性分析</w:t>
          </w:r>
          <w:r>
            <w:rPr>
              <w:bCs/>
              <w:sz w:val="24"/>
              <w:szCs w:val="24"/>
              <w:lang w:val="zh-CN"/>
            </w:rPr>
            <w:tab/>
          </w:r>
          <w:r>
            <w:rPr>
              <w:rFonts w:hint="eastAsia"/>
              <w:bCs/>
              <w:sz w:val="24"/>
              <w:szCs w:val="24"/>
            </w:rPr>
            <w:t>2-</w:t>
          </w:r>
          <w:r>
            <w:rPr>
              <w:bCs/>
              <w:sz w:val="24"/>
              <w:szCs w:val="24"/>
              <w:lang w:val="zh-CN"/>
            </w:rPr>
            <w:fldChar w:fldCharType="begin"/>
          </w:r>
          <w:r>
            <w:rPr>
              <w:bCs/>
              <w:sz w:val="24"/>
              <w:szCs w:val="24"/>
              <w:lang w:val="zh-CN"/>
            </w:rPr>
            <w:instrText xml:space="preserve"> PAGEREF _Toc857 \h </w:instrText>
          </w:r>
          <w:r>
            <w:rPr>
              <w:bCs/>
              <w:sz w:val="24"/>
              <w:szCs w:val="24"/>
              <w:lang w:val="zh-CN"/>
            </w:rPr>
            <w:fldChar w:fldCharType="separate"/>
          </w:r>
          <w:r>
            <w:rPr>
              <w:bCs/>
              <w:sz w:val="24"/>
              <w:szCs w:val="24"/>
              <w:lang w:val="zh-CN"/>
            </w:rPr>
            <w:t>53</w:t>
          </w:r>
          <w:r>
            <w:rPr>
              <w:bCs/>
              <w:sz w:val="24"/>
              <w:szCs w:val="24"/>
              <w:lang w:val="zh-CN"/>
            </w:rPr>
            <w:fldChar w:fldCharType="end"/>
          </w:r>
        </w:p>
        <w:p>
          <w:pPr>
            <w:pStyle w:val="32"/>
          </w:pPr>
          <w:r>
            <w:t>第3章 建设项目工程分析</w:t>
          </w:r>
          <w:r>
            <w:tab/>
          </w:r>
          <w:r>
            <w:rPr>
              <w:rFonts w:hint="eastAsia"/>
              <w:lang w:val="en-US"/>
            </w:rPr>
            <w:t>3-</w:t>
          </w:r>
          <w:r>
            <w:fldChar w:fldCharType="begin"/>
          </w:r>
          <w:r>
            <w:instrText xml:space="preserve"> PAGEREF _Toc8042 \h </w:instrText>
          </w:r>
          <w:r>
            <w:fldChar w:fldCharType="separate"/>
          </w:r>
          <w:r>
            <w:t>1</w:t>
          </w:r>
          <w:r>
            <w:fldChar w:fldCharType="end"/>
          </w:r>
        </w:p>
        <w:p>
          <w:pPr>
            <w:pStyle w:val="39"/>
            <w:tabs>
              <w:tab w:val="right" w:leader="dot" w:pos="8306"/>
            </w:tabs>
            <w:spacing w:line="440" w:lineRule="exact"/>
            <w:rPr>
              <w:bCs/>
              <w:sz w:val="24"/>
              <w:szCs w:val="24"/>
              <w:lang w:val="zh-CN"/>
            </w:rPr>
          </w:pPr>
          <w:r>
            <w:rPr>
              <w:bCs/>
              <w:sz w:val="24"/>
              <w:szCs w:val="24"/>
              <w:lang w:val="zh-CN"/>
            </w:rPr>
            <w:t>3.1 本次工程分析</w:t>
          </w:r>
          <w:r>
            <w:rPr>
              <w:bCs/>
              <w:sz w:val="24"/>
              <w:szCs w:val="24"/>
              <w:lang w:val="zh-CN"/>
            </w:rPr>
            <w:tab/>
          </w:r>
          <w:r>
            <w:rPr>
              <w:rFonts w:hint="eastAsia"/>
              <w:bCs/>
              <w:sz w:val="24"/>
              <w:szCs w:val="24"/>
            </w:rPr>
            <w:t>3-</w:t>
          </w:r>
          <w:r>
            <w:rPr>
              <w:bCs/>
              <w:sz w:val="24"/>
              <w:szCs w:val="24"/>
              <w:lang w:val="zh-CN"/>
            </w:rPr>
            <w:fldChar w:fldCharType="begin"/>
          </w:r>
          <w:r>
            <w:rPr>
              <w:bCs/>
              <w:sz w:val="24"/>
              <w:szCs w:val="24"/>
              <w:lang w:val="zh-CN"/>
            </w:rPr>
            <w:instrText xml:space="preserve"> PAGEREF _Toc7793 \h </w:instrText>
          </w:r>
          <w:r>
            <w:rPr>
              <w:bCs/>
              <w:sz w:val="24"/>
              <w:szCs w:val="24"/>
              <w:lang w:val="zh-CN"/>
            </w:rPr>
            <w:fldChar w:fldCharType="separate"/>
          </w:r>
          <w:r>
            <w:rPr>
              <w:bCs/>
              <w:sz w:val="24"/>
              <w:szCs w:val="24"/>
              <w:lang w:val="zh-CN"/>
            </w:rPr>
            <w:t>1</w:t>
          </w:r>
          <w:r>
            <w:rPr>
              <w:bCs/>
              <w:sz w:val="24"/>
              <w:szCs w:val="24"/>
              <w:lang w:val="zh-CN"/>
            </w:rPr>
            <w:fldChar w:fldCharType="end"/>
          </w:r>
        </w:p>
        <w:p>
          <w:pPr>
            <w:pStyle w:val="39"/>
            <w:tabs>
              <w:tab w:val="right" w:leader="dot" w:pos="8306"/>
            </w:tabs>
            <w:spacing w:line="440" w:lineRule="exact"/>
          </w:pPr>
          <w:r>
            <w:rPr>
              <w:bCs/>
              <w:sz w:val="24"/>
              <w:szCs w:val="24"/>
              <w:lang w:val="zh-CN"/>
            </w:rPr>
            <w:t>3.2 非正常工况</w:t>
          </w:r>
          <w:r>
            <w:rPr>
              <w:bCs/>
              <w:sz w:val="24"/>
              <w:szCs w:val="24"/>
              <w:lang w:val="zh-CN"/>
            </w:rPr>
            <w:tab/>
          </w:r>
          <w:r>
            <w:rPr>
              <w:rFonts w:hint="eastAsia"/>
              <w:bCs/>
              <w:sz w:val="24"/>
              <w:szCs w:val="24"/>
            </w:rPr>
            <w:t>3-</w:t>
          </w:r>
          <w:r>
            <w:rPr>
              <w:bCs/>
              <w:sz w:val="24"/>
              <w:szCs w:val="24"/>
              <w:lang w:val="zh-CN"/>
            </w:rPr>
            <w:fldChar w:fldCharType="begin"/>
          </w:r>
          <w:r>
            <w:rPr>
              <w:bCs/>
              <w:sz w:val="24"/>
              <w:szCs w:val="24"/>
              <w:lang w:val="zh-CN"/>
            </w:rPr>
            <w:instrText xml:space="preserve"> PAGEREF _Toc10714 \h </w:instrText>
          </w:r>
          <w:r>
            <w:rPr>
              <w:bCs/>
              <w:sz w:val="24"/>
              <w:szCs w:val="24"/>
              <w:lang w:val="zh-CN"/>
            </w:rPr>
            <w:fldChar w:fldCharType="separate"/>
          </w:r>
          <w:r>
            <w:rPr>
              <w:bCs/>
              <w:sz w:val="24"/>
              <w:szCs w:val="24"/>
              <w:lang w:val="zh-CN"/>
            </w:rPr>
            <w:t>52</w:t>
          </w:r>
          <w:r>
            <w:rPr>
              <w:bCs/>
              <w:sz w:val="24"/>
              <w:szCs w:val="24"/>
              <w:lang w:val="zh-CN"/>
            </w:rPr>
            <w:fldChar w:fldCharType="end"/>
          </w:r>
        </w:p>
        <w:p>
          <w:pPr>
            <w:pStyle w:val="32"/>
          </w:pPr>
          <w:r>
            <w:t>第4章 环境现状调查与评价</w:t>
          </w:r>
          <w:r>
            <w:tab/>
          </w:r>
          <w:r>
            <w:rPr>
              <w:rFonts w:hint="eastAsia"/>
              <w:lang w:val="en-US"/>
            </w:rPr>
            <w:t>4-</w:t>
          </w:r>
          <w:r>
            <w:fldChar w:fldCharType="begin"/>
          </w:r>
          <w:r>
            <w:instrText xml:space="preserve"> PAGEREF _Toc10128 \h </w:instrText>
          </w:r>
          <w:r>
            <w:fldChar w:fldCharType="separate"/>
          </w:r>
          <w:r>
            <w:t>1</w:t>
          </w:r>
          <w:r>
            <w:fldChar w:fldCharType="end"/>
          </w:r>
        </w:p>
        <w:p>
          <w:pPr>
            <w:pStyle w:val="39"/>
            <w:tabs>
              <w:tab w:val="right" w:leader="dot" w:pos="8306"/>
            </w:tabs>
            <w:spacing w:line="440" w:lineRule="exact"/>
            <w:rPr>
              <w:bCs/>
              <w:sz w:val="24"/>
              <w:szCs w:val="24"/>
              <w:lang w:val="zh-CN"/>
            </w:rPr>
          </w:pPr>
          <w:r>
            <w:rPr>
              <w:bCs/>
              <w:sz w:val="24"/>
              <w:szCs w:val="24"/>
              <w:lang w:val="zh-CN"/>
            </w:rPr>
            <w:t>4.1 自然环境概况</w:t>
          </w:r>
          <w:r>
            <w:rPr>
              <w:bCs/>
              <w:sz w:val="24"/>
              <w:szCs w:val="24"/>
              <w:lang w:val="zh-CN"/>
            </w:rPr>
            <w:tab/>
          </w:r>
          <w:r>
            <w:rPr>
              <w:rFonts w:hint="eastAsia"/>
              <w:bCs/>
              <w:sz w:val="24"/>
              <w:szCs w:val="24"/>
            </w:rPr>
            <w:t>4-</w:t>
          </w:r>
          <w:r>
            <w:rPr>
              <w:bCs/>
              <w:sz w:val="24"/>
              <w:szCs w:val="24"/>
              <w:lang w:val="zh-CN"/>
            </w:rPr>
            <w:fldChar w:fldCharType="begin"/>
          </w:r>
          <w:r>
            <w:rPr>
              <w:bCs/>
              <w:sz w:val="24"/>
              <w:szCs w:val="24"/>
              <w:lang w:val="zh-CN"/>
            </w:rPr>
            <w:instrText xml:space="preserve"> PAGEREF _Toc25163 \h </w:instrText>
          </w:r>
          <w:r>
            <w:rPr>
              <w:bCs/>
              <w:sz w:val="24"/>
              <w:szCs w:val="24"/>
              <w:lang w:val="zh-CN"/>
            </w:rPr>
            <w:fldChar w:fldCharType="separate"/>
          </w:r>
          <w:r>
            <w:rPr>
              <w:bCs/>
              <w:sz w:val="24"/>
              <w:szCs w:val="24"/>
              <w:lang w:val="zh-CN"/>
            </w:rPr>
            <w:t>1</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4.2 项目所在地环境功能区划</w:t>
          </w:r>
          <w:r>
            <w:rPr>
              <w:bCs/>
              <w:sz w:val="24"/>
              <w:szCs w:val="24"/>
              <w:lang w:val="zh-CN"/>
            </w:rPr>
            <w:tab/>
          </w:r>
          <w:r>
            <w:rPr>
              <w:rFonts w:hint="eastAsia"/>
              <w:bCs/>
              <w:sz w:val="24"/>
              <w:szCs w:val="24"/>
            </w:rPr>
            <w:t>4-</w:t>
          </w:r>
          <w:r>
            <w:rPr>
              <w:bCs/>
              <w:sz w:val="24"/>
              <w:szCs w:val="24"/>
              <w:lang w:val="zh-CN"/>
            </w:rPr>
            <w:fldChar w:fldCharType="begin"/>
          </w:r>
          <w:r>
            <w:rPr>
              <w:bCs/>
              <w:sz w:val="24"/>
              <w:szCs w:val="24"/>
              <w:lang w:val="zh-CN"/>
            </w:rPr>
            <w:instrText xml:space="preserve"> PAGEREF _Toc7029 \h </w:instrText>
          </w:r>
          <w:r>
            <w:rPr>
              <w:bCs/>
              <w:sz w:val="24"/>
              <w:szCs w:val="24"/>
              <w:lang w:val="zh-CN"/>
            </w:rPr>
            <w:fldChar w:fldCharType="separate"/>
          </w:r>
          <w:r>
            <w:rPr>
              <w:bCs/>
              <w:sz w:val="24"/>
              <w:szCs w:val="24"/>
              <w:lang w:val="zh-CN"/>
            </w:rPr>
            <w:t>12</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4.3 环境质量现状监测与评价</w:t>
          </w:r>
          <w:r>
            <w:rPr>
              <w:bCs/>
              <w:sz w:val="24"/>
              <w:szCs w:val="24"/>
              <w:lang w:val="zh-CN"/>
            </w:rPr>
            <w:tab/>
          </w:r>
          <w:r>
            <w:rPr>
              <w:rFonts w:hint="eastAsia"/>
              <w:bCs/>
              <w:sz w:val="24"/>
              <w:szCs w:val="24"/>
            </w:rPr>
            <w:t>4-</w:t>
          </w:r>
          <w:r>
            <w:rPr>
              <w:bCs/>
              <w:sz w:val="24"/>
              <w:szCs w:val="24"/>
              <w:lang w:val="zh-CN"/>
            </w:rPr>
            <w:fldChar w:fldCharType="begin"/>
          </w:r>
          <w:r>
            <w:rPr>
              <w:bCs/>
              <w:sz w:val="24"/>
              <w:szCs w:val="24"/>
              <w:lang w:val="zh-CN"/>
            </w:rPr>
            <w:instrText xml:space="preserve"> PAGEREF _Toc25878 \h </w:instrText>
          </w:r>
          <w:r>
            <w:rPr>
              <w:bCs/>
              <w:sz w:val="24"/>
              <w:szCs w:val="24"/>
              <w:lang w:val="zh-CN"/>
            </w:rPr>
            <w:fldChar w:fldCharType="separate"/>
          </w:r>
          <w:r>
            <w:rPr>
              <w:bCs/>
              <w:sz w:val="24"/>
              <w:szCs w:val="24"/>
              <w:lang w:val="zh-CN"/>
            </w:rPr>
            <w:t>12</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4.4 区域污染源调查</w:t>
          </w:r>
          <w:r>
            <w:rPr>
              <w:bCs/>
              <w:sz w:val="24"/>
              <w:szCs w:val="24"/>
              <w:lang w:val="zh-CN"/>
            </w:rPr>
            <w:tab/>
          </w:r>
          <w:r>
            <w:rPr>
              <w:rFonts w:hint="eastAsia"/>
              <w:bCs/>
              <w:sz w:val="24"/>
              <w:szCs w:val="24"/>
            </w:rPr>
            <w:t>4-</w:t>
          </w:r>
          <w:r>
            <w:rPr>
              <w:bCs/>
              <w:sz w:val="24"/>
              <w:szCs w:val="24"/>
              <w:lang w:val="zh-CN"/>
            </w:rPr>
            <w:fldChar w:fldCharType="begin"/>
          </w:r>
          <w:r>
            <w:rPr>
              <w:bCs/>
              <w:sz w:val="24"/>
              <w:szCs w:val="24"/>
              <w:lang w:val="zh-CN"/>
            </w:rPr>
            <w:instrText xml:space="preserve"> PAGEREF _Toc21828 \h </w:instrText>
          </w:r>
          <w:r>
            <w:rPr>
              <w:bCs/>
              <w:sz w:val="24"/>
              <w:szCs w:val="24"/>
              <w:lang w:val="zh-CN"/>
            </w:rPr>
            <w:fldChar w:fldCharType="separate"/>
          </w:r>
          <w:r>
            <w:rPr>
              <w:bCs/>
              <w:sz w:val="24"/>
              <w:szCs w:val="24"/>
              <w:lang w:val="zh-CN"/>
            </w:rPr>
            <w:t>41</w:t>
          </w:r>
          <w:r>
            <w:rPr>
              <w:bCs/>
              <w:sz w:val="24"/>
              <w:szCs w:val="24"/>
              <w:lang w:val="zh-CN"/>
            </w:rPr>
            <w:fldChar w:fldCharType="end"/>
          </w:r>
        </w:p>
        <w:p>
          <w:pPr>
            <w:pStyle w:val="32"/>
          </w:pPr>
          <w:r>
            <w:t>第5章 环境影响预测与评价</w:t>
          </w:r>
          <w:r>
            <w:tab/>
          </w:r>
          <w:r>
            <w:rPr>
              <w:rFonts w:hint="eastAsia"/>
              <w:lang w:val="en-US"/>
            </w:rPr>
            <w:t>5-</w:t>
          </w:r>
          <w:r>
            <w:fldChar w:fldCharType="begin"/>
          </w:r>
          <w:r>
            <w:instrText xml:space="preserve"> PAGEREF _Toc22589 \h </w:instrText>
          </w:r>
          <w:r>
            <w:fldChar w:fldCharType="separate"/>
          </w:r>
          <w:r>
            <w:t>1</w:t>
          </w:r>
          <w:r>
            <w:fldChar w:fldCharType="end"/>
          </w:r>
        </w:p>
        <w:p>
          <w:pPr>
            <w:pStyle w:val="39"/>
            <w:tabs>
              <w:tab w:val="right" w:leader="dot" w:pos="8306"/>
            </w:tabs>
            <w:spacing w:line="440" w:lineRule="exact"/>
            <w:rPr>
              <w:bCs/>
              <w:sz w:val="24"/>
              <w:szCs w:val="24"/>
              <w:lang w:val="zh-CN"/>
            </w:rPr>
          </w:pPr>
          <w:r>
            <w:rPr>
              <w:rFonts w:hint="eastAsia"/>
              <w:bCs/>
              <w:sz w:val="24"/>
              <w:szCs w:val="24"/>
              <w:lang w:val="zh-CN"/>
            </w:rPr>
            <w:t>5</w:t>
          </w:r>
          <w:r>
            <w:rPr>
              <w:bCs/>
              <w:sz w:val="24"/>
              <w:szCs w:val="24"/>
              <w:lang w:val="zh-CN"/>
            </w:rPr>
            <w:t>.1</w:t>
          </w:r>
          <w:r>
            <w:rPr>
              <w:rFonts w:hint="eastAsia"/>
              <w:bCs/>
              <w:sz w:val="24"/>
              <w:szCs w:val="24"/>
              <w:lang w:val="zh-CN"/>
            </w:rPr>
            <w:t>施工期环境影响评价</w:t>
          </w:r>
          <w:r>
            <w:rPr>
              <w:bCs/>
              <w:sz w:val="24"/>
              <w:szCs w:val="24"/>
              <w:lang w:val="zh-CN"/>
            </w:rPr>
            <w:tab/>
          </w:r>
          <w:r>
            <w:rPr>
              <w:rFonts w:hint="eastAsia"/>
              <w:bCs/>
              <w:sz w:val="24"/>
              <w:szCs w:val="24"/>
            </w:rPr>
            <w:t>5-</w:t>
          </w:r>
          <w:r>
            <w:rPr>
              <w:bCs/>
              <w:sz w:val="24"/>
              <w:szCs w:val="24"/>
              <w:lang w:val="zh-CN"/>
            </w:rPr>
            <w:fldChar w:fldCharType="begin"/>
          </w:r>
          <w:r>
            <w:rPr>
              <w:bCs/>
              <w:sz w:val="24"/>
              <w:szCs w:val="24"/>
              <w:lang w:val="zh-CN"/>
            </w:rPr>
            <w:instrText xml:space="preserve"> PAGEREF _Toc25785 \h </w:instrText>
          </w:r>
          <w:r>
            <w:rPr>
              <w:bCs/>
              <w:sz w:val="24"/>
              <w:szCs w:val="24"/>
              <w:lang w:val="zh-CN"/>
            </w:rPr>
            <w:fldChar w:fldCharType="separate"/>
          </w:r>
          <w:r>
            <w:rPr>
              <w:bCs/>
              <w:sz w:val="24"/>
              <w:szCs w:val="24"/>
              <w:lang w:val="zh-CN"/>
            </w:rPr>
            <w:t>1</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5.2 环境空气质量影响预测与评价</w:t>
          </w:r>
          <w:r>
            <w:rPr>
              <w:bCs/>
              <w:sz w:val="24"/>
              <w:szCs w:val="24"/>
              <w:lang w:val="zh-CN"/>
            </w:rPr>
            <w:tab/>
          </w:r>
          <w:r>
            <w:rPr>
              <w:rFonts w:hint="eastAsia"/>
              <w:bCs/>
              <w:sz w:val="24"/>
              <w:szCs w:val="24"/>
            </w:rPr>
            <w:t>5-</w:t>
          </w:r>
          <w:r>
            <w:rPr>
              <w:bCs/>
              <w:sz w:val="24"/>
              <w:szCs w:val="24"/>
              <w:lang w:val="zh-CN"/>
            </w:rPr>
            <w:fldChar w:fldCharType="begin"/>
          </w:r>
          <w:r>
            <w:rPr>
              <w:bCs/>
              <w:sz w:val="24"/>
              <w:szCs w:val="24"/>
              <w:lang w:val="zh-CN"/>
            </w:rPr>
            <w:instrText xml:space="preserve"> PAGEREF _Toc3905 \h </w:instrText>
          </w:r>
          <w:r>
            <w:rPr>
              <w:bCs/>
              <w:sz w:val="24"/>
              <w:szCs w:val="24"/>
              <w:lang w:val="zh-CN"/>
            </w:rPr>
            <w:fldChar w:fldCharType="separate"/>
          </w:r>
          <w:r>
            <w:rPr>
              <w:bCs/>
              <w:sz w:val="24"/>
              <w:szCs w:val="24"/>
              <w:lang w:val="zh-CN"/>
            </w:rPr>
            <w:t>4</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5.3 地表水环境影响分析</w:t>
          </w:r>
          <w:r>
            <w:rPr>
              <w:bCs/>
              <w:sz w:val="24"/>
              <w:szCs w:val="24"/>
              <w:lang w:val="zh-CN"/>
            </w:rPr>
            <w:tab/>
          </w:r>
          <w:r>
            <w:rPr>
              <w:rFonts w:hint="eastAsia"/>
              <w:bCs/>
              <w:sz w:val="24"/>
              <w:szCs w:val="24"/>
            </w:rPr>
            <w:t>5-</w:t>
          </w:r>
          <w:r>
            <w:rPr>
              <w:bCs/>
              <w:sz w:val="24"/>
              <w:szCs w:val="24"/>
              <w:lang w:val="zh-CN"/>
            </w:rPr>
            <w:fldChar w:fldCharType="begin"/>
          </w:r>
          <w:r>
            <w:rPr>
              <w:bCs/>
              <w:sz w:val="24"/>
              <w:szCs w:val="24"/>
              <w:lang w:val="zh-CN"/>
            </w:rPr>
            <w:instrText xml:space="preserve"> PAGEREF _Toc12065 \h </w:instrText>
          </w:r>
          <w:r>
            <w:rPr>
              <w:bCs/>
              <w:sz w:val="24"/>
              <w:szCs w:val="24"/>
              <w:lang w:val="zh-CN"/>
            </w:rPr>
            <w:fldChar w:fldCharType="separate"/>
          </w:r>
          <w:r>
            <w:rPr>
              <w:bCs/>
              <w:sz w:val="24"/>
              <w:szCs w:val="24"/>
              <w:lang w:val="zh-CN"/>
            </w:rPr>
            <w:t>23</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5.4 地下水环境影响分析</w:t>
          </w:r>
          <w:r>
            <w:rPr>
              <w:bCs/>
              <w:sz w:val="24"/>
              <w:szCs w:val="24"/>
              <w:lang w:val="zh-CN"/>
            </w:rPr>
            <w:tab/>
          </w:r>
          <w:r>
            <w:rPr>
              <w:rFonts w:hint="eastAsia"/>
              <w:bCs/>
              <w:sz w:val="24"/>
              <w:szCs w:val="24"/>
            </w:rPr>
            <w:t>5-</w:t>
          </w:r>
          <w:r>
            <w:rPr>
              <w:bCs/>
              <w:sz w:val="24"/>
              <w:szCs w:val="24"/>
              <w:lang w:val="zh-CN"/>
            </w:rPr>
            <w:fldChar w:fldCharType="begin"/>
          </w:r>
          <w:r>
            <w:rPr>
              <w:bCs/>
              <w:sz w:val="24"/>
              <w:szCs w:val="24"/>
              <w:lang w:val="zh-CN"/>
            </w:rPr>
            <w:instrText xml:space="preserve"> PAGEREF _Toc712 \h </w:instrText>
          </w:r>
          <w:r>
            <w:rPr>
              <w:bCs/>
              <w:sz w:val="24"/>
              <w:szCs w:val="24"/>
              <w:lang w:val="zh-CN"/>
            </w:rPr>
            <w:fldChar w:fldCharType="separate"/>
          </w:r>
          <w:r>
            <w:rPr>
              <w:bCs/>
              <w:sz w:val="24"/>
              <w:szCs w:val="24"/>
              <w:lang w:val="zh-CN"/>
            </w:rPr>
            <w:t>27</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5.5 声环境影响分析</w:t>
          </w:r>
          <w:r>
            <w:rPr>
              <w:bCs/>
              <w:sz w:val="24"/>
              <w:szCs w:val="24"/>
              <w:lang w:val="zh-CN"/>
            </w:rPr>
            <w:tab/>
          </w:r>
          <w:r>
            <w:rPr>
              <w:rFonts w:hint="eastAsia"/>
              <w:bCs/>
              <w:sz w:val="24"/>
              <w:szCs w:val="24"/>
            </w:rPr>
            <w:t>5-</w:t>
          </w:r>
          <w:r>
            <w:rPr>
              <w:bCs/>
              <w:sz w:val="24"/>
              <w:szCs w:val="24"/>
              <w:lang w:val="zh-CN"/>
            </w:rPr>
            <w:fldChar w:fldCharType="begin"/>
          </w:r>
          <w:r>
            <w:rPr>
              <w:bCs/>
              <w:sz w:val="24"/>
              <w:szCs w:val="24"/>
              <w:lang w:val="zh-CN"/>
            </w:rPr>
            <w:instrText xml:space="preserve"> PAGEREF _Toc30962 \h </w:instrText>
          </w:r>
          <w:r>
            <w:rPr>
              <w:bCs/>
              <w:sz w:val="24"/>
              <w:szCs w:val="24"/>
              <w:lang w:val="zh-CN"/>
            </w:rPr>
            <w:fldChar w:fldCharType="separate"/>
          </w:r>
          <w:r>
            <w:rPr>
              <w:bCs/>
              <w:sz w:val="24"/>
              <w:szCs w:val="24"/>
              <w:lang w:val="zh-CN"/>
            </w:rPr>
            <w:t>88</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5.6 固体废物环境影响分析</w:t>
          </w:r>
          <w:r>
            <w:rPr>
              <w:bCs/>
              <w:sz w:val="24"/>
              <w:szCs w:val="24"/>
              <w:lang w:val="zh-CN"/>
            </w:rPr>
            <w:tab/>
          </w:r>
          <w:r>
            <w:rPr>
              <w:rFonts w:hint="eastAsia"/>
              <w:bCs/>
              <w:sz w:val="24"/>
              <w:szCs w:val="24"/>
            </w:rPr>
            <w:t>5-</w:t>
          </w:r>
          <w:r>
            <w:rPr>
              <w:bCs/>
              <w:sz w:val="24"/>
              <w:szCs w:val="24"/>
              <w:lang w:val="zh-CN"/>
            </w:rPr>
            <w:fldChar w:fldCharType="begin"/>
          </w:r>
          <w:r>
            <w:rPr>
              <w:bCs/>
              <w:sz w:val="24"/>
              <w:szCs w:val="24"/>
              <w:lang w:val="zh-CN"/>
            </w:rPr>
            <w:instrText xml:space="preserve"> PAGEREF _Toc25162 \h </w:instrText>
          </w:r>
          <w:r>
            <w:rPr>
              <w:bCs/>
              <w:sz w:val="24"/>
              <w:szCs w:val="24"/>
              <w:lang w:val="zh-CN"/>
            </w:rPr>
            <w:fldChar w:fldCharType="separate"/>
          </w:r>
          <w:r>
            <w:rPr>
              <w:bCs/>
              <w:sz w:val="24"/>
              <w:szCs w:val="24"/>
              <w:lang w:val="zh-CN"/>
            </w:rPr>
            <w:t>101</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5.7 土壤环境影响分析</w:t>
          </w:r>
          <w:r>
            <w:rPr>
              <w:bCs/>
              <w:sz w:val="24"/>
              <w:szCs w:val="24"/>
              <w:lang w:val="zh-CN"/>
            </w:rPr>
            <w:tab/>
          </w:r>
          <w:r>
            <w:rPr>
              <w:rFonts w:hint="eastAsia"/>
              <w:bCs/>
              <w:sz w:val="24"/>
              <w:szCs w:val="24"/>
            </w:rPr>
            <w:t>5-</w:t>
          </w:r>
          <w:r>
            <w:rPr>
              <w:bCs/>
              <w:sz w:val="24"/>
              <w:szCs w:val="24"/>
              <w:lang w:val="zh-CN"/>
            </w:rPr>
            <w:fldChar w:fldCharType="begin"/>
          </w:r>
          <w:r>
            <w:rPr>
              <w:bCs/>
              <w:sz w:val="24"/>
              <w:szCs w:val="24"/>
              <w:lang w:val="zh-CN"/>
            </w:rPr>
            <w:instrText xml:space="preserve"> PAGEREF _Toc9520 \h </w:instrText>
          </w:r>
          <w:r>
            <w:rPr>
              <w:bCs/>
              <w:sz w:val="24"/>
              <w:szCs w:val="24"/>
              <w:lang w:val="zh-CN"/>
            </w:rPr>
            <w:fldChar w:fldCharType="separate"/>
          </w:r>
          <w:r>
            <w:rPr>
              <w:bCs/>
              <w:sz w:val="24"/>
              <w:szCs w:val="24"/>
              <w:lang w:val="zh-CN"/>
            </w:rPr>
            <w:t>101</w:t>
          </w:r>
          <w:r>
            <w:rPr>
              <w:bCs/>
              <w:sz w:val="24"/>
              <w:szCs w:val="24"/>
              <w:lang w:val="zh-CN"/>
            </w:rPr>
            <w:fldChar w:fldCharType="end"/>
          </w:r>
        </w:p>
        <w:p>
          <w:pPr>
            <w:pStyle w:val="32"/>
          </w:pPr>
          <w:r>
            <w:t>第6章 环境</w:t>
          </w:r>
          <w:r>
            <w:rPr>
              <w:rFonts w:hint="eastAsia"/>
            </w:rPr>
            <w:t>风险</w:t>
          </w:r>
          <w:r>
            <w:t>分析</w:t>
          </w:r>
          <w:r>
            <w:tab/>
          </w:r>
          <w:r>
            <w:rPr>
              <w:rFonts w:hint="eastAsia"/>
              <w:lang w:val="en-US"/>
            </w:rPr>
            <w:t>6-</w:t>
          </w:r>
          <w:r>
            <w:fldChar w:fldCharType="begin"/>
          </w:r>
          <w:r>
            <w:instrText xml:space="preserve"> PAGEREF _Toc30819 \h </w:instrText>
          </w:r>
          <w:r>
            <w:fldChar w:fldCharType="separate"/>
          </w:r>
          <w:r>
            <w:t>1</w:t>
          </w:r>
          <w:r>
            <w:fldChar w:fldCharType="end"/>
          </w:r>
        </w:p>
        <w:p>
          <w:pPr>
            <w:pStyle w:val="39"/>
            <w:tabs>
              <w:tab w:val="right" w:leader="dot" w:pos="8306"/>
            </w:tabs>
            <w:spacing w:line="440" w:lineRule="exact"/>
            <w:rPr>
              <w:bCs/>
              <w:sz w:val="24"/>
              <w:szCs w:val="24"/>
              <w:lang w:val="zh-CN"/>
            </w:rPr>
          </w:pPr>
          <w:r>
            <w:rPr>
              <w:rFonts w:hint="eastAsia"/>
              <w:bCs/>
              <w:sz w:val="24"/>
              <w:szCs w:val="24"/>
              <w:lang w:val="zh-CN"/>
            </w:rPr>
            <w:t>6.1 评价工作程序</w:t>
          </w:r>
          <w:r>
            <w:rPr>
              <w:rFonts w:hint="eastAsia"/>
              <w:bCs/>
              <w:sz w:val="24"/>
              <w:szCs w:val="24"/>
              <w:lang w:val="zh-CN"/>
            </w:rPr>
            <w:tab/>
          </w:r>
          <w:r>
            <w:rPr>
              <w:rFonts w:hint="eastAsia"/>
              <w:bCs/>
              <w:sz w:val="24"/>
              <w:szCs w:val="24"/>
            </w:rPr>
            <w:t>6-</w:t>
          </w:r>
          <w:r>
            <w:rPr>
              <w:rFonts w:hint="eastAsia"/>
              <w:bCs/>
              <w:sz w:val="24"/>
              <w:szCs w:val="24"/>
              <w:lang w:val="zh-CN"/>
            </w:rPr>
            <w:fldChar w:fldCharType="begin"/>
          </w:r>
          <w:r>
            <w:rPr>
              <w:rFonts w:hint="eastAsia"/>
              <w:bCs/>
              <w:sz w:val="24"/>
              <w:szCs w:val="24"/>
              <w:lang w:val="zh-CN"/>
            </w:rPr>
            <w:instrText xml:space="preserve"> PAGEREF _Toc8459 \h </w:instrText>
          </w:r>
          <w:r>
            <w:rPr>
              <w:rFonts w:hint="eastAsia"/>
              <w:bCs/>
              <w:sz w:val="24"/>
              <w:szCs w:val="24"/>
              <w:lang w:val="zh-CN"/>
            </w:rPr>
            <w:fldChar w:fldCharType="separate"/>
          </w:r>
          <w:r>
            <w:rPr>
              <w:bCs/>
              <w:sz w:val="24"/>
              <w:szCs w:val="24"/>
              <w:lang w:val="zh-CN"/>
            </w:rPr>
            <w:t>1</w:t>
          </w:r>
          <w:r>
            <w:rPr>
              <w:rFonts w:hint="eastAsia"/>
              <w:bCs/>
              <w:sz w:val="24"/>
              <w:szCs w:val="24"/>
              <w:lang w:val="zh-CN"/>
            </w:rPr>
            <w:fldChar w:fldCharType="end"/>
          </w:r>
        </w:p>
        <w:p>
          <w:pPr>
            <w:pStyle w:val="39"/>
            <w:tabs>
              <w:tab w:val="right" w:leader="dot" w:pos="8306"/>
            </w:tabs>
            <w:spacing w:line="440" w:lineRule="exact"/>
            <w:rPr>
              <w:bCs/>
              <w:sz w:val="24"/>
              <w:szCs w:val="24"/>
              <w:lang w:val="zh-CN"/>
            </w:rPr>
          </w:pPr>
          <w:r>
            <w:rPr>
              <w:rFonts w:hint="eastAsia"/>
              <w:bCs/>
              <w:sz w:val="24"/>
              <w:szCs w:val="24"/>
              <w:lang w:val="zh-CN"/>
            </w:rPr>
            <w:t>6.2 风险调查</w:t>
          </w:r>
          <w:r>
            <w:rPr>
              <w:rFonts w:hint="eastAsia"/>
              <w:bCs/>
              <w:sz w:val="24"/>
              <w:szCs w:val="24"/>
              <w:lang w:val="zh-CN"/>
            </w:rPr>
            <w:tab/>
          </w:r>
          <w:r>
            <w:rPr>
              <w:rFonts w:hint="eastAsia"/>
              <w:bCs/>
              <w:sz w:val="24"/>
              <w:szCs w:val="24"/>
            </w:rPr>
            <w:t>6-</w:t>
          </w:r>
          <w:r>
            <w:rPr>
              <w:rFonts w:hint="eastAsia"/>
              <w:bCs/>
              <w:sz w:val="24"/>
              <w:szCs w:val="24"/>
              <w:lang w:val="zh-CN"/>
            </w:rPr>
            <w:fldChar w:fldCharType="begin"/>
          </w:r>
          <w:r>
            <w:rPr>
              <w:rFonts w:hint="eastAsia"/>
              <w:bCs/>
              <w:sz w:val="24"/>
              <w:szCs w:val="24"/>
              <w:lang w:val="zh-CN"/>
            </w:rPr>
            <w:instrText xml:space="preserve"> PAGEREF _Toc7805 \h </w:instrText>
          </w:r>
          <w:r>
            <w:rPr>
              <w:rFonts w:hint="eastAsia"/>
              <w:bCs/>
              <w:sz w:val="24"/>
              <w:szCs w:val="24"/>
              <w:lang w:val="zh-CN"/>
            </w:rPr>
            <w:fldChar w:fldCharType="separate"/>
          </w:r>
          <w:r>
            <w:rPr>
              <w:bCs/>
              <w:sz w:val="24"/>
              <w:szCs w:val="24"/>
              <w:lang w:val="zh-CN"/>
            </w:rPr>
            <w:t>2</w:t>
          </w:r>
          <w:r>
            <w:rPr>
              <w:rFonts w:hint="eastAsia"/>
              <w:bCs/>
              <w:sz w:val="24"/>
              <w:szCs w:val="24"/>
              <w:lang w:val="zh-CN"/>
            </w:rPr>
            <w:fldChar w:fldCharType="end"/>
          </w:r>
        </w:p>
        <w:p>
          <w:pPr>
            <w:pStyle w:val="39"/>
            <w:tabs>
              <w:tab w:val="right" w:leader="dot" w:pos="8306"/>
            </w:tabs>
            <w:spacing w:line="440" w:lineRule="exact"/>
            <w:rPr>
              <w:bCs/>
              <w:sz w:val="24"/>
              <w:szCs w:val="24"/>
              <w:lang w:val="zh-CN"/>
            </w:rPr>
          </w:pPr>
          <w:r>
            <w:rPr>
              <w:rFonts w:hint="eastAsia"/>
              <w:bCs/>
              <w:sz w:val="24"/>
              <w:szCs w:val="24"/>
              <w:lang w:val="zh-CN"/>
            </w:rPr>
            <w:t>6.3 环境敏感目标概况</w:t>
          </w:r>
          <w:r>
            <w:rPr>
              <w:rFonts w:hint="eastAsia"/>
              <w:bCs/>
              <w:sz w:val="24"/>
              <w:szCs w:val="24"/>
              <w:lang w:val="zh-CN"/>
            </w:rPr>
            <w:tab/>
          </w:r>
          <w:r>
            <w:rPr>
              <w:rFonts w:hint="eastAsia"/>
              <w:bCs/>
              <w:sz w:val="24"/>
              <w:szCs w:val="24"/>
            </w:rPr>
            <w:t>6-</w:t>
          </w:r>
          <w:r>
            <w:rPr>
              <w:rFonts w:hint="eastAsia"/>
              <w:bCs/>
              <w:sz w:val="24"/>
              <w:szCs w:val="24"/>
              <w:lang w:val="zh-CN"/>
            </w:rPr>
            <w:fldChar w:fldCharType="begin"/>
          </w:r>
          <w:r>
            <w:rPr>
              <w:rFonts w:hint="eastAsia"/>
              <w:bCs/>
              <w:sz w:val="24"/>
              <w:szCs w:val="24"/>
              <w:lang w:val="zh-CN"/>
            </w:rPr>
            <w:instrText xml:space="preserve"> PAGEREF _Toc25943 \h </w:instrText>
          </w:r>
          <w:r>
            <w:rPr>
              <w:rFonts w:hint="eastAsia"/>
              <w:bCs/>
              <w:sz w:val="24"/>
              <w:szCs w:val="24"/>
              <w:lang w:val="zh-CN"/>
            </w:rPr>
            <w:fldChar w:fldCharType="separate"/>
          </w:r>
          <w:r>
            <w:rPr>
              <w:bCs/>
              <w:sz w:val="24"/>
              <w:szCs w:val="24"/>
              <w:lang w:val="zh-CN"/>
            </w:rPr>
            <w:t>3</w:t>
          </w:r>
          <w:r>
            <w:rPr>
              <w:rFonts w:hint="eastAsia"/>
              <w:bCs/>
              <w:sz w:val="24"/>
              <w:szCs w:val="24"/>
              <w:lang w:val="zh-CN"/>
            </w:rPr>
            <w:fldChar w:fldCharType="end"/>
          </w:r>
        </w:p>
        <w:p>
          <w:pPr>
            <w:pStyle w:val="39"/>
            <w:tabs>
              <w:tab w:val="right" w:leader="dot" w:pos="8306"/>
            </w:tabs>
            <w:spacing w:line="440" w:lineRule="exact"/>
            <w:rPr>
              <w:bCs/>
              <w:sz w:val="24"/>
              <w:szCs w:val="24"/>
              <w:lang w:val="zh-CN"/>
            </w:rPr>
          </w:pPr>
          <w:r>
            <w:rPr>
              <w:rFonts w:hint="eastAsia"/>
              <w:bCs/>
              <w:sz w:val="24"/>
              <w:szCs w:val="24"/>
              <w:lang w:val="zh-CN"/>
            </w:rPr>
            <w:t>6.4 风险识别</w:t>
          </w:r>
          <w:r>
            <w:rPr>
              <w:rFonts w:hint="eastAsia"/>
              <w:bCs/>
              <w:sz w:val="24"/>
              <w:szCs w:val="24"/>
              <w:lang w:val="zh-CN"/>
            </w:rPr>
            <w:tab/>
          </w:r>
          <w:r>
            <w:rPr>
              <w:rFonts w:hint="eastAsia"/>
              <w:bCs/>
              <w:sz w:val="24"/>
              <w:szCs w:val="24"/>
            </w:rPr>
            <w:t>6-</w:t>
          </w:r>
          <w:r>
            <w:rPr>
              <w:rFonts w:hint="eastAsia"/>
              <w:bCs/>
              <w:sz w:val="24"/>
              <w:szCs w:val="24"/>
              <w:lang w:val="zh-CN"/>
            </w:rPr>
            <w:fldChar w:fldCharType="begin"/>
          </w:r>
          <w:r>
            <w:rPr>
              <w:rFonts w:hint="eastAsia"/>
              <w:bCs/>
              <w:sz w:val="24"/>
              <w:szCs w:val="24"/>
              <w:lang w:val="zh-CN"/>
            </w:rPr>
            <w:instrText xml:space="preserve"> PAGEREF _Toc8935 \h </w:instrText>
          </w:r>
          <w:r>
            <w:rPr>
              <w:rFonts w:hint="eastAsia"/>
              <w:bCs/>
              <w:sz w:val="24"/>
              <w:szCs w:val="24"/>
              <w:lang w:val="zh-CN"/>
            </w:rPr>
            <w:fldChar w:fldCharType="separate"/>
          </w:r>
          <w:r>
            <w:rPr>
              <w:bCs/>
              <w:sz w:val="24"/>
              <w:szCs w:val="24"/>
              <w:lang w:val="zh-CN"/>
            </w:rPr>
            <w:t>7</w:t>
          </w:r>
          <w:r>
            <w:rPr>
              <w:rFonts w:hint="eastAsia"/>
              <w:bCs/>
              <w:sz w:val="24"/>
              <w:szCs w:val="24"/>
              <w:lang w:val="zh-CN"/>
            </w:rPr>
            <w:fldChar w:fldCharType="end"/>
          </w:r>
        </w:p>
        <w:p>
          <w:pPr>
            <w:pStyle w:val="39"/>
            <w:tabs>
              <w:tab w:val="right" w:leader="dot" w:pos="8306"/>
            </w:tabs>
            <w:spacing w:line="440" w:lineRule="exact"/>
            <w:rPr>
              <w:bCs/>
              <w:sz w:val="24"/>
              <w:szCs w:val="24"/>
              <w:lang w:val="zh-CN"/>
            </w:rPr>
          </w:pPr>
          <w:r>
            <w:rPr>
              <w:rFonts w:hint="eastAsia"/>
              <w:bCs/>
              <w:sz w:val="24"/>
              <w:szCs w:val="24"/>
              <w:lang w:val="zh-CN"/>
            </w:rPr>
            <w:t>6.5环境风险分析</w:t>
          </w:r>
          <w:r>
            <w:rPr>
              <w:rFonts w:hint="eastAsia"/>
              <w:bCs/>
              <w:sz w:val="24"/>
              <w:szCs w:val="24"/>
              <w:lang w:val="zh-CN"/>
            </w:rPr>
            <w:tab/>
          </w:r>
          <w:r>
            <w:rPr>
              <w:rFonts w:hint="eastAsia"/>
              <w:bCs/>
              <w:sz w:val="24"/>
              <w:szCs w:val="24"/>
            </w:rPr>
            <w:t>6-</w:t>
          </w:r>
          <w:r>
            <w:rPr>
              <w:rFonts w:hint="eastAsia"/>
              <w:bCs/>
              <w:sz w:val="24"/>
              <w:szCs w:val="24"/>
              <w:lang w:val="zh-CN"/>
            </w:rPr>
            <w:fldChar w:fldCharType="begin"/>
          </w:r>
          <w:r>
            <w:rPr>
              <w:rFonts w:hint="eastAsia"/>
              <w:bCs/>
              <w:sz w:val="24"/>
              <w:szCs w:val="24"/>
              <w:lang w:val="zh-CN"/>
            </w:rPr>
            <w:instrText xml:space="preserve"> PAGEREF _Toc1226 \h </w:instrText>
          </w:r>
          <w:r>
            <w:rPr>
              <w:rFonts w:hint="eastAsia"/>
              <w:bCs/>
              <w:sz w:val="24"/>
              <w:szCs w:val="24"/>
              <w:lang w:val="zh-CN"/>
            </w:rPr>
            <w:fldChar w:fldCharType="separate"/>
          </w:r>
          <w:r>
            <w:rPr>
              <w:bCs/>
              <w:sz w:val="24"/>
              <w:szCs w:val="24"/>
              <w:lang w:val="zh-CN"/>
            </w:rPr>
            <w:t>10</w:t>
          </w:r>
          <w:r>
            <w:rPr>
              <w:rFonts w:hint="eastAsia"/>
              <w:bCs/>
              <w:sz w:val="24"/>
              <w:szCs w:val="24"/>
              <w:lang w:val="zh-CN"/>
            </w:rPr>
            <w:fldChar w:fldCharType="end"/>
          </w:r>
        </w:p>
        <w:p>
          <w:pPr>
            <w:pStyle w:val="39"/>
            <w:tabs>
              <w:tab w:val="right" w:leader="dot" w:pos="8306"/>
            </w:tabs>
            <w:spacing w:line="440" w:lineRule="exact"/>
            <w:rPr>
              <w:bCs/>
              <w:sz w:val="24"/>
              <w:szCs w:val="24"/>
              <w:lang w:val="zh-CN"/>
            </w:rPr>
          </w:pPr>
          <w:r>
            <w:rPr>
              <w:rFonts w:hint="eastAsia"/>
              <w:bCs/>
              <w:sz w:val="24"/>
              <w:szCs w:val="24"/>
              <w:lang w:val="zh-CN"/>
            </w:rPr>
            <w:t>6.6环境风险管理</w:t>
          </w:r>
          <w:r>
            <w:rPr>
              <w:rFonts w:hint="eastAsia"/>
              <w:bCs/>
              <w:sz w:val="24"/>
              <w:szCs w:val="24"/>
              <w:lang w:val="zh-CN"/>
            </w:rPr>
            <w:tab/>
          </w:r>
          <w:r>
            <w:rPr>
              <w:rFonts w:hint="eastAsia"/>
              <w:bCs/>
              <w:sz w:val="24"/>
              <w:szCs w:val="24"/>
            </w:rPr>
            <w:t>6-</w:t>
          </w:r>
          <w:r>
            <w:rPr>
              <w:rFonts w:hint="eastAsia"/>
              <w:bCs/>
              <w:sz w:val="24"/>
              <w:szCs w:val="24"/>
              <w:lang w:val="zh-CN"/>
            </w:rPr>
            <w:fldChar w:fldCharType="begin"/>
          </w:r>
          <w:r>
            <w:rPr>
              <w:rFonts w:hint="eastAsia"/>
              <w:bCs/>
              <w:sz w:val="24"/>
              <w:szCs w:val="24"/>
              <w:lang w:val="zh-CN"/>
            </w:rPr>
            <w:instrText xml:space="preserve"> PAGEREF _Toc23708 \h </w:instrText>
          </w:r>
          <w:r>
            <w:rPr>
              <w:rFonts w:hint="eastAsia"/>
              <w:bCs/>
              <w:sz w:val="24"/>
              <w:szCs w:val="24"/>
              <w:lang w:val="zh-CN"/>
            </w:rPr>
            <w:fldChar w:fldCharType="separate"/>
          </w:r>
          <w:r>
            <w:rPr>
              <w:bCs/>
              <w:sz w:val="24"/>
              <w:szCs w:val="24"/>
              <w:lang w:val="zh-CN"/>
            </w:rPr>
            <w:t>11</w:t>
          </w:r>
          <w:r>
            <w:rPr>
              <w:rFonts w:hint="eastAsia"/>
              <w:bCs/>
              <w:sz w:val="24"/>
              <w:szCs w:val="24"/>
              <w:lang w:val="zh-CN"/>
            </w:rPr>
            <w:fldChar w:fldCharType="end"/>
          </w:r>
        </w:p>
        <w:p>
          <w:pPr>
            <w:pStyle w:val="39"/>
            <w:tabs>
              <w:tab w:val="right" w:leader="dot" w:pos="8306"/>
            </w:tabs>
            <w:spacing w:line="440" w:lineRule="exact"/>
            <w:rPr>
              <w:bCs/>
              <w:sz w:val="24"/>
              <w:szCs w:val="24"/>
              <w:lang w:val="zh-CN"/>
            </w:rPr>
          </w:pPr>
          <w:r>
            <w:rPr>
              <w:rFonts w:hint="eastAsia"/>
              <w:bCs/>
              <w:sz w:val="24"/>
              <w:szCs w:val="24"/>
              <w:lang w:val="zh-CN"/>
            </w:rPr>
            <w:t>6.7环境风险评价结论</w:t>
          </w:r>
          <w:r>
            <w:rPr>
              <w:rFonts w:hint="eastAsia"/>
              <w:bCs/>
              <w:sz w:val="24"/>
              <w:szCs w:val="24"/>
              <w:lang w:val="zh-CN"/>
            </w:rPr>
            <w:tab/>
          </w:r>
          <w:r>
            <w:rPr>
              <w:rFonts w:hint="eastAsia"/>
              <w:bCs/>
              <w:sz w:val="24"/>
              <w:szCs w:val="24"/>
            </w:rPr>
            <w:t>6-</w:t>
          </w:r>
          <w:r>
            <w:rPr>
              <w:rFonts w:hint="eastAsia"/>
              <w:bCs/>
              <w:sz w:val="24"/>
              <w:szCs w:val="24"/>
              <w:lang w:val="zh-CN"/>
            </w:rPr>
            <w:fldChar w:fldCharType="begin"/>
          </w:r>
          <w:r>
            <w:rPr>
              <w:rFonts w:hint="eastAsia"/>
              <w:bCs/>
              <w:sz w:val="24"/>
              <w:szCs w:val="24"/>
              <w:lang w:val="zh-CN"/>
            </w:rPr>
            <w:instrText xml:space="preserve"> PAGEREF _Toc13604 \h </w:instrText>
          </w:r>
          <w:r>
            <w:rPr>
              <w:rFonts w:hint="eastAsia"/>
              <w:bCs/>
              <w:sz w:val="24"/>
              <w:szCs w:val="24"/>
              <w:lang w:val="zh-CN"/>
            </w:rPr>
            <w:fldChar w:fldCharType="separate"/>
          </w:r>
          <w:r>
            <w:rPr>
              <w:bCs/>
              <w:sz w:val="24"/>
              <w:szCs w:val="24"/>
              <w:lang w:val="zh-CN"/>
            </w:rPr>
            <w:t>17</w:t>
          </w:r>
          <w:r>
            <w:rPr>
              <w:rFonts w:hint="eastAsia"/>
              <w:bCs/>
              <w:sz w:val="24"/>
              <w:szCs w:val="24"/>
              <w:lang w:val="zh-CN"/>
            </w:rPr>
            <w:fldChar w:fldCharType="end"/>
          </w:r>
        </w:p>
        <w:p>
          <w:pPr>
            <w:pStyle w:val="32"/>
          </w:pPr>
          <w:r>
            <w:t>第7章 环境保护措施及其可行性分析</w:t>
          </w:r>
          <w:r>
            <w:tab/>
          </w:r>
          <w:r>
            <w:rPr>
              <w:rFonts w:hint="eastAsia"/>
              <w:lang w:val="en-US"/>
            </w:rPr>
            <w:t>7-</w:t>
          </w:r>
          <w:r>
            <w:fldChar w:fldCharType="begin"/>
          </w:r>
          <w:r>
            <w:instrText xml:space="preserve"> PAGEREF _Toc16964 \h </w:instrText>
          </w:r>
          <w:r>
            <w:fldChar w:fldCharType="separate"/>
          </w:r>
          <w:r>
            <w:t>1</w:t>
          </w:r>
          <w:r>
            <w:fldChar w:fldCharType="end"/>
          </w:r>
        </w:p>
        <w:p>
          <w:pPr>
            <w:pStyle w:val="39"/>
            <w:tabs>
              <w:tab w:val="right" w:leader="dot" w:pos="8306"/>
            </w:tabs>
            <w:spacing w:line="440" w:lineRule="exact"/>
            <w:rPr>
              <w:bCs/>
              <w:sz w:val="24"/>
              <w:szCs w:val="24"/>
            </w:rPr>
          </w:pPr>
          <w:r>
            <w:rPr>
              <w:bCs/>
              <w:sz w:val="24"/>
              <w:szCs w:val="24"/>
            </w:rPr>
            <w:t>7.1</w:t>
          </w:r>
          <w:r>
            <w:rPr>
              <w:bCs/>
              <w:sz w:val="24"/>
              <w:szCs w:val="24"/>
              <w:lang w:val="zh-CN"/>
            </w:rPr>
            <w:t>施工期污染防治措施分析</w:t>
          </w:r>
          <w:r>
            <w:rPr>
              <w:bCs/>
              <w:sz w:val="24"/>
              <w:szCs w:val="24"/>
            </w:rPr>
            <w:tab/>
          </w:r>
          <w:r>
            <w:rPr>
              <w:rFonts w:hint="eastAsia"/>
              <w:bCs/>
              <w:sz w:val="24"/>
              <w:szCs w:val="24"/>
            </w:rPr>
            <w:t>7-</w:t>
          </w:r>
          <w:r>
            <w:rPr>
              <w:bCs/>
              <w:sz w:val="24"/>
              <w:szCs w:val="24"/>
              <w:lang w:val="zh-CN"/>
            </w:rPr>
            <w:fldChar w:fldCharType="begin"/>
          </w:r>
          <w:r>
            <w:rPr>
              <w:bCs/>
              <w:sz w:val="24"/>
              <w:szCs w:val="24"/>
            </w:rPr>
            <w:instrText xml:space="preserve"> PAGEREF _Toc29361 \h </w:instrText>
          </w:r>
          <w:r>
            <w:rPr>
              <w:bCs/>
              <w:sz w:val="24"/>
              <w:szCs w:val="24"/>
              <w:lang w:val="zh-CN"/>
            </w:rPr>
            <w:fldChar w:fldCharType="separate"/>
          </w:r>
          <w:r>
            <w:rPr>
              <w:bCs/>
              <w:sz w:val="24"/>
              <w:szCs w:val="24"/>
            </w:rPr>
            <w:t>1</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7.2营运期污染防治措施分析</w:t>
          </w:r>
          <w:r>
            <w:rPr>
              <w:bCs/>
              <w:sz w:val="24"/>
              <w:szCs w:val="24"/>
              <w:lang w:val="zh-CN"/>
            </w:rPr>
            <w:tab/>
          </w:r>
          <w:r>
            <w:rPr>
              <w:rFonts w:hint="eastAsia"/>
              <w:bCs/>
              <w:sz w:val="24"/>
              <w:szCs w:val="24"/>
            </w:rPr>
            <w:t>7-</w:t>
          </w:r>
          <w:r>
            <w:rPr>
              <w:bCs/>
              <w:sz w:val="24"/>
              <w:szCs w:val="24"/>
              <w:lang w:val="zh-CN"/>
            </w:rPr>
            <w:fldChar w:fldCharType="begin"/>
          </w:r>
          <w:r>
            <w:rPr>
              <w:bCs/>
              <w:sz w:val="24"/>
              <w:szCs w:val="24"/>
              <w:lang w:val="zh-CN"/>
            </w:rPr>
            <w:instrText xml:space="preserve"> PAGEREF _Toc17970 \h </w:instrText>
          </w:r>
          <w:r>
            <w:rPr>
              <w:bCs/>
              <w:sz w:val="24"/>
              <w:szCs w:val="24"/>
              <w:lang w:val="zh-CN"/>
            </w:rPr>
            <w:fldChar w:fldCharType="separate"/>
          </w:r>
          <w:r>
            <w:rPr>
              <w:bCs/>
              <w:sz w:val="24"/>
              <w:szCs w:val="24"/>
              <w:lang w:val="zh-CN"/>
            </w:rPr>
            <w:t>5</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7.3工程污染防治措施投资估算</w:t>
          </w:r>
          <w:r>
            <w:rPr>
              <w:bCs/>
              <w:sz w:val="24"/>
              <w:szCs w:val="24"/>
              <w:lang w:val="zh-CN"/>
            </w:rPr>
            <w:tab/>
          </w:r>
          <w:r>
            <w:rPr>
              <w:rFonts w:hint="eastAsia"/>
              <w:bCs/>
              <w:sz w:val="24"/>
              <w:szCs w:val="24"/>
            </w:rPr>
            <w:t>7-</w:t>
          </w:r>
          <w:r>
            <w:rPr>
              <w:bCs/>
              <w:sz w:val="24"/>
              <w:szCs w:val="24"/>
              <w:lang w:val="zh-CN"/>
            </w:rPr>
            <w:fldChar w:fldCharType="begin"/>
          </w:r>
          <w:r>
            <w:rPr>
              <w:bCs/>
              <w:sz w:val="24"/>
              <w:szCs w:val="24"/>
              <w:lang w:val="zh-CN"/>
            </w:rPr>
            <w:instrText xml:space="preserve"> PAGEREF _Toc6342 \h </w:instrText>
          </w:r>
          <w:r>
            <w:rPr>
              <w:bCs/>
              <w:sz w:val="24"/>
              <w:szCs w:val="24"/>
              <w:lang w:val="zh-CN"/>
            </w:rPr>
            <w:fldChar w:fldCharType="separate"/>
          </w:r>
          <w:r>
            <w:rPr>
              <w:bCs/>
              <w:sz w:val="24"/>
              <w:szCs w:val="24"/>
              <w:lang w:val="zh-CN"/>
            </w:rPr>
            <w:t>25</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7.4厂址合理性分析</w:t>
          </w:r>
          <w:r>
            <w:rPr>
              <w:bCs/>
              <w:sz w:val="24"/>
              <w:szCs w:val="24"/>
              <w:lang w:val="zh-CN"/>
            </w:rPr>
            <w:tab/>
          </w:r>
          <w:r>
            <w:rPr>
              <w:rFonts w:hint="eastAsia"/>
              <w:bCs/>
              <w:sz w:val="24"/>
              <w:szCs w:val="24"/>
            </w:rPr>
            <w:t>7-</w:t>
          </w:r>
          <w:r>
            <w:rPr>
              <w:bCs/>
              <w:sz w:val="24"/>
              <w:szCs w:val="24"/>
              <w:lang w:val="zh-CN"/>
            </w:rPr>
            <w:fldChar w:fldCharType="begin"/>
          </w:r>
          <w:r>
            <w:rPr>
              <w:bCs/>
              <w:sz w:val="24"/>
              <w:szCs w:val="24"/>
              <w:lang w:val="zh-CN"/>
            </w:rPr>
            <w:instrText xml:space="preserve"> PAGEREF _Toc1906 \h </w:instrText>
          </w:r>
          <w:r>
            <w:rPr>
              <w:bCs/>
              <w:sz w:val="24"/>
              <w:szCs w:val="24"/>
              <w:lang w:val="zh-CN"/>
            </w:rPr>
            <w:fldChar w:fldCharType="separate"/>
          </w:r>
          <w:r>
            <w:rPr>
              <w:bCs/>
              <w:sz w:val="24"/>
              <w:szCs w:val="24"/>
              <w:lang w:val="zh-CN"/>
            </w:rPr>
            <w:t>27</w:t>
          </w:r>
          <w:r>
            <w:rPr>
              <w:bCs/>
              <w:sz w:val="24"/>
              <w:szCs w:val="24"/>
              <w:lang w:val="zh-CN"/>
            </w:rPr>
            <w:fldChar w:fldCharType="end"/>
          </w:r>
        </w:p>
        <w:p>
          <w:pPr>
            <w:pStyle w:val="32"/>
          </w:pPr>
          <w:r>
            <w:t>第8章 环境影响经济损益分析</w:t>
          </w:r>
          <w:r>
            <w:tab/>
          </w:r>
          <w:r>
            <w:rPr>
              <w:rFonts w:hint="eastAsia"/>
              <w:lang w:val="en-US"/>
            </w:rPr>
            <w:t>8-</w:t>
          </w:r>
          <w:r>
            <w:fldChar w:fldCharType="begin"/>
          </w:r>
          <w:r>
            <w:instrText xml:space="preserve"> PAGEREF _Toc24354 \h </w:instrText>
          </w:r>
          <w:r>
            <w:fldChar w:fldCharType="separate"/>
          </w:r>
          <w:r>
            <w:t>1</w:t>
          </w:r>
          <w:r>
            <w:fldChar w:fldCharType="end"/>
          </w:r>
        </w:p>
        <w:p>
          <w:pPr>
            <w:pStyle w:val="39"/>
            <w:tabs>
              <w:tab w:val="right" w:leader="dot" w:pos="8306"/>
            </w:tabs>
            <w:spacing w:line="440" w:lineRule="exact"/>
            <w:rPr>
              <w:bCs/>
              <w:sz w:val="24"/>
              <w:szCs w:val="24"/>
              <w:lang w:val="zh-CN"/>
            </w:rPr>
          </w:pPr>
          <w:r>
            <w:rPr>
              <w:rFonts w:hint="eastAsia"/>
              <w:bCs/>
              <w:sz w:val="24"/>
              <w:szCs w:val="24"/>
              <w:lang w:val="zh-CN"/>
            </w:rPr>
            <w:t>8.1 工程社会效益分析</w:t>
          </w:r>
          <w:r>
            <w:rPr>
              <w:rFonts w:hint="eastAsia"/>
              <w:bCs/>
              <w:sz w:val="24"/>
              <w:szCs w:val="24"/>
              <w:lang w:val="zh-CN"/>
            </w:rPr>
            <w:tab/>
          </w:r>
          <w:r>
            <w:rPr>
              <w:rFonts w:hint="eastAsia"/>
              <w:bCs/>
              <w:sz w:val="24"/>
              <w:szCs w:val="24"/>
            </w:rPr>
            <w:t>8-</w:t>
          </w:r>
          <w:r>
            <w:rPr>
              <w:rFonts w:hint="eastAsia"/>
              <w:bCs/>
              <w:sz w:val="24"/>
              <w:szCs w:val="24"/>
              <w:lang w:val="zh-CN"/>
            </w:rPr>
            <w:fldChar w:fldCharType="begin"/>
          </w:r>
          <w:r>
            <w:rPr>
              <w:rFonts w:hint="eastAsia"/>
              <w:bCs/>
              <w:sz w:val="24"/>
              <w:szCs w:val="24"/>
              <w:lang w:val="zh-CN"/>
            </w:rPr>
            <w:instrText xml:space="preserve"> PAGEREF _Toc10276 \h </w:instrText>
          </w:r>
          <w:r>
            <w:rPr>
              <w:rFonts w:hint="eastAsia"/>
              <w:bCs/>
              <w:sz w:val="24"/>
              <w:szCs w:val="24"/>
              <w:lang w:val="zh-CN"/>
            </w:rPr>
            <w:fldChar w:fldCharType="separate"/>
          </w:r>
          <w:r>
            <w:rPr>
              <w:bCs/>
              <w:sz w:val="24"/>
              <w:szCs w:val="24"/>
              <w:lang w:val="zh-CN"/>
            </w:rPr>
            <w:t>1</w:t>
          </w:r>
          <w:r>
            <w:rPr>
              <w:rFonts w:hint="eastAsia"/>
              <w:bCs/>
              <w:sz w:val="24"/>
              <w:szCs w:val="24"/>
              <w:lang w:val="zh-CN"/>
            </w:rPr>
            <w:fldChar w:fldCharType="end"/>
          </w:r>
        </w:p>
        <w:p>
          <w:pPr>
            <w:pStyle w:val="39"/>
            <w:tabs>
              <w:tab w:val="right" w:leader="dot" w:pos="8306"/>
            </w:tabs>
            <w:spacing w:line="440" w:lineRule="exact"/>
            <w:rPr>
              <w:bCs/>
              <w:sz w:val="24"/>
              <w:szCs w:val="24"/>
              <w:lang w:val="zh-CN"/>
            </w:rPr>
          </w:pPr>
          <w:r>
            <w:rPr>
              <w:rFonts w:hint="eastAsia"/>
              <w:bCs/>
              <w:sz w:val="24"/>
              <w:szCs w:val="24"/>
              <w:lang w:val="zh-CN"/>
            </w:rPr>
            <w:t>8.2 工程经济效益分析</w:t>
          </w:r>
          <w:r>
            <w:rPr>
              <w:rFonts w:hint="eastAsia"/>
              <w:bCs/>
              <w:sz w:val="24"/>
              <w:szCs w:val="24"/>
              <w:lang w:val="zh-CN"/>
            </w:rPr>
            <w:tab/>
          </w:r>
          <w:r>
            <w:rPr>
              <w:rFonts w:hint="eastAsia"/>
              <w:bCs/>
              <w:sz w:val="24"/>
              <w:szCs w:val="24"/>
            </w:rPr>
            <w:t>8-</w:t>
          </w:r>
          <w:r>
            <w:rPr>
              <w:rFonts w:hint="eastAsia"/>
              <w:bCs/>
              <w:sz w:val="24"/>
              <w:szCs w:val="24"/>
              <w:lang w:val="zh-CN"/>
            </w:rPr>
            <w:fldChar w:fldCharType="begin"/>
          </w:r>
          <w:r>
            <w:rPr>
              <w:rFonts w:hint="eastAsia"/>
              <w:bCs/>
              <w:sz w:val="24"/>
              <w:szCs w:val="24"/>
              <w:lang w:val="zh-CN"/>
            </w:rPr>
            <w:instrText xml:space="preserve"> PAGEREF _Toc27484 \h </w:instrText>
          </w:r>
          <w:r>
            <w:rPr>
              <w:rFonts w:hint="eastAsia"/>
              <w:bCs/>
              <w:sz w:val="24"/>
              <w:szCs w:val="24"/>
              <w:lang w:val="zh-CN"/>
            </w:rPr>
            <w:fldChar w:fldCharType="separate"/>
          </w:r>
          <w:r>
            <w:rPr>
              <w:bCs/>
              <w:sz w:val="24"/>
              <w:szCs w:val="24"/>
              <w:lang w:val="zh-CN"/>
            </w:rPr>
            <w:t>1</w:t>
          </w:r>
          <w:r>
            <w:rPr>
              <w:rFonts w:hint="eastAsia"/>
              <w:bCs/>
              <w:sz w:val="24"/>
              <w:szCs w:val="24"/>
              <w:lang w:val="zh-CN"/>
            </w:rPr>
            <w:fldChar w:fldCharType="end"/>
          </w:r>
        </w:p>
        <w:p>
          <w:pPr>
            <w:pStyle w:val="39"/>
            <w:tabs>
              <w:tab w:val="right" w:leader="dot" w:pos="8306"/>
            </w:tabs>
            <w:spacing w:line="440" w:lineRule="exact"/>
            <w:rPr>
              <w:bCs/>
              <w:sz w:val="24"/>
              <w:szCs w:val="24"/>
              <w:lang w:val="zh-CN"/>
            </w:rPr>
          </w:pPr>
          <w:r>
            <w:rPr>
              <w:rFonts w:hint="eastAsia"/>
              <w:bCs/>
              <w:sz w:val="24"/>
              <w:szCs w:val="24"/>
              <w:lang w:val="zh-CN"/>
            </w:rPr>
            <w:t>8.3 工程环境损益分析</w:t>
          </w:r>
          <w:r>
            <w:rPr>
              <w:rFonts w:hint="eastAsia"/>
              <w:bCs/>
              <w:sz w:val="24"/>
              <w:szCs w:val="24"/>
              <w:lang w:val="zh-CN"/>
            </w:rPr>
            <w:tab/>
          </w:r>
          <w:r>
            <w:rPr>
              <w:rFonts w:hint="eastAsia"/>
              <w:bCs/>
              <w:sz w:val="24"/>
              <w:szCs w:val="24"/>
            </w:rPr>
            <w:t>8-</w:t>
          </w:r>
          <w:r>
            <w:rPr>
              <w:rFonts w:hint="eastAsia"/>
              <w:bCs/>
              <w:sz w:val="24"/>
              <w:szCs w:val="24"/>
              <w:lang w:val="zh-CN"/>
            </w:rPr>
            <w:fldChar w:fldCharType="begin"/>
          </w:r>
          <w:r>
            <w:rPr>
              <w:rFonts w:hint="eastAsia"/>
              <w:bCs/>
              <w:sz w:val="24"/>
              <w:szCs w:val="24"/>
              <w:lang w:val="zh-CN"/>
            </w:rPr>
            <w:instrText xml:space="preserve"> PAGEREF _Toc23467 \h </w:instrText>
          </w:r>
          <w:r>
            <w:rPr>
              <w:rFonts w:hint="eastAsia"/>
              <w:bCs/>
              <w:sz w:val="24"/>
              <w:szCs w:val="24"/>
              <w:lang w:val="zh-CN"/>
            </w:rPr>
            <w:fldChar w:fldCharType="separate"/>
          </w:r>
          <w:r>
            <w:rPr>
              <w:bCs/>
              <w:sz w:val="24"/>
              <w:szCs w:val="24"/>
              <w:lang w:val="zh-CN"/>
            </w:rPr>
            <w:t>2</w:t>
          </w:r>
          <w:r>
            <w:rPr>
              <w:rFonts w:hint="eastAsia"/>
              <w:bCs/>
              <w:sz w:val="24"/>
              <w:szCs w:val="24"/>
              <w:lang w:val="zh-CN"/>
            </w:rPr>
            <w:fldChar w:fldCharType="end"/>
          </w:r>
        </w:p>
        <w:p>
          <w:pPr>
            <w:pStyle w:val="32"/>
          </w:pPr>
          <w:r>
            <w:t>第9章 环境管理与监测计划</w:t>
          </w:r>
          <w:r>
            <w:tab/>
          </w:r>
          <w:r>
            <w:rPr>
              <w:rFonts w:hint="eastAsia"/>
              <w:lang w:val="en-US"/>
            </w:rPr>
            <w:t>9-</w:t>
          </w:r>
          <w:r>
            <w:fldChar w:fldCharType="begin"/>
          </w:r>
          <w:r>
            <w:instrText xml:space="preserve"> PAGEREF _Toc24263 \h </w:instrText>
          </w:r>
          <w:r>
            <w:fldChar w:fldCharType="separate"/>
          </w:r>
          <w:r>
            <w:t>1</w:t>
          </w:r>
          <w:r>
            <w:fldChar w:fldCharType="end"/>
          </w:r>
        </w:p>
        <w:p>
          <w:pPr>
            <w:pStyle w:val="39"/>
            <w:tabs>
              <w:tab w:val="right" w:leader="dot" w:pos="8306"/>
            </w:tabs>
            <w:spacing w:line="440" w:lineRule="exact"/>
            <w:rPr>
              <w:bCs/>
              <w:sz w:val="24"/>
              <w:szCs w:val="24"/>
              <w:lang w:val="zh-CN"/>
            </w:rPr>
          </w:pPr>
          <w:r>
            <w:rPr>
              <w:bCs/>
              <w:sz w:val="24"/>
              <w:szCs w:val="24"/>
              <w:lang w:val="zh-CN"/>
            </w:rPr>
            <w:t>9.1 环境管理</w:t>
          </w:r>
          <w:r>
            <w:rPr>
              <w:bCs/>
              <w:sz w:val="24"/>
              <w:szCs w:val="24"/>
              <w:lang w:val="zh-CN"/>
            </w:rPr>
            <w:tab/>
          </w:r>
          <w:r>
            <w:rPr>
              <w:rFonts w:hint="eastAsia"/>
              <w:bCs/>
              <w:sz w:val="24"/>
              <w:szCs w:val="24"/>
            </w:rPr>
            <w:t>9-</w:t>
          </w:r>
          <w:r>
            <w:rPr>
              <w:bCs/>
              <w:sz w:val="24"/>
              <w:szCs w:val="24"/>
              <w:lang w:val="zh-CN"/>
            </w:rPr>
            <w:fldChar w:fldCharType="begin"/>
          </w:r>
          <w:r>
            <w:rPr>
              <w:bCs/>
              <w:sz w:val="24"/>
              <w:szCs w:val="24"/>
              <w:lang w:val="zh-CN"/>
            </w:rPr>
            <w:instrText xml:space="preserve"> PAGEREF _Toc5001 \h </w:instrText>
          </w:r>
          <w:r>
            <w:rPr>
              <w:bCs/>
              <w:sz w:val="24"/>
              <w:szCs w:val="24"/>
              <w:lang w:val="zh-CN"/>
            </w:rPr>
            <w:fldChar w:fldCharType="separate"/>
          </w:r>
          <w:r>
            <w:rPr>
              <w:bCs/>
              <w:sz w:val="24"/>
              <w:szCs w:val="24"/>
              <w:lang w:val="zh-CN"/>
            </w:rPr>
            <w:t>1</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9.2环境监测计划</w:t>
          </w:r>
          <w:r>
            <w:rPr>
              <w:bCs/>
              <w:sz w:val="24"/>
              <w:szCs w:val="24"/>
              <w:lang w:val="zh-CN"/>
            </w:rPr>
            <w:tab/>
          </w:r>
          <w:r>
            <w:rPr>
              <w:rFonts w:hint="eastAsia"/>
              <w:bCs/>
              <w:sz w:val="24"/>
              <w:szCs w:val="24"/>
            </w:rPr>
            <w:t>9-</w:t>
          </w:r>
          <w:r>
            <w:rPr>
              <w:bCs/>
              <w:sz w:val="24"/>
              <w:szCs w:val="24"/>
              <w:lang w:val="zh-CN"/>
            </w:rPr>
            <w:fldChar w:fldCharType="begin"/>
          </w:r>
          <w:r>
            <w:rPr>
              <w:bCs/>
              <w:sz w:val="24"/>
              <w:szCs w:val="24"/>
              <w:lang w:val="zh-CN"/>
            </w:rPr>
            <w:instrText xml:space="preserve"> PAGEREF _Toc19571 \h </w:instrText>
          </w:r>
          <w:r>
            <w:rPr>
              <w:bCs/>
              <w:sz w:val="24"/>
              <w:szCs w:val="24"/>
              <w:lang w:val="zh-CN"/>
            </w:rPr>
            <w:fldChar w:fldCharType="separate"/>
          </w:r>
          <w:r>
            <w:rPr>
              <w:bCs/>
              <w:sz w:val="24"/>
              <w:szCs w:val="24"/>
              <w:lang w:val="zh-CN"/>
            </w:rPr>
            <w:t>4</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9.3环境管理台账</w:t>
          </w:r>
          <w:r>
            <w:rPr>
              <w:bCs/>
              <w:sz w:val="24"/>
              <w:szCs w:val="24"/>
              <w:lang w:val="zh-CN"/>
            </w:rPr>
            <w:tab/>
          </w:r>
          <w:r>
            <w:rPr>
              <w:rFonts w:hint="eastAsia"/>
              <w:bCs/>
              <w:sz w:val="24"/>
              <w:szCs w:val="24"/>
            </w:rPr>
            <w:t>9-</w:t>
          </w:r>
          <w:r>
            <w:rPr>
              <w:bCs/>
              <w:sz w:val="24"/>
              <w:szCs w:val="24"/>
              <w:lang w:val="zh-CN"/>
            </w:rPr>
            <w:fldChar w:fldCharType="begin"/>
          </w:r>
          <w:r>
            <w:rPr>
              <w:bCs/>
              <w:sz w:val="24"/>
              <w:szCs w:val="24"/>
              <w:lang w:val="zh-CN"/>
            </w:rPr>
            <w:instrText xml:space="preserve"> PAGEREF _Toc10200 \h </w:instrText>
          </w:r>
          <w:r>
            <w:rPr>
              <w:bCs/>
              <w:sz w:val="24"/>
              <w:szCs w:val="24"/>
              <w:lang w:val="zh-CN"/>
            </w:rPr>
            <w:fldChar w:fldCharType="separate"/>
          </w:r>
          <w:r>
            <w:rPr>
              <w:bCs/>
              <w:sz w:val="24"/>
              <w:szCs w:val="24"/>
              <w:lang w:val="zh-CN"/>
            </w:rPr>
            <w:t>6</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9.4工程概况及信息公开内容</w:t>
          </w:r>
          <w:r>
            <w:rPr>
              <w:bCs/>
              <w:sz w:val="24"/>
              <w:szCs w:val="24"/>
              <w:lang w:val="zh-CN"/>
            </w:rPr>
            <w:tab/>
          </w:r>
          <w:r>
            <w:rPr>
              <w:rFonts w:hint="eastAsia"/>
              <w:bCs/>
              <w:sz w:val="24"/>
              <w:szCs w:val="24"/>
            </w:rPr>
            <w:t>9-</w:t>
          </w:r>
          <w:r>
            <w:rPr>
              <w:bCs/>
              <w:sz w:val="24"/>
              <w:szCs w:val="24"/>
              <w:lang w:val="zh-CN"/>
            </w:rPr>
            <w:fldChar w:fldCharType="begin"/>
          </w:r>
          <w:r>
            <w:rPr>
              <w:bCs/>
              <w:sz w:val="24"/>
              <w:szCs w:val="24"/>
              <w:lang w:val="zh-CN"/>
            </w:rPr>
            <w:instrText xml:space="preserve"> PAGEREF _Toc8241 \h </w:instrText>
          </w:r>
          <w:r>
            <w:rPr>
              <w:bCs/>
              <w:sz w:val="24"/>
              <w:szCs w:val="24"/>
              <w:lang w:val="zh-CN"/>
            </w:rPr>
            <w:fldChar w:fldCharType="separate"/>
          </w:r>
          <w:r>
            <w:rPr>
              <w:bCs/>
              <w:sz w:val="24"/>
              <w:szCs w:val="24"/>
              <w:lang w:val="zh-CN"/>
            </w:rPr>
            <w:t>6</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9.5工程污染物总量控制分析</w:t>
          </w:r>
          <w:r>
            <w:rPr>
              <w:bCs/>
              <w:sz w:val="24"/>
              <w:szCs w:val="24"/>
              <w:lang w:val="zh-CN"/>
            </w:rPr>
            <w:tab/>
          </w:r>
          <w:r>
            <w:rPr>
              <w:rFonts w:hint="eastAsia"/>
              <w:bCs/>
              <w:sz w:val="24"/>
              <w:szCs w:val="24"/>
            </w:rPr>
            <w:t>9-</w:t>
          </w:r>
          <w:r>
            <w:rPr>
              <w:bCs/>
              <w:sz w:val="24"/>
              <w:szCs w:val="24"/>
              <w:lang w:val="zh-CN"/>
            </w:rPr>
            <w:fldChar w:fldCharType="begin"/>
          </w:r>
          <w:r>
            <w:rPr>
              <w:bCs/>
              <w:sz w:val="24"/>
              <w:szCs w:val="24"/>
              <w:lang w:val="zh-CN"/>
            </w:rPr>
            <w:instrText xml:space="preserve"> PAGEREF _Toc187 \h </w:instrText>
          </w:r>
          <w:r>
            <w:rPr>
              <w:bCs/>
              <w:sz w:val="24"/>
              <w:szCs w:val="24"/>
              <w:lang w:val="zh-CN"/>
            </w:rPr>
            <w:fldChar w:fldCharType="separate"/>
          </w:r>
          <w:r>
            <w:rPr>
              <w:bCs/>
              <w:sz w:val="24"/>
              <w:szCs w:val="24"/>
              <w:lang w:val="zh-CN"/>
            </w:rPr>
            <w:t>7</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9.6排污口标志管理</w:t>
          </w:r>
          <w:r>
            <w:rPr>
              <w:bCs/>
              <w:sz w:val="24"/>
              <w:szCs w:val="24"/>
              <w:lang w:val="zh-CN"/>
            </w:rPr>
            <w:tab/>
          </w:r>
          <w:r>
            <w:rPr>
              <w:rFonts w:hint="eastAsia"/>
              <w:bCs/>
              <w:sz w:val="24"/>
              <w:szCs w:val="24"/>
            </w:rPr>
            <w:t>9-</w:t>
          </w:r>
          <w:r>
            <w:rPr>
              <w:bCs/>
              <w:sz w:val="24"/>
              <w:szCs w:val="24"/>
              <w:lang w:val="zh-CN"/>
            </w:rPr>
            <w:fldChar w:fldCharType="begin"/>
          </w:r>
          <w:r>
            <w:rPr>
              <w:bCs/>
              <w:sz w:val="24"/>
              <w:szCs w:val="24"/>
              <w:lang w:val="zh-CN"/>
            </w:rPr>
            <w:instrText xml:space="preserve"> PAGEREF _Toc1737 \h </w:instrText>
          </w:r>
          <w:r>
            <w:rPr>
              <w:bCs/>
              <w:sz w:val="24"/>
              <w:szCs w:val="24"/>
              <w:lang w:val="zh-CN"/>
            </w:rPr>
            <w:fldChar w:fldCharType="separate"/>
          </w:r>
          <w:r>
            <w:rPr>
              <w:bCs/>
              <w:sz w:val="24"/>
              <w:szCs w:val="24"/>
              <w:lang w:val="zh-CN"/>
            </w:rPr>
            <w:t>8</w:t>
          </w:r>
          <w:r>
            <w:rPr>
              <w:bCs/>
              <w:sz w:val="24"/>
              <w:szCs w:val="24"/>
              <w:lang w:val="zh-CN"/>
            </w:rPr>
            <w:fldChar w:fldCharType="end"/>
          </w:r>
        </w:p>
        <w:p>
          <w:pPr>
            <w:pStyle w:val="32"/>
          </w:pPr>
          <w:r>
            <w:t>第10章 环境影响评价结论</w:t>
          </w:r>
          <w:r>
            <w:tab/>
          </w:r>
          <w:r>
            <w:rPr>
              <w:rFonts w:hint="eastAsia"/>
              <w:lang w:val="en-US"/>
            </w:rPr>
            <w:t>10-</w:t>
          </w:r>
          <w:r>
            <w:fldChar w:fldCharType="begin"/>
          </w:r>
          <w:r>
            <w:instrText xml:space="preserve"> PAGEREF _Toc12361 \h </w:instrText>
          </w:r>
          <w:r>
            <w:fldChar w:fldCharType="separate"/>
          </w:r>
          <w:r>
            <w:t>1</w:t>
          </w:r>
          <w:r>
            <w:fldChar w:fldCharType="end"/>
          </w:r>
        </w:p>
        <w:p>
          <w:pPr>
            <w:pStyle w:val="39"/>
            <w:tabs>
              <w:tab w:val="right" w:leader="dot" w:pos="8306"/>
            </w:tabs>
            <w:spacing w:line="440" w:lineRule="exact"/>
            <w:rPr>
              <w:bCs/>
              <w:sz w:val="24"/>
              <w:szCs w:val="24"/>
              <w:lang w:val="zh-CN"/>
            </w:rPr>
          </w:pPr>
          <w:r>
            <w:rPr>
              <w:bCs/>
              <w:sz w:val="24"/>
              <w:szCs w:val="24"/>
              <w:lang w:val="zh-CN"/>
            </w:rPr>
            <w:t>10.1评价结论</w:t>
          </w:r>
          <w:r>
            <w:rPr>
              <w:bCs/>
              <w:sz w:val="24"/>
              <w:szCs w:val="24"/>
              <w:lang w:val="zh-CN"/>
            </w:rPr>
            <w:tab/>
          </w:r>
          <w:r>
            <w:rPr>
              <w:rFonts w:hint="eastAsia"/>
              <w:bCs/>
              <w:sz w:val="24"/>
              <w:szCs w:val="24"/>
            </w:rPr>
            <w:t>10-</w:t>
          </w:r>
          <w:r>
            <w:rPr>
              <w:bCs/>
              <w:sz w:val="24"/>
              <w:szCs w:val="24"/>
              <w:lang w:val="zh-CN"/>
            </w:rPr>
            <w:fldChar w:fldCharType="begin"/>
          </w:r>
          <w:r>
            <w:rPr>
              <w:bCs/>
              <w:sz w:val="24"/>
              <w:szCs w:val="24"/>
              <w:lang w:val="zh-CN"/>
            </w:rPr>
            <w:instrText xml:space="preserve"> PAGEREF _Toc10431 \h </w:instrText>
          </w:r>
          <w:r>
            <w:rPr>
              <w:bCs/>
              <w:sz w:val="24"/>
              <w:szCs w:val="24"/>
              <w:lang w:val="zh-CN"/>
            </w:rPr>
            <w:fldChar w:fldCharType="separate"/>
          </w:r>
          <w:r>
            <w:rPr>
              <w:bCs/>
              <w:sz w:val="24"/>
              <w:szCs w:val="24"/>
              <w:lang w:val="zh-CN"/>
            </w:rPr>
            <w:t>1</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10.2建议</w:t>
          </w:r>
          <w:r>
            <w:rPr>
              <w:bCs/>
              <w:sz w:val="24"/>
              <w:szCs w:val="24"/>
              <w:lang w:val="zh-CN"/>
            </w:rPr>
            <w:tab/>
          </w:r>
          <w:r>
            <w:rPr>
              <w:rFonts w:hint="eastAsia"/>
              <w:bCs/>
              <w:sz w:val="24"/>
              <w:szCs w:val="24"/>
            </w:rPr>
            <w:t>10-</w:t>
          </w:r>
          <w:r>
            <w:rPr>
              <w:bCs/>
              <w:sz w:val="24"/>
              <w:szCs w:val="24"/>
              <w:lang w:val="zh-CN"/>
            </w:rPr>
            <w:fldChar w:fldCharType="begin"/>
          </w:r>
          <w:r>
            <w:rPr>
              <w:bCs/>
              <w:sz w:val="24"/>
              <w:szCs w:val="24"/>
              <w:lang w:val="zh-CN"/>
            </w:rPr>
            <w:instrText xml:space="preserve"> PAGEREF _Toc10414 \h </w:instrText>
          </w:r>
          <w:r>
            <w:rPr>
              <w:bCs/>
              <w:sz w:val="24"/>
              <w:szCs w:val="24"/>
              <w:lang w:val="zh-CN"/>
            </w:rPr>
            <w:fldChar w:fldCharType="separate"/>
          </w:r>
          <w:r>
            <w:rPr>
              <w:bCs/>
              <w:sz w:val="24"/>
              <w:szCs w:val="24"/>
              <w:lang w:val="zh-CN"/>
            </w:rPr>
            <w:t>9</w:t>
          </w:r>
          <w:r>
            <w:rPr>
              <w:bCs/>
              <w:sz w:val="24"/>
              <w:szCs w:val="24"/>
              <w:lang w:val="zh-CN"/>
            </w:rPr>
            <w:fldChar w:fldCharType="end"/>
          </w:r>
        </w:p>
        <w:p>
          <w:pPr>
            <w:pStyle w:val="39"/>
            <w:tabs>
              <w:tab w:val="right" w:leader="dot" w:pos="8306"/>
            </w:tabs>
            <w:spacing w:line="440" w:lineRule="exact"/>
            <w:rPr>
              <w:bCs/>
              <w:sz w:val="24"/>
              <w:szCs w:val="24"/>
              <w:lang w:val="zh-CN"/>
            </w:rPr>
          </w:pPr>
          <w:r>
            <w:rPr>
              <w:bCs/>
              <w:sz w:val="24"/>
              <w:szCs w:val="24"/>
              <w:lang w:val="zh-CN"/>
            </w:rPr>
            <w:t>10.3评价总结论</w:t>
          </w:r>
          <w:r>
            <w:rPr>
              <w:bCs/>
              <w:sz w:val="24"/>
              <w:szCs w:val="24"/>
              <w:lang w:val="zh-CN"/>
            </w:rPr>
            <w:tab/>
          </w:r>
          <w:r>
            <w:rPr>
              <w:rFonts w:hint="eastAsia"/>
              <w:bCs/>
              <w:sz w:val="24"/>
              <w:szCs w:val="24"/>
            </w:rPr>
            <w:t>10-</w:t>
          </w:r>
          <w:r>
            <w:rPr>
              <w:bCs/>
              <w:sz w:val="24"/>
              <w:szCs w:val="24"/>
              <w:lang w:val="zh-CN"/>
            </w:rPr>
            <w:fldChar w:fldCharType="begin"/>
          </w:r>
          <w:r>
            <w:rPr>
              <w:bCs/>
              <w:sz w:val="24"/>
              <w:szCs w:val="24"/>
              <w:lang w:val="zh-CN"/>
            </w:rPr>
            <w:instrText xml:space="preserve"> PAGEREF _Toc21591 \h </w:instrText>
          </w:r>
          <w:r>
            <w:rPr>
              <w:bCs/>
              <w:sz w:val="24"/>
              <w:szCs w:val="24"/>
              <w:lang w:val="zh-CN"/>
            </w:rPr>
            <w:fldChar w:fldCharType="separate"/>
          </w:r>
          <w:r>
            <w:rPr>
              <w:bCs/>
              <w:sz w:val="24"/>
              <w:szCs w:val="24"/>
              <w:lang w:val="zh-CN"/>
            </w:rPr>
            <w:t>10</w:t>
          </w:r>
          <w:r>
            <w:rPr>
              <w:bCs/>
              <w:sz w:val="24"/>
              <w:szCs w:val="24"/>
              <w:lang w:val="zh-CN"/>
            </w:rPr>
            <w:fldChar w:fldCharType="end"/>
          </w:r>
        </w:p>
        <w:p>
          <w:pPr>
            <w:widowControl/>
            <w:tabs>
              <w:tab w:val="right" w:leader="dot" w:pos="8306"/>
            </w:tabs>
            <w:ind w:left="420" w:leftChars="200"/>
            <w:jc w:val="left"/>
            <w:rPr>
              <w:rFonts w:ascii="Calibri" w:hAnsi="Calibri"/>
              <w:kern w:val="0"/>
              <w:sz w:val="20"/>
              <w:szCs w:val="20"/>
            </w:rPr>
          </w:pPr>
          <w:r>
            <w:rPr>
              <w:kern w:val="0"/>
              <w:szCs w:val="28"/>
            </w:rPr>
            <w:fldChar w:fldCharType="end"/>
          </w:r>
        </w:p>
      </w:sdtContent>
    </w:sdt>
    <w:p>
      <w:pPr>
        <w:adjustRightInd w:val="0"/>
        <w:snapToGrid w:val="0"/>
        <w:spacing w:line="520" w:lineRule="exact"/>
        <w:ind w:firstLine="480" w:firstLineChars="200"/>
        <w:textAlignment w:val="baseline"/>
        <w:rPr>
          <w:kern w:val="0"/>
          <w:sz w:val="24"/>
          <w:szCs w:val="2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adjustRightInd w:val="0"/>
        <w:snapToGrid w:val="0"/>
        <w:spacing w:line="480" w:lineRule="exact"/>
        <w:ind w:firstLine="480" w:firstLineChars="200"/>
        <w:textAlignment w:val="baseline"/>
        <w:rPr>
          <w:kern w:val="0"/>
          <w:sz w:val="24"/>
          <w:szCs w:val="20"/>
        </w:rPr>
      </w:pPr>
      <w:r>
        <w:rPr>
          <w:kern w:val="0"/>
          <w:sz w:val="24"/>
          <w:szCs w:val="20"/>
        </w:rPr>
        <w:t>附图：</w:t>
      </w:r>
    </w:p>
    <w:p>
      <w:pPr>
        <w:adjustRightInd w:val="0"/>
        <w:snapToGrid w:val="0"/>
        <w:spacing w:line="480" w:lineRule="exact"/>
        <w:ind w:firstLine="480" w:firstLineChars="200"/>
        <w:textAlignment w:val="baseline"/>
        <w:rPr>
          <w:kern w:val="0"/>
          <w:sz w:val="24"/>
          <w:szCs w:val="24"/>
        </w:rPr>
      </w:pPr>
      <w:r>
        <w:rPr>
          <w:kern w:val="0"/>
          <w:sz w:val="24"/>
          <w:szCs w:val="24"/>
        </w:rPr>
        <w:t>附图一、地理位置图</w:t>
      </w:r>
    </w:p>
    <w:p>
      <w:pPr>
        <w:adjustRightInd w:val="0"/>
        <w:snapToGrid w:val="0"/>
        <w:spacing w:line="480" w:lineRule="exact"/>
        <w:ind w:firstLine="480" w:firstLineChars="200"/>
        <w:textAlignment w:val="baseline"/>
        <w:rPr>
          <w:kern w:val="0"/>
          <w:sz w:val="24"/>
          <w:szCs w:val="24"/>
        </w:rPr>
      </w:pPr>
      <w:r>
        <w:rPr>
          <w:kern w:val="0"/>
          <w:sz w:val="24"/>
          <w:szCs w:val="24"/>
        </w:rPr>
        <w:t>附图二、</w:t>
      </w:r>
      <w:r>
        <w:rPr>
          <w:rFonts w:hint="eastAsia"/>
          <w:kern w:val="0"/>
          <w:sz w:val="24"/>
          <w:szCs w:val="24"/>
        </w:rPr>
        <w:t>项目用地规划图</w:t>
      </w:r>
    </w:p>
    <w:p>
      <w:pPr>
        <w:adjustRightInd w:val="0"/>
        <w:snapToGrid w:val="0"/>
        <w:spacing w:line="480" w:lineRule="exact"/>
        <w:ind w:firstLine="480" w:firstLineChars="200"/>
        <w:textAlignment w:val="baseline"/>
        <w:rPr>
          <w:kern w:val="0"/>
          <w:sz w:val="24"/>
          <w:szCs w:val="24"/>
        </w:rPr>
      </w:pPr>
      <w:r>
        <w:rPr>
          <w:rFonts w:hint="eastAsia"/>
          <w:kern w:val="0"/>
          <w:sz w:val="24"/>
          <w:szCs w:val="24"/>
        </w:rPr>
        <w:t>附图三、厂区</w:t>
      </w:r>
      <w:r>
        <w:rPr>
          <w:kern w:val="0"/>
          <w:sz w:val="24"/>
          <w:szCs w:val="24"/>
        </w:rPr>
        <w:t>平面布置图</w:t>
      </w:r>
    </w:p>
    <w:p>
      <w:pPr>
        <w:adjustRightInd w:val="0"/>
        <w:snapToGrid w:val="0"/>
        <w:spacing w:line="480" w:lineRule="exact"/>
        <w:ind w:firstLine="480" w:firstLineChars="200"/>
        <w:textAlignment w:val="baseline"/>
        <w:rPr>
          <w:kern w:val="0"/>
          <w:sz w:val="24"/>
          <w:szCs w:val="24"/>
        </w:rPr>
      </w:pPr>
      <w:r>
        <w:rPr>
          <w:kern w:val="0"/>
          <w:sz w:val="24"/>
          <w:szCs w:val="24"/>
        </w:rPr>
        <w:t>附图</w:t>
      </w:r>
      <w:r>
        <w:rPr>
          <w:rFonts w:hint="eastAsia"/>
          <w:kern w:val="0"/>
          <w:sz w:val="24"/>
          <w:szCs w:val="24"/>
        </w:rPr>
        <w:t>四</w:t>
      </w:r>
      <w:r>
        <w:rPr>
          <w:kern w:val="0"/>
          <w:sz w:val="24"/>
          <w:szCs w:val="24"/>
        </w:rPr>
        <w:t>、</w:t>
      </w:r>
      <w:r>
        <w:rPr>
          <w:rFonts w:hint="eastAsia"/>
          <w:kern w:val="0"/>
          <w:sz w:val="24"/>
          <w:szCs w:val="24"/>
        </w:rPr>
        <w:t>项目周围环境示意图</w:t>
      </w:r>
    </w:p>
    <w:p>
      <w:pPr>
        <w:adjustRightInd w:val="0"/>
        <w:snapToGrid w:val="0"/>
        <w:spacing w:line="480" w:lineRule="exact"/>
        <w:ind w:firstLine="480" w:firstLineChars="200"/>
        <w:textAlignment w:val="baseline"/>
        <w:rPr>
          <w:kern w:val="0"/>
          <w:sz w:val="24"/>
          <w:szCs w:val="24"/>
        </w:rPr>
      </w:pPr>
      <w:r>
        <w:rPr>
          <w:rFonts w:hint="eastAsia"/>
          <w:kern w:val="0"/>
          <w:sz w:val="24"/>
          <w:szCs w:val="24"/>
        </w:rPr>
        <w:t>附图五、项目用地规划图</w:t>
      </w:r>
    </w:p>
    <w:p>
      <w:pPr>
        <w:autoSpaceDE w:val="0"/>
        <w:autoSpaceDN w:val="0"/>
        <w:adjustRightInd w:val="0"/>
        <w:spacing w:line="480" w:lineRule="exact"/>
        <w:ind w:firstLine="480" w:firstLineChars="200"/>
        <w:rPr>
          <w:rFonts w:ascii="宋体" w:hAnsi="宋体"/>
          <w:kern w:val="0"/>
          <w:sz w:val="24"/>
        </w:rPr>
      </w:pPr>
      <w:r>
        <w:rPr>
          <w:rFonts w:hint="eastAsia" w:ascii="宋体" w:hAnsi="宋体"/>
          <w:kern w:val="0"/>
          <w:sz w:val="24"/>
          <w:szCs w:val="24"/>
        </w:rPr>
        <w:t>附图六、</w:t>
      </w:r>
      <w:r>
        <w:rPr>
          <w:kern w:val="0"/>
          <w:sz w:val="24"/>
          <w:szCs w:val="24"/>
        </w:rPr>
        <w:t>项目</w:t>
      </w:r>
      <w:r>
        <w:rPr>
          <w:rFonts w:hint="eastAsia"/>
          <w:kern w:val="0"/>
          <w:sz w:val="24"/>
          <w:szCs w:val="24"/>
        </w:rPr>
        <w:t>现状</w:t>
      </w:r>
      <w:r>
        <w:rPr>
          <w:kern w:val="0"/>
          <w:sz w:val="24"/>
          <w:szCs w:val="24"/>
        </w:rPr>
        <w:t>监测</w:t>
      </w:r>
      <w:r>
        <w:rPr>
          <w:rFonts w:hint="eastAsia"/>
          <w:kern w:val="0"/>
          <w:sz w:val="24"/>
          <w:szCs w:val="24"/>
        </w:rPr>
        <w:t>点位</w:t>
      </w:r>
      <w:r>
        <w:rPr>
          <w:kern w:val="0"/>
          <w:sz w:val="24"/>
          <w:szCs w:val="24"/>
        </w:rPr>
        <w:t>图</w:t>
      </w:r>
    </w:p>
    <w:p>
      <w:pPr>
        <w:adjustRightInd w:val="0"/>
        <w:snapToGrid w:val="0"/>
        <w:spacing w:line="480" w:lineRule="exact"/>
        <w:ind w:firstLine="480" w:firstLineChars="200"/>
        <w:rPr>
          <w:kern w:val="0"/>
          <w:sz w:val="24"/>
          <w:szCs w:val="20"/>
        </w:rPr>
      </w:pPr>
      <w:r>
        <w:rPr>
          <w:rFonts w:hint="eastAsia"/>
          <w:kern w:val="0"/>
          <w:sz w:val="24"/>
          <w:szCs w:val="20"/>
        </w:rPr>
        <w:t>附图七、厂区分区防渗图</w:t>
      </w:r>
    </w:p>
    <w:p>
      <w:pPr>
        <w:adjustRightInd w:val="0"/>
        <w:snapToGrid w:val="0"/>
        <w:spacing w:line="480" w:lineRule="exact"/>
        <w:ind w:firstLine="480" w:firstLineChars="200"/>
        <w:rPr>
          <w:kern w:val="0"/>
          <w:sz w:val="24"/>
          <w:szCs w:val="24"/>
        </w:rPr>
      </w:pPr>
      <w:r>
        <w:rPr>
          <w:rFonts w:hint="eastAsia"/>
          <w:kern w:val="0"/>
          <w:sz w:val="24"/>
          <w:szCs w:val="24"/>
        </w:rPr>
        <w:t>附图八、现场照片</w:t>
      </w:r>
    </w:p>
    <w:p>
      <w:pPr>
        <w:adjustRightInd w:val="0"/>
        <w:snapToGrid w:val="0"/>
        <w:spacing w:line="480" w:lineRule="exact"/>
        <w:ind w:firstLine="480" w:firstLineChars="200"/>
        <w:rPr>
          <w:kern w:val="0"/>
          <w:sz w:val="24"/>
          <w:szCs w:val="24"/>
        </w:rPr>
      </w:pPr>
      <w:r>
        <w:rPr>
          <w:rFonts w:hint="eastAsia"/>
          <w:kern w:val="0"/>
          <w:sz w:val="24"/>
          <w:szCs w:val="24"/>
        </w:rPr>
        <w:t>附图九、公参现场照片</w:t>
      </w:r>
    </w:p>
    <w:p>
      <w:pPr>
        <w:adjustRightInd w:val="0"/>
        <w:snapToGrid w:val="0"/>
        <w:spacing w:line="480" w:lineRule="exact"/>
        <w:ind w:firstLine="480" w:firstLineChars="200"/>
        <w:rPr>
          <w:kern w:val="0"/>
          <w:sz w:val="24"/>
          <w:szCs w:val="24"/>
        </w:rPr>
      </w:pPr>
    </w:p>
    <w:p>
      <w:pPr>
        <w:adjustRightInd w:val="0"/>
        <w:snapToGrid w:val="0"/>
        <w:spacing w:line="480" w:lineRule="exact"/>
        <w:ind w:firstLine="480" w:firstLineChars="200"/>
        <w:rPr>
          <w:kern w:val="0"/>
          <w:sz w:val="24"/>
          <w:szCs w:val="24"/>
        </w:rPr>
      </w:pPr>
      <w:r>
        <w:rPr>
          <w:rFonts w:hint="eastAsia"/>
          <w:kern w:val="0"/>
          <w:sz w:val="24"/>
          <w:szCs w:val="24"/>
        </w:rPr>
        <w:t>附件：</w:t>
      </w:r>
    </w:p>
    <w:p>
      <w:pPr>
        <w:adjustRightInd w:val="0"/>
        <w:snapToGrid w:val="0"/>
        <w:spacing w:line="480" w:lineRule="exact"/>
        <w:ind w:firstLine="480" w:firstLineChars="200"/>
        <w:textAlignment w:val="baseline"/>
        <w:rPr>
          <w:kern w:val="0"/>
          <w:sz w:val="24"/>
          <w:szCs w:val="24"/>
        </w:rPr>
      </w:pPr>
      <w:r>
        <w:rPr>
          <w:rFonts w:hint="eastAsia"/>
          <w:kern w:val="0"/>
          <w:sz w:val="24"/>
          <w:szCs w:val="24"/>
        </w:rPr>
        <w:t>附件一：委托书</w:t>
      </w:r>
    </w:p>
    <w:p>
      <w:pPr>
        <w:adjustRightInd w:val="0"/>
        <w:snapToGrid w:val="0"/>
        <w:spacing w:line="480" w:lineRule="exact"/>
        <w:ind w:firstLine="480" w:firstLineChars="200"/>
        <w:rPr>
          <w:kern w:val="0"/>
          <w:sz w:val="24"/>
          <w:szCs w:val="24"/>
        </w:rPr>
      </w:pPr>
      <w:r>
        <w:rPr>
          <w:rFonts w:hint="eastAsia"/>
          <w:kern w:val="0"/>
          <w:sz w:val="24"/>
          <w:szCs w:val="24"/>
        </w:rPr>
        <w:t>附件二：发改委备案</w:t>
      </w:r>
    </w:p>
    <w:p>
      <w:pPr>
        <w:adjustRightInd w:val="0"/>
        <w:snapToGrid w:val="0"/>
        <w:spacing w:line="480" w:lineRule="exact"/>
        <w:ind w:firstLine="480" w:firstLineChars="200"/>
        <w:textAlignment w:val="baseline"/>
        <w:rPr>
          <w:kern w:val="0"/>
          <w:sz w:val="24"/>
          <w:szCs w:val="24"/>
        </w:rPr>
      </w:pPr>
      <w:r>
        <w:rPr>
          <w:rFonts w:hint="eastAsia"/>
          <w:kern w:val="0"/>
          <w:sz w:val="24"/>
          <w:szCs w:val="24"/>
        </w:rPr>
        <w:t>附件三：环境质量现状检测报告</w:t>
      </w:r>
    </w:p>
    <w:p>
      <w:pPr>
        <w:adjustRightInd w:val="0"/>
        <w:snapToGrid w:val="0"/>
        <w:spacing w:line="480" w:lineRule="exact"/>
        <w:ind w:firstLine="480" w:firstLineChars="200"/>
        <w:rPr>
          <w:kern w:val="0"/>
          <w:sz w:val="24"/>
          <w:szCs w:val="20"/>
        </w:rPr>
      </w:pPr>
      <w:r>
        <w:rPr>
          <w:rFonts w:hint="eastAsia"/>
          <w:kern w:val="0"/>
          <w:sz w:val="24"/>
          <w:szCs w:val="24"/>
        </w:rPr>
        <w:t>附件四：公众意见表</w:t>
      </w:r>
    </w:p>
    <w:p>
      <w:pPr>
        <w:pStyle w:val="89"/>
      </w:pPr>
    </w:p>
    <w:p>
      <w:pPr>
        <w:pStyle w:val="89"/>
      </w:pPr>
    </w:p>
    <w:p>
      <w:pPr>
        <w:pStyle w:val="89"/>
      </w:pPr>
    </w:p>
    <w:p>
      <w:pPr>
        <w:pStyle w:val="89"/>
      </w:pPr>
    </w:p>
    <w:p>
      <w:pPr>
        <w:pStyle w:val="89"/>
      </w:pPr>
    </w:p>
    <w:p>
      <w:pPr>
        <w:pStyle w:val="89"/>
      </w:pPr>
    </w:p>
    <w:p>
      <w:pPr>
        <w:pStyle w:val="89"/>
      </w:pPr>
    </w:p>
    <w:p>
      <w:pPr>
        <w:pStyle w:val="89"/>
      </w:pPr>
    </w:p>
    <w:p>
      <w:pPr>
        <w:pStyle w:val="89"/>
      </w:pPr>
    </w:p>
    <w:p>
      <w:pPr>
        <w:pStyle w:val="89"/>
      </w:pPr>
    </w:p>
    <w:p>
      <w:pPr>
        <w:pStyle w:val="89"/>
        <w:sectPr>
          <w:pgSz w:w="11907" w:h="16840"/>
          <w:pgMar w:top="1701" w:right="1588" w:bottom="1701" w:left="1588" w:header="851" w:footer="1134" w:gutter="0"/>
          <w:pgNumType w:start="1" w:chapStyle="1"/>
          <w:cols w:space="720" w:num="1"/>
        </w:sectPr>
      </w:pPr>
    </w:p>
    <w:p>
      <w:pPr>
        <w:keepNext/>
        <w:keepLines/>
        <w:tabs>
          <w:tab w:val="left" w:pos="1275"/>
        </w:tabs>
        <w:spacing w:line="360" w:lineRule="auto"/>
        <w:contextualSpacing/>
        <w:jc w:val="center"/>
        <w:outlineLvl w:val="0"/>
        <w:rPr>
          <w:rFonts w:eastAsia="黑体"/>
          <w:bCs/>
          <w:kern w:val="44"/>
          <w:sz w:val="44"/>
          <w:szCs w:val="44"/>
          <w:lang w:val="zh-CN"/>
        </w:rPr>
      </w:pPr>
      <w:bookmarkStart w:id="1" w:name="_Toc26681"/>
      <w:r>
        <w:rPr>
          <w:rFonts w:eastAsia="黑体"/>
          <w:bCs/>
          <w:kern w:val="44"/>
          <w:sz w:val="44"/>
          <w:szCs w:val="44"/>
          <w:lang w:val="zh-CN"/>
        </w:rPr>
        <w:t>第1章 概  述</w:t>
      </w:r>
      <w:bookmarkEnd w:id="1"/>
    </w:p>
    <w:p>
      <w:pPr>
        <w:spacing w:line="360" w:lineRule="auto"/>
        <w:jc w:val="center"/>
        <w:rPr>
          <w:kern w:val="0"/>
          <w:sz w:val="24"/>
          <w:szCs w:val="24"/>
        </w:rPr>
      </w:pPr>
    </w:p>
    <w:p>
      <w:pPr>
        <w:keepNext/>
        <w:keepLines/>
        <w:spacing w:line="520" w:lineRule="exact"/>
        <w:outlineLvl w:val="1"/>
        <w:rPr>
          <w:rFonts w:eastAsia="黑体"/>
          <w:bCs/>
          <w:sz w:val="28"/>
          <w:szCs w:val="28"/>
          <w:lang w:val="zh-CN"/>
        </w:rPr>
      </w:pPr>
      <w:bookmarkStart w:id="2" w:name="_Toc23900"/>
      <w:r>
        <w:rPr>
          <w:rFonts w:eastAsia="黑体"/>
          <w:bCs/>
          <w:sz w:val="28"/>
          <w:szCs w:val="28"/>
          <w:lang w:val="zh-CN"/>
        </w:rPr>
        <w:t>1.1 项目由来</w:t>
      </w:r>
      <w:bookmarkEnd w:id="2"/>
    </w:p>
    <w:p>
      <w:pPr>
        <w:keepNext/>
        <w:keepLines/>
        <w:spacing w:line="520" w:lineRule="exact"/>
        <w:outlineLvl w:val="2"/>
        <w:rPr>
          <w:rFonts w:eastAsia="黑体"/>
          <w:bCs/>
          <w:sz w:val="28"/>
          <w:szCs w:val="28"/>
        </w:rPr>
      </w:pPr>
      <w:r>
        <w:rPr>
          <w:rFonts w:eastAsia="黑体"/>
          <w:bCs/>
          <w:sz w:val="28"/>
          <w:szCs w:val="28"/>
        </w:rPr>
        <w:t xml:space="preserve">1.1.1 </w:t>
      </w:r>
      <w:r>
        <w:rPr>
          <w:rFonts w:hint="eastAsia" w:eastAsia="黑体"/>
          <w:bCs/>
          <w:sz w:val="28"/>
          <w:szCs w:val="28"/>
        </w:rPr>
        <w:t>项目背景</w:t>
      </w:r>
    </w:p>
    <w:p>
      <w:pPr>
        <w:autoSpaceDE w:val="0"/>
        <w:autoSpaceDN w:val="0"/>
        <w:spacing w:line="520" w:lineRule="exact"/>
        <w:ind w:firstLine="480" w:firstLineChars="200"/>
        <w:jc w:val="left"/>
        <w:rPr>
          <w:kern w:val="0"/>
          <w:sz w:val="24"/>
          <w:szCs w:val="24"/>
        </w:rPr>
      </w:pPr>
      <w:r>
        <w:rPr>
          <w:rFonts w:hint="eastAsia"/>
          <w:kern w:val="0"/>
          <w:sz w:val="24"/>
          <w:szCs w:val="24"/>
        </w:rPr>
        <w:t>近年来，原阳县积极推进农村一、二、三产业融合发展、大力发展县域富民产业，通过凝聚行业各方力量，发展预制菜全产业链，有效衔接上游产业和下游产业，实现三产的高度融合发展，积极推动乡村振兴。为推动豫菜振兴，实现我省餐饮业高质量发展，结合产业实际，</w:t>
      </w:r>
      <w:r>
        <w:rPr>
          <w:kern w:val="0"/>
          <w:sz w:val="24"/>
          <w:szCs w:val="24"/>
        </w:rPr>
        <w:t>河南羽佳金门实业有限公司</w:t>
      </w:r>
      <w:r>
        <w:rPr>
          <w:rFonts w:hint="eastAsia"/>
          <w:kern w:val="0"/>
          <w:sz w:val="24"/>
          <w:szCs w:val="24"/>
        </w:rPr>
        <w:t>决定投资约3亿建设“预制菜创新孵化园建设项目”。预制菜创新孵化园位于原阳县产业聚集区永安路南侧、小庄村西侧（金祥南街建成打通后为金祥南街西侧，路东为小庄村）、小庄排河东侧，占地面积1</w:t>
      </w:r>
      <w:r>
        <w:rPr>
          <w:kern w:val="0"/>
          <w:sz w:val="24"/>
          <w:szCs w:val="24"/>
        </w:rPr>
        <w:t>14.45</w:t>
      </w:r>
      <w:r>
        <w:rPr>
          <w:rFonts w:hint="eastAsia"/>
          <w:kern w:val="0"/>
          <w:sz w:val="24"/>
          <w:szCs w:val="24"/>
        </w:rPr>
        <w:t>亩（7</w:t>
      </w:r>
      <w:r>
        <w:rPr>
          <w:kern w:val="0"/>
          <w:sz w:val="24"/>
          <w:szCs w:val="24"/>
        </w:rPr>
        <w:t>6300m</w:t>
      </w:r>
      <w:r>
        <w:rPr>
          <w:kern w:val="0"/>
          <w:sz w:val="24"/>
          <w:szCs w:val="24"/>
          <w:vertAlign w:val="superscript"/>
        </w:rPr>
        <w:t>2</w:t>
      </w:r>
      <w:r>
        <w:rPr>
          <w:rFonts w:hint="eastAsia"/>
          <w:kern w:val="0"/>
          <w:sz w:val="24"/>
          <w:szCs w:val="24"/>
        </w:rPr>
        <w:t>），</w:t>
      </w:r>
      <w:r>
        <w:rPr>
          <w:rFonts w:hint="eastAsia"/>
          <w:bCs/>
          <w:kern w:val="0"/>
          <w:sz w:val="24"/>
          <w:szCs w:val="24"/>
        </w:rPr>
        <w:t>主要新建车间厂房、污水处理站</w:t>
      </w:r>
      <w:r>
        <w:rPr>
          <w:rFonts w:hint="eastAsia"/>
          <w:kern w:val="0"/>
          <w:sz w:val="24"/>
          <w:szCs w:val="24"/>
        </w:rPr>
        <w:t>。项目通过建设立足原阳、服务河南、带动中西部、影响全国的预制菜创新孵化园，瞄准我省传统经典美食和品牌餐饮招牌菜预制产业，必将对我省预制菜的发展起到重要的推动作用，既能够满足预制菜产业发展的需要，又切合原阳主导产业发展的实际。项目达产后，有望促进原阳食品产业升级转型，实现延链补链。</w:t>
      </w:r>
    </w:p>
    <w:p>
      <w:pPr>
        <w:autoSpaceDE w:val="0"/>
        <w:autoSpaceDN w:val="0"/>
        <w:spacing w:line="520" w:lineRule="exact"/>
        <w:ind w:firstLine="480" w:firstLineChars="200"/>
        <w:jc w:val="left"/>
        <w:rPr>
          <w:kern w:val="0"/>
          <w:sz w:val="24"/>
          <w:szCs w:val="24"/>
          <w:highlight w:val="yellow"/>
        </w:rPr>
      </w:pPr>
      <w:r>
        <w:rPr>
          <w:rFonts w:hint="eastAsia"/>
          <w:kern w:val="0"/>
          <w:sz w:val="24"/>
          <w:szCs w:val="24"/>
        </w:rPr>
        <w:t>预制菜创新孵化园内同时建设预制菜创新孵化园污水处理站及辅助设施建设项目，服务于预制菜创新孵化园内入驻生产企业，集中处理该孵化园产生的生产废水。</w:t>
      </w:r>
    </w:p>
    <w:p>
      <w:pPr>
        <w:keepNext/>
        <w:keepLines/>
        <w:spacing w:line="520" w:lineRule="exact"/>
        <w:outlineLvl w:val="2"/>
        <w:rPr>
          <w:rFonts w:eastAsia="黑体"/>
          <w:bCs/>
          <w:sz w:val="28"/>
          <w:szCs w:val="28"/>
        </w:rPr>
      </w:pPr>
      <w:r>
        <w:rPr>
          <w:rFonts w:eastAsia="黑体"/>
          <w:bCs/>
          <w:sz w:val="28"/>
          <w:szCs w:val="28"/>
        </w:rPr>
        <w:t>1.1.2 项目环评编制依据</w:t>
      </w:r>
    </w:p>
    <w:p>
      <w:pPr>
        <w:autoSpaceDE w:val="0"/>
        <w:autoSpaceDN w:val="0"/>
        <w:spacing w:line="520" w:lineRule="exact"/>
        <w:ind w:firstLine="480" w:firstLineChars="200"/>
        <w:jc w:val="left"/>
        <w:rPr>
          <w:kern w:val="0"/>
          <w:sz w:val="24"/>
          <w:szCs w:val="24"/>
        </w:rPr>
      </w:pPr>
      <w:r>
        <w:rPr>
          <w:kern w:val="0"/>
          <w:sz w:val="24"/>
          <w:szCs w:val="24"/>
        </w:rPr>
        <w:t>根据《产业结构调整指导目录（20</w:t>
      </w:r>
      <w:r>
        <w:rPr>
          <w:rFonts w:hint="eastAsia"/>
          <w:kern w:val="0"/>
          <w:sz w:val="24"/>
          <w:szCs w:val="24"/>
        </w:rPr>
        <w:t>24</w:t>
      </w:r>
      <w:r>
        <w:rPr>
          <w:kern w:val="0"/>
          <w:sz w:val="24"/>
          <w:szCs w:val="24"/>
        </w:rPr>
        <w:t>年本）》，该项目不属于目录规定的限制类和淘汰类项目，为允许类，</w:t>
      </w:r>
      <w:r>
        <w:rPr>
          <w:rFonts w:hint="eastAsia"/>
          <w:kern w:val="0"/>
          <w:sz w:val="24"/>
          <w:szCs w:val="24"/>
        </w:rPr>
        <w:t>本项目已通过原阳县产业集聚区管理委员会备案，项目代码为：2</w:t>
      </w:r>
      <w:r>
        <w:rPr>
          <w:kern w:val="0"/>
          <w:sz w:val="24"/>
          <w:szCs w:val="24"/>
        </w:rPr>
        <w:t>212-410725-04-01-366586</w:t>
      </w:r>
      <w:r>
        <w:rPr>
          <w:rFonts w:hint="eastAsia"/>
          <w:kern w:val="0"/>
          <w:sz w:val="24"/>
          <w:szCs w:val="24"/>
        </w:rPr>
        <w:t>，</w:t>
      </w:r>
      <w:r>
        <w:rPr>
          <w:kern w:val="0"/>
          <w:sz w:val="24"/>
          <w:szCs w:val="24"/>
        </w:rPr>
        <w:t>符合当前国家产业政策</w:t>
      </w:r>
      <w:r>
        <w:rPr>
          <w:rFonts w:hint="eastAsia"/>
          <w:kern w:val="0"/>
          <w:sz w:val="24"/>
          <w:szCs w:val="24"/>
        </w:rPr>
        <w:t>（备案证明见附件二）</w:t>
      </w:r>
      <w:r>
        <w:rPr>
          <w:kern w:val="0"/>
          <w:sz w:val="24"/>
          <w:szCs w:val="24"/>
        </w:rPr>
        <w:t>。</w:t>
      </w:r>
    </w:p>
    <w:p>
      <w:pPr>
        <w:autoSpaceDE w:val="0"/>
        <w:autoSpaceDN w:val="0"/>
        <w:spacing w:line="520" w:lineRule="exact"/>
        <w:ind w:firstLine="480" w:firstLineChars="200"/>
        <w:rPr>
          <w:kern w:val="0"/>
          <w:sz w:val="24"/>
          <w:szCs w:val="24"/>
        </w:rPr>
      </w:pPr>
      <w:r>
        <w:rPr>
          <w:rFonts w:hint="eastAsia"/>
          <w:kern w:val="0"/>
          <w:sz w:val="24"/>
          <w:szCs w:val="24"/>
        </w:rPr>
        <w:t>本项目</w:t>
      </w:r>
      <w:r>
        <w:rPr>
          <w:rFonts w:hint="eastAsia"/>
          <w:bCs/>
          <w:kern w:val="0"/>
          <w:sz w:val="24"/>
          <w:szCs w:val="24"/>
        </w:rPr>
        <w:t>主要新建车间厂房、污水处理站</w:t>
      </w:r>
      <w:r>
        <w:rPr>
          <w:rFonts w:hint="eastAsia"/>
          <w:kern w:val="0"/>
          <w:sz w:val="24"/>
          <w:szCs w:val="24"/>
        </w:rPr>
        <w:t>。</w:t>
      </w:r>
      <w:r>
        <w:rPr>
          <w:kern w:val="0"/>
          <w:sz w:val="24"/>
          <w:szCs w:val="24"/>
        </w:rPr>
        <w:t>经查阅《建设项目环境影响评价分类管理名录》（2021年版），</w:t>
      </w:r>
      <w:r>
        <w:rPr>
          <w:rFonts w:hint="eastAsia"/>
          <w:kern w:val="0"/>
          <w:sz w:val="24"/>
          <w:szCs w:val="24"/>
        </w:rPr>
        <w:t>本项目新建车间厂房属于“四十四、房地产业”中的“9</w:t>
      </w:r>
      <w:r>
        <w:rPr>
          <w:kern w:val="0"/>
          <w:sz w:val="24"/>
          <w:szCs w:val="24"/>
        </w:rPr>
        <w:t>7</w:t>
      </w:r>
      <w:r>
        <w:rPr>
          <w:rFonts w:hint="eastAsia"/>
          <w:kern w:val="0"/>
          <w:sz w:val="24"/>
          <w:szCs w:val="24"/>
        </w:rPr>
        <w:t>房地产开发、商业综合体、宾馆、酒店、办公用房、标准厂房等”，名录规定：“涉及环境敏感区的”项目需要编制环境影响报告表，本项目涉及环境敏感区，因此</w:t>
      </w:r>
      <w:r>
        <w:rPr>
          <w:kern w:val="0"/>
          <w:sz w:val="24"/>
          <w:szCs w:val="24"/>
        </w:rPr>
        <w:t>应编制环境影响报告</w:t>
      </w:r>
      <w:r>
        <w:rPr>
          <w:rFonts w:hint="eastAsia"/>
          <w:kern w:val="0"/>
          <w:sz w:val="24"/>
          <w:szCs w:val="24"/>
        </w:rPr>
        <w:t>表；污水处理站属于“四十三、水的生产和供应业”中的“9</w:t>
      </w:r>
      <w:r>
        <w:rPr>
          <w:kern w:val="0"/>
          <w:sz w:val="24"/>
          <w:szCs w:val="24"/>
        </w:rPr>
        <w:t>5</w:t>
      </w:r>
      <w:r>
        <w:rPr>
          <w:rFonts w:hint="eastAsia"/>
          <w:kern w:val="0"/>
          <w:sz w:val="24"/>
          <w:szCs w:val="24"/>
        </w:rPr>
        <w:t>污水处理及其再生利用”，名录规定：“新建、扩建日处理1</w:t>
      </w:r>
      <w:r>
        <w:rPr>
          <w:kern w:val="0"/>
          <w:sz w:val="24"/>
          <w:szCs w:val="24"/>
        </w:rPr>
        <w:t>0</w:t>
      </w:r>
      <w:r>
        <w:rPr>
          <w:rFonts w:hint="eastAsia"/>
          <w:kern w:val="0"/>
          <w:sz w:val="24"/>
          <w:szCs w:val="24"/>
        </w:rPr>
        <w:t>万吨及以上城乡污水处理的；新建、扩建工业废水集中处理的”项目需要编制环境影响报告书，“新建、扩建日处理10万吨以下500吨及以上城乡污水处理的；新建、扩建其他工业废水处理的（不含建设单位自建自用仅处理生活污水的；不含出水间接排入地表水体且不排放重金属的）”项目需要编制环境影响报告表，“其他（不含提标改造项目；不含化粪池及化粪池处理后中水处理回用；不含仅建设沉淀池处理的）”项目需要编制环境影响登记表，本项目污水处理站日处理量2</w:t>
      </w:r>
      <w:r>
        <w:rPr>
          <w:kern w:val="0"/>
          <w:sz w:val="24"/>
          <w:szCs w:val="24"/>
        </w:rPr>
        <w:t>000</w:t>
      </w:r>
      <w:r>
        <w:rPr>
          <w:rFonts w:hint="eastAsia"/>
          <w:kern w:val="0"/>
          <w:sz w:val="24"/>
          <w:szCs w:val="24"/>
        </w:rPr>
        <w:t>吨，为新建工业废水集中处理设施，</w:t>
      </w:r>
      <w:r>
        <w:rPr>
          <w:kern w:val="0"/>
          <w:sz w:val="24"/>
          <w:szCs w:val="24"/>
        </w:rPr>
        <w:t>因此应编制环境影响报告书</w:t>
      </w:r>
      <w:r>
        <w:rPr>
          <w:rFonts w:hint="eastAsia"/>
          <w:kern w:val="0"/>
          <w:sz w:val="24"/>
          <w:szCs w:val="24"/>
        </w:rPr>
        <w:t>。</w:t>
      </w:r>
    </w:p>
    <w:p>
      <w:pPr>
        <w:autoSpaceDE w:val="0"/>
        <w:autoSpaceDN w:val="0"/>
        <w:spacing w:line="520" w:lineRule="exact"/>
        <w:ind w:firstLine="480" w:firstLineChars="200"/>
        <w:rPr>
          <w:kern w:val="0"/>
          <w:sz w:val="24"/>
          <w:szCs w:val="24"/>
          <w:highlight w:val="yellow"/>
        </w:rPr>
      </w:pPr>
      <w:r>
        <w:rPr>
          <w:rFonts w:hint="eastAsia"/>
          <w:kern w:val="0"/>
          <w:sz w:val="24"/>
          <w:szCs w:val="24"/>
        </w:rPr>
        <w:t>综上，本项目应编制环境影响报告书。</w:t>
      </w:r>
    </w:p>
    <w:p>
      <w:pPr>
        <w:keepNext/>
        <w:keepLines/>
        <w:spacing w:line="520" w:lineRule="exact"/>
        <w:outlineLvl w:val="1"/>
        <w:rPr>
          <w:rFonts w:eastAsia="黑体"/>
          <w:b/>
          <w:bCs/>
          <w:sz w:val="28"/>
          <w:szCs w:val="28"/>
          <w:lang w:val="zh-CN"/>
        </w:rPr>
      </w:pPr>
      <w:bookmarkStart w:id="3" w:name="_Toc288"/>
      <w:r>
        <w:rPr>
          <w:rFonts w:eastAsia="黑体"/>
          <w:bCs/>
          <w:sz w:val="28"/>
          <w:szCs w:val="28"/>
          <w:lang w:val="zh-CN"/>
        </w:rPr>
        <w:t>1.2 工程和环境特点</w:t>
      </w:r>
      <w:bookmarkEnd w:id="3"/>
    </w:p>
    <w:p>
      <w:pPr>
        <w:keepNext/>
        <w:keepLines/>
        <w:spacing w:line="520" w:lineRule="exact"/>
        <w:outlineLvl w:val="2"/>
        <w:rPr>
          <w:rFonts w:eastAsia="黑体"/>
          <w:bCs/>
          <w:sz w:val="28"/>
          <w:szCs w:val="28"/>
        </w:rPr>
      </w:pPr>
      <w:r>
        <w:rPr>
          <w:rFonts w:eastAsia="黑体"/>
          <w:bCs/>
          <w:sz w:val="28"/>
          <w:szCs w:val="28"/>
        </w:rPr>
        <w:t>1.2.1 工程特点</w:t>
      </w:r>
    </w:p>
    <w:p>
      <w:pPr>
        <w:autoSpaceDE w:val="0"/>
        <w:autoSpaceDN w:val="0"/>
        <w:spacing w:line="520" w:lineRule="exact"/>
        <w:ind w:firstLine="480" w:firstLineChars="200"/>
        <w:jc w:val="left"/>
        <w:rPr>
          <w:kern w:val="0"/>
          <w:sz w:val="24"/>
          <w:szCs w:val="24"/>
          <w:highlight w:val="yellow"/>
        </w:rPr>
      </w:pPr>
      <w:r>
        <w:rPr>
          <w:kern w:val="0"/>
          <w:sz w:val="24"/>
          <w:szCs w:val="24"/>
        </w:rPr>
        <w:t>（1）本项目性质为</w:t>
      </w:r>
      <w:r>
        <w:rPr>
          <w:rFonts w:hint="eastAsia"/>
          <w:kern w:val="0"/>
          <w:sz w:val="24"/>
          <w:szCs w:val="24"/>
        </w:rPr>
        <w:t>新</w:t>
      </w:r>
      <w:r>
        <w:rPr>
          <w:kern w:val="0"/>
          <w:sz w:val="24"/>
          <w:szCs w:val="24"/>
        </w:rPr>
        <w:t>建项目，属于</w:t>
      </w:r>
      <w:r>
        <w:rPr>
          <w:rFonts w:hint="eastAsia"/>
          <w:kern w:val="0"/>
          <w:sz w:val="24"/>
          <w:szCs w:val="24"/>
        </w:rPr>
        <w:t>房地产业、水的生产和供应业。</w:t>
      </w:r>
      <w:r>
        <w:rPr>
          <w:kern w:val="0"/>
          <w:sz w:val="24"/>
          <w:szCs w:val="24"/>
        </w:rPr>
        <w:t>本项目</w:t>
      </w:r>
      <w:r>
        <w:rPr>
          <w:rFonts w:hint="eastAsia"/>
          <w:kern w:val="0"/>
          <w:sz w:val="24"/>
          <w:szCs w:val="24"/>
        </w:rPr>
        <w:t>拟建生产车间、污水处理站</w:t>
      </w:r>
      <w:r>
        <w:rPr>
          <w:kern w:val="0"/>
          <w:sz w:val="24"/>
          <w:szCs w:val="24"/>
        </w:rPr>
        <w:t>，不属于《产业结构调整指导目录（20</w:t>
      </w:r>
      <w:r>
        <w:rPr>
          <w:rFonts w:hint="eastAsia"/>
          <w:kern w:val="0"/>
          <w:sz w:val="24"/>
          <w:szCs w:val="24"/>
        </w:rPr>
        <w:t>24</w:t>
      </w:r>
      <w:r>
        <w:rPr>
          <w:kern w:val="0"/>
          <w:sz w:val="24"/>
          <w:szCs w:val="24"/>
        </w:rPr>
        <w:t>年本）》中的限制类和淘汰类项目，</w:t>
      </w:r>
      <w:r>
        <w:rPr>
          <w:spacing w:val="-2"/>
          <w:kern w:val="0"/>
          <w:sz w:val="24"/>
          <w:szCs w:val="24"/>
        </w:rPr>
        <w:t>属于允许类，</w:t>
      </w:r>
      <w:r>
        <w:rPr>
          <w:kern w:val="0"/>
          <w:sz w:val="24"/>
          <w:szCs w:val="24"/>
        </w:rPr>
        <w:t>符合国家产业政策；本项目已通过</w:t>
      </w:r>
      <w:r>
        <w:rPr>
          <w:rFonts w:hint="eastAsia"/>
          <w:kern w:val="0"/>
          <w:sz w:val="24"/>
          <w:szCs w:val="24"/>
        </w:rPr>
        <w:t>原阳县产业集聚区管理委员会备案，项目代码为：2</w:t>
      </w:r>
      <w:r>
        <w:rPr>
          <w:kern w:val="0"/>
          <w:sz w:val="24"/>
          <w:szCs w:val="24"/>
        </w:rPr>
        <w:t>212-410725-04-01-366586，符合当前国家产业政策（</w:t>
      </w:r>
      <w:r>
        <w:rPr>
          <w:rFonts w:hint="eastAsia"/>
          <w:kern w:val="0"/>
          <w:sz w:val="24"/>
          <w:szCs w:val="24"/>
        </w:rPr>
        <w:t>备案证明见附件二</w:t>
      </w:r>
      <w:r>
        <w:rPr>
          <w:kern w:val="0"/>
          <w:sz w:val="24"/>
          <w:szCs w:val="24"/>
        </w:rPr>
        <w:t>）。</w:t>
      </w:r>
    </w:p>
    <w:p>
      <w:pPr>
        <w:autoSpaceDE w:val="0"/>
        <w:autoSpaceDN w:val="0"/>
        <w:spacing w:line="520" w:lineRule="exact"/>
        <w:ind w:firstLine="480" w:firstLineChars="200"/>
        <w:jc w:val="left"/>
        <w:rPr>
          <w:kern w:val="0"/>
          <w:sz w:val="24"/>
          <w:szCs w:val="24"/>
          <w:highlight w:val="yellow"/>
        </w:rPr>
      </w:pPr>
      <w:r>
        <w:rPr>
          <w:kern w:val="0"/>
          <w:sz w:val="24"/>
          <w:szCs w:val="24"/>
        </w:rPr>
        <w:t>（2）本项目厂址位于</w:t>
      </w:r>
      <w:r>
        <w:rPr>
          <w:rFonts w:hint="eastAsia"/>
          <w:kern w:val="0"/>
          <w:sz w:val="24"/>
          <w:szCs w:val="24"/>
        </w:rPr>
        <w:t>原阳县产业聚集区永安路南侧、小庄村西侧（金祥南街建成打通后为金祥南街西侧，路东为小庄村）、小庄排河东侧</w:t>
      </w:r>
      <w:r>
        <w:rPr>
          <w:kern w:val="0"/>
          <w:sz w:val="24"/>
          <w:szCs w:val="24"/>
        </w:rPr>
        <w:t>。根据《</w:t>
      </w:r>
      <w:r>
        <w:rPr>
          <w:rFonts w:hint="eastAsia"/>
          <w:kern w:val="0"/>
          <w:sz w:val="24"/>
          <w:szCs w:val="24"/>
        </w:rPr>
        <w:t>原阳县</w:t>
      </w:r>
      <w:r>
        <w:rPr>
          <w:kern w:val="0"/>
          <w:sz w:val="24"/>
          <w:szCs w:val="24"/>
        </w:rPr>
        <w:t>产业集聚区发展规划（2012-2020）》（见附图二），项目厂址用地为工业用地</w:t>
      </w:r>
      <w:r>
        <w:rPr>
          <w:rFonts w:hint="eastAsia"/>
          <w:kern w:val="0"/>
          <w:sz w:val="24"/>
          <w:szCs w:val="24"/>
        </w:rPr>
        <w:t>，位于农副产品深加工产业区</w:t>
      </w:r>
      <w:r>
        <w:rPr>
          <w:kern w:val="0"/>
          <w:sz w:val="24"/>
          <w:szCs w:val="24"/>
        </w:rPr>
        <w:t>；本项目建设符合原阳县产业集聚区发展规</w:t>
      </w:r>
      <w:r>
        <w:rPr>
          <w:rFonts w:hint="eastAsia"/>
          <w:kern w:val="0"/>
          <w:sz w:val="24"/>
          <w:szCs w:val="24"/>
        </w:rPr>
        <w:t>划</w:t>
      </w:r>
      <w:r>
        <w:rPr>
          <w:kern w:val="0"/>
          <w:sz w:val="24"/>
          <w:szCs w:val="24"/>
        </w:rPr>
        <w:t>。</w:t>
      </w:r>
    </w:p>
    <w:p>
      <w:pPr>
        <w:autoSpaceDE w:val="0"/>
        <w:autoSpaceDN w:val="0"/>
        <w:spacing w:line="520" w:lineRule="exact"/>
        <w:ind w:firstLine="480" w:firstLineChars="200"/>
        <w:jc w:val="left"/>
        <w:rPr>
          <w:bCs/>
          <w:kern w:val="0"/>
          <w:sz w:val="24"/>
          <w:szCs w:val="24"/>
        </w:rPr>
      </w:pPr>
      <w:r>
        <w:rPr>
          <w:kern w:val="0"/>
          <w:sz w:val="24"/>
          <w:szCs w:val="24"/>
        </w:rPr>
        <w:t>（3）</w:t>
      </w:r>
      <w:r>
        <w:rPr>
          <w:rFonts w:hint="eastAsia"/>
          <w:bCs/>
          <w:kern w:val="0"/>
          <w:sz w:val="24"/>
          <w:szCs w:val="24"/>
        </w:rPr>
        <w:t>根据国民经济行业分类（GB/T4754-2017），本项目属于污水处理及其再生利用（D4620）、其他房屋建筑业（D4</w:t>
      </w:r>
      <w:r>
        <w:rPr>
          <w:bCs/>
          <w:kern w:val="0"/>
          <w:sz w:val="24"/>
          <w:szCs w:val="24"/>
        </w:rPr>
        <w:t>790</w:t>
      </w:r>
      <w:r>
        <w:rPr>
          <w:rFonts w:hint="eastAsia"/>
          <w:bCs/>
          <w:kern w:val="0"/>
          <w:sz w:val="24"/>
          <w:szCs w:val="24"/>
        </w:rPr>
        <w:t>）。</w:t>
      </w:r>
      <w:r>
        <w:rPr>
          <w:kern w:val="0"/>
          <w:sz w:val="24"/>
          <w:szCs w:val="24"/>
        </w:rPr>
        <w:t>根据项目排污特点，工程具有成熟的治理技术，可以保证废气、废水、噪声达标排放，固废有效处置。工程排污严格执行国家相关排放标准。</w:t>
      </w:r>
    </w:p>
    <w:p>
      <w:pPr>
        <w:autoSpaceDE w:val="0"/>
        <w:autoSpaceDN w:val="0"/>
        <w:spacing w:line="520" w:lineRule="exact"/>
        <w:ind w:firstLine="480" w:firstLineChars="200"/>
        <w:jc w:val="left"/>
        <w:rPr>
          <w:kern w:val="0"/>
          <w:sz w:val="24"/>
          <w:szCs w:val="24"/>
          <w:highlight w:val="yellow"/>
        </w:rPr>
      </w:pPr>
      <w:r>
        <w:rPr>
          <w:kern w:val="0"/>
          <w:sz w:val="24"/>
          <w:szCs w:val="24"/>
        </w:rPr>
        <w:t>（4）</w:t>
      </w:r>
      <w:r>
        <w:rPr>
          <w:rFonts w:hint="eastAsia"/>
          <w:kern w:val="0"/>
          <w:sz w:val="24"/>
          <w:szCs w:val="24"/>
        </w:rPr>
        <w:t>本项目园区</w:t>
      </w:r>
      <w:r>
        <w:rPr>
          <w:kern w:val="0"/>
          <w:sz w:val="24"/>
          <w:szCs w:val="24"/>
        </w:rPr>
        <w:t>污水处理站</w:t>
      </w:r>
      <w:r>
        <w:rPr>
          <w:rFonts w:hint="eastAsia"/>
          <w:kern w:val="0"/>
          <w:sz w:val="24"/>
          <w:szCs w:val="24"/>
        </w:rPr>
        <w:t>设计处理规模</w:t>
      </w:r>
      <w:r>
        <w:rPr>
          <w:kern w:val="0"/>
          <w:sz w:val="24"/>
          <w:szCs w:val="24"/>
        </w:rPr>
        <w:t>为2000m</w:t>
      </w:r>
      <w:r>
        <w:rPr>
          <w:kern w:val="0"/>
          <w:sz w:val="24"/>
          <w:szCs w:val="24"/>
          <w:vertAlign w:val="superscript"/>
        </w:rPr>
        <w:t>3</w:t>
      </w:r>
      <w:r>
        <w:rPr>
          <w:kern w:val="0"/>
          <w:sz w:val="24"/>
          <w:szCs w:val="24"/>
        </w:rPr>
        <w:t>/d，</w:t>
      </w:r>
      <w:r>
        <w:rPr>
          <w:rFonts w:hint="eastAsia"/>
          <w:kern w:val="0"/>
          <w:sz w:val="24"/>
          <w:szCs w:val="24"/>
        </w:rPr>
        <w:t>处理</w:t>
      </w:r>
      <w:r>
        <w:rPr>
          <w:kern w:val="0"/>
          <w:sz w:val="24"/>
          <w:szCs w:val="24"/>
        </w:rPr>
        <w:t>工艺</w:t>
      </w:r>
      <w:r>
        <w:rPr>
          <w:rFonts w:hint="eastAsia"/>
          <w:kern w:val="0"/>
          <w:sz w:val="24"/>
          <w:szCs w:val="24"/>
        </w:rPr>
        <w:t>为</w:t>
      </w:r>
      <w:r>
        <w:rPr>
          <w:bCs/>
          <w:kern w:val="0"/>
          <w:sz w:val="24"/>
          <w:szCs w:val="24"/>
        </w:rPr>
        <w:t>“</w:t>
      </w:r>
      <w:r>
        <w:rPr>
          <w:rFonts w:hint="eastAsia"/>
          <w:bCs/>
          <w:kern w:val="0"/>
          <w:sz w:val="24"/>
          <w:szCs w:val="24"/>
        </w:rPr>
        <w:t>格栅+集水池+超微过滤机+初沉池+调节池+厌氧池+缺氧池+好氧池+二沉池+三沉池</w:t>
      </w:r>
      <w:r>
        <w:rPr>
          <w:bCs/>
          <w:kern w:val="0"/>
          <w:sz w:val="24"/>
          <w:szCs w:val="24"/>
        </w:rPr>
        <w:t>”</w:t>
      </w:r>
      <w:r>
        <w:rPr>
          <w:rFonts w:hint="eastAsia"/>
          <w:bCs/>
          <w:kern w:val="0"/>
          <w:sz w:val="24"/>
          <w:szCs w:val="24"/>
        </w:rPr>
        <w:t>，园区废水经污水处理站处理后进入原阳县产业集聚区污水处理厂进一步处理。</w:t>
      </w:r>
    </w:p>
    <w:p>
      <w:pPr>
        <w:keepNext/>
        <w:keepLines/>
        <w:spacing w:line="520" w:lineRule="exact"/>
        <w:outlineLvl w:val="2"/>
        <w:rPr>
          <w:rFonts w:eastAsia="黑体"/>
          <w:bCs/>
          <w:sz w:val="28"/>
          <w:szCs w:val="28"/>
        </w:rPr>
      </w:pPr>
      <w:r>
        <w:rPr>
          <w:rFonts w:eastAsia="黑体"/>
          <w:bCs/>
          <w:sz w:val="28"/>
          <w:szCs w:val="28"/>
        </w:rPr>
        <w:t>1.2.2 环境特点</w:t>
      </w:r>
    </w:p>
    <w:p>
      <w:pPr>
        <w:autoSpaceDE w:val="0"/>
        <w:autoSpaceDN w:val="0"/>
        <w:spacing w:line="520" w:lineRule="exact"/>
        <w:ind w:firstLine="480" w:firstLineChars="200"/>
        <w:rPr>
          <w:kern w:val="0"/>
          <w:sz w:val="24"/>
          <w:szCs w:val="24"/>
        </w:rPr>
      </w:pPr>
      <w:r>
        <w:rPr>
          <w:kern w:val="0"/>
          <w:sz w:val="24"/>
          <w:szCs w:val="24"/>
        </w:rPr>
        <w:t>（1）本项目位于</w:t>
      </w:r>
      <w:r>
        <w:rPr>
          <w:rFonts w:hint="eastAsia"/>
          <w:bCs/>
          <w:kern w:val="0"/>
          <w:sz w:val="24"/>
          <w:szCs w:val="24"/>
        </w:rPr>
        <w:t>原阳县产业聚集区永安路南侧、</w:t>
      </w:r>
      <w:r>
        <w:rPr>
          <w:rFonts w:hint="eastAsia"/>
          <w:kern w:val="0"/>
          <w:sz w:val="24"/>
          <w:szCs w:val="24"/>
        </w:rPr>
        <w:t>小庄村西侧（金祥南街建成打通后为金祥南街西侧，路东为小庄村）</w:t>
      </w:r>
      <w:r>
        <w:rPr>
          <w:rFonts w:hint="eastAsia"/>
          <w:bCs/>
          <w:kern w:val="0"/>
          <w:sz w:val="24"/>
          <w:szCs w:val="24"/>
        </w:rPr>
        <w:t>、小庄排河东侧</w:t>
      </w:r>
      <w:r>
        <w:rPr>
          <w:kern w:val="0"/>
          <w:sz w:val="24"/>
          <w:szCs w:val="24"/>
        </w:rPr>
        <w:t>。根据现场实地踏勘，</w:t>
      </w:r>
      <w:r>
        <w:rPr>
          <w:rFonts w:hint="eastAsia"/>
          <w:kern w:val="0"/>
          <w:sz w:val="24"/>
          <w:szCs w:val="24"/>
        </w:rPr>
        <w:t>厂区</w:t>
      </w:r>
      <w:r>
        <w:rPr>
          <w:kern w:val="0"/>
          <w:sz w:val="24"/>
          <w:szCs w:val="24"/>
        </w:rPr>
        <w:t>北临</w:t>
      </w:r>
      <w:r>
        <w:rPr>
          <w:rFonts w:hint="eastAsia"/>
          <w:kern w:val="0"/>
          <w:sz w:val="24"/>
          <w:szCs w:val="24"/>
        </w:rPr>
        <w:t>永安路，路北为空地；南邻河南省双景农产品有限公司；西邻小庄排，河西为原阳县万隆农业开发有限公司和食品公司；东邻小庄村，待金祥南街建成后，本项目东临金祥南街，路东为小庄村，</w:t>
      </w:r>
      <w:r>
        <w:rPr>
          <w:kern w:val="0"/>
          <w:sz w:val="24"/>
          <w:szCs w:val="24"/>
        </w:rPr>
        <w:t>距离厂址较近的环境保护目标为</w:t>
      </w:r>
      <w:r>
        <w:rPr>
          <w:rFonts w:hint="eastAsia"/>
          <w:kern w:val="0"/>
          <w:sz w:val="24"/>
          <w:szCs w:val="24"/>
        </w:rPr>
        <w:t>：厂区东侧紧邻的小庄村（待金祥南街建成后，小庄村则位于厂区东侧</w:t>
      </w:r>
      <w:r>
        <w:rPr>
          <w:kern w:val="0"/>
          <w:sz w:val="24"/>
          <w:szCs w:val="24"/>
        </w:rPr>
        <w:t>50m</w:t>
      </w:r>
      <w:r>
        <w:rPr>
          <w:rFonts w:hint="eastAsia"/>
          <w:kern w:val="0"/>
          <w:sz w:val="24"/>
          <w:szCs w:val="24"/>
        </w:rPr>
        <w:t>处），西侧9</w:t>
      </w:r>
      <w:r>
        <w:rPr>
          <w:kern w:val="0"/>
          <w:sz w:val="24"/>
          <w:szCs w:val="24"/>
        </w:rPr>
        <w:t>40m</w:t>
      </w:r>
      <w:r>
        <w:rPr>
          <w:rFonts w:hint="eastAsia"/>
          <w:kern w:val="0"/>
          <w:sz w:val="24"/>
          <w:szCs w:val="24"/>
        </w:rPr>
        <w:t>处的樊庄村和东南3</w:t>
      </w:r>
      <w:r>
        <w:rPr>
          <w:kern w:val="0"/>
          <w:sz w:val="24"/>
          <w:szCs w:val="24"/>
        </w:rPr>
        <w:t>70m</w:t>
      </w:r>
      <w:r>
        <w:rPr>
          <w:rFonts w:hint="eastAsia"/>
          <w:kern w:val="0"/>
          <w:sz w:val="24"/>
          <w:szCs w:val="24"/>
        </w:rPr>
        <w:t>处的袁庄。</w:t>
      </w:r>
    </w:p>
    <w:p>
      <w:pPr>
        <w:autoSpaceDE w:val="0"/>
        <w:autoSpaceDN w:val="0"/>
        <w:spacing w:line="520" w:lineRule="exact"/>
        <w:ind w:firstLine="480" w:firstLineChars="200"/>
        <w:rPr>
          <w:kern w:val="0"/>
          <w:sz w:val="24"/>
          <w:szCs w:val="24"/>
          <w:highlight w:val="yellow"/>
        </w:rPr>
      </w:pPr>
      <w:r>
        <w:rPr>
          <w:rFonts w:hint="eastAsia"/>
          <w:kern w:val="0"/>
          <w:sz w:val="24"/>
          <w:szCs w:val="24"/>
        </w:rPr>
        <w:t>（2）项目最近的饮用水源地为西南</w:t>
      </w:r>
      <w:r>
        <w:rPr>
          <w:kern w:val="0"/>
          <w:sz w:val="24"/>
          <w:szCs w:val="24"/>
        </w:rPr>
        <w:t>460m</w:t>
      </w:r>
      <w:r>
        <w:rPr>
          <w:rFonts w:hint="eastAsia"/>
          <w:kern w:val="0"/>
          <w:sz w:val="24"/>
          <w:szCs w:val="24"/>
        </w:rPr>
        <w:t>处的原阳县水厂地下水井群二级保护区，不在饮用水源地</w:t>
      </w:r>
      <w:r>
        <w:rPr>
          <w:kern w:val="0"/>
          <w:sz w:val="24"/>
          <w:szCs w:val="24"/>
        </w:rPr>
        <w:t>保护区范围，厂址周围无重要的生态功能区、风景名胜区及政治、医疗、文化设施等。</w:t>
      </w:r>
    </w:p>
    <w:p>
      <w:pPr>
        <w:spacing w:line="520" w:lineRule="exact"/>
        <w:ind w:firstLine="480" w:firstLineChars="200"/>
        <w:rPr>
          <w:sz w:val="24"/>
          <w:highlight w:val="yellow"/>
        </w:rPr>
      </w:pPr>
      <w:r>
        <w:rPr>
          <w:sz w:val="24"/>
        </w:rPr>
        <w:t>（3）本工程</w:t>
      </w:r>
      <w:r>
        <w:rPr>
          <w:rFonts w:hint="eastAsia"/>
          <w:sz w:val="24"/>
        </w:rPr>
        <w:t>园区</w:t>
      </w:r>
      <w:r>
        <w:rPr>
          <w:sz w:val="24"/>
        </w:rPr>
        <w:t>废水经污水处理站处理后</w:t>
      </w:r>
      <w:r>
        <w:rPr>
          <w:rFonts w:hint="eastAsia"/>
          <w:sz w:val="24"/>
        </w:rPr>
        <w:t>通过污水管网进入原阳县产业集聚区污水处理厂进一步处理，</w:t>
      </w:r>
      <w:r>
        <w:rPr>
          <w:bCs/>
          <w:sz w:val="24"/>
        </w:rPr>
        <w:t>处理后排入东关排渠，汇入文岩干渠。</w:t>
      </w:r>
      <w:r>
        <w:rPr>
          <w:rFonts w:hint="eastAsia"/>
          <w:bCs/>
          <w:sz w:val="24"/>
        </w:rPr>
        <w:t>根据</w:t>
      </w:r>
      <w:r>
        <w:rPr>
          <w:bCs/>
          <w:sz w:val="24"/>
        </w:rPr>
        <w:t>《新乡市生态环境局关于下达2023年地表水环境质量暂定目标的函》，</w:t>
      </w:r>
      <w:r>
        <w:rPr>
          <w:rFonts w:hint="eastAsia"/>
          <w:bCs/>
          <w:sz w:val="24"/>
        </w:rPr>
        <w:t>文岩渠安乐庄</w:t>
      </w:r>
      <w:r>
        <w:rPr>
          <w:bCs/>
          <w:sz w:val="24"/>
        </w:rPr>
        <w:t>断面</w:t>
      </w:r>
      <w:r>
        <w:rPr>
          <w:rFonts w:hint="eastAsia"/>
          <w:bCs/>
          <w:sz w:val="24"/>
        </w:rPr>
        <w:t>2</w:t>
      </w:r>
      <w:r>
        <w:rPr>
          <w:bCs/>
          <w:sz w:val="24"/>
        </w:rPr>
        <w:t>023年</w:t>
      </w:r>
      <w:r>
        <w:rPr>
          <w:rFonts w:hint="eastAsia"/>
          <w:bCs/>
          <w:sz w:val="24"/>
        </w:rPr>
        <w:t>考核</w:t>
      </w:r>
      <w:r>
        <w:rPr>
          <w:bCs/>
          <w:sz w:val="24"/>
        </w:rPr>
        <w:t>目标为Ⅲ类水环境功能区</w:t>
      </w:r>
      <w:r>
        <w:rPr>
          <w:sz w:val="24"/>
        </w:rPr>
        <w:t>。本项目所在区域</w:t>
      </w:r>
      <w:r>
        <w:rPr>
          <w:rFonts w:hint="eastAsia"/>
          <w:sz w:val="24"/>
        </w:rPr>
        <w:t>安乐庄</w:t>
      </w:r>
      <w:r>
        <w:rPr>
          <w:sz w:val="24"/>
        </w:rPr>
        <w:t>断面</w:t>
      </w:r>
      <w:r>
        <w:rPr>
          <w:rFonts w:hint="eastAsia"/>
          <w:sz w:val="24"/>
        </w:rPr>
        <w:t>2</w:t>
      </w:r>
      <w:r>
        <w:rPr>
          <w:sz w:val="24"/>
        </w:rPr>
        <w:t>023</w:t>
      </w:r>
      <w:r>
        <w:rPr>
          <w:rFonts w:hint="eastAsia"/>
          <w:sz w:val="24"/>
        </w:rPr>
        <w:t>年全年</w:t>
      </w:r>
      <w:r>
        <w:rPr>
          <w:sz w:val="24"/>
        </w:rPr>
        <w:t>常规监测数据统计结果，</w:t>
      </w:r>
      <w:r>
        <w:rPr>
          <w:rFonts w:hint="eastAsia"/>
          <w:sz w:val="24"/>
        </w:rPr>
        <w:t>安乐庄</w:t>
      </w:r>
      <w:r>
        <w:rPr>
          <w:sz w:val="24"/>
        </w:rPr>
        <w:t>断面2023年水质年均值为：COD 16.8mg/L</w:t>
      </w:r>
      <w:r>
        <w:rPr>
          <w:rFonts w:hint="eastAsia"/>
          <w:sz w:val="24"/>
        </w:rPr>
        <w:t>、</w:t>
      </w:r>
      <w:r>
        <w:rPr>
          <w:sz w:val="24"/>
        </w:rPr>
        <w:t>NH</w:t>
      </w:r>
      <w:r>
        <w:rPr>
          <w:sz w:val="24"/>
          <w:vertAlign w:val="subscript"/>
        </w:rPr>
        <w:t>3</w:t>
      </w:r>
      <w:r>
        <w:rPr>
          <w:sz w:val="24"/>
        </w:rPr>
        <w:t xml:space="preserve">-N </w:t>
      </w:r>
      <w:r>
        <w:rPr>
          <w:rFonts w:hint="eastAsia"/>
          <w:sz w:val="24"/>
        </w:rPr>
        <w:t>0</w:t>
      </w:r>
      <w:r>
        <w:rPr>
          <w:sz w:val="24"/>
        </w:rPr>
        <w:t>.6mg/L</w:t>
      </w:r>
      <w:r>
        <w:rPr>
          <w:rFonts w:hint="eastAsia"/>
          <w:sz w:val="24"/>
        </w:rPr>
        <w:t>、</w:t>
      </w:r>
      <w:r>
        <w:rPr>
          <w:sz w:val="24"/>
        </w:rPr>
        <w:t xml:space="preserve">TP </w:t>
      </w:r>
      <w:r>
        <w:rPr>
          <w:rFonts w:hint="eastAsia"/>
          <w:sz w:val="24"/>
        </w:rPr>
        <w:t>0</w:t>
      </w:r>
      <w:r>
        <w:rPr>
          <w:sz w:val="24"/>
        </w:rPr>
        <w:t>.12mg/L</w:t>
      </w:r>
      <w:r>
        <w:rPr>
          <w:rFonts w:hint="eastAsia"/>
          <w:sz w:val="24"/>
        </w:rPr>
        <w:t>，能够满足《地表水环境质量标准》（GB3838-2002</w:t>
      </w:r>
      <w:r>
        <w:rPr>
          <w:sz w:val="24"/>
        </w:rPr>
        <w:t>）Ⅲ类标准</w:t>
      </w:r>
      <w:r>
        <w:rPr>
          <w:rFonts w:hint="eastAsia"/>
          <w:sz w:val="24"/>
        </w:rPr>
        <w:t>（</w:t>
      </w:r>
      <w:r>
        <w:rPr>
          <w:sz w:val="24"/>
        </w:rPr>
        <w:t>COD 20mg/L、NH</w:t>
      </w:r>
      <w:r>
        <w:rPr>
          <w:sz w:val="24"/>
          <w:vertAlign w:val="subscript"/>
        </w:rPr>
        <w:t>3</w:t>
      </w:r>
      <w:r>
        <w:rPr>
          <w:sz w:val="24"/>
        </w:rPr>
        <w:t>-N 1.0mg/L、TP 0.2mg/L</w:t>
      </w:r>
      <w:r>
        <w:rPr>
          <w:rFonts w:hint="eastAsia"/>
          <w:sz w:val="24"/>
        </w:rPr>
        <w:t>）。</w:t>
      </w:r>
    </w:p>
    <w:p>
      <w:pPr>
        <w:autoSpaceDE w:val="0"/>
        <w:autoSpaceDN w:val="0"/>
        <w:spacing w:line="520" w:lineRule="exact"/>
        <w:ind w:firstLine="480" w:firstLineChars="200"/>
        <w:jc w:val="left"/>
        <w:rPr>
          <w:kern w:val="0"/>
          <w:sz w:val="24"/>
          <w:szCs w:val="24"/>
        </w:rPr>
      </w:pPr>
      <w:r>
        <w:rPr>
          <w:kern w:val="0"/>
          <w:sz w:val="24"/>
          <w:szCs w:val="24"/>
        </w:rPr>
        <w:t>（4）项目所在地环境空气功能属环境空气二类区，根据</w:t>
      </w:r>
      <w:r>
        <w:rPr>
          <w:rFonts w:hint="eastAsia"/>
          <w:kern w:val="0"/>
          <w:sz w:val="24"/>
          <w:szCs w:val="24"/>
        </w:rPr>
        <w:t>原阳县产业集聚区内常规监测站点大信家具监测站点2</w:t>
      </w:r>
      <w:r>
        <w:rPr>
          <w:kern w:val="0"/>
          <w:sz w:val="24"/>
          <w:szCs w:val="24"/>
        </w:rPr>
        <w:t>021</w:t>
      </w:r>
      <w:r>
        <w:rPr>
          <w:rFonts w:hint="eastAsia"/>
          <w:kern w:val="0"/>
          <w:sz w:val="24"/>
          <w:szCs w:val="24"/>
        </w:rPr>
        <w:t>年环境空气质量监测数据，</w:t>
      </w:r>
      <w:r>
        <w:rPr>
          <w:kern w:val="0"/>
          <w:sz w:val="24"/>
          <w:szCs w:val="24"/>
        </w:rPr>
        <w:t>本项目所在区域属于城市环境空气不达标区，不达标因子主要为PM</w:t>
      </w:r>
      <w:r>
        <w:rPr>
          <w:kern w:val="0"/>
          <w:sz w:val="24"/>
          <w:szCs w:val="24"/>
          <w:vertAlign w:val="subscript"/>
        </w:rPr>
        <w:t>2.5</w:t>
      </w:r>
      <w:r>
        <w:rPr>
          <w:kern w:val="0"/>
          <w:sz w:val="24"/>
          <w:szCs w:val="24"/>
        </w:rPr>
        <w:t>、PM</w:t>
      </w:r>
      <w:r>
        <w:rPr>
          <w:kern w:val="0"/>
          <w:sz w:val="24"/>
          <w:szCs w:val="24"/>
          <w:vertAlign w:val="subscript"/>
        </w:rPr>
        <w:t>10</w:t>
      </w:r>
      <w:r>
        <w:rPr>
          <w:kern w:val="0"/>
          <w:sz w:val="24"/>
          <w:szCs w:val="24"/>
        </w:rPr>
        <w:t>、和O</w:t>
      </w:r>
      <w:r>
        <w:rPr>
          <w:kern w:val="0"/>
          <w:sz w:val="24"/>
          <w:szCs w:val="24"/>
          <w:vertAlign w:val="subscript"/>
        </w:rPr>
        <w:t>3</w:t>
      </w:r>
      <w:r>
        <w:rPr>
          <w:rFonts w:hint="eastAsia"/>
          <w:kern w:val="0"/>
          <w:sz w:val="24"/>
          <w:szCs w:val="24"/>
        </w:rPr>
        <w:t>（</w:t>
      </w:r>
      <w:r>
        <w:rPr>
          <w:kern w:val="0"/>
          <w:sz w:val="24"/>
          <w:szCs w:val="24"/>
        </w:rPr>
        <w:t>日最大小时平均</w:t>
      </w:r>
      <w:r>
        <w:rPr>
          <w:rFonts w:hint="eastAsia"/>
          <w:kern w:val="0"/>
          <w:sz w:val="24"/>
          <w:szCs w:val="24"/>
        </w:rPr>
        <w:t>）</w:t>
      </w:r>
      <w:r>
        <w:rPr>
          <w:kern w:val="0"/>
          <w:sz w:val="24"/>
          <w:szCs w:val="24"/>
        </w:rPr>
        <w:t>。评价期间各监测点环境空气中氨、硫化氢等因子的监测值均能满足标准要求。</w:t>
      </w:r>
    </w:p>
    <w:p>
      <w:pPr>
        <w:autoSpaceDE w:val="0"/>
        <w:autoSpaceDN w:val="0"/>
        <w:spacing w:line="520" w:lineRule="exact"/>
        <w:ind w:firstLine="480" w:firstLineChars="200"/>
        <w:jc w:val="left"/>
        <w:rPr>
          <w:kern w:val="0"/>
          <w:sz w:val="24"/>
          <w:szCs w:val="24"/>
        </w:rPr>
      </w:pPr>
      <w:r>
        <w:rPr>
          <w:kern w:val="0"/>
          <w:sz w:val="24"/>
          <w:szCs w:val="24"/>
        </w:rPr>
        <w:t>（5）项目所在区域地下水水质能满足《地下水质量标准》(GB/T14848-2017)中的Ⅲ类标准要求。</w:t>
      </w:r>
    </w:p>
    <w:p>
      <w:pPr>
        <w:autoSpaceDE w:val="0"/>
        <w:autoSpaceDN w:val="0"/>
        <w:spacing w:line="520" w:lineRule="exact"/>
        <w:ind w:firstLine="480" w:firstLineChars="200"/>
        <w:rPr>
          <w:bCs/>
          <w:kern w:val="0"/>
          <w:sz w:val="24"/>
          <w:szCs w:val="24"/>
        </w:rPr>
      </w:pPr>
      <w:r>
        <w:rPr>
          <w:kern w:val="0"/>
          <w:sz w:val="24"/>
          <w:szCs w:val="24"/>
        </w:rPr>
        <w:t>（6）厂区内</w:t>
      </w:r>
      <w:r>
        <w:rPr>
          <w:rFonts w:hint="eastAsia"/>
          <w:kern w:val="0"/>
          <w:sz w:val="24"/>
          <w:szCs w:val="24"/>
        </w:rPr>
        <w:t>土壤</w:t>
      </w:r>
      <w:r>
        <w:rPr>
          <w:kern w:val="0"/>
          <w:sz w:val="24"/>
          <w:szCs w:val="24"/>
        </w:rPr>
        <w:t>监测点位各个监测因子均能够满足《土壤环境质量-建设用地土壤污染风险管控标准（试行）》（GB36600-2018）建设用地第二类用地风险筛选值</w:t>
      </w:r>
      <w:r>
        <w:rPr>
          <w:rFonts w:hint="eastAsia"/>
          <w:kern w:val="0"/>
          <w:sz w:val="24"/>
          <w:szCs w:val="24"/>
        </w:rPr>
        <w:t>标准要求</w:t>
      </w:r>
      <w:r>
        <w:rPr>
          <w:kern w:val="0"/>
          <w:sz w:val="24"/>
          <w:szCs w:val="24"/>
        </w:rPr>
        <w:t>，说明项目厂区土壤环境质量良好；厂区外</w:t>
      </w:r>
      <w:r>
        <w:rPr>
          <w:rFonts w:hint="eastAsia"/>
          <w:kern w:val="0"/>
          <w:sz w:val="24"/>
          <w:szCs w:val="24"/>
        </w:rPr>
        <w:t>空地</w:t>
      </w:r>
      <w:r>
        <w:rPr>
          <w:kern w:val="0"/>
          <w:sz w:val="24"/>
          <w:szCs w:val="24"/>
        </w:rPr>
        <w:t>监测因子均能够满足《土壤环境质量-建设用地土壤污染风险管控标准（试行）》（GB36600-2018）建设用地第二类用地风险筛选值</w:t>
      </w:r>
      <w:r>
        <w:rPr>
          <w:rFonts w:hint="eastAsia"/>
          <w:kern w:val="0"/>
          <w:sz w:val="24"/>
          <w:szCs w:val="24"/>
        </w:rPr>
        <w:t>标准要求</w:t>
      </w:r>
      <w:r>
        <w:rPr>
          <w:kern w:val="0"/>
          <w:sz w:val="24"/>
          <w:szCs w:val="24"/>
        </w:rPr>
        <w:t>，表明区域土壤环境质量良好。</w:t>
      </w:r>
    </w:p>
    <w:p>
      <w:pPr>
        <w:keepNext/>
        <w:keepLines/>
        <w:spacing w:line="360" w:lineRule="auto"/>
        <w:outlineLvl w:val="1"/>
        <w:rPr>
          <w:rFonts w:eastAsia="黑体"/>
          <w:bCs/>
          <w:sz w:val="28"/>
          <w:szCs w:val="28"/>
          <w:lang w:val="zh-CN"/>
        </w:rPr>
      </w:pPr>
      <w:bookmarkStart w:id="4" w:name="_Toc1407"/>
      <w:r>
        <w:rPr>
          <w:rFonts w:eastAsia="黑体"/>
          <w:bCs/>
          <w:sz w:val="28"/>
          <w:szCs w:val="28"/>
          <w:lang w:val="zh-CN"/>
        </w:rPr>
        <w:t>1.3 环境影响评价的工作过程</w:t>
      </w:r>
      <w:bookmarkEnd w:id="4"/>
      <w:r>
        <w:rPr>
          <w:rFonts w:eastAsia="黑体"/>
          <w:bCs/>
          <w:sz w:val="28"/>
          <w:szCs w:val="28"/>
          <w:lang w:val="zh-CN"/>
        </w:rPr>
        <w:t xml:space="preserve"> </w:t>
      </w:r>
    </w:p>
    <w:p>
      <w:pPr>
        <w:autoSpaceDE w:val="0"/>
        <w:autoSpaceDN w:val="0"/>
        <w:spacing w:line="520" w:lineRule="exact"/>
        <w:ind w:firstLine="720" w:firstLineChars="300"/>
        <w:rPr>
          <w:kern w:val="0"/>
          <w:sz w:val="24"/>
          <w:szCs w:val="24"/>
          <w:highlight w:val="yellow"/>
        </w:rPr>
      </w:pPr>
      <w:r>
        <w:rPr>
          <w:kern w:val="0"/>
          <w:sz w:val="24"/>
          <w:szCs w:val="24"/>
        </w:rPr>
        <w:t>受建设单位委托，河南蓝天环境工程有限公司承担了该项目环境影响评价工作（见附件1）。评价单位在多次实地踏勘、调研和收集分析资料的基础上，开展</w:t>
      </w:r>
      <w:r>
        <w:rPr>
          <w:rFonts w:hint="eastAsia"/>
          <w:kern w:val="0"/>
          <w:sz w:val="24"/>
          <w:szCs w:val="24"/>
        </w:rPr>
        <w:t>了</w:t>
      </w:r>
      <w:r>
        <w:rPr>
          <w:kern w:val="0"/>
          <w:sz w:val="24"/>
          <w:szCs w:val="24"/>
        </w:rPr>
        <w:t>该项目环境影响评价工作</w:t>
      </w:r>
      <w:r>
        <w:rPr>
          <w:rFonts w:hint="eastAsia"/>
          <w:kern w:val="0"/>
          <w:sz w:val="24"/>
          <w:szCs w:val="24"/>
        </w:rPr>
        <w:t>。在评价过程中，建设单位于</w:t>
      </w:r>
      <w:r>
        <w:rPr>
          <w:kern w:val="0"/>
          <w:sz w:val="24"/>
          <w:szCs w:val="24"/>
        </w:rPr>
        <w:t>2023</w:t>
      </w:r>
      <w:r>
        <w:rPr>
          <w:rFonts w:hint="eastAsia"/>
          <w:kern w:val="0"/>
          <w:sz w:val="24"/>
          <w:szCs w:val="24"/>
        </w:rPr>
        <w:t>年</w:t>
      </w:r>
      <w:r>
        <w:rPr>
          <w:kern w:val="0"/>
          <w:sz w:val="24"/>
          <w:szCs w:val="24"/>
        </w:rPr>
        <w:t>2</w:t>
      </w:r>
      <w:r>
        <w:rPr>
          <w:rFonts w:hint="eastAsia"/>
          <w:kern w:val="0"/>
          <w:sz w:val="24"/>
          <w:szCs w:val="24"/>
        </w:rPr>
        <w:t>月</w:t>
      </w:r>
      <w:r>
        <w:rPr>
          <w:kern w:val="0"/>
          <w:sz w:val="24"/>
          <w:szCs w:val="24"/>
        </w:rPr>
        <w:t>20</w:t>
      </w:r>
      <w:r>
        <w:rPr>
          <w:rFonts w:hint="eastAsia"/>
          <w:kern w:val="0"/>
          <w:sz w:val="24"/>
          <w:szCs w:val="24"/>
        </w:rPr>
        <w:t>日在</w:t>
      </w:r>
      <w:r>
        <w:rPr>
          <w:kern w:val="0"/>
          <w:sz w:val="24"/>
          <w:szCs w:val="24"/>
        </w:rPr>
        <w:t>网络平台</w:t>
      </w:r>
      <w:r>
        <w:rPr>
          <w:rFonts w:hint="eastAsia"/>
          <w:kern w:val="0"/>
          <w:sz w:val="24"/>
          <w:szCs w:val="24"/>
        </w:rPr>
        <w:t>（http://henanlt.com/）</w:t>
      </w:r>
      <w:r>
        <w:rPr>
          <w:kern w:val="0"/>
          <w:sz w:val="24"/>
          <w:szCs w:val="24"/>
        </w:rPr>
        <w:t>进行了第一次媒体公示。</w:t>
      </w:r>
      <w:r>
        <w:rPr>
          <w:rFonts w:hint="eastAsia"/>
          <w:kern w:val="0"/>
          <w:sz w:val="24"/>
          <w:szCs w:val="24"/>
        </w:rPr>
        <w:t>于</w:t>
      </w:r>
      <w:r>
        <w:rPr>
          <w:kern w:val="0"/>
          <w:sz w:val="24"/>
          <w:szCs w:val="24"/>
        </w:rPr>
        <w:t>2023</w:t>
      </w:r>
      <w:r>
        <w:rPr>
          <w:rFonts w:hint="eastAsia"/>
          <w:kern w:val="0"/>
          <w:sz w:val="24"/>
          <w:szCs w:val="24"/>
        </w:rPr>
        <w:t>年</w:t>
      </w:r>
      <w:r>
        <w:rPr>
          <w:kern w:val="0"/>
          <w:sz w:val="24"/>
          <w:szCs w:val="24"/>
        </w:rPr>
        <w:t>4</w:t>
      </w:r>
      <w:r>
        <w:rPr>
          <w:rFonts w:hint="eastAsia"/>
          <w:kern w:val="0"/>
          <w:sz w:val="24"/>
          <w:szCs w:val="24"/>
        </w:rPr>
        <w:t>月委托河南永飞检测科技有限公司对项目周边环境现状进行了检测。</w:t>
      </w:r>
      <w:r>
        <w:rPr>
          <w:kern w:val="0"/>
          <w:sz w:val="24"/>
          <w:szCs w:val="24"/>
        </w:rPr>
        <w:t>2023</w:t>
      </w:r>
      <w:r>
        <w:rPr>
          <w:rFonts w:hint="eastAsia"/>
          <w:kern w:val="0"/>
          <w:sz w:val="24"/>
          <w:szCs w:val="24"/>
        </w:rPr>
        <w:t>年</w:t>
      </w:r>
      <w:r>
        <w:rPr>
          <w:kern w:val="0"/>
          <w:sz w:val="24"/>
          <w:szCs w:val="24"/>
        </w:rPr>
        <w:t>6</w:t>
      </w:r>
      <w:r>
        <w:rPr>
          <w:rFonts w:hint="eastAsia"/>
          <w:kern w:val="0"/>
          <w:sz w:val="24"/>
          <w:szCs w:val="24"/>
        </w:rPr>
        <w:t>月，</w:t>
      </w:r>
      <w:r>
        <w:rPr>
          <w:kern w:val="0"/>
          <w:sz w:val="24"/>
          <w:szCs w:val="24"/>
        </w:rPr>
        <w:t>河南蓝天环境工程有限公司根据《中华人民共和国环境影响评价法》</w:t>
      </w:r>
      <w:r>
        <w:rPr>
          <w:rFonts w:hint="eastAsia"/>
          <w:kern w:val="0"/>
          <w:sz w:val="24"/>
          <w:szCs w:val="24"/>
        </w:rPr>
        <w:t>、</w:t>
      </w:r>
      <w:r>
        <w:rPr>
          <w:kern w:val="0"/>
          <w:sz w:val="24"/>
          <w:szCs w:val="24"/>
        </w:rPr>
        <w:t>《环境影响评价技术导则》相关要求，按照</w:t>
      </w:r>
      <w:r>
        <w:rPr>
          <w:rFonts w:hint="eastAsia"/>
          <w:kern w:val="0"/>
          <w:sz w:val="24"/>
          <w:szCs w:val="24"/>
        </w:rPr>
        <w:t>“</w:t>
      </w:r>
      <w:r>
        <w:rPr>
          <w:kern w:val="0"/>
          <w:sz w:val="24"/>
          <w:szCs w:val="24"/>
        </w:rPr>
        <w:t>突出环境影响评价的源头预防作用，坚持保护和改善环境质量</w:t>
      </w:r>
      <w:r>
        <w:rPr>
          <w:rFonts w:hint="eastAsia"/>
          <w:kern w:val="0"/>
          <w:sz w:val="24"/>
          <w:szCs w:val="24"/>
        </w:rPr>
        <w:t>”</w:t>
      </w:r>
      <w:r>
        <w:rPr>
          <w:kern w:val="0"/>
          <w:sz w:val="24"/>
          <w:szCs w:val="24"/>
        </w:rPr>
        <w:t>的原则，编制完成了《河南羽佳金门实业有限公司预制菜</w:t>
      </w:r>
      <w:r>
        <w:rPr>
          <w:rFonts w:hint="eastAsia"/>
          <w:kern w:val="0"/>
          <w:sz w:val="24"/>
          <w:szCs w:val="24"/>
        </w:rPr>
        <w:t>创新孵化园建设</w:t>
      </w:r>
      <w:r>
        <w:rPr>
          <w:kern w:val="0"/>
          <w:sz w:val="24"/>
          <w:szCs w:val="24"/>
        </w:rPr>
        <w:t>项目环境影响报告书》</w:t>
      </w:r>
      <w:r>
        <w:rPr>
          <w:rFonts w:hint="eastAsia"/>
          <w:kern w:val="0"/>
          <w:sz w:val="24"/>
          <w:szCs w:val="24"/>
        </w:rPr>
        <w:t>（征求意见稿）。建设单位于</w:t>
      </w:r>
      <w:r>
        <w:rPr>
          <w:kern w:val="0"/>
          <w:sz w:val="24"/>
          <w:szCs w:val="24"/>
        </w:rPr>
        <w:t>2023</w:t>
      </w:r>
      <w:r>
        <w:rPr>
          <w:rFonts w:hint="eastAsia"/>
          <w:kern w:val="0"/>
          <w:sz w:val="24"/>
          <w:szCs w:val="24"/>
        </w:rPr>
        <w:t>年</w:t>
      </w:r>
      <w:r>
        <w:rPr>
          <w:kern w:val="0"/>
          <w:sz w:val="24"/>
          <w:szCs w:val="24"/>
        </w:rPr>
        <w:t>7</w:t>
      </w:r>
      <w:r>
        <w:rPr>
          <w:rFonts w:hint="eastAsia"/>
          <w:kern w:val="0"/>
          <w:sz w:val="24"/>
          <w:szCs w:val="24"/>
        </w:rPr>
        <w:t>月</w:t>
      </w:r>
      <w:r>
        <w:rPr>
          <w:kern w:val="0"/>
          <w:sz w:val="24"/>
          <w:szCs w:val="24"/>
        </w:rPr>
        <w:t>7</w:t>
      </w:r>
      <w:r>
        <w:rPr>
          <w:rFonts w:hint="eastAsia"/>
          <w:kern w:val="0"/>
          <w:sz w:val="24"/>
          <w:szCs w:val="24"/>
        </w:rPr>
        <w:t>日</w:t>
      </w:r>
      <w:r>
        <w:rPr>
          <w:kern w:val="0"/>
          <w:sz w:val="24"/>
          <w:szCs w:val="24"/>
        </w:rPr>
        <w:t>~2023</w:t>
      </w:r>
      <w:r>
        <w:rPr>
          <w:rFonts w:hint="eastAsia"/>
          <w:kern w:val="0"/>
          <w:sz w:val="24"/>
          <w:szCs w:val="24"/>
        </w:rPr>
        <w:t>年</w:t>
      </w:r>
      <w:r>
        <w:rPr>
          <w:kern w:val="0"/>
          <w:sz w:val="24"/>
          <w:szCs w:val="24"/>
        </w:rPr>
        <w:t>7</w:t>
      </w:r>
      <w:r>
        <w:rPr>
          <w:rFonts w:hint="eastAsia"/>
          <w:kern w:val="0"/>
          <w:sz w:val="24"/>
          <w:szCs w:val="24"/>
        </w:rPr>
        <w:t>月</w:t>
      </w:r>
      <w:r>
        <w:rPr>
          <w:kern w:val="0"/>
          <w:sz w:val="24"/>
          <w:szCs w:val="24"/>
        </w:rPr>
        <w:t>21</w:t>
      </w:r>
      <w:r>
        <w:rPr>
          <w:rFonts w:hint="eastAsia"/>
          <w:kern w:val="0"/>
          <w:sz w:val="24"/>
          <w:szCs w:val="24"/>
        </w:rPr>
        <w:t>日在</w:t>
      </w:r>
      <w:r>
        <w:rPr>
          <w:kern w:val="0"/>
          <w:sz w:val="24"/>
          <w:szCs w:val="24"/>
        </w:rPr>
        <w:t>网络平台</w:t>
      </w:r>
      <w:r>
        <w:rPr>
          <w:rFonts w:hint="eastAsia"/>
          <w:kern w:val="0"/>
          <w:sz w:val="24"/>
          <w:szCs w:val="24"/>
        </w:rPr>
        <w:t>（http://henanlt.com/）进行了项目</w:t>
      </w:r>
      <w:r>
        <w:rPr>
          <w:kern w:val="0"/>
          <w:sz w:val="24"/>
          <w:szCs w:val="24"/>
        </w:rPr>
        <w:t>环境影响报告书</w:t>
      </w:r>
      <w:r>
        <w:rPr>
          <w:rFonts w:hint="eastAsia"/>
          <w:kern w:val="0"/>
          <w:sz w:val="24"/>
          <w:szCs w:val="24"/>
        </w:rPr>
        <w:t>征求意见稿公示，同时在距离项目最近的敏感点小庄村进行了张贴公示和入户调查，并于</w:t>
      </w:r>
      <w:r>
        <w:rPr>
          <w:kern w:val="0"/>
          <w:sz w:val="24"/>
          <w:szCs w:val="24"/>
        </w:rPr>
        <w:t>2023</w:t>
      </w:r>
      <w:r>
        <w:rPr>
          <w:rFonts w:hint="eastAsia"/>
          <w:kern w:val="0"/>
          <w:sz w:val="24"/>
          <w:szCs w:val="24"/>
        </w:rPr>
        <w:t>年</w:t>
      </w:r>
      <w:r>
        <w:rPr>
          <w:kern w:val="0"/>
          <w:sz w:val="24"/>
          <w:szCs w:val="24"/>
        </w:rPr>
        <w:t>7</w:t>
      </w:r>
      <w:r>
        <w:rPr>
          <w:rFonts w:hint="eastAsia"/>
          <w:kern w:val="0"/>
          <w:sz w:val="24"/>
          <w:szCs w:val="24"/>
        </w:rPr>
        <w:t>月</w:t>
      </w:r>
      <w:r>
        <w:rPr>
          <w:kern w:val="0"/>
          <w:sz w:val="24"/>
          <w:szCs w:val="24"/>
        </w:rPr>
        <w:t>19</w:t>
      </w:r>
      <w:r>
        <w:rPr>
          <w:rFonts w:hint="eastAsia"/>
          <w:kern w:val="0"/>
          <w:sz w:val="24"/>
          <w:szCs w:val="24"/>
        </w:rPr>
        <w:t>日和</w:t>
      </w:r>
      <w:r>
        <w:rPr>
          <w:kern w:val="0"/>
          <w:sz w:val="24"/>
          <w:szCs w:val="24"/>
        </w:rPr>
        <w:t>2023</w:t>
      </w:r>
      <w:r>
        <w:rPr>
          <w:rFonts w:hint="eastAsia"/>
          <w:kern w:val="0"/>
          <w:sz w:val="24"/>
          <w:szCs w:val="24"/>
        </w:rPr>
        <w:t>年</w:t>
      </w:r>
      <w:r>
        <w:rPr>
          <w:kern w:val="0"/>
          <w:sz w:val="24"/>
          <w:szCs w:val="24"/>
        </w:rPr>
        <w:t>7</w:t>
      </w:r>
      <w:r>
        <w:rPr>
          <w:rFonts w:hint="eastAsia"/>
          <w:kern w:val="0"/>
          <w:sz w:val="24"/>
          <w:szCs w:val="24"/>
        </w:rPr>
        <w:t>月</w:t>
      </w:r>
      <w:r>
        <w:rPr>
          <w:kern w:val="0"/>
          <w:sz w:val="24"/>
          <w:szCs w:val="24"/>
        </w:rPr>
        <w:t>20</w:t>
      </w:r>
      <w:r>
        <w:rPr>
          <w:rFonts w:hint="eastAsia"/>
          <w:kern w:val="0"/>
          <w:sz w:val="24"/>
          <w:szCs w:val="24"/>
        </w:rPr>
        <w:t>日在新乡日报进行了报纸公示。</w:t>
      </w:r>
      <w:r>
        <w:rPr>
          <w:kern w:val="0"/>
          <w:sz w:val="24"/>
          <w:szCs w:val="24"/>
        </w:rPr>
        <w:t>公示结束后完成项目送审版报告。</w:t>
      </w:r>
    </w:p>
    <w:p>
      <w:pPr>
        <w:keepNext/>
        <w:keepLines/>
        <w:spacing w:line="520" w:lineRule="exact"/>
        <w:outlineLvl w:val="1"/>
        <w:rPr>
          <w:rFonts w:eastAsia="黑体"/>
          <w:b/>
          <w:bCs/>
          <w:sz w:val="28"/>
          <w:szCs w:val="28"/>
          <w:lang w:val="zh-CN"/>
        </w:rPr>
      </w:pPr>
      <w:bookmarkStart w:id="5" w:name="_Toc75824175"/>
      <w:bookmarkStart w:id="6" w:name="_Toc32211"/>
      <w:r>
        <w:rPr>
          <w:rFonts w:eastAsia="黑体"/>
          <w:bCs/>
          <w:sz w:val="28"/>
          <w:szCs w:val="28"/>
          <w:lang w:val="zh-CN"/>
        </w:rPr>
        <w:t>1.4分析判定相关情况</w:t>
      </w:r>
      <w:bookmarkEnd w:id="5"/>
      <w:bookmarkEnd w:id="6"/>
    </w:p>
    <w:p>
      <w:pPr>
        <w:autoSpaceDE w:val="0"/>
        <w:autoSpaceDN w:val="0"/>
        <w:spacing w:line="520" w:lineRule="exact"/>
        <w:ind w:firstLine="480" w:firstLineChars="200"/>
        <w:jc w:val="left"/>
        <w:rPr>
          <w:kern w:val="0"/>
          <w:sz w:val="24"/>
          <w:szCs w:val="24"/>
        </w:rPr>
      </w:pPr>
      <w:r>
        <w:rPr>
          <w:kern w:val="0"/>
          <w:sz w:val="24"/>
          <w:szCs w:val="24"/>
        </w:rPr>
        <w:t>（1）本项目属于</w:t>
      </w:r>
      <w:r>
        <w:rPr>
          <w:rFonts w:hint="eastAsia"/>
          <w:kern w:val="0"/>
          <w:sz w:val="24"/>
          <w:szCs w:val="24"/>
        </w:rPr>
        <w:t>新</w:t>
      </w:r>
      <w:r>
        <w:rPr>
          <w:kern w:val="0"/>
          <w:sz w:val="24"/>
          <w:szCs w:val="24"/>
        </w:rPr>
        <w:t>建项目，总投资30000万元，目前已在</w:t>
      </w:r>
      <w:r>
        <w:rPr>
          <w:rFonts w:hint="eastAsia"/>
          <w:kern w:val="0"/>
          <w:sz w:val="24"/>
          <w:szCs w:val="24"/>
        </w:rPr>
        <w:t>原阳县产业集聚区管理委员会经济发展局</w:t>
      </w:r>
      <w:r>
        <w:rPr>
          <w:kern w:val="0"/>
          <w:sz w:val="24"/>
          <w:szCs w:val="24"/>
        </w:rPr>
        <w:t>备案，项目</w:t>
      </w:r>
      <w:r>
        <w:rPr>
          <w:rFonts w:hint="eastAsia"/>
          <w:bCs/>
          <w:kern w:val="0"/>
          <w:sz w:val="24"/>
          <w:szCs w:val="24"/>
        </w:rPr>
        <w:t>主要新建车间厂房、污水处理站</w:t>
      </w:r>
      <w:r>
        <w:rPr>
          <w:kern w:val="0"/>
          <w:sz w:val="24"/>
          <w:szCs w:val="24"/>
        </w:rPr>
        <w:t>，符合河南省及新乡市地方相关规划及政策要求。项目产品不属于《产业结构调整指导目录（20</w:t>
      </w:r>
      <w:r>
        <w:rPr>
          <w:rFonts w:hint="eastAsia"/>
          <w:kern w:val="0"/>
          <w:sz w:val="24"/>
          <w:szCs w:val="24"/>
        </w:rPr>
        <w:t>24</w:t>
      </w:r>
      <w:r>
        <w:rPr>
          <w:kern w:val="0"/>
          <w:sz w:val="24"/>
          <w:szCs w:val="24"/>
        </w:rPr>
        <w:t>年版）》</w:t>
      </w:r>
      <w:r>
        <w:rPr>
          <w:rFonts w:hint="eastAsia"/>
          <w:kern w:val="0"/>
          <w:sz w:val="24"/>
          <w:szCs w:val="24"/>
        </w:rPr>
        <w:t>中的</w:t>
      </w:r>
      <w:r>
        <w:rPr>
          <w:kern w:val="0"/>
          <w:sz w:val="24"/>
          <w:szCs w:val="24"/>
        </w:rPr>
        <w:t>淘汰类和限制类，属于允许类，符合国家产业政策。</w:t>
      </w:r>
    </w:p>
    <w:p>
      <w:pPr>
        <w:autoSpaceDE w:val="0"/>
        <w:autoSpaceDN w:val="0"/>
        <w:spacing w:line="520" w:lineRule="exact"/>
        <w:ind w:firstLine="480" w:firstLineChars="200"/>
        <w:jc w:val="left"/>
        <w:rPr>
          <w:kern w:val="0"/>
          <w:sz w:val="24"/>
          <w:szCs w:val="24"/>
        </w:rPr>
      </w:pPr>
      <w:r>
        <w:rPr>
          <w:kern w:val="0"/>
          <w:sz w:val="24"/>
          <w:szCs w:val="24"/>
        </w:rPr>
        <w:t>（2）本项目位于</w:t>
      </w:r>
      <w:r>
        <w:rPr>
          <w:rFonts w:hint="eastAsia"/>
          <w:kern w:val="0"/>
          <w:sz w:val="24"/>
          <w:szCs w:val="24"/>
        </w:rPr>
        <w:t>原阳县产业聚集区永安路南侧、金祥南街西侧、小庄排河东侧。</w:t>
      </w:r>
      <w:r>
        <w:rPr>
          <w:kern w:val="0"/>
          <w:sz w:val="24"/>
          <w:szCs w:val="24"/>
        </w:rPr>
        <w:t>项目</w:t>
      </w:r>
      <w:r>
        <w:rPr>
          <w:rFonts w:hint="eastAsia"/>
          <w:bCs/>
          <w:kern w:val="0"/>
          <w:sz w:val="24"/>
          <w:szCs w:val="24"/>
        </w:rPr>
        <w:t>新建车间厂房、污水处理站</w:t>
      </w:r>
      <w:r>
        <w:rPr>
          <w:kern w:val="0"/>
          <w:sz w:val="24"/>
          <w:szCs w:val="24"/>
        </w:rPr>
        <w:t>，用地性质为工业用地，</w:t>
      </w:r>
      <w:r>
        <w:rPr>
          <w:rFonts w:hint="eastAsia"/>
          <w:kern w:val="0"/>
          <w:sz w:val="24"/>
          <w:szCs w:val="24"/>
        </w:rPr>
        <w:t>符合原阳县</w:t>
      </w:r>
      <w:r>
        <w:rPr>
          <w:kern w:val="0"/>
          <w:sz w:val="24"/>
          <w:szCs w:val="24"/>
        </w:rPr>
        <w:t>产业集聚区发展规</w:t>
      </w:r>
      <w:r>
        <w:rPr>
          <w:rFonts w:hint="eastAsia"/>
          <w:kern w:val="0"/>
          <w:sz w:val="24"/>
          <w:szCs w:val="24"/>
        </w:rPr>
        <w:t>划</w:t>
      </w:r>
      <w:r>
        <w:rPr>
          <w:kern w:val="0"/>
          <w:sz w:val="24"/>
          <w:szCs w:val="24"/>
        </w:rPr>
        <w:t>。</w:t>
      </w:r>
    </w:p>
    <w:p>
      <w:pPr>
        <w:autoSpaceDE w:val="0"/>
        <w:autoSpaceDN w:val="0"/>
        <w:spacing w:line="520" w:lineRule="exact"/>
        <w:ind w:firstLine="480" w:firstLineChars="200"/>
        <w:rPr>
          <w:kern w:val="0"/>
          <w:sz w:val="24"/>
          <w:szCs w:val="24"/>
          <w:highlight w:val="yellow"/>
        </w:rPr>
      </w:pPr>
      <w:r>
        <w:rPr>
          <w:kern w:val="0"/>
          <w:sz w:val="24"/>
          <w:szCs w:val="24"/>
        </w:rPr>
        <w:t>（3）项目涉及</w:t>
      </w:r>
      <w:r>
        <w:rPr>
          <w:rFonts w:hint="eastAsia"/>
          <w:kern w:val="0"/>
          <w:sz w:val="24"/>
          <w:szCs w:val="24"/>
        </w:rPr>
        <w:t>污水处理站废气（硫化氢、氨、臭气浓度）的</w:t>
      </w:r>
      <w:r>
        <w:rPr>
          <w:kern w:val="0"/>
          <w:sz w:val="24"/>
          <w:szCs w:val="24"/>
        </w:rPr>
        <w:t>产生和排放</w:t>
      </w:r>
      <w:r>
        <w:rPr>
          <w:rFonts w:hint="eastAsia"/>
          <w:kern w:val="0"/>
          <w:sz w:val="24"/>
          <w:szCs w:val="24"/>
        </w:rPr>
        <w:t>。污水处理站</w:t>
      </w:r>
      <w:r>
        <w:rPr>
          <w:kern w:val="0"/>
          <w:sz w:val="24"/>
          <w:szCs w:val="24"/>
        </w:rPr>
        <w:t>废气采用</w:t>
      </w:r>
      <w:r>
        <w:rPr>
          <w:rFonts w:hint="eastAsia"/>
          <w:kern w:val="0"/>
          <w:sz w:val="24"/>
          <w:szCs w:val="24"/>
        </w:rPr>
        <w:t>“</w:t>
      </w:r>
      <w:r>
        <w:rPr>
          <w:rFonts w:hint="eastAsia"/>
          <w:bCs/>
          <w:kern w:val="0"/>
          <w:sz w:val="24"/>
          <w:szCs w:val="24"/>
        </w:rPr>
        <w:t>洗涤除臭装置（碱喷淋+生物除臭剂喷淋）</w:t>
      </w:r>
      <w:r>
        <w:rPr>
          <w:rFonts w:hint="eastAsia"/>
          <w:kern w:val="0"/>
          <w:sz w:val="24"/>
          <w:szCs w:val="24"/>
        </w:rPr>
        <w:t>”</w:t>
      </w:r>
      <w:r>
        <w:rPr>
          <w:kern w:val="0"/>
          <w:sz w:val="24"/>
          <w:szCs w:val="24"/>
        </w:rPr>
        <w:t>进行处理。废气处置方式符合国家及河南省和新乡市大气污染防治攻坚战相关文件要求。</w:t>
      </w:r>
    </w:p>
    <w:p>
      <w:pPr>
        <w:keepNext/>
        <w:keepLines/>
        <w:spacing w:line="520" w:lineRule="exact"/>
        <w:outlineLvl w:val="1"/>
        <w:rPr>
          <w:rFonts w:eastAsia="黑体"/>
          <w:b/>
          <w:bCs/>
          <w:sz w:val="28"/>
          <w:szCs w:val="28"/>
          <w:lang w:val="zh-CN"/>
        </w:rPr>
      </w:pPr>
      <w:bookmarkStart w:id="7" w:name="_Toc18228"/>
      <w:r>
        <w:rPr>
          <w:rFonts w:eastAsia="黑体"/>
          <w:bCs/>
          <w:sz w:val="28"/>
          <w:szCs w:val="28"/>
          <w:lang w:val="zh-CN"/>
        </w:rPr>
        <w:t>1.5 关注的主要环境问题及环境影响</w:t>
      </w:r>
      <w:bookmarkEnd w:id="7"/>
    </w:p>
    <w:p>
      <w:pPr>
        <w:autoSpaceDE w:val="0"/>
        <w:autoSpaceDN w:val="0"/>
        <w:spacing w:line="520" w:lineRule="exact"/>
        <w:ind w:firstLine="480" w:firstLineChars="200"/>
        <w:jc w:val="left"/>
        <w:rPr>
          <w:kern w:val="0"/>
          <w:sz w:val="24"/>
          <w:szCs w:val="24"/>
        </w:rPr>
      </w:pPr>
      <w:r>
        <w:rPr>
          <w:kern w:val="0"/>
          <w:sz w:val="24"/>
          <w:szCs w:val="24"/>
        </w:rPr>
        <w:t>（1）本项目废气污染物主要为</w:t>
      </w:r>
      <w:r>
        <w:rPr>
          <w:rFonts w:hint="eastAsia"/>
          <w:kern w:val="0"/>
          <w:sz w:val="24"/>
          <w:szCs w:val="24"/>
        </w:rPr>
        <w:t>硫化氢、氨</w:t>
      </w:r>
      <w:r>
        <w:rPr>
          <w:kern w:val="0"/>
          <w:sz w:val="24"/>
          <w:szCs w:val="24"/>
        </w:rPr>
        <w:t>，从工艺设计中应考虑每个排放点的废气收集处理问题，针对各类废气进行分类处理，确保各废气达标排放。企业在运营过程中要确保废气治理措施的正常运行，不得出现超标或非正常排放情况。</w:t>
      </w:r>
    </w:p>
    <w:p>
      <w:pPr>
        <w:autoSpaceDE w:val="0"/>
        <w:autoSpaceDN w:val="0"/>
        <w:spacing w:line="520" w:lineRule="exact"/>
        <w:ind w:firstLine="480" w:firstLineChars="200"/>
        <w:rPr>
          <w:kern w:val="0"/>
          <w:sz w:val="24"/>
          <w:szCs w:val="24"/>
        </w:rPr>
      </w:pPr>
      <w:r>
        <w:rPr>
          <w:kern w:val="0"/>
          <w:sz w:val="24"/>
          <w:szCs w:val="24"/>
        </w:rPr>
        <w:t>（2）本项目</w:t>
      </w:r>
      <w:r>
        <w:rPr>
          <w:rFonts w:hint="eastAsia"/>
          <w:kern w:val="0"/>
          <w:sz w:val="24"/>
          <w:szCs w:val="24"/>
        </w:rPr>
        <w:t>园区生产</w:t>
      </w:r>
      <w:r>
        <w:rPr>
          <w:kern w:val="0"/>
          <w:sz w:val="24"/>
          <w:szCs w:val="24"/>
        </w:rPr>
        <w:t>废水</w:t>
      </w:r>
      <w:r>
        <w:rPr>
          <w:rFonts w:hint="eastAsia"/>
          <w:kern w:val="0"/>
          <w:sz w:val="24"/>
          <w:szCs w:val="24"/>
        </w:rPr>
        <w:t>经</w:t>
      </w:r>
      <w:r>
        <w:rPr>
          <w:kern w:val="0"/>
          <w:sz w:val="24"/>
          <w:szCs w:val="24"/>
        </w:rPr>
        <w:t>污水处理站处理</w:t>
      </w:r>
      <w:r>
        <w:rPr>
          <w:rFonts w:hint="eastAsia"/>
          <w:kern w:val="0"/>
          <w:sz w:val="24"/>
          <w:szCs w:val="24"/>
        </w:rPr>
        <w:t>后C</w:t>
      </w:r>
      <w:r>
        <w:rPr>
          <w:kern w:val="0"/>
          <w:sz w:val="24"/>
          <w:szCs w:val="24"/>
        </w:rPr>
        <w:t>OD</w:t>
      </w:r>
      <w:r>
        <w:rPr>
          <w:rFonts w:hint="eastAsia"/>
          <w:kern w:val="0"/>
          <w:sz w:val="24"/>
          <w:szCs w:val="24"/>
        </w:rPr>
        <w:t>、B</w:t>
      </w:r>
      <w:r>
        <w:rPr>
          <w:kern w:val="0"/>
          <w:sz w:val="24"/>
          <w:szCs w:val="24"/>
        </w:rPr>
        <w:t>OD</w:t>
      </w:r>
      <w:r>
        <w:rPr>
          <w:kern w:val="0"/>
          <w:sz w:val="24"/>
          <w:szCs w:val="24"/>
          <w:vertAlign w:val="subscript"/>
        </w:rPr>
        <w:t>5</w:t>
      </w:r>
      <w:r>
        <w:rPr>
          <w:rFonts w:hint="eastAsia"/>
          <w:kern w:val="0"/>
          <w:sz w:val="24"/>
          <w:szCs w:val="24"/>
        </w:rPr>
        <w:t>、S</w:t>
      </w:r>
      <w:r>
        <w:rPr>
          <w:kern w:val="0"/>
          <w:sz w:val="24"/>
          <w:szCs w:val="24"/>
        </w:rPr>
        <w:t>S</w:t>
      </w:r>
      <w:r>
        <w:rPr>
          <w:rFonts w:hint="eastAsia"/>
          <w:kern w:val="0"/>
          <w:sz w:val="24"/>
          <w:szCs w:val="24"/>
        </w:rPr>
        <w:t>、氨氮、总磷、总氮满足原阳县产业集聚区污水处理厂收水要求（</w:t>
      </w:r>
      <w:r>
        <w:rPr>
          <w:kern w:val="0"/>
          <w:sz w:val="24"/>
          <w:szCs w:val="24"/>
        </w:rPr>
        <w:t>COD 420</w:t>
      </w:r>
      <w:r>
        <w:rPr>
          <w:rFonts w:hint="eastAsia"/>
          <w:kern w:val="0"/>
          <w:sz w:val="24"/>
          <w:szCs w:val="24"/>
        </w:rPr>
        <w:t>mg/L、B</w:t>
      </w:r>
      <w:r>
        <w:rPr>
          <w:kern w:val="0"/>
          <w:sz w:val="24"/>
          <w:szCs w:val="24"/>
        </w:rPr>
        <w:t>OD</w:t>
      </w:r>
      <w:r>
        <w:rPr>
          <w:kern w:val="0"/>
          <w:sz w:val="24"/>
          <w:szCs w:val="24"/>
          <w:vertAlign w:val="subscript"/>
        </w:rPr>
        <w:t>5</w:t>
      </w:r>
      <w:r>
        <w:rPr>
          <w:kern w:val="0"/>
          <w:sz w:val="24"/>
          <w:szCs w:val="24"/>
        </w:rPr>
        <w:t xml:space="preserve"> 210</w:t>
      </w:r>
      <w:r>
        <w:rPr>
          <w:rFonts w:hint="eastAsia"/>
          <w:kern w:val="0"/>
          <w:sz w:val="24"/>
          <w:szCs w:val="24"/>
        </w:rPr>
        <w:t>mg/L、S</w:t>
      </w:r>
      <w:r>
        <w:rPr>
          <w:kern w:val="0"/>
          <w:sz w:val="24"/>
          <w:szCs w:val="24"/>
        </w:rPr>
        <w:t>S 350</w:t>
      </w:r>
      <w:r>
        <w:rPr>
          <w:rFonts w:hint="eastAsia"/>
          <w:kern w:val="0"/>
          <w:sz w:val="24"/>
          <w:szCs w:val="24"/>
        </w:rPr>
        <w:t>mg/L、氨氮</w:t>
      </w:r>
      <w:r>
        <w:rPr>
          <w:kern w:val="0"/>
          <w:sz w:val="24"/>
          <w:szCs w:val="24"/>
        </w:rPr>
        <w:t>40</w:t>
      </w:r>
      <w:r>
        <w:rPr>
          <w:rFonts w:hint="eastAsia"/>
          <w:kern w:val="0"/>
          <w:sz w:val="24"/>
          <w:szCs w:val="24"/>
        </w:rPr>
        <w:t>mg/L、T</w:t>
      </w:r>
      <w:r>
        <w:rPr>
          <w:kern w:val="0"/>
          <w:sz w:val="24"/>
          <w:szCs w:val="24"/>
        </w:rPr>
        <w:t>P 4</w:t>
      </w:r>
      <w:r>
        <w:rPr>
          <w:rFonts w:hint="eastAsia"/>
          <w:kern w:val="0"/>
          <w:sz w:val="24"/>
          <w:szCs w:val="24"/>
        </w:rPr>
        <w:t>mg/L、T</w:t>
      </w:r>
      <w:r>
        <w:rPr>
          <w:kern w:val="0"/>
          <w:sz w:val="24"/>
          <w:szCs w:val="24"/>
        </w:rPr>
        <w:t>N 50</w:t>
      </w:r>
      <w:r>
        <w:rPr>
          <w:rFonts w:hint="eastAsia"/>
          <w:kern w:val="0"/>
          <w:sz w:val="24"/>
          <w:szCs w:val="24"/>
        </w:rPr>
        <w:t>mg/L），动植物油满足《污水综合排放标准》（G</w:t>
      </w:r>
      <w:r>
        <w:rPr>
          <w:kern w:val="0"/>
          <w:sz w:val="24"/>
          <w:szCs w:val="24"/>
        </w:rPr>
        <w:t>B8978-1996</w:t>
      </w:r>
      <w:r>
        <w:rPr>
          <w:rFonts w:hint="eastAsia"/>
          <w:kern w:val="0"/>
          <w:sz w:val="24"/>
          <w:szCs w:val="24"/>
        </w:rPr>
        <w:t>）二级标准：动植物油1</w:t>
      </w:r>
      <w:r>
        <w:rPr>
          <w:kern w:val="0"/>
          <w:sz w:val="24"/>
          <w:szCs w:val="24"/>
        </w:rPr>
        <w:t>5mg/L</w:t>
      </w:r>
      <w:r>
        <w:rPr>
          <w:rFonts w:hint="eastAsia"/>
          <w:kern w:val="0"/>
          <w:sz w:val="24"/>
          <w:szCs w:val="24"/>
        </w:rPr>
        <w:t>的标准限值</w:t>
      </w:r>
      <w:r>
        <w:rPr>
          <w:kern w:val="0"/>
          <w:sz w:val="24"/>
          <w:szCs w:val="24"/>
        </w:rPr>
        <w:t>。</w:t>
      </w:r>
    </w:p>
    <w:p>
      <w:pPr>
        <w:keepNext/>
        <w:keepLines/>
        <w:spacing w:line="520" w:lineRule="exact"/>
        <w:outlineLvl w:val="1"/>
        <w:rPr>
          <w:rFonts w:eastAsia="黑体"/>
          <w:b/>
          <w:bCs/>
          <w:sz w:val="28"/>
          <w:szCs w:val="28"/>
          <w:lang w:val="zh-CN"/>
        </w:rPr>
      </w:pPr>
      <w:bookmarkStart w:id="8" w:name="_Toc75824177"/>
      <w:bookmarkStart w:id="9" w:name="_Toc19433"/>
      <w:r>
        <w:rPr>
          <w:rFonts w:eastAsia="黑体"/>
          <w:bCs/>
          <w:sz w:val="28"/>
          <w:szCs w:val="28"/>
          <w:lang w:val="zh-CN"/>
        </w:rPr>
        <w:t>1.6与产业政策、区域规划的相符性</w:t>
      </w:r>
      <w:bookmarkEnd w:id="8"/>
      <w:bookmarkEnd w:id="9"/>
    </w:p>
    <w:p>
      <w:pPr>
        <w:autoSpaceDE w:val="0"/>
        <w:autoSpaceDN w:val="0"/>
        <w:spacing w:line="520" w:lineRule="exact"/>
        <w:ind w:firstLine="480" w:firstLineChars="200"/>
        <w:jc w:val="left"/>
        <w:rPr>
          <w:kern w:val="0"/>
          <w:sz w:val="24"/>
          <w:szCs w:val="24"/>
        </w:rPr>
      </w:pPr>
      <w:r>
        <w:rPr>
          <w:kern w:val="0"/>
          <w:sz w:val="24"/>
          <w:szCs w:val="24"/>
        </w:rPr>
        <w:t>（1）产业政策相符性</w:t>
      </w:r>
    </w:p>
    <w:p>
      <w:pPr>
        <w:autoSpaceDE w:val="0"/>
        <w:autoSpaceDN w:val="0"/>
        <w:spacing w:line="520" w:lineRule="exact"/>
        <w:ind w:firstLine="480" w:firstLineChars="200"/>
        <w:jc w:val="left"/>
        <w:rPr>
          <w:kern w:val="0"/>
          <w:sz w:val="24"/>
          <w:szCs w:val="24"/>
        </w:rPr>
      </w:pPr>
      <w:r>
        <w:rPr>
          <w:kern w:val="0"/>
          <w:sz w:val="24"/>
          <w:szCs w:val="24"/>
        </w:rPr>
        <w:t>本项目性质为</w:t>
      </w:r>
      <w:r>
        <w:rPr>
          <w:rFonts w:hint="eastAsia"/>
          <w:kern w:val="0"/>
          <w:sz w:val="24"/>
          <w:szCs w:val="24"/>
        </w:rPr>
        <w:t>新建</w:t>
      </w:r>
      <w:r>
        <w:rPr>
          <w:kern w:val="0"/>
          <w:sz w:val="24"/>
          <w:szCs w:val="24"/>
        </w:rPr>
        <w:t>项目，属于</w:t>
      </w:r>
      <w:r>
        <w:rPr>
          <w:rFonts w:hint="eastAsia"/>
          <w:kern w:val="0"/>
          <w:sz w:val="24"/>
          <w:szCs w:val="24"/>
        </w:rPr>
        <w:t>房地产业、水的生产和供应业。</w:t>
      </w:r>
      <w:r>
        <w:rPr>
          <w:kern w:val="0"/>
          <w:sz w:val="24"/>
          <w:szCs w:val="24"/>
        </w:rPr>
        <w:t>本项目</w:t>
      </w:r>
      <w:r>
        <w:rPr>
          <w:rFonts w:hint="eastAsia"/>
          <w:kern w:val="0"/>
          <w:sz w:val="24"/>
          <w:szCs w:val="24"/>
        </w:rPr>
        <w:t>拟建生产车间、污水处理站</w:t>
      </w:r>
      <w:r>
        <w:rPr>
          <w:kern w:val="0"/>
          <w:sz w:val="24"/>
          <w:szCs w:val="24"/>
        </w:rPr>
        <w:t>，不属于《产业结构调整指导目录（20</w:t>
      </w:r>
      <w:r>
        <w:rPr>
          <w:rFonts w:hint="eastAsia"/>
          <w:kern w:val="0"/>
          <w:sz w:val="24"/>
          <w:szCs w:val="24"/>
        </w:rPr>
        <w:t>24</w:t>
      </w:r>
      <w:r>
        <w:rPr>
          <w:kern w:val="0"/>
          <w:sz w:val="24"/>
          <w:szCs w:val="24"/>
        </w:rPr>
        <w:t>年本）》中限制类和淘汰类项目，属于允许类，符合国家产业政策。</w:t>
      </w:r>
    </w:p>
    <w:p>
      <w:pPr>
        <w:autoSpaceDE w:val="0"/>
        <w:autoSpaceDN w:val="0"/>
        <w:spacing w:line="520" w:lineRule="exact"/>
        <w:ind w:firstLine="480" w:firstLineChars="200"/>
        <w:rPr>
          <w:kern w:val="0"/>
          <w:sz w:val="24"/>
          <w:szCs w:val="24"/>
        </w:rPr>
      </w:pPr>
      <w:r>
        <w:rPr>
          <w:kern w:val="0"/>
          <w:sz w:val="24"/>
          <w:szCs w:val="24"/>
        </w:rPr>
        <w:t>项目建设符合</w:t>
      </w:r>
      <w:bookmarkStart w:id="10" w:name="_Hlk136619934"/>
      <w:r>
        <w:rPr>
          <w:rFonts w:hint="eastAsia"/>
          <w:kern w:val="0"/>
          <w:sz w:val="24"/>
          <w:szCs w:val="24"/>
        </w:rPr>
        <w:t>《新乡市环境污染防治攻坚指挥部办公室关于印发&lt;新乡市2</w:t>
      </w:r>
      <w:r>
        <w:rPr>
          <w:kern w:val="0"/>
          <w:sz w:val="24"/>
          <w:szCs w:val="24"/>
        </w:rPr>
        <w:t>023</w:t>
      </w:r>
      <w:r>
        <w:rPr>
          <w:rFonts w:hint="eastAsia"/>
          <w:kern w:val="0"/>
          <w:sz w:val="24"/>
          <w:szCs w:val="24"/>
        </w:rPr>
        <w:t>年碧水保卫战实施方案&gt;的通知》（新环攻坚办</w:t>
      </w:r>
      <w:r>
        <w:rPr>
          <w:kern w:val="0"/>
          <w:sz w:val="24"/>
          <w:szCs w:val="24"/>
        </w:rPr>
        <w:t>〔2023〕66号</w:t>
      </w:r>
      <w:r>
        <w:rPr>
          <w:rFonts w:hint="eastAsia"/>
          <w:kern w:val="0"/>
          <w:sz w:val="24"/>
          <w:szCs w:val="24"/>
        </w:rPr>
        <w:t>）</w:t>
      </w:r>
      <w:bookmarkEnd w:id="10"/>
      <w:r>
        <w:rPr>
          <w:rFonts w:hint="eastAsia"/>
          <w:kern w:val="0"/>
          <w:sz w:val="24"/>
          <w:szCs w:val="24"/>
        </w:rPr>
        <w:t>、《新乡市环境污染防治攻坚指挥部办公室关于印发&lt;新乡市2</w:t>
      </w:r>
      <w:r>
        <w:rPr>
          <w:kern w:val="0"/>
          <w:sz w:val="24"/>
          <w:szCs w:val="24"/>
        </w:rPr>
        <w:t>023</w:t>
      </w:r>
      <w:r>
        <w:rPr>
          <w:rFonts w:hint="eastAsia"/>
          <w:kern w:val="0"/>
          <w:sz w:val="24"/>
          <w:szCs w:val="24"/>
        </w:rPr>
        <w:t>年蓝天保卫战实施方案&gt;的通知》（新环攻坚办</w:t>
      </w:r>
      <w:r>
        <w:rPr>
          <w:kern w:val="0"/>
          <w:sz w:val="24"/>
          <w:szCs w:val="24"/>
        </w:rPr>
        <w:t>〔2023〕77号</w:t>
      </w:r>
      <w:r>
        <w:rPr>
          <w:rFonts w:hint="eastAsia"/>
          <w:kern w:val="0"/>
          <w:sz w:val="24"/>
          <w:szCs w:val="24"/>
        </w:rPr>
        <w:t>）、《新乡市环境污染防治攻坚指挥部办公室关于印发&lt;新乡市2</w:t>
      </w:r>
      <w:r>
        <w:rPr>
          <w:kern w:val="0"/>
          <w:sz w:val="24"/>
          <w:szCs w:val="24"/>
        </w:rPr>
        <w:t>023</w:t>
      </w:r>
      <w:r>
        <w:rPr>
          <w:rFonts w:hint="eastAsia"/>
          <w:kern w:val="0"/>
          <w:sz w:val="24"/>
          <w:szCs w:val="24"/>
        </w:rPr>
        <w:t>年净土保卫战实施方案&gt;的通知》（新环攻坚办</w:t>
      </w:r>
      <w:r>
        <w:rPr>
          <w:kern w:val="0"/>
          <w:sz w:val="24"/>
          <w:szCs w:val="24"/>
        </w:rPr>
        <w:t>〔2023〕65号</w:t>
      </w:r>
      <w:r>
        <w:rPr>
          <w:rFonts w:hint="eastAsia"/>
          <w:kern w:val="0"/>
          <w:sz w:val="24"/>
          <w:szCs w:val="24"/>
        </w:rPr>
        <w:t>）、《新乡市环境污染防治攻坚指挥部办公室关于印发&lt;新乡市深入打好秋冬重污染天气消除、夏季臭氧污染防治和柴油货车污染治理攻坚战实施方案&gt;的通知》（新环攻坚办</w:t>
      </w:r>
      <w:r>
        <w:rPr>
          <w:kern w:val="0"/>
          <w:sz w:val="24"/>
          <w:szCs w:val="24"/>
        </w:rPr>
        <w:t>〔2023〕73号</w:t>
      </w:r>
      <w:r>
        <w:rPr>
          <w:rFonts w:hint="eastAsia"/>
          <w:kern w:val="0"/>
          <w:sz w:val="24"/>
          <w:szCs w:val="24"/>
        </w:rPr>
        <w:t>）</w:t>
      </w:r>
      <w:r>
        <w:rPr>
          <w:kern w:val="0"/>
          <w:sz w:val="24"/>
          <w:szCs w:val="24"/>
        </w:rPr>
        <w:t>等文件的相关要求。</w:t>
      </w:r>
    </w:p>
    <w:p>
      <w:pPr>
        <w:autoSpaceDE w:val="0"/>
        <w:autoSpaceDN w:val="0"/>
        <w:spacing w:line="520" w:lineRule="exact"/>
        <w:ind w:firstLine="480" w:firstLineChars="200"/>
        <w:jc w:val="left"/>
        <w:rPr>
          <w:kern w:val="0"/>
          <w:sz w:val="24"/>
          <w:szCs w:val="24"/>
        </w:rPr>
      </w:pPr>
      <w:r>
        <w:rPr>
          <w:kern w:val="0"/>
          <w:sz w:val="24"/>
          <w:szCs w:val="24"/>
        </w:rPr>
        <w:t>（2）区域规划相符性</w:t>
      </w:r>
    </w:p>
    <w:p>
      <w:pPr>
        <w:autoSpaceDE w:val="0"/>
        <w:autoSpaceDN w:val="0"/>
        <w:spacing w:line="520" w:lineRule="exact"/>
        <w:ind w:firstLine="480" w:firstLineChars="200"/>
        <w:jc w:val="left"/>
        <w:rPr>
          <w:kern w:val="0"/>
          <w:sz w:val="24"/>
          <w:szCs w:val="24"/>
        </w:rPr>
      </w:pPr>
      <w:r>
        <w:rPr>
          <w:kern w:val="0"/>
          <w:sz w:val="24"/>
          <w:szCs w:val="24"/>
        </w:rPr>
        <w:t>项目厂址位于</w:t>
      </w:r>
      <w:r>
        <w:rPr>
          <w:rFonts w:hint="eastAsia"/>
          <w:kern w:val="0"/>
          <w:sz w:val="24"/>
          <w:szCs w:val="24"/>
        </w:rPr>
        <w:t>原阳县产业聚集区永安路南侧、小庄村西侧（金祥南街建成打通后为金祥南街西侧，路东为小庄村）、小庄排河东侧</w:t>
      </w:r>
      <w:r>
        <w:rPr>
          <w:kern w:val="0"/>
          <w:sz w:val="24"/>
          <w:szCs w:val="24"/>
        </w:rPr>
        <w:t>。根据《</w:t>
      </w:r>
      <w:r>
        <w:rPr>
          <w:rFonts w:hint="eastAsia"/>
          <w:kern w:val="0"/>
          <w:sz w:val="24"/>
          <w:szCs w:val="24"/>
        </w:rPr>
        <w:t>原阳县</w:t>
      </w:r>
      <w:r>
        <w:rPr>
          <w:kern w:val="0"/>
          <w:sz w:val="24"/>
          <w:szCs w:val="24"/>
        </w:rPr>
        <w:t>产业集聚区发展规划（2012-2020）》（见附图二），项目厂址用地为工业用地</w:t>
      </w:r>
      <w:r>
        <w:rPr>
          <w:rFonts w:hint="eastAsia"/>
          <w:kern w:val="0"/>
          <w:sz w:val="24"/>
          <w:szCs w:val="24"/>
        </w:rPr>
        <w:t>，位于农副产品深加工产业区，</w:t>
      </w:r>
      <w:r>
        <w:rPr>
          <w:kern w:val="0"/>
          <w:sz w:val="24"/>
          <w:szCs w:val="24"/>
        </w:rPr>
        <w:t>本项目建设符合</w:t>
      </w:r>
      <w:r>
        <w:rPr>
          <w:rFonts w:hint="eastAsia"/>
          <w:kern w:val="0"/>
          <w:sz w:val="24"/>
          <w:szCs w:val="24"/>
        </w:rPr>
        <w:t>原阳县</w:t>
      </w:r>
      <w:r>
        <w:rPr>
          <w:kern w:val="0"/>
          <w:sz w:val="24"/>
          <w:szCs w:val="24"/>
        </w:rPr>
        <w:t>产业集聚区发展规</w:t>
      </w:r>
      <w:r>
        <w:rPr>
          <w:rFonts w:hint="eastAsia"/>
          <w:kern w:val="0"/>
          <w:sz w:val="24"/>
          <w:szCs w:val="24"/>
        </w:rPr>
        <w:t>划</w:t>
      </w:r>
      <w:r>
        <w:rPr>
          <w:kern w:val="0"/>
          <w:sz w:val="24"/>
          <w:szCs w:val="24"/>
        </w:rPr>
        <w:t>。同时满足《河南省生态环境准入清单》、《新乡市</w:t>
      </w:r>
      <w:r>
        <w:rPr>
          <w:rFonts w:hint="eastAsia"/>
          <w:kern w:val="0"/>
          <w:sz w:val="24"/>
          <w:szCs w:val="24"/>
        </w:rPr>
        <w:t>“</w:t>
      </w:r>
      <w:r>
        <w:rPr>
          <w:kern w:val="0"/>
          <w:sz w:val="24"/>
          <w:szCs w:val="24"/>
        </w:rPr>
        <w:t>三线一单</w:t>
      </w:r>
      <w:r>
        <w:rPr>
          <w:rFonts w:hint="eastAsia"/>
          <w:kern w:val="0"/>
          <w:sz w:val="24"/>
          <w:szCs w:val="24"/>
        </w:rPr>
        <w:t>”</w:t>
      </w:r>
      <w:r>
        <w:rPr>
          <w:kern w:val="0"/>
          <w:sz w:val="24"/>
          <w:szCs w:val="24"/>
        </w:rPr>
        <w:t>生态环境准入清单》中</w:t>
      </w:r>
      <w:r>
        <w:rPr>
          <w:rFonts w:hint="eastAsia"/>
          <w:kern w:val="0"/>
          <w:sz w:val="24"/>
          <w:szCs w:val="24"/>
        </w:rPr>
        <w:t>原阳县产业集聚区</w:t>
      </w:r>
      <w:r>
        <w:rPr>
          <w:kern w:val="0"/>
          <w:sz w:val="24"/>
          <w:szCs w:val="24"/>
        </w:rPr>
        <w:t>生态管控单元的具体要求。</w:t>
      </w:r>
    </w:p>
    <w:p>
      <w:pPr>
        <w:keepNext/>
        <w:keepLines/>
        <w:spacing w:line="520" w:lineRule="exact"/>
        <w:outlineLvl w:val="1"/>
        <w:rPr>
          <w:rFonts w:eastAsia="黑体"/>
          <w:b/>
          <w:bCs/>
          <w:sz w:val="28"/>
          <w:szCs w:val="28"/>
          <w:lang w:val="zh-CN"/>
        </w:rPr>
      </w:pPr>
      <w:bookmarkStart w:id="11" w:name="_Toc75824178"/>
      <w:bookmarkStart w:id="12" w:name="_Toc29551"/>
      <w:r>
        <w:rPr>
          <w:rFonts w:eastAsia="黑体"/>
          <w:bCs/>
          <w:sz w:val="28"/>
          <w:szCs w:val="28"/>
          <w:lang w:val="zh-CN"/>
        </w:rPr>
        <w:t>1.7评价思路及重点</w:t>
      </w:r>
      <w:bookmarkEnd w:id="11"/>
      <w:bookmarkEnd w:id="12"/>
    </w:p>
    <w:p>
      <w:pPr>
        <w:autoSpaceDE w:val="0"/>
        <w:autoSpaceDN w:val="0"/>
        <w:spacing w:line="520" w:lineRule="exact"/>
        <w:ind w:firstLine="480" w:firstLineChars="200"/>
        <w:jc w:val="left"/>
        <w:rPr>
          <w:kern w:val="0"/>
          <w:sz w:val="24"/>
          <w:szCs w:val="24"/>
        </w:rPr>
      </w:pPr>
      <w:r>
        <w:rPr>
          <w:kern w:val="0"/>
          <w:sz w:val="24"/>
          <w:szCs w:val="24"/>
        </w:rPr>
        <w:t>根据项目特点及周围地区环境特征，确定评价专题设置及工作重点如下表1.7-1：</w:t>
      </w:r>
    </w:p>
    <w:p>
      <w:pPr>
        <w:spacing w:line="520" w:lineRule="exact"/>
        <w:ind w:firstLine="480" w:firstLineChars="200"/>
        <w:rPr>
          <w:rFonts w:eastAsia="黑体"/>
          <w:sz w:val="24"/>
          <w:szCs w:val="20"/>
        </w:rPr>
      </w:pPr>
      <w:r>
        <w:rPr>
          <w:rFonts w:eastAsia="黑体"/>
          <w:sz w:val="24"/>
          <w:szCs w:val="20"/>
        </w:rPr>
        <w:t>表1.7-1                 评价专题设置及评价重点</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099"/>
        <w:gridCol w:w="4670"/>
        <w:gridCol w:w="217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3" w:type="pct"/>
            <w:vAlign w:val="center"/>
          </w:tcPr>
          <w:p>
            <w:pPr>
              <w:spacing w:line="360" w:lineRule="exact"/>
              <w:jc w:val="center"/>
              <w:rPr>
                <w:b/>
                <w:bCs/>
                <w:szCs w:val="20"/>
              </w:rPr>
            </w:pPr>
            <w:r>
              <w:rPr>
                <w:b/>
                <w:bCs/>
                <w:szCs w:val="20"/>
              </w:rPr>
              <w:t>章节序列</w:t>
            </w:r>
          </w:p>
        </w:tc>
        <w:tc>
          <w:tcPr>
            <w:tcW w:w="2610" w:type="pct"/>
            <w:vAlign w:val="center"/>
          </w:tcPr>
          <w:p>
            <w:pPr>
              <w:spacing w:line="360" w:lineRule="exact"/>
              <w:jc w:val="center"/>
              <w:rPr>
                <w:b/>
                <w:bCs/>
                <w:szCs w:val="20"/>
              </w:rPr>
            </w:pPr>
            <w:r>
              <w:rPr>
                <w:b/>
                <w:bCs/>
                <w:szCs w:val="20"/>
              </w:rPr>
              <w:t>专题设置</w:t>
            </w:r>
          </w:p>
        </w:tc>
        <w:tc>
          <w:tcPr>
            <w:tcW w:w="1217" w:type="pct"/>
            <w:vAlign w:val="center"/>
          </w:tcPr>
          <w:p>
            <w:pPr>
              <w:spacing w:line="360" w:lineRule="exact"/>
              <w:jc w:val="center"/>
              <w:rPr>
                <w:b/>
                <w:bCs/>
                <w:szCs w:val="20"/>
              </w:rPr>
            </w:pPr>
            <w:r>
              <w:rPr>
                <w:b/>
                <w:bCs/>
                <w:szCs w:val="20"/>
              </w:rPr>
              <w:t>评价重点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3" w:type="pct"/>
            <w:vAlign w:val="center"/>
          </w:tcPr>
          <w:p>
            <w:pPr>
              <w:spacing w:line="360" w:lineRule="exact"/>
              <w:jc w:val="center"/>
              <w:rPr>
                <w:szCs w:val="20"/>
              </w:rPr>
            </w:pPr>
            <w:r>
              <w:rPr>
                <w:szCs w:val="20"/>
              </w:rPr>
              <w:t>第一章</w:t>
            </w:r>
          </w:p>
        </w:tc>
        <w:tc>
          <w:tcPr>
            <w:tcW w:w="2610" w:type="pct"/>
            <w:vAlign w:val="center"/>
          </w:tcPr>
          <w:p>
            <w:pPr>
              <w:spacing w:line="360" w:lineRule="exact"/>
              <w:jc w:val="center"/>
              <w:rPr>
                <w:szCs w:val="20"/>
              </w:rPr>
            </w:pPr>
            <w:r>
              <w:rPr>
                <w:szCs w:val="20"/>
              </w:rPr>
              <w:t>概述</w:t>
            </w:r>
          </w:p>
        </w:tc>
        <w:tc>
          <w:tcPr>
            <w:tcW w:w="1217" w:type="pct"/>
            <w:vAlign w:val="center"/>
          </w:tcPr>
          <w:p>
            <w:pPr>
              <w:spacing w:line="360" w:lineRule="exact"/>
              <w:jc w:val="center"/>
              <w:rPr>
                <w:szCs w:val="2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3" w:type="pct"/>
            <w:vAlign w:val="center"/>
          </w:tcPr>
          <w:p>
            <w:pPr>
              <w:spacing w:line="360" w:lineRule="exact"/>
              <w:jc w:val="center"/>
              <w:rPr>
                <w:szCs w:val="20"/>
              </w:rPr>
            </w:pPr>
            <w:r>
              <w:rPr>
                <w:szCs w:val="20"/>
              </w:rPr>
              <w:t>第二章</w:t>
            </w:r>
          </w:p>
        </w:tc>
        <w:tc>
          <w:tcPr>
            <w:tcW w:w="2610" w:type="pct"/>
            <w:vAlign w:val="center"/>
          </w:tcPr>
          <w:p>
            <w:pPr>
              <w:spacing w:line="360" w:lineRule="exact"/>
              <w:jc w:val="center"/>
              <w:rPr>
                <w:szCs w:val="20"/>
              </w:rPr>
            </w:pPr>
            <w:r>
              <w:rPr>
                <w:szCs w:val="20"/>
              </w:rPr>
              <w:t>总则</w:t>
            </w:r>
          </w:p>
        </w:tc>
        <w:tc>
          <w:tcPr>
            <w:tcW w:w="1217" w:type="pct"/>
            <w:vAlign w:val="center"/>
          </w:tcPr>
          <w:p>
            <w:pPr>
              <w:spacing w:line="360" w:lineRule="exact"/>
              <w:jc w:val="center"/>
              <w:rPr>
                <w:szCs w:val="2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3" w:type="pct"/>
            <w:vAlign w:val="center"/>
          </w:tcPr>
          <w:p>
            <w:pPr>
              <w:spacing w:line="360" w:lineRule="exact"/>
              <w:jc w:val="center"/>
              <w:rPr>
                <w:szCs w:val="20"/>
              </w:rPr>
            </w:pPr>
            <w:r>
              <w:rPr>
                <w:szCs w:val="20"/>
              </w:rPr>
              <w:t>第三章</w:t>
            </w:r>
          </w:p>
        </w:tc>
        <w:tc>
          <w:tcPr>
            <w:tcW w:w="2610" w:type="pct"/>
            <w:vAlign w:val="center"/>
          </w:tcPr>
          <w:p>
            <w:pPr>
              <w:spacing w:line="360" w:lineRule="exact"/>
              <w:jc w:val="center"/>
              <w:rPr>
                <w:szCs w:val="20"/>
              </w:rPr>
            </w:pPr>
            <w:r>
              <w:rPr>
                <w:szCs w:val="20"/>
              </w:rPr>
              <w:t>工程分析</w:t>
            </w:r>
          </w:p>
        </w:tc>
        <w:tc>
          <w:tcPr>
            <w:tcW w:w="1217" w:type="pct"/>
            <w:vAlign w:val="center"/>
          </w:tcPr>
          <w:p>
            <w:pPr>
              <w:spacing w:line="360" w:lineRule="exact"/>
              <w:jc w:val="center"/>
              <w:rPr>
                <w:szCs w:val="20"/>
              </w:rPr>
            </w:pPr>
            <w:r>
              <w:rPr>
                <w:rFonts w:ascii="Segoe UI Symbol" w:hAnsi="Segoe UI Symbol" w:cs="Segoe UI Symbol"/>
                <w:szCs w:val="20"/>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3" w:type="pct"/>
            <w:vAlign w:val="center"/>
          </w:tcPr>
          <w:p>
            <w:pPr>
              <w:spacing w:line="360" w:lineRule="exact"/>
              <w:jc w:val="center"/>
              <w:rPr>
                <w:szCs w:val="20"/>
              </w:rPr>
            </w:pPr>
            <w:r>
              <w:rPr>
                <w:szCs w:val="20"/>
              </w:rPr>
              <w:t>第四章</w:t>
            </w:r>
          </w:p>
        </w:tc>
        <w:tc>
          <w:tcPr>
            <w:tcW w:w="2610" w:type="pct"/>
            <w:vAlign w:val="center"/>
          </w:tcPr>
          <w:p>
            <w:pPr>
              <w:spacing w:line="360" w:lineRule="exact"/>
              <w:jc w:val="center"/>
              <w:rPr>
                <w:szCs w:val="20"/>
              </w:rPr>
            </w:pPr>
            <w:r>
              <w:rPr>
                <w:szCs w:val="20"/>
              </w:rPr>
              <w:t>环境现状</w:t>
            </w:r>
            <w:r>
              <w:rPr>
                <w:rFonts w:hint="eastAsia"/>
                <w:szCs w:val="20"/>
              </w:rPr>
              <w:t>调查与评价</w:t>
            </w:r>
          </w:p>
        </w:tc>
        <w:tc>
          <w:tcPr>
            <w:tcW w:w="1217" w:type="pct"/>
            <w:vAlign w:val="center"/>
          </w:tcPr>
          <w:p>
            <w:pPr>
              <w:spacing w:line="360" w:lineRule="exact"/>
              <w:jc w:val="center"/>
              <w:rPr>
                <w:szCs w:val="20"/>
              </w:rPr>
            </w:pPr>
            <w:r>
              <w:rPr>
                <w:rFonts w:ascii="Segoe UI Symbol" w:hAnsi="Segoe UI Symbol" w:cs="Segoe UI Symbol"/>
                <w:szCs w:val="20"/>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3" w:type="pct"/>
            <w:vAlign w:val="center"/>
          </w:tcPr>
          <w:p>
            <w:pPr>
              <w:spacing w:line="360" w:lineRule="exact"/>
              <w:jc w:val="center"/>
              <w:rPr>
                <w:szCs w:val="20"/>
              </w:rPr>
            </w:pPr>
            <w:r>
              <w:rPr>
                <w:szCs w:val="20"/>
              </w:rPr>
              <w:t>第五章</w:t>
            </w:r>
          </w:p>
        </w:tc>
        <w:tc>
          <w:tcPr>
            <w:tcW w:w="2610" w:type="pct"/>
            <w:vAlign w:val="center"/>
          </w:tcPr>
          <w:p>
            <w:pPr>
              <w:spacing w:line="360" w:lineRule="exact"/>
              <w:jc w:val="center"/>
              <w:rPr>
                <w:szCs w:val="20"/>
              </w:rPr>
            </w:pPr>
            <w:r>
              <w:rPr>
                <w:szCs w:val="20"/>
              </w:rPr>
              <w:t>环境影响预测与评价</w:t>
            </w:r>
          </w:p>
        </w:tc>
        <w:tc>
          <w:tcPr>
            <w:tcW w:w="1217" w:type="pct"/>
            <w:vAlign w:val="center"/>
          </w:tcPr>
          <w:p>
            <w:pPr>
              <w:spacing w:line="360" w:lineRule="exact"/>
              <w:jc w:val="center"/>
              <w:rPr>
                <w:szCs w:val="20"/>
              </w:rPr>
            </w:pPr>
            <w:r>
              <w:rPr>
                <w:rFonts w:ascii="Segoe UI Symbol" w:hAnsi="Segoe UI Symbol" w:cs="Segoe UI Symbol"/>
                <w:szCs w:val="20"/>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3" w:type="pct"/>
            <w:vAlign w:val="center"/>
          </w:tcPr>
          <w:p>
            <w:pPr>
              <w:spacing w:line="360" w:lineRule="exact"/>
              <w:jc w:val="center"/>
              <w:rPr>
                <w:szCs w:val="20"/>
              </w:rPr>
            </w:pPr>
            <w:r>
              <w:rPr>
                <w:szCs w:val="20"/>
              </w:rPr>
              <w:t>第六章</w:t>
            </w:r>
          </w:p>
        </w:tc>
        <w:tc>
          <w:tcPr>
            <w:tcW w:w="2610" w:type="pct"/>
            <w:vAlign w:val="center"/>
          </w:tcPr>
          <w:p>
            <w:pPr>
              <w:spacing w:line="360" w:lineRule="exact"/>
              <w:jc w:val="center"/>
              <w:rPr>
                <w:szCs w:val="20"/>
              </w:rPr>
            </w:pPr>
            <w:r>
              <w:rPr>
                <w:rFonts w:hint="eastAsia"/>
                <w:szCs w:val="20"/>
              </w:rPr>
              <w:t>环境风险分析</w:t>
            </w:r>
          </w:p>
        </w:tc>
        <w:tc>
          <w:tcPr>
            <w:tcW w:w="1217" w:type="pct"/>
            <w:vAlign w:val="center"/>
          </w:tcPr>
          <w:p>
            <w:pPr>
              <w:spacing w:line="360" w:lineRule="exact"/>
              <w:jc w:val="center"/>
              <w:rPr>
                <w:rFonts w:ascii="Segoe UI Symbol" w:hAnsi="Segoe UI Symbol" w:cs="Segoe UI Symbol"/>
                <w:szCs w:val="2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3" w:type="pct"/>
            <w:vAlign w:val="center"/>
          </w:tcPr>
          <w:p>
            <w:pPr>
              <w:spacing w:line="360" w:lineRule="exact"/>
              <w:jc w:val="center"/>
              <w:rPr>
                <w:szCs w:val="20"/>
              </w:rPr>
            </w:pPr>
            <w:r>
              <w:rPr>
                <w:szCs w:val="20"/>
              </w:rPr>
              <w:t>第七章</w:t>
            </w:r>
          </w:p>
        </w:tc>
        <w:tc>
          <w:tcPr>
            <w:tcW w:w="2610" w:type="pct"/>
            <w:vAlign w:val="center"/>
          </w:tcPr>
          <w:p>
            <w:pPr>
              <w:spacing w:line="360" w:lineRule="exact"/>
              <w:jc w:val="center"/>
              <w:rPr>
                <w:szCs w:val="20"/>
              </w:rPr>
            </w:pPr>
            <w:r>
              <w:rPr>
                <w:szCs w:val="20"/>
              </w:rPr>
              <w:t>环境保护措施及其可行性分析</w:t>
            </w:r>
          </w:p>
        </w:tc>
        <w:tc>
          <w:tcPr>
            <w:tcW w:w="1217" w:type="pct"/>
            <w:vAlign w:val="center"/>
          </w:tcPr>
          <w:p>
            <w:pPr>
              <w:spacing w:line="360" w:lineRule="exact"/>
              <w:jc w:val="center"/>
              <w:rPr>
                <w:szCs w:val="20"/>
              </w:rPr>
            </w:pPr>
            <w:r>
              <w:rPr>
                <w:rFonts w:ascii="Segoe UI Symbol" w:hAnsi="Segoe UI Symbol" w:cs="Segoe UI Symbol"/>
                <w:szCs w:val="20"/>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3" w:type="pct"/>
            <w:vAlign w:val="center"/>
          </w:tcPr>
          <w:p>
            <w:pPr>
              <w:spacing w:line="360" w:lineRule="exact"/>
              <w:jc w:val="center"/>
              <w:rPr>
                <w:szCs w:val="20"/>
              </w:rPr>
            </w:pPr>
            <w:r>
              <w:rPr>
                <w:szCs w:val="20"/>
              </w:rPr>
              <w:t>第八章</w:t>
            </w:r>
          </w:p>
        </w:tc>
        <w:tc>
          <w:tcPr>
            <w:tcW w:w="2610" w:type="pct"/>
            <w:vAlign w:val="center"/>
          </w:tcPr>
          <w:p>
            <w:pPr>
              <w:spacing w:line="360" w:lineRule="exact"/>
              <w:jc w:val="center"/>
              <w:rPr>
                <w:szCs w:val="20"/>
              </w:rPr>
            </w:pPr>
            <w:r>
              <w:rPr>
                <w:szCs w:val="20"/>
              </w:rPr>
              <w:t>环境影响经济损益分析</w:t>
            </w:r>
          </w:p>
        </w:tc>
        <w:tc>
          <w:tcPr>
            <w:tcW w:w="1217" w:type="pct"/>
            <w:vAlign w:val="center"/>
          </w:tcPr>
          <w:p>
            <w:pPr>
              <w:spacing w:line="360" w:lineRule="exact"/>
              <w:jc w:val="center"/>
              <w:rPr>
                <w:szCs w:val="2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3" w:type="pct"/>
            <w:vAlign w:val="center"/>
          </w:tcPr>
          <w:p>
            <w:pPr>
              <w:spacing w:line="360" w:lineRule="exact"/>
              <w:jc w:val="center"/>
              <w:rPr>
                <w:szCs w:val="20"/>
              </w:rPr>
            </w:pPr>
            <w:r>
              <w:rPr>
                <w:szCs w:val="20"/>
              </w:rPr>
              <w:t>第九章</w:t>
            </w:r>
          </w:p>
        </w:tc>
        <w:tc>
          <w:tcPr>
            <w:tcW w:w="2610" w:type="pct"/>
            <w:vAlign w:val="center"/>
          </w:tcPr>
          <w:p>
            <w:pPr>
              <w:spacing w:line="360" w:lineRule="exact"/>
              <w:jc w:val="center"/>
              <w:rPr>
                <w:szCs w:val="20"/>
              </w:rPr>
            </w:pPr>
            <w:r>
              <w:rPr>
                <w:szCs w:val="20"/>
              </w:rPr>
              <w:t>环境管理与监控计划</w:t>
            </w:r>
          </w:p>
        </w:tc>
        <w:tc>
          <w:tcPr>
            <w:tcW w:w="1217" w:type="pct"/>
            <w:vAlign w:val="center"/>
          </w:tcPr>
          <w:p>
            <w:pPr>
              <w:spacing w:line="360" w:lineRule="exact"/>
              <w:jc w:val="center"/>
              <w:rPr>
                <w:szCs w:val="20"/>
              </w:rPr>
            </w:pPr>
            <w:r>
              <w:rPr>
                <w:rFonts w:ascii="Segoe UI Symbol" w:hAnsi="Segoe UI Symbol" w:cs="Segoe UI Symbol"/>
                <w:szCs w:val="20"/>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73" w:type="pct"/>
            <w:vAlign w:val="center"/>
          </w:tcPr>
          <w:p>
            <w:pPr>
              <w:spacing w:line="360" w:lineRule="exact"/>
              <w:jc w:val="center"/>
              <w:rPr>
                <w:szCs w:val="20"/>
              </w:rPr>
            </w:pPr>
            <w:r>
              <w:rPr>
                <w:rFonts w:hint="eastAsia"/>
                <w:szCs w:val="20"/>
              </w:rPr>
              <w:t>第十章</w:t>
            </w:r>
          </w:p>
        </w:tc>
        <w:tc>
          <w:tcPr>
            <w:tcW w:w="2610" w:type="pct"/>
            <w:vAlign w:val="center"/>
          </w:tcPr>
          <w:p>
            <w:pPr>
              <w:spacing w:line="360" w:lineRule="exact"/>
              <w:jc w:val="center"/>
              <w:rPr>
                <w:szCs w:val="20"/>
              </w:rPr>
            </w:pPr>
            <w:r>
              <w:rPr>
                <w:rFonts w:hint="eastAsia"/>
                <w:szCs w:val="20"/>
              </w:rPr>
              <w:t>环境影响</w:t>
            </w:r>
            <w:r>
              <w:rPr>
                <w:szCs w:val="20"/>
              </w:rPr>
              <w:t>评价结论</w:t>
            </w:r>
          </w:p>
        </w:tc>
        <w:tc>
          <w:tcPr>
            <w:tcW w:w="1217" w:type="pct"/>
            <w:vAlign w:val="center"/>
          </w:tcPr>
          <w:p>
            <w:pPr>
              <w:spacing w:line="360" w:lineRule="exact"/>
              <w:jc w:val="center"/>
              <w:rPr>
                <w:szCs w:val="20"/>
              </w:rPr>
            </w:pPr>
          </w:p>
        </w:tc>
      </w:tr>
    </w:tbl>
    <w:p>
      <w:pPr>
        <w:keepNext/>
        <w:keepLines/>
        <w:spacing w:line="520" w:lineRule="exact"/>
        <w:outlineLvl w:val="1"/>
        <w:rPr>
          <w:rFonts w:eastAsia="黑体"/>
          <w:bCs/>
          <w:sz w:val="28"/>
          <w:szCs w:val="28"/>
          <w:lang w:val="zh-CN"/>
        </w:rPr>
      </w:pPr>
      <w:bookmarkStart w:id="13" w:name="_Toc428286780"/>
      <w:bookmarkStart w:id="14" w:name="_Toc4952"/>
      <w:bookmarkStart w:id="15" w:name="_Toc75824179"/>
      <w:bookmarkStart w:id="16" w:name="_Toc428287174"/>
      <w:bookmarkStart w:id="17" w:name="_Toc429318388"/>
      <w:r>
        <w:rPr>
          <w:rFonts w:eastAsia="黑体"/>
          <w:bCs/>
          <w:sz w:val="28"/>
          <w:szCs w:val="28"/>
          <w:lang w:val="zh-CN"/>
        </w:rPr>
        <w:t>1.8评价工作程序</w:t>
      </w:r>
      <w:bookmarkEnd w:id="13"/>
      <w:bookmarkEnd w:id="14"/>
      <w:bookmarkEnd w:id="15"/>
      <w:bookmarkEnd w:id="16"/>
      <w:bookmarkEnd w:id="17"/>
    </w:p>
    <w:p>
      <w:pPr>
        <w:autoSpaceDE w:val="0"/>
        <w:autoSpaceDN w:val="0"/>
        <w:spacing w:line="520" w:lineRule="exact"/>
        <w:ind w:firstLine="480" w:firstLineChars="200"/>
        <w:jc w:val="left"/>
        <w:rPr>
          <w:kern w:val="0"/>
          <w:sz w:val="24"/>
          <w:szCs w:val="24"/>
        </w:rPr>
      </w:pPr>
      <w:r>
        <w:rPr>
          <w:kern w:val="0"/>
          <w:sz w:val="24"/>
          <w:szCs w:val="24"/>
        </w:rPr>
        <w:t>评价工作程序见图1.8-1。</w:t>
      </w:r>
    </w:p>
    <w:p>
      <w:pPr>
        <w:jc w:val="center"/>
        <w:rPr>
          <w:b/>
          <w:sz w:val="24"/>
          <w:szCs w:val="20"/>
        </w:rPr>
      </w:pPr>
      <w:r>
        <w:rPr>
          <w:b/>
          <w:sz w:val="24"/>
          <w:szCs w:val="20"/>
        </w:rPr>
        <w:drawing>
          <wp:inline distT="0" distB="0" distL="0" distR="0">
            <wp:extent cx="5143500" cy="5454015"/>
            <wp:effectExtent l="0" t="0" r="0" b="13335"/>
            <wp:docPr id="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格&#10;&#10;描述已自动生成"/>
                    <pic:cNvPicPr>
                      <a:picLocks noChangeAspect="1" noChangeArrowheads="1"/>
                    </pic:cNvPicPr>
                  </pic:nvPicPr>
                  <pic:blipFill>
                    <a:blip r:embed="rId37"/>
                    <a:srcRect/>
                    <a:stretch>
                      <a:fillRect/>
                    </a:stretch>
                  </pic:blipFill>
                  <pic:spPr>
                    <a:xfrm>
                      <a:off x="0" y="0"/>
                      <a:ext cx="5143500" cy="5464197"/>
                    </a:xfrm>
                    <a:prstGeom prst="rect">
                      <a:avLst/>
                    </a:prstGeom>
                    <a:noFill/>
                    <a:ln>
                      <a:noFill/>
                    </a:ln>
                  </pic:spPr>
                </pic:pic>
              </a:graphicData>
            </a:graphic>
          </wp:inline>
        </w:drawing>
      </w:r>
    </w:p>
    <w:p>
      <w:pPr>
        <w:spacing w:line="520" w:lineRule="exact"/>
        <w:jc w:val="center"/>
        <w:rPr>
          <w:rFonts w:eastAsia="黑体"/>
          <w:bCs/>
          <w:sz w:val="24"/>
          <w:szCs w:val="20"/>
        </w:rPr>
      </w:pPr>
      <w:r>
        <w:rPr>
          <w:rFonts w:eastAsia="黑体"/>
          <w:bCs/>
          <w:sz w:val="24"/>
          <w:szCs w:val="20"/>
        </w:rPr>
        <w:t>图1.8-1  环境影响评价工作程序</w:t>
      </w:r>
    </w:p>
    <w:p>
      <w:pPr>
        <w:keepNext/>
        <w:keepLines/>
        <w:spacing w:line="520" w:lineRule="exact"/>
        <w:outlineLvl w:val="1"/>
        <w:rPr>
          <w:rFonts w:eastAsia="黑体"/>
          <w:b/>
          <w:bCs/>
          <w:sz w:val="28"/>
          <w:szCs w:val="28"/>
          <w:lang w:val="zh-CN"/>
        </w:rPr>
      </w:pPr>
      <w:bookmarkStart w:id="18" w:name="_Toc75824180"/>
      <w:bookmarkStart w:id="19" w:name="_Toc2527"/>
      <w:r>
        <w:rPr>
          <w:rFonts w:eastAsia="黑体"/>
          <w:bCs/>
          <w:sz w:val="28"/>
          <w:szCs w:val="28"/>
          <w:lang w:val="zh-CN"/>
        </w:rPr>
        <w:t>1.9环境影响评价的主要结论</w:t>
      </w:r>
      <w:bookmarkEnd w:id="18"/>
      <w:bookmarkEnd w:id="19"/>
    </w:p>
    <w:p>
      <w:pPr>
        <w:spacing w:line="520" w:lineRule="exact"/>
        <w:ind w:firstLine="480" w:firstLineChars="200"/>
        <w:rPr>
          <w:spacing w:val="-2"/>
          <w:kern w:val="0"/>
          <w:sz w:val="24"/>
          <w:szCs w:val="24"/>
        </w:rPr>
      </w:pPr>
      <w:r>
        <w:rPr>
          <w:rFonts w:ascii="宋体" w:hAnsi="宋体"/>
          <w:kern w:val="0"/>
          <w:sz w:val="24"/>
          <w:szCs w:val="28"/>
        </w:rPr>
        <w:t>预制菜</w:t>
      </w:r>
      <w:r>
        <w:rPr>
          <w:rFonts w:hint="eastAsia" w:ascii="宋体" w:hAnsi="宋体"/>
          <w:kern w:val="0"/>
          <w:sz w:val="24"/>
          <w:szCs w:val="28"/>
        </w:rPr>
        <w:t>创新孵化园建设</w:t>
      </w:r>
      <w:r>
        <w:rPr>
          <w:rFonts w:ascii="宋体" w:hAnsi="宋体"/>
          <w:kern w:val="0"/>
          <w:sz w:val="24"/>
          <w:szCs w:val="28"/>
        </w:rPr>
        <w:t>项目</w:t>
      </w:r>
      <w:r>
        <w:rPr>
          <w:spacing w:val="-2"/>
          <w:kern w:val="0"/>
          <w:sz w:val="24"/>
          <w:szCs w:val="24"/>
        </w:rPr>
        <w:t>不属于《产业结构调整指导目录（20</w:t>
      </w:r>
      <w:r>
        <w:rPr>
          <w:rFonts w:hint="eastAsia"/>
          <w:spacing w:val="-2"/>
          <w:kern w:val="0"/>
          <w:sz w:val="24"/>
          <w:szCs w:val="24"/>
        </w:rPr>
        <w:t>24</w:t>
      </w:r>
      <w:r>
        <w:rPr>
          <w:spacing w:val="-2"/>
          <w:kern w:val="0"/>
          <w:sz w:val="24"/>
          <w:szCs w:val="24"/>
        </w:rPr>
        <w:t>年本）》中的限制类和淘汰类项目，属于允许类，符合国家产业政策；项目用地为工业用地，</w:t>
      </w:r>
      <w:r>
        <w:rPr>
          <w:rFonts w:ascii="宋体" w:hAnsi="宋体"/>
          <w:kern w:val="0"/>
          <w:sz w:val="24"/>
          <w:szCs w:val="28"/>
        </w:rPr>
        <w:t>符合</w:t>
      </w:r>
      <w:r>
        <w:rPr>
          <w:rFonts w:hint="eastAsia" w:ascii="宋体" w:hAnsi="宋体"/>
          <w:kern w:val="0"/>
          <w:sz w:val="24"/>
          <w:szCs w:val="28"/>
        </w:rPr>
        <w:t>原阳县</w:t>
      </w:r>
      <w:r>
        <w:rPr>
          <w:rFonts w:ascii="宋体" w:hAnsi="宋体"/>
          <w:kern w:val="0"/>
          <w:sz w:val="24"/>
          <w:szCs w:val="28"/>
        </w:rPr>
        <w:t>产业集聚区发展规</w:t>
      </w:r>
      <w:r>
        <w:rPr>
          <w:rFonts w:hint="eastAsia" w:ascii="宋体" w:hAnsi="宋体"/>
          <w:kern w:val="0"/>
          <w:sz w:val="24"/>
          <w:szCs w:val="28"/>
        </w:rPr>
        <w:t>划</w:t>
      </w:r>
      <w:r>
        <w:rPr>
          <w:spacing w:val="-2"/>
          <w:kern w:val="0"/>
          <w:sz w:val="24"/>
          <w:szCs w:val="24"/>
        </w:rPr>
        <w:t>；根据环境影响预测结果：在保证评价要求和工程设计的防治措施正常运行的条件下，本项目对周围大气环境、地表水环境、地下水环境、土壤环境以及声环境的影响可接受；工程环境风险可接受；工程完成后，各项污染防治措施可行，废水、废气、噪声污染物能够做到达标排放，固废采取了有效的处置措施。从环保角度而言，该项目建设可行。</w:t>
      </w:r>
    </w:p>
    <w:p>
      <w:pPr>
        <w:pStyle w:val="89"/>
      </w:pPr>
    </w:p>
    <w:p>
      <w:pPr>
        <w:pStyle w:val="89"/>
      </w:pPr>
    </w:p>
    <w:p>
      <w:pPr>
        <w:pStyle w:val="89"/>
      </w:pPr>
    </w:p>
    <w:p>
      <w:pPr>
        <w:pStyle w:val="89"/>
      </w:pPr>
    </w:p>
    <w:p>
      <w:pPr>
        <w:pStyle w:val="89"/>
      </w:pPr>
    </w:p>
    <w:p>
      <w:pPr>
        <w:pStyle w:val="89"/>
      </w:pPr>
    </w:p>
    <w:p>
      <w:pPr>
        <w:pStyle w:val="89"/>
        <w:sectPr>
          <w:footerReference r:id="rId11" w:type="default"/>
          <w:pgSz w:w="11907" w:h="16840"/>
          <w:pgMar w:top="1701" w:right="1588" w:bottom="1701" w:left="1588" w:header="851" w:footer="1134" w:gutter="0"/>
          <w:pgNumType w:start="1"/>
          <w:cols w:space="720" w:num="1"/>
        </w:sectPr>
      </w:pPr>
    </w:p>
    <w:p>
      <w:pPr>
        <w:keepNext/>
        <w:keepLines/>
        <w:tabs>
          <w:tab w:val="left" w:pos="1275"/>
        </w:tabs>
        <w:spacing w:line="360" w:lineRule="auto"/>
        <w:contextualSpacing/>
        <w:jc w:val="center"/>
        <w:outlineLvl w:val="0"/>
        <w:rPr>
          <w:rFonts w:eastAsia="黑体"/>
          <w:bCs/>
          <w:kern w:val="44"/>
          <w:sz w:val="44"/>
          <w:szCs w:val="44"/>
          <w:lang w:val="zh-CN"/>
        </w:rPr>
      </w:pPr>
      <w:bookmarkStart w:id="20" w:name="_Toc5753"/>
      <w:r>
        <w:rPr>
          <w:rFonts w:eastAsia="黑体"/>
          <w:bCs/>
          <w:kern w:val="44"/>
          <w:sz w:val="44"/>
          <w:szCs w:val="44"/>
          <w:lang w:val="zh-CN"/>
        </w:rPr>
        <w:t>第2章  总则</w:t>
      </w:r>
      <w:bookmarkEnd w:id="20"/>
    </w:p>
    <w:p>
      <w:pPr>
        <w:spacing w:line="360" w:lineRule="auto"/>
        <w:jc w:val="center"/>
        <w:rPr>
          <w:sz w:val="24"/>
          <w:szCs w:val="24"/>
          <w:highlight w:val="yellow"/>
        </w:rPr>
      </w:pPr>
    </w:p>
    <w:p>
      <w:pPr>
        <w:keepNext/>
        <w:keepLines/>
        <w:spacing w:line="520" w:lineRule="exact"/>
        <w:outlineLvl w:val="1"/>
        <w:rPr>
          <w:rFonts w:eastAsia="黑体"/>
          <w:bCs/>
          <w:sz w:val="28"/>
          <w:szCs w:val="28"/>
          <w:lang w:val="zh-CN"/>
        </w:rPr>
      </w:pPr>
      <w:bookmarkStart w:id="21" w:name="_Toc1867"/>
      <w:r>
        <w:rPr>
          <w:rFonts w:eastAsia="黑体"/>
          <w:bCs/>
          <w:sz w:val="28"/>
          <w:szCs w:val="28"/>
          <w:lang w:val="zh-CN"/>
        </w:rPr>
        <w:t>2.1 编制依据</w:t>
      </w:r>
      <w:bookmarkEnd w:id="21"/>
    </w:p>
    <w:p>
      <w:pPr>
        <w:keepNext/>
        <w:keepLines/>
        <w:spacing w:line="520" w:lineRule="exact"/>
        <w:outlineLvl w:val="2"/>
        <w:rPr>
          <w:rFonts w:eastAsia="黑体"/>
          <w:bCs/>
          <w:sz w:val="28"/>
          <w:szCs w:val="28"/>
        </w:rPr>
      </w:pPr>
      <w:r>
        <w:rPr>
          <w:rFonts w:eastAsia="黑体"/>
          <w:bCs/>
          <w:sz w:val="28"/>
          <w:szCs w:val="28"/>
        </w:rPr>
        <w:t>2.1.1 法律法规、政策</w:t>
      </w:r>
    </w:p>
    <w:p>
      <w:pPr>
        <w:adjustRightInd w:val="0"/>
        <w:snapToGrid w:val="0"/>
        <w:spacing w:line="520" w:lineRule="exact"/>
        <w:ind w:firstLine="480" w:firstLineChars="200"/>
        <w:textAlignment w:val="baseline"/>
        <w:rPr>
          <w:kern w:val="0"/>
          <w:sz w:val="24"/>
          <w:szCs w:val="20"/>
        </w:rPr>
      </w:pPr>
      <w:r>
        <w:rPr>
          <w:kern w:val="0"/>
          <w:sz w:val="24"/>
          <w:szCs w:val="20"/>
        </w:rPr>
        <w:t>（1）《中华人民共和国环境保护法》（2014年4月24日第9号主席令，2015年1月1日起施行）；</w:t>
      </w:r>
    </w:p>
    <w:p>
      <w:pPr>
        <w:adjustRightInd w:val="0"/>
        <w:snapToGrid w:val="0"/>
        <w:spacing w:line="520" w:lineRule="exact"/>
        <w:ind w:firstLine="480" w:firstLineChars="200"/>
        <w:textAlignment w:val="baseline"/>
        <w:rPr>
          <w:kern w:val="0"/>
          <w:sz w:val="24"/>
          <w:szCs w:val="20"/>
        </w:rPr>
      </w:pPr>
      <w:r>
        <w:rPr>
          <w:kern w:val="0"/>
          <w:sz w:val="24"/>
          <w:szCs w:val="20"/>
        </w:rPr>
        <w:t>（2）《中华人民共和国环境影响评价法》 （2018年12月29日第24号主席令，2018年12月29日起施行）；</w:t>
      </w:r>
    </w:p>
    <w:p>
      <w:pPr>
        <w:adjustRightInd w:val="0"/>
        <w:snapToGrid w:val="0"/>
        <w:spacing w:line="520" w:lineRule="exact"/>
        <w:ind w:firstLine="480" w:firstLineChars="200"/>
        <w:textAlignment w:val="baseline"/>
        <w:rPr>
          <w:kern w:val="0"/>
          <w:sz w:val="24"/>
          <w:szCs w:val="20"/>
        </w:rPr>
      </w:pPr>
      <w:r>
        <w:rPr>
          <w:kern w:val="0"/>
          <w:sz w:val="24"/>
          <w:szCs w:val="20"/>
        </w:rPr>
        <w:t>（3）《中华人民共和国大气污染防治法》（2015年8月29日第31号主席令，2016年1月1日起施行）；</w:t>
      </w:r>
    </w:p>
    <w:p>
      <w:pPr>
        <w:adjustRightInd w:val="0"/>
        <w:snapToGrid w:val="0"/>
        <w:spacing w:line="520" w:lineRule="exact"/>
        <w:ind w:firstLine="480" w:firstLineChars="200"/>
        <w:textAlignment w:val="baseline"/>
        <w:rPr>
          <w:kern w:val="0"/>
          <w:sz w:val="24"/>
          <w:szCs w:val="20"/>
        </w:rPr>
      </w:pPr>
      <w:r>
        <w:rPr>
          <w:kern w:val="0"/>
          <w:sz w:val="24"/>
          <w:szCs w:val="20"/>
        </w:rPr>
        <w:t>（4）《中华人民共和国水污染防治法》（2017年6月27日第70号主席令， 2018年1月1日起施行）；</w:t>
      </w:r>
    </w:p>
    <w:p>
      <w:pPr>
        <w:adjustRightInd w:val="0"/>
        <w:snapToGrid w:val="0"/>
        <w:spacing w:line="520" w:lineRule="exact"/>
        <w:ind w:firstLine="480" w:firstLineChars="200"/>
        <w:textAlignment w:val="baseline"/>
        <w:rPr>
          <w:kern w:val="0"/>
          <w:sz w:val="24"/>
          <w:szCs w:val="20"/>
        </w:rPr>
      </w:pPr>
      <w:r>
        <w:rPr>
          <w:kern w:val="0"/>
          <w:sz w:val="24"/>
          <w:szCs w:val="20"/>
        </w:rPr>
        <w:t>（5）《中华人民共和国固体废物污染环境防治法》（2020.9.1起施行）；</w:t>
      </w:r>
    </w:p>
    <w:p>
      <w:pPr>
        <w:adjustRightInd w:val="0"/>
        <w:snapToGrid w:val="0"/>
        <w:spacing w:line="520" w:lineRule="exact"/>
        <w:ind w:firstLine="480" w:firstLineChars="200"/>
        <w:textAlignment w:val="baseline"/>
        <w:rPr>
          <w:kern w:val="0"/>
          <w:sz w:val="24"/>
          <w:szCs w:val="20"/>
        </w:rPr>
      </w:pPr>
      <w:r>
        <w:rPr>
          <w:kern w:val="0"/>
          <w:sz w:val="24"/>
          <w:szCs w:val="20"/>
        </w:rPr>
        <w:t>（6）《中华人民共和国土壤污染防治法》（2019年1月1日起施行）；</w:t>
      </w:r>
    </w:p>
    <w:p>
      <w:pPr>
        <w:adjustRightInd w:val="0"/>
        <w:snapToGrid w:val="0"/>
        <w:spacing w:line="520" w:lineRule="exact"/>
        <w:ind w:firstLine="480" w:firstLineChars="200"/>
        <w:textAlignment w:val="baseline"/>
        <w:rPr>
          <w:kern w:val="0"/>
          <w:sz w:val="24"/>
          <w:szCs w:val="20"/>
        </w:rPr>
      </w:pPr>
      <w:r>
        <w:rPr>
          <w:kern w:val="0"/>
          <w:sz w:val="24"/>
          <w:szCs w:val="20"/>
        </w:rPr>
        <w:t>（7）《中华人民共和国环境噪声污染防治法》（2022年6月5日起施行）；</w:t>
      </w:r>
    </w:p>
    <w:p>
      <w:pPr>
        <w:adjustRightInd w:val="0"/>
        <w:snapToGrid w:val="0"/>
        <w:spacing w:line="520" w:lineRule="exact"/>
        <w:ind w:firstLine="480" w:firstLineChars="200"/>
        <w:textAlignment w:val="baseline"/>
        <w:rPr>
          <w:kern w:val="0"/>
          <w:sz w:val="24"/>
          <w:szCs w:val="20"/>
        </w:rPr>
      </w:pPr>
      <w:r>
        <w:rPr>
          <w:kern w:val="0"/>
          <w:sz w:val="24"/>
          <w:szCs w:val="20"/>
        </w:rPr>
        <w:t>（8）《建设项目环境影响评价分类管理名录（2021年版）》；</w:t>
      </w:r>
    </w:p>
    <w:p>
      <w:pPr>
        <w:adjustRightInd w:val="0"/>
        <w:snapToGrid w:val="0"/>
        <w:spacing w:line="520" w:lineRule="exact"/>
        <w:ind w:firstLine="480" w:firstLineChars="200"/>
        <w:textAlignment w:val="baseline"/>
        <w:rPr>
          <w:kern w:val="0"/>
          <w:sz w:val="24"/>
          <w:szCs w:val="20"/>
        </w:rPr>
      </w:pPr>
      <w:r>
        <w:rPr>
          <w:kern w:val="0"/>
          <w:sz w:val="24"/>
          <w:szCs w:val="20"/>
        </w:rPr>
        <w:t>（9）《建设项目环境保护管理条例》（2017年修正，国务院令第682号，2017年10月1日起施行）；</w:t>
      </w:r>
    </w:p>
    <w:p>
      <w:pPr>
        <w:adjustRightInd w:val="0"/>
        <w:snapToGrid w:val="0"/>
        <w:spacing w:line="520" w:lineRule="exact"/>
        <w:ind w:firstLine="480" w:firstLineChars="200"/>
        <w:textAlignment w:val="baseline"/>
        <w:rPr>
          <w:kern w:val="0"/>
          <w:sz w:val="24"/>
          <w:szCs w:val="20"/>
          <w:highlight w:val="yellow"/>
        </w:rPr>
      </w:pPr>
      <w:r>
        <w:rPr>
          <w:kern w:val="0"/>
          <w:sz w:val="24"/>
          <w:szCs w:val="20"/>
        </w:rPr>
        <w:t>（10）《河南省建设项目环境保护条例》（2016年修订版）；</w:t>
      </w:r>
    </w:p>
    <w:p>
      <w:pPr>
        <w:adjustRightInd w:val="0"/>
        <w:snapToGrid w:val="0"/>
        <w:spacing w:line="520" w:lineRule="exact"/>
        <w:ind w:firstLine="480" w:firstLineChars="200"/>
        <w:textAlignment w:val="baseline"/>
        <w:rPr>
          <w:kern w:val="0"/>
          <w:sz w:val="24"/>
          <w:szCs w:val="20"/>
          <w:highlight w:val="yellow"/>
        </w:rPr>
      </w:pPr>
      <w:r>
        <w:rPr>
          <w:kern w:val="0"/>
          <w:sz w:val="24"/>
          <w:szCs w:val="20"/>
        </w:rPr>
        <w:t>（11）《工矿用地土壤环境管理办法（试行）》（2018年8月1日起施行）；</w:t>
      </w:r>
    </w:p>
    <w:p>
      <w:pPr>
        <w:adjustRightInd w:val="0"/>
        <w:snapToGrid w:val="0"/>
        <w:spacing w:line="520" w:lineRule="exact"/>
        <w:ind w:firstLine="480" w:firstLineChars="200"/>
        <w:textAlignment w:val="baseline"/>
        <w:rPr>
          <w:kern w:val="0"/>
          <w:sz w:val="24"/>
          <w:szCs w:val="20"/>
        </w:rPr>
      </w:pPr>
      <w:r>
        <w:rPr>
          <w:kern w:val="0"/>
          <w:sz w:val="24"/>
          <w:szCs w:val="20"/>
        </w:rPr>
        <w:t>（12）</w:t>
      </w:r>
      <w:r>
        <w:fldChar w:fldCharType="begin"/>
      </w:r>
      <w:r>
        <w:instrText xml:space="preserve"> HYPERLINK "https://mp.weixin.qq.com/s?__biz=MzIwMzUxNjUzNg%3D%3D&amp;idx=1&amp;mid=2247487458&amp;sn=51c6fd1c75ab3372da1acb454f6a9af2" </w:instrText>
      </w:r>
      <w:r>
        <w:fldChar w:fldCharType="separate"/>
      </w:r>
      <w:r>
        <w:rPr>
          <w:kern w:val="0"/>
          <w:sz w:val="24"/>
          <w:szCs w:val="20"/>
        </w:rPr>
        <w:t>《河南省污染地块土壤环境管理办法 （试行）》</w:t>
      </w:r>
      <w:r>
        <w:rPr>
          <w:kern w:val="0"/>
          <w:sz w:val="24"/>
          <w:szCs w:val="20"/>
        </w:rPr>
        <w:fldChar w:fldCharType="end"/>
      </w:r>
      <w:r>
        <w:rPr>
          <w:kern w:val="0"/>
          <w:sz w:val="24"/>
          <w:szCs w:val="20"/>
        </w:rPr>
        <w:t>（2018年10月1日起施行）；</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（1</w:t>
      </w:r>
      <w:r>
        <w:rPr>
          <w:kern w:val="0"/>
          <w:sz w:val="24"/>
          <w:szCs w:val="20"/>
        </w:rPr>
        <w:t>3</w:t>
      </w:r>
      <w:r>
        <w:rPr>
          <w:rFonts w:hint="eastAsia"/>
          <w:kern w:val="0"/>
          <w:sz w:val="24"/>
          <w:szCs w:val="20"/>
        </w:rPr>
        <w:t>）</w:t>
      </w:r>
      <w:r>
        <w:rPr>
          <w:kern w:val="0"/>
          <w:sz w:val="24"/>
          <w:szCs w:val="20"/>
        </w:rPr>
        <w:t>《排污许可管理条例》（2021年3月1日实施）；</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（1</w:t>
      </w:r>
      <w:r>
        <w:rPr>
          <w:kern w:val="0"/>
          <w:sz w:val="24"/>
          <w:szCs w:val="20"/>
        </w:rPr>
        <w:t>4</w:t>
      </w:r>
      <w:r>
        <w:rPr>
          <w:rFonts w:hint="eastAsia"/>
          <w:kern w:val="0"/>
          <w:sz w:val="24"/>
          <w:szCs w:val="20"/>
        </w:rPr>
        <w:t>）</w:t>
      </w:r>
      <w:r>
        <w:rPr>
          <w:kern w:val="0"/>
          <w:sz w:val="24"/>
          <w:szCs w:val="20"/>
        </w:rPr>
        <w:t>《产业结构调整指导目录（20</w:t>
      </w:r>
      <w:r>
        <w:rPr>
          <w:rFonts w:hint="eastAsia"/>
          <w:kern w:val="0"/>
          <w:sz w:val="24"/>
          <w:szCs w:val="20"/>
        </w:rPr>
        <w:t>2</w:t>
      </w:r>
      <w:r>
        <w:rPr>
          <w:kern w:val="0"/>
          <w:sz w:val="24"/>
          <w:szCs w:val="20"/>
        </w:rPr>
        <w:t>4年本）》；</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（1</w:t>
      </w:r>
      <w:r>
        <w:rPr>
          <w:kern w:val="0"/>
          <w:sz w:val="24"/>
          <w:szCs w:val="20"/>
        </w:rPr>
        <w:t>5</w:t>
      </w:r>
      <w:r>
        <w:rPr>
          <w:rFonts w:hint="eastAsia"/>
          <w:kern w:val="0"/>
          <w:sz w:val="24"/>
          <w:szCs w:val="20"/>
        </w:rPr>
        <w:t>）</w:t>
      </w:r>
      <w:r>
        <w:rPr>
          <w:kern w:val="0"/>
          <w:sz w:val="24"/>
          <w:szCs w:val="20"/>
        </w:rPr>
        <w:t>《新乡市大气污染防治条例》（2019年9月1日起施行）；</w:t>
      </w:r>
    </w:p>
    <w:p>
      <w:pPr>
        <w:adjustRightInd w:val="0"/>
        <w:snapToGrid w:val="0"/>
        <w:spacing w:line="560" w:lineRule="exact"/>
        <w:ind w:firstLine="480" w:firstLineChars="200"/>
        <w:textAlignment w:val="baseline"/>
        <w:rPr>
          <w:kern w:val="0"/>
          <w:sz w:val="24"/>
          <w:szCs w:val="20"/>
        </w:rPr>
      </w:pPr>
      <w:r>
        <w:rPr>
          <w:kern w:val="0"/>
          <w:sz w:val="24"/>
          <w:szCs w:val="20"/>
        </w:rPr>
        <w:t>（16）</w:t>
      </w:r>
      <w:r>
        <w:rPr>
          <w:rFonts w:hint="eastAsia"/>
          <w:kern w:val="0"/>
          <w:sz w:val="24"/>
          <w:szCs w:val="20"/>
        </w:rPr>
        <w:t>《</w:t>
      </w:r>
      <w:r>
        <w:rPr>
          <w:kern w:val="0"/>
          <w:sz w:val="24"/>
          <w:szCs w:val="20"/>
        </w:rPr>
        <w:t>环境影响评价公众参与办法》（生态环境部令第4号，2019年1月1日起施行）；</w:t>
      </w:r>
    </w:p>
    <w:p>
      <w:pPr>
        <w:adjustRightInd w:val="0"/>
        <w:snapToGrid w:val="0"/>
        <w:spacing w:line="560" w:lineRule="exact"/>
        <w:ind w:firstLine="480" w:firstLineChars="200"/>
        <w:textAlignment w:val="baseline"/>
        <w:rPr>
          <w:kern w:val="0"/>
          <w:sz w:val="24"/>
          <w:szCs w:val="20"/>
        </w:rPr>
      </w:pPr>
      <w:r>
        <w:rPr>
          <w:kern w:val="0"/>
          <w:sz w:val="24"/>
          <w:szCs w:val="20"/>
        </w:rPr>
        <w:t>（17）《关于加强城镇污水处理厂污泥污染防治工作的通知》（</w:t>
      </w:r>
      <w:r>
        <w:rPr>
          <w:bCs/>
          <w:kern w:val="0"/>
          <w:sz w:val="24"/>
          <w:szCs w:val="20"/>
        </w:rPr>
        <w:t>环境保护部办公厅文件</w:t>
      </w:r>
      <w:r>
        <w:rPr>
          <w:kern w:val="0"/>
          <w:sz w:val="24"/>
          <w:szCs w:val="20"/>
        </w:rPr>
        <w:t>环办[2010]157号）</w:t>
      </w:r>
      <w:r>
        <w:rPr>
          <w:rFonts w:hint="eastAsia"/>
          <w:kern w:val="0"/>
          <w:sz w:val="24"/>
          <w:szCs w:val="20"/>
        </w:rPr>
        <w:t>；</w:t>
      </w:r>
    </w:p>
    <w:p>
      <w:pPr>
        <w:adjustRightInd w:val="0"/>
        <w:snapToGrid w:val="0"/>
        <w:spacing w:line="560" w:lineRule="exact"/>
        <w:ind w:firstLine="480" w:firstLineChars="200"/>
        <w:textAlignment w:val="baseline"/>
        <w:rPr>
          <w:kern w:val="0"/>
          <w:sz w:val="24"/>
          <w:szCs w:val="20"/>
        </w:rPr>
      </w:pPr>
      <w:r>
        <w:rPr>
          <w:rFonts w:hint="eastAsia"/>
          <w:kern w:val="0"/>
          <w:sz w:val="24"/>
          <w:szCs w:val="20"/>
        </w:rPr>
        <w:t>（1</w:t>
      </w:r>
      <w:r>
        <w:rPr>
          <w:kern w:val="0"/>
          <w:sz w:val="24"/>
          <w:szCs w:val="20"/>
        </w:rPr>
        <w:t>8</w:t>
      </w:r>
      <w:r>
        <w:rPr>
          <w:rFonts w:hint="eastAsia"/>
          <w:kern w:val="0"/>
          <w:sz w:val="24"/>
          <w:szCs w:val="20"/>
        </w:rPr>
        <w:t>）</w:t>
      </w:r>
      <w:r>
        <w:rPr>
          <w:kern w:val="0"/>
          <w:sz w:val="24"/>
          <w:szCs w:val="20"/>
        </w:rPr>
        <w:t>《国家危险废物名录（2021年版）》（部令第15号，2021年1月1日实施）；</w:t>
      </w:r>
    </w:p>
    <w:p>
      <w:pPr>
        <w:adjustRightInd w:val="0"/>
        <w:snapToGrid w:val="0"/>
        <w:spacing w:line="560" w:lineRule="exact"/>
        <w:ind w:firstLine="480" w:firstLineChars="200"/>
        <w:textAlignment w:val="baseline"/>
        <w:rPr>
          <w:kern w:val="0"/>
          <w:sz w:val="24"/>
          <w:szCs w:val="20"/>
        </w:rPr>
      </w:pPr>
      <w:r>
        <w:rPr>
          <w:rFonts w:hint="eastAsia"/>
          <w:kern w:val="0"/>
          <w:sz w:val="24"/>
          <w:szCs w:val="20"/>
        </w:rPr>
        <w:t>（1</w:t>
      </w:r>
      <w:r>
        <w:rPr>
          <w:kern w:val="0"/>
          <w:sz w:val="24"/>
          <w:szCs w:val="20"/>
        </w:rPr>
        <w:t>9</w:t>
      </w:r>
      <w:r>
        <w:rPr>
          <w:rFonts w:hint="eastAsia"/>
          <w:kern w:val="0"/>
          <w:sz w:val="24"/>
          <w:szCs w:val="20"/>
        </w:rPr>
        <w:t>）</w:t>
      </w:r>
      <w:r>
        <w:rPr>
          <w:kern w:val="0"/>
          <w:sz w:val="24"/>
          <w:szCs w:val="20"/>
        </w:rPr>
        <w:t>《关于京津冀大气污染传输通道城市执行大气污染物特别排放限值的公 告》（环境保护部公告2018年第9号）；</w:t>
      </w:r>
    </w:p>
    <w:p>
      <w:pPr>
        <w:adjustRightInd w:val="0"/>
        <w:snapToGrid w:val="0"/>
        <w:spacing w:line="560" w:lineRule="exact"/>
        <w:ind w:firstLine="480" w:firstLineChars="200"/>
        <w:textAlignment w:val="baseline"/>
        <w:rPr>
          <w:kern w:val="0"/>
          <w:sz w:val="24"/>
          <w:szCs w:val="20"/>
        </w:rPr>
      </w:pPr>
      <w:r>
        <w:rPr>
          <w:rFonts w:hint="eastAsia"/>
          <w:kern w:val="0"/>
          <w:sz w:val="24"/>
          <w:szCs w:val="20"/>
        </w:rPr>
        <w:t>（2</w:t>
      </w:r>
      <w:r>
        <w:rPr>
          <w:kern w:val="0"/>
          <w:sz w:val="24"/>
          <w:szCs w:val="20"/>
        </w:rPr>
        <w:t>0</w:t>
      </w:r>
      <w:r>
        <w:rPr>
          <w:rFonts w:hint="eastAsia"/>
          <w:kern w:val="0"/>
          <w:sz w:val="24"/>
          <w:szCs w:val="20"/>
        </w:rPr>
        <w:t>）</w:t>
      </w:r>
      <w:r>
        <w:rPr>
          <w:kern w:val="0"/>
          <w:sz w:val="24"/>
          <w:szCs w:val="20"/>
        </w:rPr>
        <w:t>《河南省生态环境分区管控总体要求</w:t>
      </w:r>
      <w:r>
        <w:rPr>
          <w:rFonts w:hint="eastAsia"/>
          <w:kern w:val="0"/>
          <w:sz w:val="24"/>
          <w:szCs w:val="20"/>
        </w:rPr>
        <w:t>（2</w:t>
      </w:r>
      <w:r>
        <w:rPr>
          <w:kern w:val="0"/>
          <w:sz w:val="24"/>
          <w:szCs w:val="20"/>
        </w:rPr>
        <w:t>023</w:t>
      </w:r>
      <w:r>
        <w:rPr>
          <w:rFonts w:hint="eastAsia"/>
          <w:kern w:val="0"/>
          <w:sz w:val="24"/>
          <w:szCs w:val="20"/>
        </w:rPr>
        <w:t>年版）</w:t>
      </w:r>
      <w:r>
        <w:rPr>
          <w:kern w:val="0"/>
          <w:sz w:val="24"/>
          <w:szCs w:val="20"/>
        </w:rPr>
        <w:t>》；</w:t>
      </w:r>
    </w:p>
    <w:p>
      <w:pPr>
        <w:adjustRightInd w:val="0"/>
        <w:snapToGrid w:val="0"/>
        <w:spacing w:line="560" w:lineRule="exact"/>
        <w:ind w:firstLine="480" w:firstLineChars="200"/>
        <w:textAlignment w:val="baseline"/>
        <w:rPr>
          <w:kern w:val="0"/>
          <w:sz w:val="24"/>
          <w:szCs w:val="20"/>
        </w:rPr>
      </w:pPr>
      <w:r>
        <w:rPr>
          <w:rFonts w:hint="eastAsia"/>
          <w:kern w:val="0"/>
          <w:sz w:val="24"/>
          <w:szCs w:val="20"/>
        </w:rPr>
        <w:t>（21）</w:t>
      </w:r>
      <w:r>
        <w:rPr>
          <w:kern w:val="0"/>
          <w:sz w:val="24"/>
          <w:szCs w:val="20"/>
        </w:rPr>
        <w:t>《新乡市“三线一单”生态环境准入清单</w:t>
      </w:r>
      <w:r>
        <w:rPr>
          <w:rFonts w:hint="eastAsia"/>
          <w:kern w:val="0"/>
          <w:sz w:val="24"/>
          <w:szCs w:val="20"/>
        </w:rPr>
        <w:t>（2</w:t>
      </w:r>
      <w:r>
        <w:rPr>
          <w:kern w:val="0"/>
          <w:sz w:val="24"/>
          <w:szCs w:val="20"/>
        </w:rPr>
        <w:t>023</w:t>
      </w:r>
      <w:r>
        <w:rPr>
          <w:rFonts w:hint="eastAsia"/>
          <w:kern w:val="0"/>
          <w:sz w:val="24"/>
          <w:szCs w:val="20"/>
        </w:rPr>
        <w:t>年版）</w:t>
      </w:r>
      <w:r>
        <w:rPr>
          <w:kern w:val="0"/>
          <w:sz w:val="24"/>
          <w:szCs w:val="20"/>
        </w:rPr>
        <w:t>》；</w:t>
      </w:r>
    </w:p>
    <w:p>
      <w:pPr>
        <w:adjustRightInd w:val="0"/>
        <w:snapToGrid w:val="0"/>
        <w:spacing w:line="560" w:lineRule="exact"/>
        <w:ind w:firstLine="480" w:firstLineChars="200"/>
        <w:textAlignment w:val="baseline"/>
        <w:rPr>
          <w:kern w:val="0"/>
          <w:sz w:val="24"/>
          <w:szCs w:val="20"/>
        </w:rPr>
      </w:pPr>
      <w:r>
        <w:rPr>
          <w:rFonts w:hint="eastAsia"/>
          <w:kern w:val="0"/>
          <w:sz w:val="24"/>
          <w:szCs w:val="20"/>
        </w:rPr>
        <w:t>（22）</w:t>
      </w:r>
      <w:r>
        <w:rPr>
          <w:kern w:val="0"/>
          <w:sz w:val="24"/>
          <w:szCs w:val="20"/>
        </w:rPr>
        <w:t>《新乡市生态环境局关于下达2023年地表水环境质量目标的函》；</w:t>
      </w:r>
    </w:p>
    <w:p>
      <w:pPr>
        <w:adjustRightInd w:val="0"/>
        <w:snapToGrid w:val="0"/>
        <w:spacing w:line="560" w:lineRule="exact"/>
        <w:ind w:firstLine="480" w:firstLineChars="200"/>
        <w:textAlignment w:val="baseline"/>
        <w:rPr>
          <w:kern w:val="0"/>
          <w:sz w:val="24"/>
          <w:szCs w:val="20"/>
        </w:rPr>
      </w:pPr>
      <w:r>
        <w:rPr>
          <w:kern w:val="0"/>
          <w:sz w:val="24"/>
          <w:szCs w:val="20"/>
        </w:rPr>
        <w:t>（2</w:t>
      </w:r>
      <w:r>
        <w:rPr>
          <w:rFonts w:hint="eastAsia"/>
          <w:kern w:val="0"/>
          <w:sz w:val="24"/>
          <w:szCs w:val="20"/>
        </w:rPr>
        <w:t>3</w:t>
      </w:r>
      <w:r>
        <w:rPr>
          <w:kern w:val="0"/>
          <w:sz w:val="24"/>
          <w:szCs w:val="20"/>
        </w:rPr>
        <w:t>）</w:t>
      </w:r>
      <w:r>
        <w:rPr>
          <w:rFonts w:hint="eastAsia"/>
          <w:kern w:val="0"/>
          <w:sz w:val="24"/>
          <w:szCs w:val="20"/>
        </w:rPr>
        <w:t>《新乡市环境污染防治攻坚指挥部办公室关于印发&lt;新乡市深入打好秋冬重污染天气消除、夏季臭氧污染防治和柴油货车污染治理攻坚战实施方案&gt;的通知》（新环攻坚办</w:t>
      </w:r>
      <w:r>
        <w:rPr>
          <w:kern w:val="0"/>
          <w:sz w:val="24"/>
          <w:szCs w:val="20"/>
        </w:rPr>
        <w:t>〔2023〕73号</w:t>
      </w:r>
      <w:r>
        <w:rPr>
          <w:rFonts w:hint="eastAsia"/>
          <w:kern w:val="0"/>
          <w:sz w:val="24"/>
          <w:szCs w:val="20"/>
        </w:rPr>
        <w:t>）；</w:t>
      </w:r>
    </w:p>
    <w:p>
      <w:pPr>
        <w:adjustRightInd w:val="0"/>
        <w:snapToGrid w:val="0"/>
        <w:spacing w:line="560" w:lineRule="exact"/>
        <w:ind w:firstLine="480" w:firstLineChars="200"/>
        <w:textAlignment w:val="baseline"/>
        <w:rPr>
          <w:kern w:val="0"/>
          <w:sz w:val="24"/>
          <w:szCs w:val="20"/>
        </w:rPr>
      </w:pPr>
      <w:r>
        <w:rPr>
          <w:kern w:val="0"/>
          <w:sz w:val="24"/>
          <w:szCs w:val="20"/>
        </w:rPr>
        <w:t>（2</w:t>
      </w:r>
      <w:r>
        <w:rPr>
          <w:rFonts w:hint="eastAsia"/>
          <w:kern w:val="0"/>
          <w:sz w:val="24"/>
          <w:szCs w:val="20"/>
        </w:rPr>
        <w:t>4</w:t>
      </w:r>
      <w:r>
        <w:rPr>
          <w:kern w:val="0"/>
          <w:sz w:val="24"/>
          <w:szCs w:val="20"/>
        </w:rPr>
        <w:t>）</w:t>
      </w:r>
      <w:r>
        <w:rPr>
          <w:rFonts w:hint="eastAsia"/>
          <w:kern w:val="0"/>
          <w:sz w:val="24"/>
          <w:szCs w:val="20"/>
        </w:rPr>
        <w:t>《新乡市环境污染防治攻坚指挥部办公室关于印发&lt;新乡市2</w:t>
      </w:r>
      <w:r>
        <w:rPr>
          <w:kern w:val="0"/>
          <w:sz w:val="24"/>
          <w:szCs w:val="20"/>
        </w:rPr>
        <w:t>023</w:t>
      </w:r>
      <w:r>
        <w:rPr>
          <w:rFonts w:hint="eastAsia"/>
          <w:kern w:val="0"/>
          <w:sz w:val="24"/>
          <w:szCs w:val="20"/>
        </w:rPr>
        <w:t>年碧水保卫战实施方案&gt;的通知》（新环攻坚办</w:t>
      </w:r>
      <w:r>
        <w:rPr>
          <w:kern w:val="0"/>
          <w:sz w:val="24"/>
          <w:szCs w:val="20"/>
        </w:rPr>
        <w:t>〔2023〕66号</w:t>
      </w:r>
      <w:r>
        <w:rPr>
          <w:rFonts w:hint="eastAsia"/>
          <w:kern w:val="0"/>
          <w:sz w:val="24"/>
          <w:szCs w:val="20"/>
        </w:rPr>
        <w:t>）；</w:t>
      </w:r>
    </w:p>
    <w:p>
      <w:pPr>
        <w:adjustRightInd w:val="0"/>
        <w:snapToGrid w:val="0"/>
        <w:spacing w:line="560" w:lineRule="exact"/>
        <w:ind w:firstLine="480" w:firstLineChars="200"/>
        <w:textAlignment w:val="baseline"/>
        <w:rPr>
          <w:kern w:val="0"/>
          <w:sz w:val="24"/>
          <w:szCs w:val="20"/>
        </w:rPr>
      </w:pPr>
      <w:r>
        <w:rPr>
          <w:rFonts w:hint="eastAsia"/>
          <w:kern w:val="0"/>
          <w:sz w:val="24"/>
          <w:szCs w:val="20"/>
        </w:rPr>
        <w:t>（25）《新乡市环境污染防治攻坚指挥部办公室关于印发&lt;新乡市2</w:t>
      </w:r>
      <w:r>
        <w:rPr>
          <w:kern w:val="0"/>
          <w:sz w:val="24"/>
          <w:szCs w:val="20"/>
        </w:rPr>
        <w:t>023</w:t>
      </w:r>
      <w:r>
        <w:rPr>
          <w:rFonts w:hint="eastAsia"/>
          <w:kern w:val="0"/>
          <w:sz w:val="24"/>
          <w:szCs w:val="20"/>
        </w:rPr>
        <w:t>年净土保卫战实施方案&gt;的通知》（新环攻坚办</w:t>
      </w:r>
      <w:r>
        <w:rPr>
          <w:kern w:val="0"/>
          <w:sz w:val="24"/>
          <w:szCs w:val="20"/>
        </w:rPr>
        <w:t>〔2023〕65号</w:t>
      </w:r>
      <w:r>
        <w:rPr>
          <w:rFonts w:hint="eastAsia"/>
          <w:kern w:val="0"/>
          <w:sz w:val="24"/>
          <w:szCs w:val="20"/>
        </w:rPr>
        <w:t>）；</w:t>
      </w:r>
    </w:p>
    <w:p>
      <w:pPr>
        <w:adjustRightInd w:val="0"/>
        <w:snapToGrid w:val="0"/>
        <w:spacing w:line="560" w:lineRule="exact"/>
        <w:ind w:firstLine="480" w:firstLineChars="200"/>
        <w:textAlignment w:val="baseline"/>
        <w:rPr>
          <w:kern w:val="0"/>
          <w:sz w:val="24"/>
          <w:szCs w:val="20"/>
        </w:rPr>
      </w:pPr>
      <w:r>
        <w:rPr>
          <w:kern w:val="0"/>
          <w:sz w:val="24"/>
          <w:szCs w:val="20"/>
        </w:rPr>
        <w:t>（2</w:t>
      </w:r>
      <w:r>
        <w:rPr>
          <w:rFonts w:hint="eastAsia"/>
          <w:kern w:val="0"/>
          <w:sz w:val="24"/>
          <w:szCs w:val="20"/>
        </w:rPr>
        <w:t>6</w:t>
      </w:r>
      <w:r>
        <w:rPr>
          <w:kern w:val="0"/>
          <w:sz w:val="24"/>
          <w:szCs w:val="20"/>
        </w:rPr>
        <w:t>）</w:t>
      </w:r>
      <w:r>
        <w:rPr>
          <w:rFonts w:hint="eastAsia"/>
          <w:kern w:val="0"/>
          <w:sz w:val="24"/>
          <w:szCs w:val="20"/>
        </w:rPr>
        <w:t>《新乡市环境污染防治攻坚指挥部办公室关于印发&lt;新乡市2</w:t>
      </w:r>
      <w:r>
        <w:rPr>
          <w:kern w:val="0"/>
          <w:sz w:val="24"/>
          <w:szCs w:val="20"/>
        </w:rPr>
        <w:t>023</w:t>
      </w:r>
      <w:r>
        <w:rPr>
          <w:rFonts w:hint="eastAsia"/>
          <w:kern w:val="0"/>
          <w:sz w:val="24"/>
          <w:szCs w:val="20"/>
        </w:rPr>
        <w:t>年蓝天保卫战实施方案&gt;的通知》（新环攻坚办</w:t>
      </w:r>
      <w:r>
        <w:rPr>
          <w:kern w:val="0"/>
          <w:sz w:val="24"/>
          <w:szCs w:val="20"/>
        </w:rPr>
        <w:t>〔2023〕77号</w:t>
      </w:r>
      <w:r>
        <w:rPr>
          <w:rFonts w:hint="eastAsia"/>
          <w:kern w:val="0"/>
          <w:sz w:val="24"/>
          <w:szCs w:val="20"/>
        </w:rPr>
        <w:t>）</w:t>
      </w:r>
    </w:p>
    <w:p>
      <w:pPr>
        <w:keepNext/>
        <w:keepLines/>
        <w:spacing w:line="560" w:lineRule="exact"/>
        <w:outlineLvl w:val="2"/>
        <w:rPr>
          <w:rFonts w:eastAsia="黑体"/>
          <w:bCs/>
          <w:sz w:val="28"/>
          <w:szCs w:val="28"/>
        </w:rPr>
      </w:pPr>
      <w:r>
        <w:rPr>
          <w:rFonts w:eastAsia="黑体"/>
          <w:bCs/>
          <w:sz w:val="28"/>
          <w:szCs w:val="28"/>
        </w:rPr>
        <w:t>2.1.2 技术规范依据</w:t>
      </w:r>
    </w:p>
    <w:p>
      <w:pPr>
        <w:spacing w:line="560" w:lineRule="exact"/>
        <w:ind w:firstLine="480" w:firstLineChars="200"/>
        <w:rPr>
          <w:sz w:val="24"/>
          <w:szCs w:val="20"/>
        </w:rPr>
      </w:pPr>
      <w:r>
        <w:rPr>
          <w:sz w:val="24"/>
          <w:szCs w:val="20"/>
        </w:rPr>
        <w:t>（1）《环境影响评价技术导则 总纲》（HJ2.1-2016）；</w:t>
      </w:r>
    </w:p>
    <w:p>
      <w:pPr>
        <w:spacing w:line="560" w:lineRule="exact"/>
        <w:ind w:firstLine="480" w:firstLineChars="200"/>
        <w:rPr>
          <w:sz w:val="24"/>
          <w:szCs w:val="20"/>
        </w:rPr>
      </w:pPr>
      <w:r>
        <w:rPr>
          <w:sz w:val="24"/>
          <w:szCs w:val="20"/>
        </w:rPr>
        <w:t>（2）《环境影响评价技术导则 大气环境》（HJ2.2-2018）；</w:t>
      </w:r>
    </w:p>
    <w:p>
      <w:pPr>
        <w:spacing w:line="560" w:lineRule="exact"/>
        <w:ind w:firstLine="480" w:firstLineChars="200"/>
        <w:rPr>
          <w:sz w:val="24"/>
          <w:szCs w:val="20"/>
        </w:rPr>
      </w:pPr>
      <w:r>
        <w:rPr>
          <w:sz w:val="24"/>
          <w:szCs w:val="20"/>
        </w:rPr>
        <w:t>（3）《环境影响评价技术导则 地表水环境》（HJ2.3-2018）；</w:t>
      </w:r>
    </w:p>
    <w:p>
      <w:pPr>
        <w:spacing w:line="520" w:lineRule="exact"/>
        <w:ind w:firstLine="480" w:firstLineChars="200"/>
        <w:rPr>
          <w:sz w:val="24"/>
          <w:szCs w:val="20"/>
        </w:rPr>
      </w:pPr>
      <w:r>
        <w:rPr>
          <w:sz w:val="24"/>
          <w:szCs w:val="20"/>
        </w:rPr>
        <w:t>（4）《环境影响评价技术导则 地下水环境》（HJ 610-2016）；</w:t>
      </w:r>
    </w:p>
    <w:p>
      <w:pPr>
        <w:spacing w:line="520" w:lineRule="exact"/>
        <w:ind w:firstLine="480" w:firstLineChars="200"/>
        <w:rPr>
          <w:sz w:val="24"/>
          <w:szCs w:val="20"/>
        </w:rPr>
      </w:pPr>
      <w:r>
        <w:rPr>
          <w:sz w:val="24"/>
          <w:szCs w:val="20"/>
        </w:rPr>
        <w:t>（5）《环境影响评价技术导则 声环境》（HJ2.4-2021）；</w:t>
      </w:r>
    </w:p>
    <w:p>
      <w:pPr>
        <w:spacing w:line="520" w:lineRule="exact"/>
        <w:ind w:firstLine="480" w:firstLineChars="200"/>
        <w:rPr>
          <w:sz w:val="24"/>
          <w:szCs w:val="20"/>
        </w:rPr>
      </w:pPr>
      <w:r>
        <w:rPr>
          <w:sz w:val="24"/>
          <w:szCs w:val="20"/>
        </w:rPr>
        <w:t>（6）《建设项目环境风险评价技术导则》（HJ169-2018）；</w:t>
      </w:r>
    </w:p>
    <w:p>
      <w:pPr>
        <w:spacing w:line="520" w:lineRule="exact"/>
        <w:ind w:firstLine="480" w:firstLineChars="200"/>
        <w:rPr>
          <w:sz w:val="24"/>
          <w:szCs w:val="20"/>
        </w:rPr>
      </w:pPr>
      <w:r>
        <w:rPr>
          <w:sz w:val="24"/>
          <w:szCs w:val="20"/>
        </w:rPr>
        <w:t>（7）《环境影响评价技术导则 土壤环境（试行）》（HJ964-2018）；</w:t>
      </w:r>
    </w:p>
    <w:p>
      <w:pPr>
        <w:spacing w:line="520" w:lineRule="exact"/>
        <w:ind w:firstLine="480" w:firstLineChars="200"/>
        <w:rPr>
          <w:sz w:val="24"/>
          <w:szCs w:val="20"/>
        </w:rPr>
      </w:pPr>
      <w:r>
        <w:rPr>
          <w:sz w:val="24"/>
          <w:szCs w:val="20"/>
        </w:rPr>
        <w:t xml:space="preserve">（8）《环境影响评价技术导则 </w:t>
      </w:r>
      <w:r>
        <w:rPr>
          <w:rFonts w:hint="eastAsia"/>
          <w:sz w:val="24"/>
          <w:szCs w:val="20"/>
        </w:rPr>
        <w:t>生态影响</w:t>
      </w:r>
      <w:r>
        <w:rPr>
          <w:sz w:val="24"/>
          <w:szCs w:val="20"/>
        </w:rPr>
        <w:t>》（HJ19-2022）；</w:t>
      </w:r>
    </w:p>
    <w:p>
      <w:pPr>
        <w:spacing w:line="520" w:lineRule="exact"/>
        <w:ind w:firstLine="480" w:firstLineChars="200"/>
        <w:rPr>
          <w:sz w:val="24"/>
          <w:szCs w:val="20"/>
        </w:rPr>
      </w:pPr>
      <w:r>
        <w:rPr>
          <w:sz w:val="24"/>
          <w:szCs w:val="20"/>
        </w:rPr>
        <w:t>（9）《工业企业土壤和地下水自行监测 技术指南（试行）》（HJ 1209—2021）</w:t>
      </w:r>
      <w:r>
        <w:rPr>
          <w:rFonts w:hint="eastAsia"/>
          <w:sz w:val="24"/>
          <w:szCs w:val="20"/>
        </w:rPr>
        <w:t>；</w:t>
      </w:r>
    </w:p>
    <w:p>
      <w:pPr>
        <w:spacing w:line="520" w:lineRule="exact"/>
        <w:ind w:firstLine="480" w:firstLineChars="200"/>
        <w:rPr>
          <w:sz w:val="24"/>
          <w:szCs w:val="20"/>
        </w:rPr>
      </w:pPr>
      <w:r>
        <w:rPr>
          <w:sz w:val="24"/>
          <w:szCs w:val="20"/>
        </w:rPr>
        <w:t xml:space="preserve">（10）《排污许可证申请与核发技术规范 </w:t>
      </w:r>
      <w:r>
        <w:rPr>
          <w:rFonts w:hint="eastAsia"/>
          <w:sz w:val="24"/>
          <w:szCs w:val="20"/>
        </w:rPr>
        <w:t>工业固体废物</w:t>
      </w:r>
      <w:r>
        <w:rPr>
          <w:sz w:val="24"/>
          <w:szCs w:val="20"/>
        </w:rPr>
        <w:t>》</w:t>
      </w:r>
      <w:r>
        <w:rPr>
          <w:rFonts w:hint="eastAsia"/>
          <w:sz w:val="24"/>
          <w:szCs w:val="20"/>
        </w:rPr>
        <w:t>（试行）</w:t>
      </w:r>
      <w:r>
        <w:rPr>
          <w:sz w:val="24"/>
          <w:szCs w:val="20"/>
        </w:rPr>
        <w:t>(HJ1200-2021)；</w:t>
      </w:r>
    </w:p>
    <w:p>
      <w:pPr>
        <w:spacing w:line="520" w:lineRule="exact"/>
        <w:ind w:firstLine="480" w:firstLineChars="200"/>
        <w:rPr>
          <w:sz w:val="24"/>
          <w:szCs w:val="20"/>
        </w:rPr>
      </w:pPr>
      <w:r>
        <w:rPr>
          <w:rFonts w:hint="eastAsia"/>
          <w:sz w:val="24"/>
          <w:szCs w:val="20"/>
        </w:rPr>
        <w:t>（1</w:t>
      </w:r>
      <w:r>
        <w:rPr>
          <w:sz w:val="24"/>
          <w:szCs w:val="20"/>
        </w:rPr>
        <w:t>1</w:t>
      </w:r>
      <w:r>
        <w:rPr>
          <w:rFonts w:hint="eastAsia"/>
          <w:sz w:val="24"/>
          <w:szCs w:val="20"/>
        </w:rPr>
        <w:t>）</w:t>
      </w:r>
      <w:r>
        <w:rPr>
          <w:sz w:val="24"/>
          <w:szCs w:val="20"/>
        </w:rPr>
        <w:t xml:space="preserve">《排污许可证申请与核发技术规范 </w:t>
      </w:r>
      <w:r>
        <w:rPr>
          <w:rFonts w:hint="eastAsia"/>
          <w:sz w:val="24"/>
          <w:szCs w:val="20"/>
        </w:rPr>
        <w:t>水处理</w:t>
      </w:r>
      <w:r>
        <w:rPr>
          <w:sz w:val="24"/>
          <w:szCs w:val="20"/>
        </w:rPr>
        <w:t>》</w:t>
      </w:r>
      <w:r>
        <w:rPr>
          <w:rFonts w:hint="eastAsia"/>
          <w:sz w:val="24"/>
          <w:szCs w:val="20"/>
        </w:rPr>
        <w:t>（H</w:t>
      </w:r>
      <w:r>
        <w:rPr>
          <w:sz w:val="24"/>
          <w:szCs w:val="20"/>
        </w:rPr>
        <w:t>J978-2018</w:t>
      </w:r>
      <w:r>
        <w:rPr>
          <w:rFonts w:hint="eastAsia"/>
          <w:sz w:val="24"/>
          <w:szCs w:val="20"/>
        </w:rPr>
        <w:t>）；</w:t>
      </w:r>
    </w:p>
    <w:p>
      <w:pPr>
        <w:spacing w:line="520" w:lineRule="exact"/>
        <w:ind w:firstLine="480" w:firstLineChars="200"/>
        <w:rPr>
          <w:sz w:val="24"/>
          <w:szCs w:val="20"/>
        </w:rPr>
      </w:pPr>
      <w:r>
        <w:rPr>
          <w:rFonts w:hint="eastAsia"/>
          <w:sz w:val="24"/>
          <w:szCs w:val="20"/>
        </w:rPr>
        <w:t>（1</w:t>
      </w:r>
      <w:r>
        <w:rPr>
          <w:sz w:val="24"/>
          <w:szCs w:val="20"/>
        </w:rPr>
        <w:t>2</w:t>
      </w:r>
      <w:r>
        <w:rPr>
          <w:rFonts w:hint="eastAsia"/>
          <w:sz w:val="24"/>
          <w:szCs w:val="20"/>
        </w:rPr>
        <w:t>）</w:t>
      </w:r>
      <w:r>
        <w:rPr>
          <w:sz w:val="24"/>
          <w:szCs w:val="20"/>
        </w:rPr>
        <w:t xml:space="preserve">《排污单位自行监测技术指南 </w:t>
      </w:r>
      <w:r>
        <w:rPr>
          <w:rFonts w:hint="eastAsia"/>
          <w:sz w:val="24"/>
          <w:szCs w:val="20"/>
        </w:rPr>
        <w:t>总则</w:t>
      </w:r>
      <w:r>
        <w:rPr>
          <w:sz w:val="24"/>
          <w:szCs w:val="20"/>
        </w:rPr>
        <w:t>》（HJ 819-2017）</w:t>
      </w:r>
      <w:r>
        <w:rPr>
          <w:rFonts w:hint="eastAsia"/>
          <w:sz w:val="24"/>
          <w:szCs w:val="20"/>
        </w:rPr>
        <w:t>；</w:t>
      </w:r>
    </w:p>
    <w:p>
      <w:pPr>
        <w:spacing w:line="520" w:lineRule="exact"/>
        <w:ind w:firstLine="480" w:firstLineChars="200"/>
        <w:rPr>
          <w:sz w:val="24"/>
          <w:szCs w:val="20"/>
        </w:rPr>
      </w:pPr>
      <w:r>
        <w:rPr>
          <w:rFonts w:hint="eastAsia"/>
          <w:sz w:val="24"/>
          <w:szCs w:val="20"/>
        </w:rPr>
        <w:t>（1</w:t>
      </w:r>
      <w:r>
        <w:rPr>
          <w:sz w:val="24"/>
          <w:szCs w:val="20"/>
        </w:rPr>
        <w:t>3</w:t>
      </w:r>
      <w:r>
        <w:rPr>
          <w:rFonts w:hint="eastAsia"/>
          <w:sz w:val="24"/>
          <w:szCs w:val="20"/>
        </w:rPr>
        <w:t>）</w:t>
      </w:r>
      <w:r>
        <w:rPr>
          <w:sz w:val="24"/>
          <w:szCs w:val="20"/>
        </w:rPr>
        <w:t xml:space="preserve">《排污单位自行监测技术指南 </w:t>
      </w:r>
      <w:r>
        <w:rPr>
          <w:rFonts w:hint="eastAsia"/>
          <w:sz w:val="24"/>
          <w:szCs w:val="20"/>
        </w:rPr>
        <w:t>水处理</w:t>
      </w:r>
      <w:r>
        <w:rPr>
          <w:sz w:val="24"/>
          <w:szCs w:val="20"/>
        </w:rPr>
        <w:t>》（HJ 1083-2020）</w:t>
      </w:r>
      <w:r>
        <w:rPr>
          <w:rFonts w:hint="eastAsia"/>
          <w:sz w:val="24"/>
          <w:szCs w:val="20"/>
        </w:rPr>
        <w:t>；</w:t>
      </w:r>
    </w:p>
    <w:p>
      <w:pPr>
        <w:spacing w:line="520" w:lineRule="exact"/>
        <w:ind w:firstLine="480" w:firstLineChars="200"/>
        <w:rPr>
          <w:sz w:val="24"/>
          <w:szCs w:val="20"/>
        </w:rPr>
      </w:pPr>
      <w:r>
        <w:rPr>
          <w:rFonts w:hint="eastAsia"/>
          <w:sz w:val="24"/>
          <w:szCs w:val="20"/>
        </w:rPr>
        <w:t>（1</w:t>
      </w:r>
      <w:r>
        <w:rPr>
          <w:sz w:val="24"/>
          <w:szCs w:val="20"/>
        </w:rPr>
        <w:t>4</w:t>
      </w:r>
      <w:r>
        <w:rPr>
          <w:rFonts w:hint="eastAsia"/>
          <w:sz w:val="24"/>
          <w:szCs w:val="20"/>
        </w:rPr>
        <w:t>）</w:t>
      </w:r>
      <w:r>
        <w:rPr>
          <w:rFonts w:hint="eastAsia"/>
          <w:bCs/>
          <w:sz w:val="24"/>
          <w:szCs w:val="20"/>
        </w:rPr>
        <w:t>《城镇污水处理厂臭气处理技术规程》（</w:t>
      </w:r>
      <w:r>
        <w:rPr>
          <w:bCs/>
          <w:sz w:val="24"/>
          <w:szCs w:val="20"/>
        </w:rPr>
        <w:t>CJJ</w:t>
      </w:r>
      <w:r>
        <w:rPr>
          <w:rFonts w:hint="eastAsia"/>
          <w:bCs/>
          <w:sz w:val="24"/>
          <w:szCs w:val="20"/>
        </w:rPr>
        <w:t>/</w:t>
      </w:r>
      <w:r>
        <w:rPr>
          <w:bCs/>
          <w:sz w:val="24"/>
          <w:szCs w:val="20"/>
        </w:rPr>
        <w:t>T243-2016</w:t>
      </w:r>
      <w:r>
        <w:rPr>
          <w:rFonts w:hint="eastAsia"/>
          <w:bCs/>
          <w:sz w:val="24"/>
          <w:szCs w:val="20"/>
        </w:rPr>
        <w:t>）</w:t>
      </w:r>
      <w:r>
        <w:rPr>
          <w:sz w:val="24"/>
          <w:szCs w:val="20"/>
        </w:rPr>
        <w:t>；</w:t>
      </w:r>
    </w:p>
    <w:p>
      <w:pPr>
        <w:spacing w:line="520" w:lineRule="exact"/>
        <w:ind w:firstLine="480" w:firstLineChars="200"/>
        <w:rPr>
          <w:sz w:val="24"/>
          <w:szCs w:val="20"/>
        </w:rPr>
      </w:pPr>
      <w:r>
        <w:rPr>
          <w:rFonts w:hint="eastAsia"/>
          <w:sz w:val="24"/>
          <w:szCs w:val="20"/>
        </w:rPr>
        <w:t>（1</w:t>
      </w:r>
      <w:r>
        <w:rPr>
          <w:sz w:val="24"/>
          <w:szCs w:val="20"/>
        </w:rPr>
        <w:t>5</w:t>
      </w:r>
      <w:r>
        <w:rPr>
          <w:rFonts w:hint="eastAsia"/>
          <w:sz w:val="24"/>
          <w:szCs w:val="20"/>
        </w:rPr>
        <w:t>）</w:t>
      </w:r>
      <w:r>
        <w:rPr>
          <w:kern w:val="0"/>
          <w:sz w:val="24"/>
          <w:szCs w:val="24"/>
        </w:rPr>
        <w:t>《固体废物鉴别标准通则》（</w:t>
      </w:r>
      <w:r>
        <w:rPr>
          <w:rFonts w:eastAsia="TimesNewRomanPSMT"/>
          <w:kern w:val="0"/>
          <w:sz w:val="24"/>
          <w:szCs w:val="24"/>
        </w:rPr>
        <w:t>GB34330-2017</w:t>
      </w:r>
      <w:r>
        <w:rPr>
          <w:kern w:val="0"/>
          <w:sz w:val="24"/>
          <w:szCs w:val="24"/>
        </w:rPr>
        <w:t>）</w:t>
      </w:r>
      <w:r>
        <w:rPr>
          <w:rFonts w:hint="eastAsia"/>
          <w:kern w:val="0"/>
          <w:sz w:val="24"/>
          <w:szCs w:val="24"/>
        </w:rPr>
        <w:t>。</w:t>
      </w:r>
    </w:p>
    <w:p>
      <w:pPr>
        <w:keepNext/>
        <w:keepLines/>
        <w:spacing w:line="520" w:lineRule="exact"/>
        <w:outlineLvl w:val="2"/>
        <w:rPr>
          <w:rFonts w:eastAsia="黑体"/>
          <w:bCs/>
          <w:sz w:val="28"/>
          <w:szCs w:val="28"/>
        </w:rPr>
      </w:pPr>
      <w:r>
        <w:rPr>
          <w:rFonts w:eastAsia="黑体"/>
          <w:bCs/>
          <w:sz w:val="28"/>
          <w:szCs w:val="28"/>
        </w:rPr>
        <w:t>2.1.3 项目相关文件</w:t>
      </w:r>
    </w:p>
    <w:p>
      <w:pPr>
        <w:spacing w:line="520" w:lineRule="exact"/>
        <w:ind w:firstLine="480" w:firstLineChars="200"/>
        <w:rPr>
          <w:sz w:val="24"/>
          <w:szCs w:val="20"/>
        </w:rPr>
      </w:pPr>
      <w:r>
        <w:rPr>
          <w:sz w:val="24"/>
          <w:szCs w:val="20"/>
        </w:rPr>
        <w:t>（1）河南羽佳金门实业有限公司关于本项目环境影响评价工作的委托书；</w:t>
      </w:r>
    </w:p>
    <w:p>
      <w:pPr>
        <w:spacing w:line="520" w:lineRule="exact"/>
        <w:ind w:firstLine="480" w:firstLineChars="200"/>
        <w:rPr>
          <w:sz w:val="24"/>
          <w:szCs w:val="20"/>
        </w:rPr>
      </w:pPr>
      <w:r>
        <w:rPr>
          <w:sz w:val="24"/>
          <w:szCs w:val="20"/>
        </w:rPr>
        <w:t>（2）预制菜</w:t>
      </w:r>
      <w:r>
        <w:rPr>
          <w:rFonts w:hint="eastAsia"/>
          <w:sz w:val="24"/>
          <w:szCs w:val="20"/>
        </w:rPr>
        <w:t>创新孵化园建设</w:t>
      </w:r>
      <w:r>
        <w:rPr>
          <w:sz w:val="24"/>
          <w:szCs w:val="20"/>
        </w:rPr>
        <w:t>项目备案文件（项目代码：2212-410725-04-01-366586）；</w:t>
      </w:r>
    </w:p>
    <w:p>
      <w:pPr>
        <w:spacing w:line="520" w:lineRule="exact"/>
        <w:ind w:firstLine="480" w:firstLineChars="200"/>
        <w:rPr>
          <w:sz w:val="24"/>
          <w:szCs w:val="20"/>
        </w:rPr>
      </w:pPr>
      <w:r>
        <w:rPr>
          <w:sz w:val="24"/>
          <w:szCs w:val="20"/>
        </w:rPr>
        <w:t>（3）</w:t>
      </w:r>
      <w:r>
        <w:rPr>
          <w:sz w:val="24"/>
        </w:rPr>
        <w:t>《原阳县产业集聚区发展规划（2009-2020）》</w:t>
      </w:r>
      <w:r>
        <w:rPr>
          <w:rFonts w:hint="eastAsia"/>
          <w:sz w:val="24"/>
        </w:rPr>
        <w:t>；</w:t>
      </w:r>
    </w:p>
    <w:p>
      <w:pPr>
        <w:spacing w:line="520" w:lineRule="exact"/>
        <w:ind w:firstLine="480" w:firstLineChars="200"/>
        <w:rPr>
          <w:sz w:val="24"/>
        </w:rPr>
      </w:pPr>
      <w:r>
        <w:rPr>
          <w:rFonts w:hint="eastAsia"/>
          <w:sz w:val="24"/>
        </w:rPr>
        <w:t>（4）</w:t>
      </w:r>
      <w:r>
        <w:rPr>
          <w:sz w:val="24"/>
        </w:rPr>
        <w:t>《原阳县产业集聚区发展规划调整方案（2012-2020）》；</w:t>
      </w:r>
    </w:p>
    <w:p>
      <w:pPr>
        <w:spacing w:line="520" w:lineRule="exact"/>
        <w:ind w:firstLine="480" w:firstLineChars="200"/>
        <w:rPr>
          <w:sz w:val="24"/>
        </w:rPr>
      </w:pPr>
      <w:r>
        <w:rPr>
          <w:sz w:val="24"/>
        </w:rPr>
        <w:t>（5）</w:t>
      </w:r>
      <w:r>
        <w:rPr>
          <w:bCs/>
          <w:sz w:val="24"/>
        </w:rPr>
        <w:t>《原阳县产业集聚区发展规划调整方案环境影响补充分析报告</w:t>
      </w:r>
      <w:r>
        <w:rPr>
          <w:rFonts w:hint="eastAsia"/>
          <w:bCs/>
          <w:sz w:val="24"/>
        </w:rPr>
        <w:t>书</w:t>
      </w:r>
      <w:r>
        <w:rPr>
          <w:bCs/>
          <w:sz w:val="24"/>
        </w:rPr>
        <w:t>》</w:t>
      </w:r>
      <w:r>
        <w:rPr>
          <w:rFonts w:hint="eastAsia"/>
          <w:bCs/>
          <w:sz w:val="24"/>
        </w:rPr>
        <w:t>（2</w:t>
      </w:r>
      <w:r>
        <w:rPr>
          <w:bCs/>
          <w:sz w:val="24"/>
        </w:rPr>
        <w:t>015</w:t>
      </w:r>
      <w:r>
        <w:rPr>
          <w:rFonts w:hint="eastAsia"/>
          <w:bCs/>
          <w:sz w:val="24"/>
        </w:rPr>
        <w:t>年</w:t>
      </w:r>
      <w:r>
        <w:rPr>
          <w:bCs/>
          <w:sz w:val="24"/>
        </w:rPr>
        <w:t>9</w:t>
      </w:r>
      <w:r>
        <w:rPr>
          <w:rFonts w:hint="eastAsia"/>
          <w:bCs/>
          <w:sz w:val="24"/>
        </w:rPr>
        <w:t>月）</w:t>
      </w:r>
      <w:r>
        <w:rPr>
          <w:sz w:val="24"/>
        </w:rPr>
        <w:t>；</w:t>
      </w:r>
    </w:p>
    <w:p>
      <w:pPr>
        <w:spacing w:line="520" w:lineRule="exact"/>
        <w:ind w:firstLine="480" w:firstLineChars="200"/>
        <w:rPr>
          <w:sz w:val="24"/>
        </w:rPr>
      </w:pPr>
      <w:r>
        <w:rPr>
          <w:sz w:val="24"/>
        </w:rPr>
        <w:t>（6）</w:t>
      </w:r>
      <w:r>
        <w:rPr>
          <w:sz w:val="24"/>
          <w:szCs w:val="24"/>
        </w:rPr>
        <w:t>《</w:t>
      </w:r>
      <w:r>
        <w:rPr>
          <w:sz w:val="24"/>
          <w:szCs w:val="20"/>
        </w:rPr>
        <w:t>河南羽佳金门实业有限公司预制菜</w:t>
      </w:r>
      <w:r>
        <w:rPr>
          <w:rFonts w:hint="eastAsia"/>
          <w:sz w:val="24"/>
          <w:szCs w:val="20"/>
        </w:rPr>
        <w:t>创新孵化园建设</w:t>
      </w:r>
      <w:r>
        <w:rPr>
          <w:sz w:val="24"/>
          <w:szCs w:val="20"/>
        </w:rPr>
        <w:t>项目</w:t>
      </w:r>
      <w:r>
        <w:rPr>
          <w:rFonts w:hint="eastAsia"/>
          <w:sz w:val="24"/>
          <w:szCs w:val="20"/>
        </w:rPr>
        <w:t>环评</w:t>
      </w:r>
      <w:r>
        <w:rPr>
          <w:sz w:val="24"/>
          <w:szCs w:val="24"/>
        </w:rPr>
        <w:t>现状</w:t>
      </w:r>
      <w:r>
        <w:rPr>
          <w:rFonts w:hint="eastAsia"/>
          <w:sz w:val="24"/>
          <w:szCs w:val="24"/>
        </w:rPr>
        <w:t>质量</w:t>
      </w:r>
      <w:r>
        <w:rPr>
          <w:sz w:val="24"/>
          <w:szCs w:val="24"/>
        </w:rPr>
        <w:t>检测报告》（河南永飞检测科技有限公司，2023年4月22日，报告编号：YFJC</w:t>
      </w:r>
      <w:r>
        <w:rPr>
          <w:rFonts w:hint="eastAsia"/>
          <w:sz w:val="24"/>
          <w:szCs w:val="24"/>
        </w:rPr>
        <w:t>-WT23F04100</w:t>
      </w:r>
      <w:r>
        <w:rPr>
          <w:sz w:val="24"/>
          <w:szCs w:val="24"/>
        </w:rPr>
        <w:t>）；</w:t>
      </w:r>
    </w:p>
    <w:p>
      <w:pPr>
        <w:spacing w:line="520" w:lineRule="exact"/>
        <w:ind w:firstLine="480" w:firstLineChars="200"/>
        <w:rPr>
          <w:sz w:val="24"/>
          <w:szCs w:val="20"/>
        </w:rPr>
      </w:pPr>
      <w:r>
        <w:rPr>
          <w:sz w:val="24"/>
          <w:szCs w:val="20"/>
        </w:rPr>
        <w:t>（7）《河南羽佳金门实业有限公司预制菜</w:t>
      </w:r>
      <w:r>
        <w:rPr>
          <w:rFonts w:hint="eastAsia"/>
          <w:sz w:val="24"/>
          <w:szCs w:val="20"/>
        </w:rPr>
        <w:t>创新孵化园建设</w:t>
      </w:r>
      <w:r>
        <w:rPr>
          <w:sz w:val="24"/>
          <w:szCs w:val="20"/>
        </w:rPr>
        <w:t>项目</w:t>
      </w:r>
      <w:r>
        <w:rPr>
          <w:rFonts w:hint="eastAsia"/>
          <w:sz w:val="24"/>
          <w:szCs w:val="20"/>
        </w:rPr>
        <w:t>环评</w:t>
      </w:r>
      <w:r>
        <w:rPr>
          <w:sz w:val="24"/>
          <w:szCs w:val="20"/>
        </w:rPr>
        <w:t>现状</w:t>
      </w:r>
      <w:r>
        <w:rPr>
          <w:rFonts w:hint="eastAsia"/>
          <w:sz w:val="24"/>
          <w:szCs w:val="20"/>
        </w:rPr>
        <w:t>质量</w:t>
      </w:r>
      <w:r>
        <w:rPr>
          <w:sz w:val="24"/>
          <w:szCs w:val="20"/>
        </w:rPr>
        <w:t>检测报告》（河南永飞检测科技有限公司，2023年7月</w:t>
      </w:r>
      <w:r>
        <w:rPr>
          <w:rFonts w:hint="eastAsia"/>
          <w:sz w:val="24"/>
          <w:szCs w:val="20"/>
        </w:rPr>
        <w:t>1</w:t>
      </w:r>
      <w:r>
        <w:rPr>
          <w:sz w:val="24"/>
          <w:szCs w:val="20"/>
        </w:rPr>
        <w:t>7日，报告编号：YFJC</w:t>
      </w:r>
      <w:r>
        <w:rPr>
          <w:rFonts w:hint="eastAsia"/>
          <w:sz w:val="24"/>
          <w:szCs w:val="20"/>
        </w:rPr>
        <w:t>-WT23F0</w:t>
      </w:r>
      <w:r>
        <w:rPr>
          <w:sz w:val="24"/>
          <w:szCs w:val="20"/>
        </w:rPr>
        <w:t>70720）；</w:t>
      </w:r>
    </w:p>
    <w:p>
      <w:pPr>
        <w:spacing w:line="520" w:lineRule="exact"/>
        <w:ind w:firstLine="480" w:firstLineChars="200"/>
        <w:rPr>
          <w:sz w:val="24"/>
        </w:rPr>
      </w:pPr>
      <w:r>
        <w:rPr>
          <w:rFonts w:hint="eastAsia"/>
          <w:sz w:val="24"/>
          <w:szCs w:val="20"/>
        </w:rPr>
        <w:t>（8）</w:t>
      </w:r>
      <w:r>
        <w:rPr>
          <w:sz w:val="24"/>
        </w:rPr>
        <w:t>建设单位提供的可研报告以及其他工程技术资料。</w:t>
      </w:r>
    </w:p>
    <w:p>
      <w:pPr>
        <w:keepNext/>
        <w:keepLines/>
        <w:spacing w:line="520" w:lineRule="exact"/>
        <w:outlineLvl w:val="1"/>
        <w:rPr>
          <w:rFonts w:eastAsia="黑体"/>
          <w:bCs/>
          <w:sz w:val="28"/>
          <w:szCs w:val="28"/>
        </w:rPr>
      </w:pPr>
      <w:bookmarkStart w:id="22" w:name="_Toc31590"/>
      <w:r>
        <w:rPr>
          <w:rFonts w:eastAsia="黑体"/>
          <w:bCs/>
          <w:sz w:val="28"/>
          <w:szCs w:val="28"/>
        </w:rPr>
        <w:t>2.2 评价对象、评价目的、评价原则</w:t>
      </w:r>
      <w:bookmarkEnd w:id="22"/>
    </w:p>
    <w:p>
      <w:pPr>
        <w:keepNext/>
        <w:keepLines/>
        <w:spacing w:line="520" w:lineRule="exact"/>
        <w:outlineLvl w:val="2"/>
        <w:rPr>
          <w:rFonts w:eastAsia="黑体"/>
          <w:bCs/>
          <w:sz w:val="28"/>
          <w:szCs w:val="28"/>
        </w:rPr>
      </w:pPr>
      <w:r>
        <w:rPr>
          <w:rFonts w:eastAsia="黑体"/>
          <w:bCs/>
          <w:sz w:val="28"/>
          <w:szCs w:val="28"/>
        </w:rPr>
        <w:t>2.2.1 评价对象</w:t>
      </w:r>
    </w:p>
    <w:p>
      <w:pPr>
        <w:spacing w:line="520" w:lineRule="exact"/>
        <w:ind w:firstLine="480"/>
        <w:rPr>
          <w:sz w:val="24"/>
          <w:szCs w:val="24"/>
        </w:rPr>
      </w:pPr>
      <w:r>
        <w:rPr>
          <w:sz w:val="24"/>
          <w:szCs w:val="24"/>
        </w:rPr>
        <w:t>本次评价对象为预制菜</w:t>
      </w:r>
      <w:r>
        <w:rPr>
          <w:rFonts w:hint="eastAsia"/>
          <w:sz w:val="24"/>
          <w:szCs w:val="24"/>
        </w:rPr>
        <w:t>创新孵化园建设</w:t>
      </w:r>
      <w:r>
        <w:rPr>
          <w:sz w:val="24"/>
          <w:szCs w:val="24"/>
        </w:rPr>
        <w:t>项目，其主要</w:t>
      </w:r>
      <w:r>
        <w:rPr>
          <w:rFonts w:hint="eastAsia"/>
          <w:sz w:val="24"/>
          <w:szCs w:val="24"/>
        </w:rPr>
        <w:t>包括新建车间厂房、污水处理站</w:t>
      </w:r>
      <w:r>
        <w:rPr>
          <w:sz w:val="24"/>
          <w:szCs w:val="24"/>
        </w:rPr>
        <w:t>，工程建设性质为新建。</w:t>
      </w:r>
    </w:p>
    <w:p>
      <w:pPr>
        <w:keepNext/>
        <w:keepLines/>
        <w:spacing w:line="520" w:lineRule="exact"/>
        <w:outlineLvl w:val="2"/>
        <w:rPr>
          <w:rFonts w:eastAsia="黑体"/>
          <w:bCs/>
          <w:sz w:val="28"/>
          <w:szCs w:val="28"/>
        </w:rPr>
      </w:pPr>
      <w:r>
        <w:rPr>
          <w:rFonts w:eastAsia="黑体"/>
          <w:bCs/>
          <w:sz w:val="28"/>
          <w:szCs w:val="28"/>
        </w:rPr>
        <w:t>2.2.2 评价目的</w:t>
      </w:r>
    </w:p>
    <w:p>
      <w:pPr>
        <w:adjustRightInd w:val="0"/>
        <w:snapToGrid w:val="0"/>
        <w:spacing w:line="520" w:lineRule="exact"/>
        <w:ind w:firstLine="480" w:firstLineChars="200"/>
        <w:textAlignment w:val="baseline"/>
        <w:rPr>
          <w:kern w:val="0"/>
          <w:sz w:val="24"/>
          <w:szCs w:val="20"/>
        </w:rPr>
      </w:pPr>
      <w:r>
        <w:rPr>
          <w:kern w:val="0"/>
          <w:sz w:val="24"/>
          <w:szCs w:val="20"/>
        </w:rPr>
        <w:t>本次评价目的是通过对评价区地表水、环境空气、声环境、土壤环境的调查，查清环境质量现状。结合工程实际，分析工程对环境影响的程度和范围，从环保角度出发，对项目的可行性给出结论。在项目实施过程中做到事前预防污染，为主管部门审批决策、监督管理，为工程设计、工程建设及日后的生产管理提供科学依据和基础资料。</w:t>
      </w:r>
    </w:p>
    <w:p>
      <w:pPr>
        <w:adjustRightInd w:val="0"/>
        <w:snapToGrid w:val="0"/>
        <w:spacing w:line="520" w:lineRule="exact"/>
        <w:ind w:firstLine="480" w:firstLineChars="200"/>
        <w:textAlignment w:val="baseline"/>
        <w:rPr>
          <w:kern w:val="0"/>
          <w:sz w:val="24"/>
          <w:szCs w:val="20"/>
        </w:rPr>
      </w:pPr>
      <w:r>
        <w:rPr>
          <w:kern w:val="0"/>
          <w:sz w:val="24"/>
          <w:szCs w:val="20"/>
        </w:rPr>
        <w:t>根据项目的具体情况，结合项目厂址周围的环境状况，评价工作拟达到以下目的：</w:t>
      </w:r>
    </w:p>
    <w:p>
      <w:pPr>
        <w:adjustRightInd w:val="0"/>
        <w:snapToGrid w:val="0"/>
        <w:spacing w:line="520" w:lineRule="exact"/>
        <w:ind w:firstLine="480" w:firstLineChars="200"/>
        <w:textAlignment w:val="baseline"/>
        <w:rPr>
          <w:kern w:val="0"/>
          <w:sz w:val="24"/>
          <w:szCs w:val="20"/>
        </w:rPr>
      </w:pPr>
      <w:r>
        <w:rPr>
          <w:kern w:val="0"/>
          <w:sz w:val="24"/>
          <w:szCs w:val="20"/>
        </w:rPr>
        <w:t>（1）从国家产业政策的角度出发，结合当地总体规划要求，确定项目的建设是否符合产业政策及规划要求。</w:t>
      </w:r>
    </w:p>
    <w:p>
      <w:pPr>
        <w:adjustRightInd w:val="0"/>
        <w:snapToGrid w:val="0"/>
        <w:spacing w:line="520" w:lineRule="exact"/>
        <w:ind w:firstLine="480" w:firstLineChars="200"/>
        <w:textAlignment w:val="baseline"/>
        <w:rPr>
          <w:kern w:val="0"/>
          <w:sz w:val="24"/>
          <w:szCs w:val="20"/>
        </w:rPr>
      </w:pPr>
      <w:r>
        <w:rPr>
          <w:kern w:val="0"/>
          <w:sz w:val="24"/>
          <w:szCs w:val="20"/>
        </w:rPr>
        <w:t>（2）在对本工程厂址周边自然环境状况进行调查分析的基础上，掌握评价区域内主要环境敏感目标、保护环境目标；充分利用现有资料并进行现场踏勘和环境现状监测，查清评价区域环境现状（环境空气、地表水环境、地下水质量、声环境、土壤环境），并做出现状评价；调查并明确区域内的主要污染源及环境特征。</w:t>
      </w:r>
    </w:p>
    <w:p>
      <w:pPr>
        <w:adjustRightInd w:val="0"/>
        <w:snapToGrid w:val="0"/>
        <w:spacing w:line="520" w:lineRule="exact"/>
        <w:ind w:firstLine="480" w:firstLineChars="200"/>
        <w:textAlignment w:val="baseline"/>
        <w:rPr>
          <w:bCs/>
          <w:kern w:val="0"/>
          <w:sz w:val="24"/>
          <w:szCs w:val="20"/>
        </w:rPr>
      </w:pPr>
      <w:r>
        <w:rPr>
          <w:kern w:val="0"/>
          <w:sz w:val="24"/>
          <w:szCs w:val="20"/>
        </w:rPr>
        <w:t>（3）全面分析本工程建设内容，</w:t>
      </w:r>
      <w:r>
        <w:rPr>
          <w:bCs/>
          <w:kern w:val="0"/>
          <w:sz w:val="24"/>
          <w:szCs w:val="20"/>
        </w:rPr>
        <w:t>采用定性和定量相结合的分析方法，重点分析项目规模合理性、工艺可行性，运营期污染防治措施可行性。从环境保护的角度论证工程建设的可行性；</w:t>
      </w:r>
    </w:p>
    <w:p>
      <w:pPr>
        <w:adjustRightInd w:val="0"/>
        <w:snapToGrid w:val="0"/>
        <w:spacing w:line="520" w:lineRule="exact"/>
        <w:ind w:firstLine="480" w:firstLineChars="200"/>
        <w:textAlignment w:val="baseline"/>
        <w:rPr>
          <w:kern w:val="0"/>
          <w:sz w:val="24"/>
          <w:szCs w:val="20"/>
        </w:rPr>
      </w:pPr>
      <w:r>
        <w:rPr>
          <w:kern w:val="0"/>
          <w:sz w:val="24"/>
          <w:szCs w:val="20"/>
        </w:rPr>
        <w:t>（4）针对本项目产生的环境影响和问题，提出控制或减缓的对策和建议。</w:t>
      </w:r>
    </w:p>
    <w:p>
      <w:pPr>
        <w:keepNext/>
        <w:keepLines/>
        <w:spacing w:line="520" w:lineRule="exact"/>
        <w:outlineLvl w:val="2"/>
        <w:rPr>
          <w:rFonts w:eastAsia="黑体"/>
          <w:bCs/>
          <w:sz w:val="28"/>
          <w:szCs w:val="28"/>
        </w:rPr>
      </w:pPr>
      <w:r>
        <w:rPr>
          <w:rFonts w:eastAsia="黑体"/>
          <w:bCs/>
          <w:sz w:val="28"/>
          <w:szCs w:val="28"/>
        </w:rPr>
        <w:t>2.2.3 评价原则</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（1）</w:t>
      </w:r>
      <w:r>
        <w:rPr>
          <w:kern w:val="0"/>
          <w:sz w:val="24"/>
          <w:szCs w:val="20"/>
        </w:rPr>
        <w:t>贯彻“源头削减”“达标排放”和“总量控制”原则，采取有效治理措施，使污染物排放达到国家和地方相应的排放标准；并根据当地总量控制要求，确定拟建工程总量控制方案和控制措施，提出总量控制指标建议。</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（2）</w:t>
      </w:r>
      <w:r>
        <w:rPr>
          <w:kern w:val="0"/>
          <w:sz w:val="24"/>
          <w:szCs w:val="20"/>
        </w:rPr>
        <w:t>在评价工作中，全面收集评价区域已有资料，认真研究和分析自然环境和环境质量现状资料的可靠性和时效性，充分利用其合理部分，避免不必要的重复工作，做到真实、客观、公正，结论明确。</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（3）</w:t>
      </w:r>
      <w:r>
        <w:rPr>
          <w:kern w:val="0"/>
          <w:sz w:val="24"/>
          <w:szCs w:val="20"/>
        </w:rPr>
        <w:t>环境影响预测与评价方法要具有合理性、数据可信；</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（4）</w:t>
      </w:r>
      <w:r>
        <w:rPr>
          <w:kern w:val="0"/>
          <w:sz w:val="24"/>
          <w:szCs w:val="20"/>
        </w:rPr>
        <w:t>从发展经济和保护环境的角度出发，提出可行的污染防治对策、措施和建议，做到环境效益、经济效益和社会效益的协调统一。</w:t>
      </w:r>
    </w:p>
    <w:p>
      <w:pPr>
        <w:keepNext/>
        <w:keepLines/>
        <w:spacing w:line="520" w:lineRule="exact"/>
        <w:outlineLvl w:val="1"/>
        <w:rPr>
          <w:rFonts w:eastAsia="黑体"/>
          <w:bCs/>
          <w:sz w:val="28"/>
          <w:szCs w:val="28"/>
        </w:rPr>
      </w:pPr>
      <w:bookmarkStart w:id="23" w:name="_Toc27667"/>
      <w:r>
        <w:rPr>
          <w:rFonts w:eastAsia="黑体"/>
          <w:bCs/>
          <w:sz w:val="28"/>
          <w:szCs w:val="28"/>
        </w:rPr>
        <w:t>2.3 环境影响因素识别与评价因子筛选</w:t>
      </w:r>
      <w:bookmarkEnd w:id="23"/>
    </w:p>
    <w:p>
      <w:pPr>
        <w:keepNext/>
        <w:keepLines/>
        <w:spacing w:line="520" w:lineRule="exact"/>
        <w:outlineLvl w:val="2"/>
        <w:rPr>
          <w:rFonts w:eastAsia="楷体_GB2312"/>
          <w:bCs/>
          <w:sz w:val="28"/>
          <w:szCs w:val="28"/>
        </w:rPr>
      </w:pPr>
      <w:r>
        <w:rPr>
          <w:rFonts w:eastAsia="黑体"/>
          <w:bCs/>
          <w:sz w:val="28"/>
          <w:szCs w:val="28"/>
        </w:rPr>
        <w:t>2.3.1 环境影响因素识别</w:t>
      </w:r>
    </w:p>
    <w:p>
      <w:pPr>
        <w:spacing w:line="520" w:lineRule="exact"/>
        <w:ind w:firstLine="480" w:firstLineChars="200"/>
        <w:rPr>
          <w:sz w:val="24"/>
          <w:szCs w:val="20"/>
        </w:rPr>
      </w:pPr>
      <w:r>
        <w:rPr>
          <w:sz w:val="24"/>
          <w:szCs w:val="20"/>
        </w:rPr>
        <w:t>根据项目所在位置、项目周围环境敏感点的分布情况、项目对环境可能造成的影响因素及特点，对项目的环境影响因素进行了识别，具体识别结果见表2.3-1。</w:t>
      </w:r>
    </w:p>
    <w:p>
      <w:pPr>
        <w:spacing w:line="520" w:lineRule="exact"/>
        <w:ind w:firstLine="480" w:firstLineChars="200"/>
        <w:rPr>
          <w:rFonts w:eastAsia="黑体"/>
          <w:sz w:val="24"/>
          <w:szCs w:val="20"/>
        </w:rPr>
      </w:pPr>
      <w:r>
        <w:rPr>
          <w:rFonts w:eastAsia="黑体"/>
          <w:sz w:val="24"/>
          <w:szCs w:val="20"/>
        </w:rPr>
        <w:t>表2.3-1                   环境影响因子识别表</w:t>
      </w:r>
    </w:p>
    <w:tbl>
      <w:tblPr>
        <w:tblStyle w:val="4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502"/>
        <w:gridCol w:w="1200"/>
        <w:gridCol w:w="961"/>
        <w:gridCol w:w="954"/>
        <w:gridCol w:w="986"/>
        <w:gridCol w:w="842"/>
        <w:gridCol w:w="982"/>
        <w:gridCol w:w="1190"/>
        <w:gridCol w:w="11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54" w:hRule="atLeast"/>
        </w:trPr>
        <w:tc>
          <w:tcPr>
            <w:tcW w:w="969" w:type="pct"/>
            <w:gridSpan w:val="2"/>
            <w:vMerge w:val="restart"/>
            <w:tcBorders>
              <w:top w:val="single" w:color="auto" w:sz="4" w:space="0"/>
              <w:left w:val="single" w:color="auto" w:sz="4" w:space="0"/>
              <w:bottom w:val="single" w:color="auto" w:sz="4" w:space="0"/>
              <w:right w:val="single" w:color="auto" w:sz="6" w:space="0"/>
              <w:tl2br w:val="single" w:color="auto" w:sz="4" w:space="0"/>
            </w:tcBorders>
            <w:vAlign w:val="center"/>
          </w:tcPr>
          <w:p>
            <w:pPr>
              <w:spacing w:line="280" w:lineRule="exact"/>
              <w:jc w:val="right"/>
              <w:rPr>
                <w:b/>
                <w:bCs/>
                <w:szCs w:val="21"/>
              </w:rPr>
            </w:pPr>
            <w:r>
              <w:rPr>
                <w:b/>
                <w:bCs/>
                <w:szCs w:val="21"/>
              </w:rPr>
              <w:t>影响因素</w:t>
            </w:r>
          </w:p>
          <w:p>
            <w:pPr>
              <w:spacing w:line="280" w:lineRule="exact"/>
              <w:jc w:val="left"/>
              <w:rPr>
                <w:b/>
                <w:bCs/>
                <w:szCs w:val="21"/>
              </w:rPr>
            </w:pPr>
            <w:r>
              <w:rPr>
                <w:b/>
                <w:bCs/>
                <w:szCs w:val="21"/>
              </w:rPr>
              <w:t>类别</w:t>
            </w:r>
          </w:p>
        </w:tc>
        <w:tc>
          <w:tcPr>
            <w:tcW w:w="1090" w:type="pct"/>
            <w:gridSpan w:val="2"/>
            <w:tcBorders>
              <w:top w:val="single" w:color="auto" w:sz="4" w:space="0"/>
              <w:left w:val="single" w:color="auto" w:sz="6" w:space="0"/>
              <w:bottom w:val="single" w:color="auto" w:sz="4" w:space="0"/>
              <w:right w:val="single" w:color="auto" w:sz="6" w:space="0"/>
            </w:tcBorders>
            <w:vAlign w:val="center"/>
          </w:tcPr>
          <w:p>
            <w:pPr>
              <w:spacing w:line="280" w:lineRule="exact"/>
              <w:jc w:val="center"/>
              <w:rPr>
                <w:b/>
                <w:bCs/>
                <w:szCs w:val="21"/>
              </w:rPr>
            </w:pPr>
            <w:r>
              <w:rPr>
                <w:b/>
                <w:bCs/>
                <w:szCs w:val="21"/>
              </w:rPr>
              <w:t>施工期</w:t>
            </w:r>
          </w:p>
        </w:tc>
        <w:tc>
          <w:tcPr>
            <w:tcW w:w="2942" w:type="pct"/>
            <w:gridSpan w:val="5"/>
            <w:tcBorders>
              <w:top w:val="single" w:color="auto" w:sz="4" w:space="0"/>
              <w:left w:val="single" w:color="auto" w:sz="6" w:space="0"/>
              <w:bottom w:val="single" w:color="auto" w:sz="4" w:space="0"/>
              <w:right w:val="single" w:color="auto" w:sz="4" w:space="0"/>
            </w:tcBorders>
            <w:vAlign w:val="center"/>
          </w:tcPr>
          <w:p>
            <w:pPr>
              <w:spacing w:line="280" w:lineRule="exact"/>
              <w:jc w:val="center"/>
              <w:rPr>
                <w:b/>
                <w:bCs/>
                <w:szCs w:val="21"/>
              </w:rPr>
            </w:pPr>
            <w:r>
              <w:rPr>
                <w:b/>
                <w:bCs/>
                <w:szCs w:val="21"/>
              </w:rPr>
              <w:t>运行期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54" w:hRule="atLeast"/>
        </w:trPr>
        <w:tc>
          <w:tcPr>
            <w:tcW w:w="969" w:type="pct"/>
            <w:gridSpan w:val="2"/>
            <w:vMerge w:val="continue"/>
            <w:tcBorders>
              <w:top w:val="single" w:color="auto" w:sz="4" w:space="0"/>
              <w:left w:val="single" w:color="auto" w:sz="4" w:space="0"/>
              <w:bottom w:val="single" w:color="auto" w:sz="4" w:space="0"/>
              <w:right w:val="single" w:color="auto" w:sz="6" w:space="0"/>
            </w:tcBorders>
            <w:vAlign w:val="center"/>
          </w:tcPr>
          <w:p>
            <w:pPr>
              <w:widowControl/>
              <w:jc w:val="center"/>
              <w:rPr>
                <w:b/>
                <w:bCs/>
                <w:szCs w:val="21"/>
              </w:rPr>
            </w:pPr>
          </w:p>
        </w:tc>
        <w:tc>
          <w:tcPr>
            <w:tcW w:w="547" w:type="pct"/>
            <w:tcBorders>
              <w:top w:val="single" w:color="auto" w:sz="4" w:space="0"/>
              <w:left w:val="single" w:color="auto" w:sz="6" w:space="0"/>
              <w:bottom w:val="single" w:color="auto" w:sz="4" w:space="0"/>
              <w:right w:val="single" w:color="auto" w:sz="6" w:space="0"/>
            </w:tcBorders>
            <w:vAlign w:val="center"/>
          </w:tcPr>
          <w:p>
            <w:pPr>
              <w:widowControl/>
              <w:jc w:val="center"/>
              <w:rPr>
                <w:b/>
                <w:bCs/>
                <w:szCs w:val="21"/>
              </w:rPr>
            </w:pPr>
            <w:r>
              <w:rPr>
                <w:rFonts w:hint="eastAsia"/>
                <w:b/>
                <w:bCs/>
                <w:szCs w:val="21"/>
              </w:rPr>
              <w:t>土建工程</w:t>
            </w:r>
          </w:p>
        </w:tc>
        <w:tc>
          <w:tcPr>
            <w:tcW w:w="542"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b/>
                <w:bCs/>
                <w:szCs w:val="21"/>
              </w:rPr>
            </w:pPr>
            <w:r>
              <w:rPr>
                <w:rFonts w:hint="eastAsia"/>
                <w:b/>
                <w:bCs/>
                <w:szCs w:val="21"/>
              </w:rPr>
              <w:t>原料运输</w:t>
            </w:r>
          </w:p>
        </w:tc>
        <w:tc>
          <w:tcPr>
            <w:tcW w:w="561"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b/>
                <w:bCs/>
                <w:szCs w:val="21"/>
              </w:rPr>
            </w:pPr>
            <w:r>
              <w:rPr>
                <w:rFonts w:hint="eastAsia"/>
                <w:b/>
                <w:bCs/>
                <w:szCs w:val="21"/>
              </w:rPr>
              <w:t>废水</w:t>
            </w:r>
          </w:p>
        </w:tc>
        <w:tc>
          <w:tcPr>
            <w:tcW w:w="47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b/>
                <w:bCs/>
                <w:szCs w:val="21"/>
              </w:rPr>
            </w:pPr>
            <w:r>
              <w:rPr>
                <w:rFonts w:hint="eastAsia"/>
                <w:b/>
                <w:bCs/>
                <w:szCs w:val="21"/>
              </w:rPr>
              <w:t>废气</w:t>
            </w:r>
          </w:p>
        </w:tc>
        <w:tc>
          <w:tcPr>
            <w:tcW w:w="55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b/>
                <w:bCs/>
                <w:szCs w:val="21"/>
              </w:rPr>
            </w:pPr>
            <w:r>
              <w:rPr>
                <w:b/>
                <w:bCs/>
                <w:szCs w:val="21"/>
              </w:rPr>
              <w:t>固废</w:t>
            </w:r>
          </w:p>
        </w:tc>
        <w:tc>
          <w:tcPr>
            <w:tcW w:w="67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b/>
                <w:bCs/>
                <w:szCs w:val="21"/>
              </w:rPr>
            </w:pPr>
            <w:r>
              <w:rPr>
                <w:b/>
                <w:bCs/>
                <w:szCs w:val="21"/>
              </w:rPr>
              <w:t>噪声及振动</w:t>
            </w:r>
          </w:p>
        </w:tc>
        <w:tc>
          <w:tcPr>
            <w:tcW w:w="665" w:type="pct"/>
            <w:tcBorders>
              <w:top w:val="single" w:color="auto" w:sz="4" w:space="0"/>
              <w:left w:val="single" w:color="auto" w:sz="6" w:space="0"/>
              <w:bottom w:val="single" w:color="auto" w:sz="4" w:space="0"/>
              <w:right w:val="single" w:color="auto" w:sz="4" w:space="0"/>
            </w:tcBorders>
            <w:vAlign w:val="center"/>
          </w:tcPr>
          <w:p>
            <w:pPr>
              <w:spacing w:line="280" w:lineRule="exact"/>
              <w:jc w:val="center"/>
              <w:rPr>
                <w:b/>
                <w:bCs/>
                <w:szCs w:val="21"/>
              </w:rPr>
            </w:pPr>
            <w:r>
              <w:rPr>
                <w:b/>
                <w:bCs/>
                <w:szCs w:val="21"/>
              </w:rPr>
              <w:t>效益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54" w:hRule="atLeast"/>
        </w:trPr>
        <w:tc>
          <w:tcPr>
            <w:tcW w:w="286" w:type="pct"/>
            <w:vMerge w:val="restart"/>
            <w:tcBorders>
              <w:top w:val="single" w:color="auto" w:sz="4" w:space="0"/>
              <w:left w:val="single" w:color="auto" w:sz="4" w:space="0"/>
              <w:right w:val="single" w:color="auto" w:sz="4" w:space="0"/>
            </w:tcBorders>
            <w:vAlign w:val="center"/>
          </w:tcPr>
          <w:p>
            <w:pPr>
              <w:spacing w:line="280" w:lineRule="exact"/>
              <w:jc w:val="center"/>
              <w:rPr>
                <w:szCs w:val="21"/>
                <w:highlight w:val="yellow"/>
              </w:rPr>
            </w:pPr>
            <w:r>
              <w:rPr>
                <w:szCs w:val="21"/>
              </w:rPr>
              <w:t>自然生态环境</w:t>
            </w:r>
          </w:p>
        </w:tc>
        <w:tc>
          <w:tcPr>
            <w:tcW w:w="683" w:type="pct"/>
            <w:tcBorders>
              <w:top w:val="single" w:color="auto" w:sz="4" w:space="0"/>
              <w:left w:val="single" w:color="auto" w:sz="4" w:space="0"/>
              <w:bottom w:val="single" w:color="auto" w:sz="4" w:space="0"/>
              <w:right w:val="single" w:color="auto" w:sz="6" w:space="0"/>
            </w:tcBorders>
            <w:vAlign w:val="center"/>
          </w:tcPr>
          <w:p>
            <w:pPr>
              <w:spacing w:line="280" w:lineRule="exact"/>
              <w:jc w:val="center"/>
              <w:rPr>
                <w:szCs w:val="21"/>
              </w:rPr>
            </w:pPr>
            <w:r>
              <w:rPr>
                <w:rFonts w:hint="eastAsia"/>
                <w:szCs w:val="21"/>
              </w:rPr>
              <w:t>环境空气</w:t>
            </w:r>
          </w:p>
        </w:tc>
        <w:tc>
          <w:tcPr>
            <w:tcW w:w="54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r>
              <w:rPr>
                <w:szCs w:val="21"/>
              </w:rPr>
              <w:t>-2SP</w:t>
            </w:r>
          </w:p>
        </w:tc>
        <w:tc>
          <w:tcPr>
            <w:tcW w:w="542"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r>
              <w:rPr>
                <w:szCs w:val="21"/>
              </w:rPr>
              <w:t>-1SP</w:t>
            </w:r>
          </w:p>
        </w:tc>
        <w:tc>
          <w:tcPr>
            <w:tcW w:w="561"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r>
              <w:rPr>
                <w:szCs w:val="21"/>
              </w:rPr>
              <w:t>-1LP</w:t>
            </w:r>
          </w:p>
        </w:tc>
        <w:tc>
          <w:tcPr>
            <w:tcW w:w="47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r>
              <w:rPr>
                <w:szCs w:val="21"/>
              </w:rPr>
              <w:t>-1LP</w:t>
            </w:r>
          </w:p>
        </w:tc>
        <w:tc>
          <w:tcPr>
            <w:tcW w:w="55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r>
              <w:rPr>
                <w:szCs w:val="21"/>
              </w:rPr>
              <w:t>-1LP</w:t>
            </w:r>
          </w:p>
        </w:tc>
        <w:tc>
          <w:tcPr>
            <w:tcW w:w="67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665" w:type="pct"/>
            <w:tcBorders>
              <w:top w:val="single" w:color="auto" w:sz="4" w:space="0"/>
              <w:left w:val="single" w:color="auto" w:sz="6" w:space="0"/>
              <w:bottom w:val="single" w:color="auto" w:sz="4" w:space="0"/>
              <w:right w:val="single" w:color="auto" w:sz="4" w:space="0"/>
            </w:tcBorders>
            <w:vAlign w:val="center"/>
          </w:tcPr>
          <w:p>
            <w:pPr>
              <w:spacing w:line="280" w:lineRule="exact"/>
              <w:jc w:val="center"/>
              <w:rPr>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54" w:hRule="atLeast"/>
        </w:trPr>
        <w:tc>
          <w:tcPr>
            <w:tcW w:w="286" w:type="pct"/>
            <w:vMerge w:val="continue"/>
            <w:tcBorders>
              <w:left w:val="single" w:color="auto" w:sz="4" w:space="0"/>
              <w:right w:val="single" w:color="auto" w:sz="4" w:space="0"/>
            </w:tcBorders>
            <w:vAlign w:val="center"/>
          </w:tcPr>
          <w:p>
            <w:pPr>
              <w:widowControl/>
              <w:jc w:val="center"/>
              <w:rPr>
                <w:szCs w:val="21"/>
                <w:highlight w:val="yellow"/>
              </w:rPr>
            </w:pPr>
          </w:p>
        </w:tc>
        <w:tc>
          <w:tcPr>
            <w:tcW w:w="683" w:type="pct"/>
            <w:tcBorders>
              <w:top w:val="single" w:color="auto" w:sz="4" w:space="0"/>
              <w:left w:val="single" w:color="auto" w:sz="4" w:space="0"/>
              <w:bottom w:val="single" w:color="auto" w:sz="4" w:space="0"/>
              <w:right w:val="single" w:color="auto" w:sz="6" w:space="0"/>
            </w:tcBorders>
            <w:vAlign w:val="center"/>
          </w:tcPr>
          <w:p>
            <w:pPr>
              <w:spacing w:line="280" w:lineRule="exact"/>
              <w:jc w:val="center"/>
              <w:rPr>
                <w:szCs w:val="21"/>
              </w:rPr>
            </w:pPr>
            <w:r>
              <w:rPr>
                <w:rFonts w:hint="eastAsia"/>
                <w:szCs w:val="21"/>
              </w:rPr>
              <w:t>声环境</w:t>
            </w:r>
          </w:p>
        </w:tc>
        <w:tc>
          <w:tcPr>
            <w:tcW w:w="54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r>
              <w:rPr>
                <w:szCs w:val="21"/>
              </w:rPr>
              <w:t>-1SP</w:t>
            </w:r>
          </w:p>
        </w:tc>
        <w:tc>
          <w:tcPr>
            <w:tcW w:w="542"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r>
              <w:rPr>
                <w:szCs w:val="21"/>
              </w:rPr>
              <w:t>-1SP</w:t>
            </w:r>
          </w:p>
        </w:tc>
        <w:tc>
          <w:tcPr>
            <w:tcW w:w="561"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r>
              <w:rPr>
                <w:szCs w:val="21"/>
              </w:rPr>
              <w:t>-1LP</w:t>
            </w:r>
          </w:p>
        </w:tc>
        <w:tc>
          <w:tcPr>
            <w:tcW w:w="47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55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67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r>
              <w:rPr>
                <w:szCs w:val="21"/>
              </w:rPr>
              <w:t>-1LP</w:t>
            </w:r>
          </w:p>
        </w:tc>
        <w:tc>
          <w:tcPr>
            <w:tcW w:w="665" w:type="pct"/>
            <w:tcBorders>
              <w:top w:val="single" w:color="auto" w:sz="4" w:space="0"/>
              <w:left w:val="single" w:color="auto" w:sz="6" w:space="0"/>
              <w:bottom w:val="single" w:color="auto" w:sz="4" w:space="0"/>
              <w:right w:val="single" w:color="auto" w:sz="4" w:space="0"/>
            </w:tcBorders>
            <w:vAlign w:val="center"/>
          </w:tcPr>
          <w:p>
            <w:pPr>
              <w:spacing w:line="280" w:lineRule="exact"/>
              <w:jc w:val="center"/>
              <w:rPr>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54" w:hRule="atLeast"/>
        </w:trPr>
        <w:tc>
          <w:tcPr>
            <w:tcW w:w="286" w:type="pct"/>
            <w:vMerge w:val="continue"/>
            <w:tcBorders>
              <w:left w:val="single" w:color="auto" w:sz="4" w:space="0"/>
              <w:right w:val="single" w:color="auto" w:sz="4" w:space="0"/>
            </w:tcBorders>
            <w:vAlign w:val="center"/>
          </w:tcPr>
          <w:p>
            <w:pPr>
              <w:widowControl/>
              <w:jc w:val="center"/>
              <w:rPr>
                <w:szCs w:val="21"/>
                <w:highlight w:val="yellow"/>
              </w:rPr>
            </w:pPr>
          </w:p>
        </w:tc>
        <w:tc>
          <w:tcPr>
            <w:tcW w:w="683" w:type="pct"/>
            <w:tcBorders>
              <w:top w:val="single" w:color="auto" w:sz="4" w:space="0"/>
              <w:left w:val="single" w:color="auto" w:sz="4" w:space="0"/>
              <w:bottom w:val="single" w:color="auto" w:sz="4" w:space="0"/>
              <w:right w:val="single" w:color="auto" w:sz="6" w:space="0"/>
            </w:tcBorders>
            <w:vAlign w:val="center"/>
          </w:tcPr>
          <w:p>
            <w:pPr>
              <w:spacing w:line="280" w:lineRule="exact"/>
              <w:jc w:val="center"/>
              <w:rPr>
                <w:szCs w:val="21"/>
              </w:rPr>
            </w:pPr>
            <w:r>
              <w:rPr>
                <w:rFonts w:hint="eastAsia"/>
                <w:szCs w:val="21"/>
              </w:rPr>
              <w:t>地表水</w:t>
            </w:r>
          </w:p>
        </w:tc>
        <w:tc>
          <w:tcPr>
            <w:tcW w:w="54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r>
              <w:rPr>
                <w:szCs w:val="21"/>
              </w:rPr>
              <w:t>-1SP</w:t>
            </w:r>
          </w:p>
        </w:tc>
        <w:tc>
          <w:tcPr>
            <w:tcW w:w="542"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561"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r>
              <w:rPr>
                <w:szCs w:val="21"/>
              </w:rPr>
              <w:t>-1LP</w:t>
            </w:r>
          </w:p>
        </w:tc>
        <w:tc>
          <w:tcPr>
            <w:tcW w:w="47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p>
        </w:tc>
        <w:tc>
          <w:tcPr>
            <w:tcW w:w="55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p>
        </w:tc>
        <w:tc>
          <w:tcPr>
            <w:tcW w:w="67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p>
        </w:tc>
        <w:tc>
          <w:tcPr>
            <w:tcW w:w="665" w:type="pct"/>
            <w:tcBorders>
              <w:top w:val="single" w:color="auto" w:sz="4" w:space="0"/>
              <w:left w:val="single" w:color="auto" w:sz="6" w:space="0"/>
              <w:bottom w:val="single" w:color="auto" w:sz="4" w:space="0"/>
              <w:right w:val="single" w:color="auto" w:sz="4" w:space="0"/>
            </w:tcBorders>
            <w:vAlign w:val="center"/>
          </w:tcPr>
          <w:p>
            <w:pPr>
              <w:spacing w:line="280" w:lineRule="exact"/>
              <w:jc w:val="center"/>
              <w:rPr>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54" w:hRule="atLeast"/>
        </w:trPr>
        <w:tc>
          <w:tcPr>
            <w:tcW w:w="286" w:type="pct"/>
            <w:vMerge w:val="continue"/>
            <w:tcBorders>
              <w:left w:val="single" w:color="auto" w:sz="4" w:space="0"/>
              <w:right w:val="single" w:color="auto" w:sz="4" w:space="0"/>
            </w:tcBorders>
            <w:vAlign w:val="center"/>
          </w:tcPr>
          <w:p>
            <w:pPr>
              <w:widowControl/>
              <w:jc w:val="center"/>
              <w:rPr>
                <w:szCs w:val="21"/>
                <w:highlight w:val="yellow"/>
              </w:rPr>
            </w:pPr>
          </w:p>
        </w:tc>
        <w:tc>
          <w:tcPr>
            <w:tcW w:w="683" w:type="pct"/>
            <w:tcBorders>
              <w:top w:val="single" w:color="auto" w:sz="4" w:space="0"/>
              <w:left w:val="single" w:color="auto" w:sz="4" w:space="0"/>
              <w:bottom w:val="single" w:color="auto" w:sz="4" w:space="0"/>
              <w:right w:val="single" w:color="auto" w:sz="6" w:space="0"/>
            </w:tcBorders>
            <w:vAlign w:val="center"/>
          </w:tcPr>
          <w:p>
            <w:pPr>
              <w:spacing w:line="280" w:lineRule="exact"/>
              <w:jc w:val="center"/>
              <w:rPr>
                <w:szCs w:val="21"/>
              </w:rPr>
            </w:pPr>
            <w:r>
              <w:rPr>
                <w:rFonts w:hint="eastAsia"/>
                <w:szCs w:val="21"/>
              </w:rPr>
              <w:t>地下水</w:t>
            </w:r>
          </w:p>
        </w:tc>
        <w:tc>
          <w:tcPr>
            <w:tcW w:w="54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p>
        </w:tc>
        <w:tc>
          <w:tcPr>
            <w:tcW w:w="542"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561"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r>
              <w:rPr>
                <w:szCs w:val="21"/>
              </w:rPr>
              <w:t>-1LP</w:t>
            </w:r>
          </w:p>
        </w:tc>
        <w:tc>
          <w:tcPr>
            <w:tcW w:w="47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p>
        </w:tc>
        <w:tc>
          <w:tcPr>
            <w:tcW w:w="55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p>
        </w:tc>
        <w:tc>
          <w:tcPr>
            <w:tcW w:w="67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p>
        </w:tc>
        <w:tc>
          <w:tcPr>
            <w:tcW w:w="665" w:type="pct"/>
            <w:tcBorders>
              <w:top w:val="single" w:color="auto" w:sz="4" w:space="0"/>
              <w:left w:val="single" w:color="auto" w:sz="6" w:space="0"/>
              <w:bottom w:val="single" w:color="auto" w:sz="4" w:space="0"/>
              <w:right w:val="single" w:color="auto" w:sz="4" w:space="0"/>
            </w:tcBorders>
            <w:vAlign w:val="center"/>
          </w:tcPr>
          <w:p>
            <w:pPr>
              <w:spacing w:line="280" w:lineRule="exact"/>
              <w:jc w:val="center"/>
              <w:rPr>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54" w:hRule="atLeast"/>
        </w:trPr>
        <w:tc>
          <w:tcPr>
            <w:tcW w:w="286" w:type="pct"/>
            <w:vMerge w:val="continue"/>
            <w:tcBorders>
              <w:left w:val="single" w:color="auto" w:sz="4" w:space="0"/>
              <w:bottom w:val="single" w:color="auto" w:sz="4" w:space="0"/>
              <w:right w:val="single" w:color="auto" w:sz="4" w:space="0"/>
            </w:tcBorders>
            <w:vAlign w:val="center"/>
          </w:tcPr>
          <w:p>
            <w:pPr>
              <w:widowControl/>
              <w:jc w:val="center"/>
              <w:rPr>
                <w:szCs w:val="21"/>
                <w:highlight w:val="yellow"/>
              </w:rPr>
            </w:pPr>
          </w:p>
        </w:tc>
        <w:tc>
          <w:tcPr>
            <w:tcW w:w="683" w:type="pct"/>
            <w:tcBorders>
              <w:top w:val="single" w:color="auto" w:sz="4" w:space="0"/>
              <w:left w:val="single" w:color="auto" w:sz="4" w:space="0"/>
              <w:bottom w:val="single" w:color="auto" w:sz="4" w:space="0"/>
              <w:right w:val="single" w:color="auto" w:sz="6" w:space="0"/>
            </w:tcBorders>
            <w:vAlign w:val="center"/>
          </w:tcPr>
          <w:p>
            <w:pPr>
              <w:spacing w:line="280" w:lineRule="exact"/>
              <w:jc w:val="center"/>
              <w:rPr>
                <w:szCs w:val="21"/>
              </w:rPr>
            </w:pPr>
            <w:r>
              <w:rPr>
                <w:rFonts w:hint="eastAsia"/>
                <w:szCs w:val="21"/>
              </w:rPr>
              <w:t>土壤植被</w:t>
            </w:r>
          </w:p>
        </w:tc>
        <w:tc>
          <w:tcPr>
            <w:tcW w:w="54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p>
        </w:tc>
        <w:tc>
          <w:tcPr>
            <w:tcW w:w="542"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561"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47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p>
        </w:tc>
        <w:tc>
          <w:tcPr>
            <w:tcW w:w="55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p>
        </w:tc>
        <w:tc>
          <w:tcPr>
            <w:tcW w:w="67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rPr>
            </w:pPr>
          </w:p>
        </w:tc>
        <w:tc>
          <w:tcPr>
            <w:tcW w:w="665" w:type="pct"/>
            <w:tcBorders>
              <w:top w:val="single" w:color="auto" w:sz="4" w:space="0"/>
              <w:left w:val="single" w:color="auto" w:sz="6" w:space="0"/>
              <w:bottom w:val="single" w:color="auto" w:sz="4" w:space="0"/>
              <w:right w:val="single" w:color="auto" w:sz="4" w:space="0"/>
            </w:tcBorders>
            <w:vAlign w:val="center"/>
          </w:tcPr>
          <w:p>
            <w:pPr>
              <w:spacing w:line="280" w:lineRule="exact"/>
              <w:jc w:val="center"/>
              <w:rPr>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54" w:hRule="atLeast"/>
        </w:trPr>
        <w:tc>
          <w:tcPr>
            <w:tcW w:w="286" w:type="pct"/>
            <w:vMerge w:val="restart"/>
            <w:tcBorders>
              <w:top w:val="single" w:color="auto" w:sz="4" w:space="0"/>
              <w:left w:val="single" w:color="auto" w:sz="4" w:space="0"/>
              <w:right w:val="single" w:color="auto" w:sz="4" w:space="0"/>
            </w:tcBorders>
            <w:vAlign w:val="center"/>
          </w:tcPr>
          <w:p>
            <w:pPr>
              <w:widowControl/>
              <w:jc w:val="center"/>
              <w:rPr>
                <w:szCs w:val="21"/>
                <w:highlight w:val="yellow"/>
              </w:rPr>
            </w:pPr>
            <w:r>
              <w:rPr>
                <w:rFonts w:hint="eastAsia"/>
                <w:szCs w:val="21"/>
              </w:rPr>
              <w:t>生态环境</w:t>
            </w:r>
          </w:p>
        </w:tc>
        <w:tc>
          <w:tcPr>
            <w:tcW w:w="683" w:type="pct"/>
            <w:tcBorders>
              <w:top w:val="single" w:color="auto" w:sz="4" w:space="0"/>
              <w:left w:val="single" w:color="auto" w:sz="4" w:space="0"/>
              <w:bottom w:val="single" w:color="auto" w:sz="4" w:space="0"/>
              <w:right w:val="single" w:color="auto" w:sz="6" w:space="0"/>
            </w:tcBorders>
            <w:vAlign w:val="center"/>
          </w:tcPr>
          <w:p>
            <w:pPr>
              <w:spacing w:line="280" w:lineRule="exact"/>
              <w:jc w:val="center"/>
              <w:rPr>
                <w:szCs w:val="21"/>
                <w:highlight w:val="yellow"/>
              </w:rPr>
            </w:pPr>
            <w:r>
              <w:rPr>
                <w:rFonts w:ascii="Calibri" w:hAnsi="Calibri"/>
              </w:rPr>
              <w:t>土地利用</w:t>
            </w:r>
          </w:p>
        </w:tc>
        <w:tc>
          <w:tcPr>
            <w:tcW w:w="54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r>
              <w:rPr>
                <w:szCs w:val="21"/>
              </w:rPr>
              <w:t>+3LP</w:t>
            </w:r>
          </w:p>
        </w:tc>
        <w:tc>
          <w:tcPr>
            <w:tcW w:w="542"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561"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47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55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67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665" w:type="pct"/>
            <w:tcBorders>
              <w:top w:val="single" w:color="auto" w:sz="4" w:space="0"/>
              <w:left w:val="single" w:color="auto" w:sz="6" w:space="0"/>
              <w:bottom w:val="single" w:color="auto" w:sz="4" w:space="0"/>
              <w:right w:val="single" w:color="auto" w:sz="4" w:space="0"/>
            </w:tcBorders>
            <w:vAlign w:val="center"/>
          </w:tcPr>
          <w:p>
            <w:pPr>
              <w:spacing w:line="280" w:lineRule="exact"/>
              <w:jc w:val="center"/>
              <w:rPr>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54" w:hRule="atLeast"/>
        </w:trPr>
        <w:tc>
          <w:tcPr>
            <w:tcW w:w="286" w:type="pct"/>
            <w:vMerge w:val="continue"/>
            <w:tcBorders>
              <w:left w:val="single" w:color="auto" w:sz="4" w:space="0"/>
              <w:right w:val="single" w:color="auto" w:sz="4" w:space="0"/>
            </w:tcBorders>
            <w:vAlign w:val="center"/>
          </w:tcPr>
          <w:p>
            <w:pPr>
              <w:widowControl/>
              <w:jc w:val="center"/>
              <w:rPr>
                <w:szCs w:val="21"/>
                <w:highlight w:val="yellow"/>
              </w:rPr>
            </w:pPr>
          </w:p>
        </w:tc>
        <w:tc>
          <w:tcPr>
            <w:tcW w:w="683" w:type="pct"/>
            <w:tcBorders>
              <w:top w:val="single" w:color="auto" w:sz="4" w:space="0"/>
              <w:left w:val="single" w:color="auto" w:sz="4" w:space="0"/>
              <w:bottom w:val="single" w:color="auto" w:sz="4" w:space="0"/>
              <w:right w:val="single" w:color="auto" w:sz="6" w:space="0"/>
            </w:tcBorders>
            <w:vAlign w:val="center"/>
          </w:tcPr>
          <w:p>
            <w:pPr>
              <w:spacing w:line="280" w:lineRule="exact"/>
              <w:jc w:val="center"/>
              <w:rPr>
                <w:szCs w:val="21"/>
                <w:highlight w:val="yellow"/>
              </w:rPr>
            </w:pPr>
            <w:r>
              <w:rPr>
                <w:rFonts w:ascii="Calibri" w:hAnsi="Calibri"/>
              </w:rPr>
              <w:t>植被动物</w:t>
            </w:r>
          </w:p>
        </w:tc>
        <w:tc>
          <w:tcPr>
            <w:tcW w:w="54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r>
              <w:rPr>
                <w:szCs w:val="21"/>
              </w:rPr>
              <w:t>-1LP</w:t>
            </w:r>
          </w:p>
        </w:tc>
        <w:tc>
          <w:tcPr>
            <w:tcW w:w="542"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561"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47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559"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677" w:type="pct"/>
            <w:tcBorders>
              <w:top w:val="single" w:color="auto" w:sz="4" w:space="0"/>
              <w:left w:val="single" w:color="auto" w:sz="6" w:space="0"/>
              <w:bottom w:val="single" w:color="auto" w:sz="4" w:space="0"/>
              <w:right w:val="single" w:color="auto" w:sz="6" w:space="0"/>
            </w:tcBorders>
            <w:vAlign w:val="center"/>
          </w:tcPr>
          <w:p>
            <w:pPr>
              <w:spacing w:line="280" w:lineRule="exact"/>
              <w:jc w:val="center"/>
              <w:rPr>
                <w:szCs w:val="21"/>
                <w:highlight w:val="yellow"/>
              </w:rPr>
            </w:pPr>
          </w:p>
        </w:tc>
        <w:tc>
          <w:tcPr>
            <w:tcW w:w="665" w:type="pct"/>
            <w:tcBorders>
              <w:top w:val="single" w:color="auto" w:sz="4" w:space="0"/>
              <w:left w:val="single" w:color="auto" w:sz="6" w:space="0"/>
              <w:bottom w:val="single" w:color="auto" w:sz="4" w:space="0"/>
              <w:right w:val="single" w:color="auto" w:sz="4" w:space="0"/>
            </w:tcBorders>
            <w:vAlign w:val="center"/>
          </w:tcPr>
          <w:p>
            <w:pPr>
              <w:spacing w:line="280" w:lineRule="exact"/>
              <w:jc w:val="center"/>
              <w:rPr>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54" w:hRule="atLeast"/>
        </w:trPr>
        <w:tc>
          <w:tcPr>
            <w:tcW w:w="5000" w:type="pct"/>
            <w:gridSpan w:val="9"/>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szCs w:val="21"/>
              </w:rPr>
              <w:t>备注：影响程度：1-轻微；2-一般；3-显著        影响时段：S-短期；L-长期</w:t>
            </w:r>
          </w:p>
          <w:p>
            <w:pPr>
              <w:spacing w:line="400" w:lineRule="exact"/>
              <w:ind w:firstLine="630" w:firstLineChars="300"/>
              <w:jc w:val="center"/>
              <w:rPr>
                <w:szCs w:val="21"/>
                <w:highlight w:val="yellow"/>
              </w:rPr>
            </w:pPr>
            <w:r>
              <w:rPr>
                <w:szCs w:val="21"/>
              </w:rPr>
              <w:t>影响范围：P-局部；W-大范围             影响性质：+-有利；--不利</w:t>
            </w:r>
          </w:p>
        </w:tc>
      </w:tr>
    </w:tbl>
    <w:p>
      <w:pPr>
        <w:spacing w:line="520" w:lineRule="exact"/>
        <w:ind w:firstLine="480" w:firstLineChars="200"/>
        <w:rPr>
          <w:sz w:val="24"/>
          <w:szCs w:val="20"/>
        </w:rPr>
      </w:pPr>
      <w:r>
        <w:rPr>
          <w:rFonts w:hint="eastAsia"/>
          <w:sz w:val="24"/>
          <w:szCs w:val="20"/>
        </w:rPr>
        <w:t>从上表中可以看出，该工程对环境的影响因素是多方面的，既存在短期、局部、可恢复的影响，也存在长期的影响。本项目主要建设车间厂房和污水处理站，在施工阶段，不可避免的会带来一些环境问题，影响到周边地区的环境质量。主要表现在施工噪声和扬尘、施工废水和垃圾的排放、施工车辆对附近交通及当地景观的影响等问题，但均为短期影响，将随着施工期的结束而终止。</w:t>
      </w:r>
    </w:p>
    <w:p>
      <w:pPr>
        <w:spacing w:line="520" w:lineRule="exact"/>
        <w:ind w:firstLine="480" w:firstLineChars="200"/>
        <w:rPr>
          <w:sz w:val="24"/>
          <w:szCs w:val="20"/>
          <w:highlight w:val="yellow"/>
        </w:rPr>
      </w:pPr>
      <w:r>
        <w:rPr>
          <w:rFonts w:hint="eastAsia"/>
          <w:sz w:val="24"/>
          <w:szCs w:val="20"/>
        </w:rPr>
        <w:t>运营期各种环境影响是长期而持续的，在严格环境管理和做好相应污染控制措施的条件下，可将对环境的影响降低到最小。营运期主要环境影响因素包括：废水、污水处理站恶臭气体、设备噪声及固废。</w:t>
      </w:r>
    </w:p>
    <w:p>
      <w:pPr>
        <w:keepNext/>
        <w:keepLines/>
        <w:spacing w:line="520" w:lineRule="exact"/>
        <w:outlineLvl w:val="2"/>
        <w:rPr>
          <w:rFonts w:eastAsia="黑体"/>
          <w:bCs/>
          <w:sz w:val="28"/>
          <w:szCs w:val="28"/>
        </w:rPr>
      </w:pPr>
      <w:r>
        <w:rPr>
          <w:rFonts w:eastAsia="黑体"/>
          <w:bCs/>
          <w:sz w:val="28"/>
          <w:szCs w:val="28"/>
        </w:rPr>
        <w:t>2.3.2 评价因子的筛选</w:t>
      </w:r>
    </w:p>
    <w:p>
      <w:pPr>
        <w:spacing w:line="520" w:lineRule="exact"/>
        <w:ind w:firstLine="480" w:firstLineChars="200"/>
        <w:rPr>
          <w:sz w:val="24"/>
          <w:szCs w:val="24"/>
        </w:rPr>
      </w:pPr>
      <w:r>
        <w:rPr>
          <w:sz w:val="24"/>
          <w:szCs w:val="24"/>
        </w:rPr>
        <w:t>根据工程各类特征污染物产生情况，结合周围区域环境，筛选本次评价工作的评价因子见表2.3-2。</w:t>
      </w:r>
    </w:p>
    <w:p>
      <w:pPr>
        <w:spacing w:line="520" w:lineRule="exact"/>
        <w:ind w:firstLine="480" w:firstLineChars="200"/>
        <w:rPr>
          <w:rFonts w:eastAsia="黑体"/>
          <w:sz w:val="24"/>
          <w:szCs w:val="20"/>
        </w:rPr>
      </w:pPr>
      <w:r>
        <w:rPr>
          <w:rFonts w:eastAsia="黑体"/>
          <w:sz w:val="24"/>
          <w:szCs w:val="20"/>
        </w:rPr>
        <w:t>表2.3-2                 评价因子一览表</w:t>
      </w:r>
    </w:p>
    <w:tbl>
      <w:tblPr>
        <w:tblStyle w:val="4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5"/>
        <w:gridCol w:w="3915"/>
        <w:gridCol w:w="2269"/>
        <w:gridCol w:w="1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b/>
                <w:bCs/>
                <w:spacing w:val="4"/>
                <w:szCs w:val="21"/>
              </w:rPr>
            </w:pPr>
            <w:r>
              <w:rPr>
                <w:b/>
                <w:bCs/>
                <w:spacing w:val="4"/>
                <w:szCs w:val="21"/>
              </w:rPr>
              <w:t>环境要素</w:t>
            </w:r>
          </w:p>
        </w:tc>
        <w:tc>
          <w:tcPr>
            <w:tcW w:w="218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b/>
                <w:bCs/>
                <w:spacing w:val="4"/>
                <w:szCs w:val="21"/>
              </w:rPr>
            </w:pPr>
            <w:r>
              <w:rPr>
                <w:b/>
                <w:bCs/>
                <w:spacing w:val="4"/>
                <w:szCs w:val="21"/>
              </w:rPr>
              <w:t>现状评价因子</w:t>
            </w:r>
          </w:p>
        </w:tc>
        <w:tc>
          <w:tcPr>
            <w:tcW w:w="126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b/>
                <w:bCs/>
                <w:spacing w:val="4"/>
                <w:szCs w:val="21"/>
              </w:rPr>
            </w:pPr>
            <w:r>
              <w:rPr>
                <w:b/>
                <w:bCs/>
                <w:spacing w:val="4"/>
                <w:szCs w:val="21"/>
              </w:rPr>
              <w:t>影响评价因子</w:t>
            </w:r>
          </w:p>
        </w:tc>
        <w:tc>
          <w:tcPr>
            <w:tcW w:w="8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b/>
                <w:bCs/>
                <w:spacing w:val="4"/>
                <w:szCs w:val="21"/>
              </w:rPr>
            </w:pPr>
            <w:r>
              <w:rPr>
                <w:b/>
                <w:bCs/>
                <w:spacing w:val="4"/>
                <w:szCs w:val="21"/>
              </w:rPr>
              <w:t>总量控制因子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pacing w:val="4"/>
                <w:szCs w:val="21"/>
              </w:rPr>
            </w:pPr>
            <w:r>
              <w:rPr>
                <w:spacing w:val="4"/>
                <w:szCs w:val="21"/>
              </w:rPr>
              <w:t>环境空气</w:t>
            </w:r>
          </w:p>
        </w:tc>
        <w:tc>
          <w:tcPr>
            <w:tcW w:w="218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bCs/>
                <w:spacing w:val="8"/>
                <w:szCs w:val="21"/>
              </w:rPr>
            </w:pPr>
            <w:r>
              <w:rPr>
                <w:szCs w:val="21"/>
              </w:rPr>
              <w:t>SO</w:t>
            </w:r>
            <w:r>
              <w:rPr>
                <w:szCs w:val="21"/>
                <w:vertAlign w:val="subscript"/>
              </w:rPr>
              <w:t>2</w:t>
            </w:r>
            <w:r>
              <w:rPr>
                <w:szCs w:val="21"/>
              </w:rPr>
              <w:t>、NO</w:t>
            </w:r>
            <w:r>
              <w:rPr>
                <w:szCs w:val="21"/>
                <w:vertAlign w:val="subscript"/>
              </w:rPr>
              <w:t>2</w:t>
            </w:r>
            <w:r>
              <w:rPr>
                <w:szCs w:val="21"/>
              </w:rPr>
              <w:t>、PM</w:t>
            </w:r>
            <w:r>
              <w:rPr>
                <w:szCs w:val="21"/>
                <w:vertAlign w:val="subscript"/>
              </w:rPr>
              <w:t>10</w:t>
            </w:r>
            <w:r>
              <w:rPr>
                <w:szCs w:val="21"/>
              </w:rPr>
              <w:t>、PM</w:t>
            </w:r>
            <w:r>
              <w:rPr>
                <w:szCs w:val="21"/>
                <w:vertAlign w:val="subscript"/>
              </w:rPr>
              <w:t>2.5</w:t>
            </w:r>
            <w:r>
              <w:rPr>
                <w:szCs w:val="21"/>
              </w:rPr>
              <w:t>、CO、O</w:t>
            </w:r>
            <w:r>
              <w:rPr>
                <w:szCs w:val="21"/>
                <w:vertAlign w:val="subscript"/>
              </w:rPr>
              <w:t>3</w:t>
            </w:r>
            <w:r>
              <w:rPr>
                <w:szCs w:val="21"/>
              </w:rPr>
              <w:t>、</w:t>
            </w:r>
          </w:p>
          <w:p>
            <w:pPr>
              <w:spacing w:line="300" w:lineRule="exact"/>
              <w:jc w:val="center"/>
              <w:rPr>
                <w:bCs/>
                <w:spacing w:val="8"/>
                <w:szCs w:val="21"/>
              </w:rPr>
            </w:pPr>
            <w:r>
              <w:rPr>
                <w:szCs w:val="21"/>
              </w:rPr>
              <w:t>NH</w:t>
            </w:r>
            <w:r>
              <w:rPr>
                <w:szCs w:val="21"/>
                <w:vertAlign w:val="subscript"/>
              </w:rPr>
              <w:t>3</w:t>
            </w:r>
            <w:r>
              <w:rPr>
                <w:szCs w:val="21"/>
              </w:rPr>
              <w:t>、H</w:t>
            </w:r>
            <w:r>
              <w:rPr>
                <w:szCs w:val="21"/>
                <w:vertAlign w:val="subscript"/>
              </w:rPr>
              <w:t>2</w:t>
            </w:r>
            <w:r>
              <w:rPr>
                <w:szCs w:val="21"/>
              </w:rPr>
              <w:t>S</w:t>
            </w:r>
          </w:p>
        </w:tc>
        <w:tc>
          <w:tcPr>
            <w:tcW w:w="126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zCs w:val="21"/>
              </w:rPr>
            </w:pPr>
            <w:r>
              <w:rPr>
                <w:szCs w:val="21"/>
              </w:rPr>
              <w:t>NH</w:t>
            </w:r>
            <w:r>
              <w:rPr>
                <w:szCs w:val="21"/>
                <w:vertAlign w:val="subscript"/>
              </w:rPr>
              <w:t>3</w:t>
            </w:r>
            <w:r>
              <w:rPr>
                <w:szCs w:val="21"/>
              </w:rPr>
              <w:t>、H</w:t>
            </w:r>
            <w:r>
              <w:rPr>
                <w:szCs w:val="21"/>
                <w:vertAlign w:val="subscript"/>
              </w:rPr>
              <w:t>2</w:t>
            </w:r>
            <w:r>
              <w:rPr>
                <w:szCs w:val="21"/>
              </w:rPr>
              <w:t>S</w:t>
            </w:r>
          </w:p>
        </w:tc>
        <w:tc>
          <w:tcPr>
            <w:tcW w:w="8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pacing w:val="4"/>
                <w:szCs w:val="21"/>
              </w:rPr>
            </w:pPr>
            <w:r>
              <w:rPr>
                <w:rFonts w:hint="eastAsia"/>
                <w:spacing w:val="4"/>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pacing w:val="4"/>
                <w:szCs w:val="21"/>
              </w:rPr>
            </w:pPr>
            <w:r>
              <w:rPr>
                <w:szCs w:val="21"/>
              </w:rPr>
              <w:t>地表水</w:t>
            </w:r>
          </w:p>
        </w:tc>
        <w:tc>
          <w:tcPr>
            <w:tcW w:w="218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zCs w:val="21"/>
              </w:rPr>
            </w:pPr>
            <w:r>
              <w:rPr>
                <w:szCs w:val="21"/>
              </w:rPr>
              <w:t>pH、COD、BOD</w:t>
            </w:r>
            <w:r>
              <w:rPr>
                <w:szCs w:val="21"/>
                <w:vertAlign w:val="subscript"/>
              </w:rPr>
              <w:t>5</w:t>
            </w:r>
            <w:r>
              <w:rPr>
                <w:szCs w:val="21"/>
              </w:rPr>
              <w:t>、氨氮、总氮、总磷</w:t>
            </w:r>
          </w:p>
        </w:tc>
        <w:tc>
          <w:tcPr>
            <w:tcW w:w="126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zCs w:val="21"/>
              </w:rPr>
            </w:pPr>
            <w:r>
              <w:rPr>
                <w:szCs w:val="21"/>
              </w:rPr>
              <w:t>pH、COD、BOD</w:t>
            </w:r>
            <w:r>
              <w:rPr>
                <w:szCs w:val="21"/>
                <w:vertAlign w:val="subscript"/>
              </w:rPr>
              <w:t>5</w:t>
            </w:r>
            <w:r>
              <w:rPr>
                <w:szCs w:val="21"/>
              </w:rPr>
              <w:t>、氨氮、总氮、总磷、悬浮物、</w:t>
            </w:r>
            <w:r>
              <w:rPr>
                <w:rFonts w:hint="eastAsia"/>
                <w:szCs w:val="21"/>
              </w:rPr>
              <w:t>动植物油</w:t>
            </w:r>
          </w:p>
        </w:tc>
        <w:tc>
          <w:tcPr>
            <w:tcW w:w="8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pacing w:val="4"/>
                <w:szCs w:val="21"/>
              </w:rPr>
            </w:pPr>
            <w:r>
              <w:rPr>
                <w:szCs w:val="21"/>
              </w:rPr>
              <w:t>COD、氨氮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pacing w:val="4"/>
                <w:szCs w:val="21"/>
              </w:rPr>
            </w:pPr>
            <w:r>
              <w:rPr>
                <w:szCs w:val="21"/>
              </w:rPr>
              <w:t>地下水</w:t>
            </w:r>
          </w:p>
        </w:tc>
        <w:tc>
          <w:tcPr>
            <w:tcW w:w="218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zCs w:val="21"/>
              </w:rPr>
            </w:pPr>
            <w:r>
              <w:rPr>
                <w:szCs w:val="21"/>
              </w:rPr>
              <w:t>K</w:t>
            </w:r>
            <w:r>
              <w:rPr>
                <w:szCs w:val="21"/>
                <w:vertAlign w:val="superscript"/>
              </w:rPr>
              <w:t>+</w:t>
            </w:r>
            <w:r>
              <w:rPr>
                <w:szCs w:val="21"/>
              </w:rPr>
              <w:t>、Na</w:t>
            </w:r>
            <w:r>
              <w:rPr>
                <w:szCs w:val="21"/>
                <w:vertAlign w:val="superscript"/>
              </w:rPr>
              <w:t>+</w:t>
            </w:r>
            <w:r>
              <w:rPr>
                <w:szCs w:val="21"/>
              </w:rPr>
              <w:t>、Ca</w:t>
            </w:r>
            <w:r>
              <w:rPr>
                <w:szCs w:val="21"/>
                <w:vertAlign w:val="superscript"/>
              </w:rPr>
              <w:t>2+</w:t>
            </w:r>
            <w:r>
              <w:rPr>
                <w:szCs w:val="21"/>
              </w:rPr>
              <w:t>、Mg</w:t>
            </w:r>
            <w:r>
              <w:rPr>
                <w:szCs w:val="21"/>
                <w:vertAlign w:val="superscript"/>
              </w:rPr>
              <w:t>2+</w:t>
            </w:r>
            <w:r>
              <w:rPr>
                <w:szCs w:val="21"/>
              </w:rPr>
              <w:t>、CO</w:t>
            </w:r>
            <w:r>
              <w:rPr>
                <w:szCs w:val="21"/>
                <w:vertAlign w:val="subscript"/>
              </w:rPr>
              <w:t>3</w:t>
            </w:r>
            <w:r>
              <w:rPr>
                <w:szCs w:val="21"/>
                <w:vertAlign w:val="superscript"/>
              </w:rPr>
              <w:t>2-</w:t>
            </w:r>
            <w:r>
              <w:rPr>
                <w:szCs w:val="21"/>
              </w:rPr>
              <w:t>、HCO</w:t>
            </w:r>
            <w:r>
              <w:rPr>
                <w:szCs w:val="21"/>
                <w:vertAlign w:val="subscript"/>
              </w:rPr>
              <w:t>3</w:t>
            </w:r>
            <w:r>
              <w:rPr>
                <w:szCs w:val="21"/>
                <w:vertAlign w:val="superscript"/>
              </w:rPr>
              <w:t>-</w:t>
            </w:r>
            <w:r>
              <w:rPr>
                <w:szCs w:val="21"/>
              </w:rPr>
              <w:t>、Cl</w:t>
            </w:r>
            <w:r>
              <w:rPr>
                <w:szCs w:val="21"/>
                <w:vertAlign w:val="superscript"/>
              </w:rPr>
              <w:t>-</w:t>
            </w:r>
            <w:r>
              <w:rPr>
                <w:szCs w:val="21"/>
              </w:rPr>
              <w:t>、SO</w:t>
            </w:r>
            <w:r>
              <w:rPr>
                <w:szCs w:val="21"/>
                <w:vertAlign w:val="subscript"/>
              </w:rPr>
              <w:t>4</w:t>
            </w:r>
            <w:r>
              <w:rPr>
                <w:szCs w:val="21"/>
                <w:vertAlign w:val="superscript"/>
              </w:rPr>
              <w:t>2-</w:t>
            </w:r>
            <w:r>
              <w:rPr>
                <w:szCs w:val="21"/>
              </w:rPr>
              <w:t>；pH、氨氮、硝酸盐、亚硝酸盐、</w:t>
            </w:r>
            <w:r>
              <w:rPr>
                <w:rFonts w:hint="eastAsia"/>
                <w:szCs w:val="21"/>
              </w:rPr>
              <w:t>挥发性酚类、氰化物、砷、汞、铬（六价）</w:t>
            </w:r>
            <w:r>
              <w:rPr>
                <w:szCs w:val="21"/>
              </w:rPr>
              <w:t>、总硬度</w:t>
            </w:r>
            <w:r>
              <w:rPr>
                <w:rFonts w:hint="eastAsia"/>
                <w:szCs w:val="21"/>
              </w:rPr>
              <w:t>、铅、氟、镉、铁、锰、</w:t>
            </w:r>
            <w:r>
              <w:rPr>
                <w:szCs w:val="21"/>
              </w:rPr>
              <w:t>溶解性总固体、</w:t>
            </w:r>
            <w:r>
              <w:rPr>
                <w:rFonts w:hint="eastAsia"/>
                <w:szCs w:val="21"/>
              </w:rPr>
              <w:t>高锰酸盐指数、</w:t>
            </w:r>
            <w:r>
              <w:rPr>
                <w:szCs w:val="21"/>
              </w:rPr>
              <w:t>硫酸盐、氯化物、总大肠菌群、耗氧量（COD</w:t>
            </w:r>
            <w:r>
              <w:rPr>
                <w:szCs w:val="21"/>
                <w:vertAlign w:val="subscript"/>
              </w:rPr>
              <w:t>Mn</w:t>
            </w:r>
            <w:r>
              <w:rPr>
                <w:szCs w:val="21"/>
              </w:rPr>
              <w:t>法）、细菌总数</w:t>
            </w:r>
            <w:r>
              <w:rPr>
                <w:rFonts w:hint="eastAsia"/>
                <w:szCs w:val="21"/>
              </w:rPr>
              <w:t>、</w:t>
            </w:r>
            <w:r>
              <w:rPr>
                <w:szCs w:val="21"/>
              </w:rPr>
              <w:t>可萃取石油烃（C</w:t>
            </w:r>
            <w:r>
              <w:rPr>
                <w:szCs w:val="21"/>
                <w:vertAlign w:val="subscript"/>
              </w:rPr>
              <w:t>10</w:t>
            </w:r>
            <w:r>
              <w:rPr>
                <w:szCs w:val="21"/>
              </w:rPr>
              <w:t>-C</w:t>
            </w:r>
            <w:r>
              <w:rPr>
                <w:szCs w:val="21"/>
                <w:vertAlign w:val="subscript"/>
              </w:rPr>
              <w:t>40</w:t>
            </w:r>
            <w:r>
              <w:rPr>
                <w:szCs w:val="21"/>
              </w:rPr>
              <w:t>）</w:t>
            </w:r>
          </w:p>
        </w:tc>
        <w:tc>
          <w:tcPr>
            <w:tcW w:w="126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kern w:val="0"/>
                <w:szCs w:val="21"/>
              </w:rPr>
            </w:pPr>
            <w:r>
              <w:rPr>
                <w:kern w:val="0"/>
                <w:szCs w:val="21"/>
              </w:rPr>
              <w:t>耗氧量（COD</w:t>
            </w:r>
            <w:r>
              <w:rPr>
                <w:kern w:val="0"/>
                <w:szCs w:val="21"/>
                <w:vertAlign w:val="subscript"/>
              </w:rPr>
              <w:t>Mn</w:t>
            </w:r>
            <w:r>
              <w:rPr>
                <w:kern w:val="0"/>
                <w:szCs w:val="21"/>
              </w:rPr>
              <w:t>）、</w:t>
            </w:r>
          </w:p>
          <w:p>
            <w:pPr>
              <w:spacing w:line="300" w:lineRule="exact"/>
              <w:jc w:val="center"/>
              <w:rPr>
                <w:szCs w:val="21"/>
              </w:rPr>
            </w:pPr>
            <w:r>
              <w:rPr>
                <w:kern w:val="0"/>
                <w:szCs w:val="21"/>
              </w:rPr>
              <w:t>氨氮</w:t>
            </w:r>
          </w:p>
        </w:tc>
        <w:tc>
          <w:tcPr>
            <w:tcW w:w="8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pacing w:val="4"/>
                <w:szCs w:val="21"/>
              </w:rPr>
            </w:pPr>
            <w:r>
              <w:rPr>
                <w:spacing w:val="4"/>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zCs w:val="21"/>
              </w:rPr>
            </w:pPr>
            <w:r>
              <w:rPr>
                <w:szCs w:val="21"/>
              </w:rPr>
              <w:t>土壤</w:t>
            </w:r>
          </w:p>
        </w:tc>
        <w:tc>
          <w:tcPr>
            <w:tcW w:w="218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kern w:val="0"/>
                <w:szCs w:val="21"/>
              </w:rPr>
            </w:pPr>
            <w:r>
              <w:rPr>
                <w:szCs w:val="21"/>
              </w:rPr>
              <w:t>建设用地：pH、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w:t>
            </w:r>
            <w:r>
              <w:rPr>
                <w:rFonts w:hint="eastAsia"/>
                <w:szCs w:val="21"/>
              </w:rPr>
              <w:t>、</w:t>
            </w:r>
            <w:r>
              <w:rPr>
                <w:szCs w:val="21"/>
              </w:rPr>
              <w:t>石油烃（C</w:t>
            </w:r>
            <w:r>
              <w:rPr>
                <w:szCs w:val="21"/>
                <w:vertAlign w:val="subscript"/>
              </w:rPr>
              <w:t>10</w:t>
            </w:r>
            <w:r>
              <w:rPr>
                <w:szCs w:val="21"/>
              </w:rPr>
              <w:t>-C</w:t>
            </w:r>
            <w:r>
              <w:rPr>
                <w:szCs w:val="21"/>
                <w:vertAlign w:val="subscript"/>
              </w:rPr>
              <w:t>40</w:t>
            </w:r>
            <w:r>
              <w:rPr>
                <w:szCs w:val="21"/>
              </w:rPr>
              <w:t>）</w:t>
            </w:r>
          </w:p>
        </w:tc>
        <w:tc>
          <w:tcPr>
            <w:tcW w:w="126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zCs w:val="21"/>
              </w:rPr>
            </w:pPr>
            <w:r>
              <w:rPr>
                <w:szCs w:val="21"/>
              </w:rPr>
              <w:t>/</w:t>
            </w:r>
          </w:p>
        </w:tc>
        <w:tc>
          <w:tcPr>
            <w:tcW w:w="8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pacing w:val="4"/>
                <w:szCs w:val="21"/>
              </w:rPr>
            </w:pPr>
            <w:r>
              <w:rPr>
                <w:spacing w:val="4"/>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46"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pacing w:val="4"/>
                <w:szCs w:val="21"/>
              </w:rPr>
            </w:pPr>
            <w:r>
              <w:rPr>
                <w:szCs w:val="21"/>
              </w:rPr>
              <w:t>声环境</w:t>
            </w:r>
          </w:p>
        </w:tc>
        <w:tc>
          <w:tcPr>
            <w:tcW w:w="218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pacing w:val="4"/>
                <w:szCs w:val="21"/>
              </w:rPr>
            </w:pPr>
            <w:r>
              <w:rPr>
                <w:spacing w:val="4"/>
                <w:szCs w:val="21"/>
              </w:rPr>
              <w:t>等效连续A声级</w:t>
            </w:r>
          </w:p>
        </w:tc>
        <w:tc>
          <w:tcPr>
            <w:tcW w:w="126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spacing w:val="4"/>
                <w:szCs w:val="21"/>
              </w:rPr>
            </w:pPr>
            <w:r>
              <w:rPr>
                <w:spacing w:val="4"/>
                <w:szCs w:val="21"/>
              </w:rPr>
              <w:t>等效连续A声级</w:t>
            </w:r>
          </w:p>
        </w:tc>
        <w:tc>
          <w:tcPr>
            <w:tcW w:w="898" w:type="pct"/>
            <w:tcBorders>
              <w:top w:val="single" w:color="000000" w:sz="4" w:space="0"/>
              <w:left w:val="single" w:color="000000" w:sz="4" w:space="0"/>
              <w:bottom w:val="single" w:color="000000" w:sz="4" w:space="0"/>
              <w:right w:val="single" w:color="000000" w:sz="4" w:space="0"/>
            </w:tcBorders>
            <w:vAlign w:val="center"/>
          </w:tcPr>
          <w:p>
            <w:pPr>
              <w:spacing w:line="300" w:lineRule="exact"/>
              <w:ind w:firstLine="496"/>
              <w:jc w:val="center"/>
              <w:rPr>
                <w:spacing w:val="4"/>
                <w:szCs w:val="21"/>
              </w:rPr>
            </w:pPr>
            <w:r>
              <w:rPr>
                <w:spacing w:val="4"/>
                <w:szCs w:val="21"/>
              </w:rPr>
              <w:t>/</w:t>
            </w:r>
          </w:p>
        </w:tc>
      </w:tr>
    </w:tbl>
    <w:p>
      <w:pPr>
        <w:keepNext/>
        <w:keepLines/>
        <w:spacing w:line="520" w:lineRule="exact"/>
        <w:outlineLvl w:val="1"/>
        <w:rPr>
          <w:rFonts w:eastAsia="黑体"/>
          <w:bCs/>
          <w:sz w:val="28"/>
          <w:szCs w:val="28"/>
          <w:lang w:val="zh-CN"/>
        </w:rPr>
      </w:pPr>
      <w:bookmarkStart w:id="24" w:name="_Toc4352"/>
      <w:r>
        <w:rPr>
          <w:rFonts w:eastAsia="黑体"/>
          <w:bCs/>
          <w:sz w:val="28"/>
          <w:szCs w:val="28"/>
          <w:lang w:val="zh-CN"/>
        </w:rPr>
        <w:t>2.4 环境功能区划</w:t>
      </w:r>
      <w:bookmarkEnd w:id="24"/>
    </w:p>
    <w:p>
      <w:pPr>
        <w:keepNext/>
        <w:keepLines/>
        <w:spacing w:line="520" w:lineRule="exact"/>
        <w:outlineLvl w:val="2"/>
        <w:rPr>
          <w:rFonts w:eastAsia="楷体_GB2312"/>
          <w:bCs/>
          <w:sz w:val="28"/>
          <w:szCs w:val="28"/>
        </w:rPr>
      </w:pPr>
      <w:r>
        <w:rPr>
          <w:rFonts w:eastAsia="黑体"/>
          <w:bCs/>
          <w:sz w:val="28"/>
          <w:szCs w:val="28"/>
        </w:rPr>
        <w:t>2.4.1 环境空气</w:t>
      </w:r>
    </w:p>
    <w:p>
      <w:pPr>
        <w:spacing w:line="520" w:lineRule="exact"/>
        <w:ind w:firstLine="480" w:firstLineChars="200"/>
        <w:jc w:val="left"/>
        <w:rPr>
          <w:sz w:val="24"/>
        </w:rPr>
      </w:pPr>
      <w:r>
        <w:rPr>
          <w:sz w:val="24"/>
        </w:rPr>
        <w:t>评价范围内环境空气属二类环境功能区。</w:t>
      </w:r>
    </w:p>
    <w:p>
      <w:pPr>
        <w:keepNext/>
        <w:keepLines/>
        <w:spacing w:line="520" w:lineRule="exact"/>
        <w:outlineLvl w:val="2"/>
        <w:rPr>
          <w:rFonts w:eastAsia="楷体_GB2312"/>
          <w:bCs/>
          <w:sz w:val="28"/>
          <w:szCs w:val="28"/>
        </w:rPr>
      </w:pPr>
      <w:r>
        <w:rPr>
          <w:rFonts w:eastAsia="黑体"/>
          <w:bCs/>
          <w:sz w:val="28"/>
          <w:szCs w:val="28"/>
        </w:rPr>
        <w:t>2.4.2 地表水环境</w:t>
      </w:r>
    </w:p>
    <w:p>
      <w:pPr>
        <w:spacing w:line="520" w:lineRule="exact"/>
        <w:ind w:firstLine="480" w:firstLineChars="200"/>
        <w:jc w:val="left"/>
        <w:rPr>
          <w:sz w:val="24"/>
        </w:rPr>
      </w:pPr>
      <w:r>
        <w:rPr>
          <w:sz w:val="24"/>
        </w:rPr>
        <w:t>项目纳污水体为</w:t>
      </w:r>
      <w:r>
        <w:rPr>
          <w:bCs/>
          <w:sz w:val="24"/>
        </w:rPr>
        <w:t>东关排渠，最终汇入文岩干渠</w:t>
      </w:r>
      <w:r>
        <w:rPr>
          <w:sz w:val="24"/>
        </w:rPr>
        <w:t>。根据《新乡市生态环境局关于下达2023年地表水环境质量暂定目标的函》，</w:t>
      </w:r>
      <w:r>
        <w:rPr>
          <w:rFonts w:hint="eastAsia"/>
          <w:bCs/>
          <w:sz w:val="24"/>
        </w:rPr>
        <w:t>文岩渠安乐庄</w:t>
      </w:r>
      <w:r>
        <w:rPr>
          <w:bCs/>
          <w:sz w:val="24"/>
        </w:rPr>
        <w:t>断面</w:t>
      </w:r>
      <w:r>
        <w:rPr>
          <w:rFonts w:hint="eastAsia"/>
          <w:sz w:val="24"/>
        </w:rPr>
        <w:t>2</w:t>
      </w:r>
      <w:r>
        <w:rPr>
          <w:sz w:val="24"/>
        </w:rPr>
        <w:t>023年</w:t>
      </w:r>
      <w:r>
        <w:rPr>
          <w:rFonts w:hint="eastAsia"/>
          <w:sz w:val="24"/>
        </w:rPr>
        <w:t>考核</w:t>
      </w:r>
      <w:r>
        <w:rPr>
          <w:sz w:val="24"/>
        </w:rPr>
        <w:t>目标为Ⅲ类水环境功能区。</w:t>
      </w:r>
    </w:p>
    <w:p>
      <w:pPr>
        <w:keepNext/>
        <w:keepLines/>
        <w:spacing w:line="520" w:lineRule="exact"/>
        <w:outlineLvl w:val="2"/>
        <w:rPr>
          <w:rFonts w:eastAsia="楷体_GB2312"/>
          <w:bCs/>
          <w:sz w:val="28"/>
          <w:szCs w:val="28"/>
        </w:rPr>
      </w:pPr>
      <w:r>
        <w:rPr>
          <w:rFonts w:eastAsia="黑体"/>
          <w:bCs/>
          <w:sz w:val="28"/>
          <w:szCs w:val="28"/>
        </w:rPr>
        <w:t>2.4.3 声环境</w:t>
      </w:r>
    </w:p>
    <w:p>
      <w:pPr>
        <w:spacing w:line="520" w:lineRule="exact"/>
        <w:ind w:firstLine="480" w:firstLineChars="200"/>
        <w:jc w:val="left"/>
        <w:rPr>
          <w:sz w:val="24"/>
        </w:rPr>
      </w:pPr>
      <w:r>
        <w:rPr>
          <w:sz w:val="24"/>
        </w:rPr>
        <w:t>按照</w:t>
      </w:r>
      <w:r>
        <w:rPr>
          <w:bCs/>
          <w:sz w:val="24"/>
        </w:rPr>
        <w:t>《原阳县产业集聚区发展规划调整方案环境影响补充分析报告书》</w:t>
      </w:r>
      <w:r>
        <w:rPr>
          <w:rFonts w:hint="eastAsia"/>
          <w:bCs/>
          <w:sz w:val="24"/>
        </w:rPr>
        <w:t>，</w:t>
      </w:r>
      <w:r>
        <w:rPr>
          <w:sz w:val="24"/>
        </w:rPr>
        <w:t>项目所在地属于环境噪声3类功能区。</w:t>
      </w:r>
    </w:p>
    <w:p>
      <w:pPr>
        <w:keepNext/>
        <w:keepLines/>
        <w:spacing w:line="520" w:lineRule="exact"/>
        <w:outlineLvl w:val="2"/>
        <w:rPr>
          <w:rFonts w:eastAsia="黑体"/>
          <w:bCs/>
          <w:sz w:val="28"/>
          <w:szCs w:val="28"/>
        </w:rPr>
      </w:pPr>
      <w:r>
        <w:rPr>
          <w:rFonts w:eastAsia="黑体"/>
          <w:bCs/>
          <w:sz w:val="28"/>
          <w:szCs w:val="28"/>
        </w:rPr>
        <w:t>2.4.4 环境质量现状</w:t>
      </w:r>
    </w:p>
    <w:p>
      <w:pPr>
        <w:spacing w:line="520" w:lineRule="exact"/>
        <w:ind w:firstLine="480" w:firstLineChars="200"/>
        <w:rPr>
          <w:sz w:val="24"/>
          <w:highlight w:val="yellow"/>
        </w:rPr>
      </w:pPr>
      <w:r>
        <w:rPr>
          <w:sz w:val="24"/>
        </w:rPr>
        <w:t>环境空气质量现状：根据</w:t>
      </w:r>
      <w:r>
        <w:rPr>
          <w:rFonts w:hint="eastAsia"/>
          <w:sz w:val="24"/>
        </w:rPr>
        <w:t>原阳县产业集聚区内常规监测站点大信家具监测站点2</w:t>
      </w:r>
      <w:r>
        <w:rPr>
          <w:sz w:val="24"/>
        </w:rPr>
        <w:t>021</w:t>
      </w:r>
      <w:r>
        <w:rPr>
          <w:rFonts w:hint="eastAsia"/>
          <w:sz w:val="24"/>
        </w:rPr>
        <w:t>年环境空气质量监测数据，</w:t>
      </w:r>
      <w:r>
        <w:rPr>
          <w:sz w:val="24"/>
        </w:rPr>
        <w:t>评价区基本污染物（SO</w:t>
      </w:r>
      <w:r>
        <w:rPr>
          <w:sz w:val="24"/>
          <w:vertAlign w:val="subscript"/>
        </w:rPr>
        <w:t>2</w:t>
      </w:r>
      <w:r>
        <w:rPr>
          <w:sz w:val="24"/>
        </w:rPr>
        <w:t>、NO</w:t>
      </w:r>
      <w:r>
        <w:rPr>
          <w:sz w:val="24"/>
          <w:vertAlign w:val="subscript"/>
        </w:rPr>
        <w:t>2</w:t>
      </w:r>
      <w:r>
        <w:rPr>
          <w:sz w:val="24"/>
        </w:rPr>
        <w:t>、PM</w:t>
      </w:r>
      <w:r>
        <w:rPr>
          <w:sz w:val="24"/>
          <w:vertAlign w:val="subscript"/>
        </w:rPr>
        <w:t>10</w:t>
      </w:r>
      <w:r>
        <w:rPr>
          <w:sz w:val="24"/>
        </w:rPr>
        <w:t>、PM</w:t>
      </w:r>
      <w:r>
        <w:rPr>
          <w:sz w:val="24"/>
          <w:vertAlign w:val="subscript"/>
        </w:rPr>
        <w:t>2.5</w:t>
      </w:r>
      <w:r>
        <w:rPr>
          <w:sz w:val="24"/>
        </w:rPr>
        <w:t>、CO、O</w:t>
      </w:r>
      <w:r>
        <w:rPr>
          <w:sz w:val="24"/>
          <w:vertAlign w:val="subscript"/>
        </w:rPr>
        <w:t>3</w:t>
      </w:r>
      <w:r>
        <w:rPr>
          <w:sz w:val="24"/>
        </w:rPr>
        <w:t>）中的PM</w:t>
      </w:r>
      <w:r>
        <w:rPr>
          <w:sz w:val="24"/>
          <w:vertAlign w:val="subscript"/>
        </w:rPr>
        <w:t>10</w:t>
      </w:r>
      <w:r>
        <w:rPr>
          <w:sz w:val="24"/>
        </w:rPr>
        <w:t>、PM</w:t>
      </w:r>
      <w:r>
        <w:rPr>
          <w:sz w:val="24"/>
          <w:vertAlign w:val="subscript"/>
        </w:rPr>
        <w:t>2.5</w:t>
      </w:r>
      <w:r>
        <w:rPr>
          <w:sz w:val="24"/>
        </w:rPr>
        <w:t>、O</w:t>
      </w:r>
      <w:r>
        <w:rPr>
          <w:sz w:val="24"/>
          <w:vertAlign w:val="subscript"/>
        </w:rPr>
        <w:t>3</w:t>
      </w:r>
      <w:r>
        <w:rPr>
          <w:sz w:val="24"/>
        </w:rPr>
        <w:t>监测结果不能满足《环境空气质量标准》（GB3095-2012）二级标准要求，属于不达标区；特征因子NH</w:t>
      </w:r>
      <w:r>
        <w:rPr>
          <w:sz w:val="24"/>
          <w:vertAlign w:val="subscript"/>
        </w:rPr>
        <w:t>3</w:t>
      </w:r>
      <w:r>
        <w:rPr>
          <w:sz w:val="24"/>
        </w:rPr>
        <w:t>、H</w:t>
      </w:r>
      <w:r>
        <w:rPr>
          <w:sz w:val="24"/>
          <w:vertAlign w:val="subscript"/>
        </w:rPr>
        <w:t>2</w:t>
      </w:r>
      <w:r>
        <w:rPr>
          <w:sz w:val="24"/>
        </w:rPr>
        <w:t>S的1小时平均值均能满足《环境影响评价技术导则 大气环境》（HJ2.2-2018）附录D要求</w:t>
      </w:r>
      <w:r>
        <w:rPr>
          <w:rFonts w:hint="eastAsia"/>
          <w:sz w:val="24"/>
        </w:rPr>
        <w:t>；臭气浓度</w:t>
      </w:r>
      <w:r>
        <w:rPr>
          <w:sz w:val="24"/>
        </w:rPr>
        <w:t>&lt;10</w:t>
      </w:r>
      <w:r>
        <w:rPr>
          <w:rFonts w:hint="eastAsia"/>
          <w:sz w:val="24"/>
        </w:rPr>
        <w:t>，</w:t>
      </w:r>
      <w:r>
        <w:rPr>
          <w:sz w:val="24"/>
        </w:rPr>
        <w:t>说明厂址及敏感点处其它污染物的环境空气现状状况良好。</w:t>
      </w:r>
    </w:p>
    <w:p>
      <w:pPr>
        <w:spacing w:line="520" w:lineRule="exact"/>
        <w:ind w:firstLine="480" w:firstLineChars="200"/>
        <w:rPr>
          <w:sz w:val="24"/>
          <w:highlight w:val="yellow"/>
        </w:rPr>
      </w:pPr>
      <w:r>
        <w:rPr>
          <w:sz w:val="24"/>
        </w:rPr>
        <w:t>地表水环境：该项目纳污水体为纳污水体为</w:t>
      </w:r>
      <w:r>
        <w:rPr>
          <w:bCs/>
          <w:sz w:val="24"/>
        </w:rPr>
        <w:t>东关排渠，最终汇入文岩干渠</w:t>
      </w:r>
      <w:r>
        <w:rPr>
          <w:sz w:val="24"/>
        </w:rPr>
        <w:t>，根据《新乡市生态环境局关于下达2023年地表水环境质量暂定目标的函》，</w:t>
      </w:r>
      <w:r>
        <w:rPr>
          <w:rFonts w:hint="eastAsia"/>
          <w:bCs/>
          <w:sz w:val="24"/>
        </w:rPr>
        <w:t>文岩渠安乐庄</w:t>
      </w:r>
      <w:r>
        <w:rPr>
          <w:bCs/>
          <w:sz w:val="24"/>
        </w:rPr>
        <w:t>断面</w:t>
      </w:r>
      <w:r>
        <w:rPr>
          <w:rFonts w:hint="eastAsia"/>
          <w:sz w:val="24"/>
        </w:rPr>
        <w:t>2</w:t>
      </w:r>
      <w:r>
        <w:rPr>
          <w:sz w:val="24"/>
        </w:rPr>
        <w:t>023年</w:t>
      </w:r>
      <w:r>
        <w:rPr>
          <w:rFonts w:hint="eastAsia"/>
          <w:sz w:val="24"/>
        </w:rPr>
        <w:t>考核</w:t>
      </w:r>
      <w:r>
        <w:rPr>
          <w:sz w:val="24"/>
        </w:rPr>
        <w:t>目标为Ⅲ类水环境功能区，根据新乡市环境监测站编制的例行监测结果，</w:t>
      </w:r>
      <w:r>
        <w:rPr>
          <w:rFonts w:hint="eastAsia"/>
          <w:sz w:val="24"/>
        </w:rPr>
        <w:t>文岩渠</w:t>
      </w:r>
      <w:r>
        <w:rPr>
          <w:sz w:val="24"/>
        </w:rPr>
        <w:t>安乐庄断面</w:t>
      </w:r>
      <w:r>
        <w:rPr>
          <w:rFonts w:hint="eastAsia"/>
          <w:sz w:val="24"/>
        </w:rPr>
        <w:t>2</w:t>
      </w:r>
      <w:r>
        <w:rPr>
          <w:sz w:val="24"/>
        </w:rPr>
        <w:t>023</w:t>
      </w:r>
      <w:r>
        <w:rPr>
          <w:rFonts w:hint="eastAsia"/>
          <w:sz w:val="24"/>
        </w:rPr>
        <w:t>年全年</w:t>
      </w:r>
      <w:r>
        <w:rPr>
          <w:sz w:val="24"/>
        </w:rPr>
        <w:t>COD、NH</w:t>
      </w:r>
      <w:r>
        <w:rPr>
          <w:sz w:val="24"/>
          <w:vertAlign w:val="subscript"/>
        </w:rPr>
        <w:t>3</w:t>
      </w:r>
      <w:r>
        <w:rPr>
          <w:sz w:val="24"/>
        </w:rPr>
        <w:t>-N、</w:t>
      </w:r>
      <w:r>
        <w:rPr>
          <w:rFonts w:hint="eastAsia"/>
          <w:sz w:val="24"/>
        </w:rPr>
        <w:t>T</w:t>
      </w:r>
      <w:r>
        <w:rPr>
          <w:sz w:val="24"/>
        </w:rPr>
        <w:t>P</w:t>
      </w:r>
      <w:r>
        <w:rPr>
          <w:rFonts w:hint="eastAsia"/>
          <w:sz w:val="24"/>
        </w:rPr>
        <w:t>均</w:t>
      </w:r>
      <w:r>
        <w:rPr>
          <w:sz w:val="24"/>
        </w:rPr>
        <w:t>满足</w:t>
      </w:r>
      <w:r>
        <w:rPr>
          <w:rFonts w:hint="eastAsia"/>
          <w:sz w:val="24"/>
        </w:rPr>
        <w:t>《地表水环境质量标准》（GB3838-2002</w:t>
      </w:r>
      <w:r>
        <w:rPr>
          <w:sz w:val="24"/>
        </w:rPr>
        <w:t>）Ⅲ</w:t>
      </w:r>
      <w:r>
        <w:rPr>
          <w:rFonts w:hint="eastAsia"/>
          <w:sz w:val="24"/>
        </w:rPr>
        <w:t>类标准。</w:t>
      </w:r>
    </w:p>
    <w:p>
      <w:pPr>
        <w:spacing w:line="520" w:lineRule="exact"/>
        <w:ind w:firstLine="480" w:firstLineChars="200"/>
        <w:jc w:val="left"/>
        <w:rPr>
          <w:sz w:val="24"/>
        </w:rPr>
      </w:pPr>
      <w:r>
        <w:rPr>
          <w:sz w:val="24"/>
        </w:rPr>
        <w:t>地下水环境：根据监测结果，评价区地下水pH、耗氧量、氨氮等指标均能满足《地下水质量标准》（GB/T14848-2017）III类的标准要求。</w:t>
      </w:r>
    </w:p>
    <w:p>
      <w:pPr>
        <w:spacing w:line="520" w:lineRule="exact"/>
        <w:ind w:firstLine="480" w:firstLineChars="200"/>
        <w:rPr>
          <w:sz w:val="24"/>
        </w:rPr>
      </w:pPr>
      <w:r>
        <w:rPr>
          <w:sz w:val="24"/>
        </w:rPr>
        <w:t>声环境：根据监测结果，项目周围声环境质量能达到《声环境质量标准》（GB3096-2008）3类标准。</w:t>
      </w:r>
    </w:p>
    <w:p>
      <w:pPr>
        <w:spacing w:line="520" w:lineRule="exact"/>
        <w:ind w:firstLine="480" w:firstLineChars="200"/>
        <w:jc w:val="left"/>
        <w:rPr>
          <w:sz w:val="24"/>
        </w:rPr>
      </w:pPr>
      <w:r>
        <w:rPr>
          <w:sz w:val="24"/>
        </w:rPr>
        <w:t>土壤环境：项目厂址区域土壤中各监测点位的各监测因子均能满足《土壤环境质量 建设用地土壤污染风险管控标准（试行）》（GB36600-2018）表1 第二类用地筛选值要求。</w:t>
      </w:r>
    </w:p>
    <w:p>
      <w:pPr>
        <w:keepNext/>
        <w:keepLines/>
        <w:spacing w:line="520" w:lineRule="exact"/>
        <w:outlineLvl w:val="1"/>
        <w:rPr>
          <w:rFonts w:eastAsia="黑体"/>
          <w:bCs/>
          <w:sz w:val="28"/>
          <w:szCs w:val="28"/>
          <w:lang w:val="zh-CN"/>
        </w:rPr>
      </w:pPr>
      <w:bookmarkStart w:id="25" w:name="_Toc25484"/>
      <w:r>
        <w:rPr>
          <w:rFonts w:eastAsia="黑体"/>
          <w:bCs/>
          <w:sz w:val="28"/>
          <w:szCs w:val="28"/>
          <w:lang w:val="zh-CN"/>
        </w:rPr>
        <w:t>2.5 评价标准</w:t>
      </w:r>
      <w:bookmarkEnd w:id="25"/>
    </w:p>
    <w:p>
      <w:pPr>
        <w:spacing w:line="520" w:lineRule="exact"/>
        <w:ind w:firstLine="480" w:firstLineChars="200"/>
        <w:jc w:val="left"/>
        <w:rPr>
          <w:sz w:val="24"/>
        </w:rPr>
      </w:pPr>
      <w:r>
        <w:rPr>
          <w:sz w:val="24"/>
        </w:rPr>
        <w:t>本次评价执行如下标准：</w:t>
      </w:r>
    </w:p>
    <w:p>
      <w:pPr>
        <w:keepNext/>
        <w:keepLines/>
        <w:spacing w:line="520" w:lineRule="exact"/>
        <w:outlineLvl w:val="2"/>
        <w:rPr>
          <w:rFonts w:eastAsia="楷体_GB2312"/>
          <w:bCs/>
          <w:sz w:val="28"/>
          <w:szCs w:val="28"/>
        </w:rPr>
      </w:pPr>
      <w:r>
        <w:rPr>
          <w:rFonts w:eastAsia="黑体"/>
          <w:bCs/>
          <w:sz w:val="28"/>
          <w:szCs w:val="28"/>
        </w:rPr>
        <w:t>2.5.1 环境质量标准</w:t>
      </w:r>
    </w:p>
    <w:p>
      <w:pPr>
        <w:spacing w:line="520" w:lineRule="exact"/>
        <w:ind w:firstLine="480" w:firstLineChars="200"/>
        <w:jc w:val="left"/>
        <w:rPr>
          <w:sz w:val="24"/>
        </w:rPr>
      </w:pPr>
      <w:r>
        <w:rPr>
          <w:sz w:val="24"/>
        </w:rPr>
        <w:t>本项目环境质量评价执行的标准见表2.5-1。</w:t>
      </w:r>
    </w:p>
    <w:p>
      <w:pPr>
        <w:spacing w:line="520" w:lineRule="exact"/>
        <w:ind w:firstLine="480" w:firstLineChars="200"/>
        <w:rPr>
          <w:rFonts w:eastAsia="黑体"/>
          <w:sz w:val="24"/>
          <w:szCs w:val="24"/>
        </w:rPr>
      </w:pPr>
      <w:r>
        <w:rPr>
          <w:rFonts w:eastAsia="黑体"/>
          <w:sz w:val="24"/>
          <w:szCs w:val="24"/>
        </w:rPr>
        <w:t>表2.5-1                环境质量评价执行标准</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85" w:type="dxa"/>
          <w:bottom w:w="17" w:type="dxa"/>
          <w:right w:w="85" w:type="dxa"/>
        </w:tblCellMar>
      </w:tblPr>
      <w:tblGrid>
        <w:gridCol w:w="829"/>
        <w:gridCol w:w="2232"/>
        <w:gridCol w:w="792"/>
        <w:gridCol w:w="2298"/>
        <w:gridCol w:w="2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环境要素</w:t>
            </w:r>
          </w:p>
        </w:tc>
        <w:tc>
          <w:tcPr>
            <w:tcW w:w="1699" w:type="pct"/>
            <w:gridSpan w:val="2"/>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标准名称</w:t>
            </w:r>
          </w:p>
        </w:tc>
        <w:tc>
          <w:tcPr>
            <w:tcW w:w="1291"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评价因子</w:t>
            </w: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restart"/>
            <w:tcBorders>
              <w:top w:val="single" w:color="auto" w:sz="4" w:space="0"/>
              <w:left w:val="single" w:color="auto" w:sz="4" w:space="0"/>
              <w:right w:val="single" w:color="auto" w:sz="4" w:space="0"/>
            </w:tcBorders>
            <w:vAlign w:val="center"/>
          </w:tcPr>
          <w:p>
            <w:pPr>
              <w:jc w:val="center"/>
              <w:rPr>
                <w:szCs w:val="21"/>
              </w:rPr>
            </w:pPr>
            <w:r>
              <w:rPr>
                <w:szCs w:val="21"/>
              </w:rPr>
              <w:t>环境空气</w:t>
            </w:r>
          </w:p>
        </w:tc>
        <w:tc>
          <w:tcPr>
            <w:tcW w:w="1699" w:type="pct"/>
            <w:gridSpan w:val="2"/>
            <w:vMerge w:val="restart"/>
            <w:tcBorders>
              <w:top w:val="single" w:color="auto" w:sz="4" w:space="0"/>
              <w:left w:val="single" w:color="auto" w:sz="4" w:space="0"/>
              <w:right w:val="single" w:color="auto" w:sz="4" w:space="0"/>
            </w:tcBorders>
            <w:vAlign w:val="center"/>
          </w:tcPr>
          <w:p>
            <w:pPr>
              <w:adjustRightInd w:val="0"/>
              <w:snapToGrid w:val="0"/>
              <w:jc w:val="center"/>
              <w:rPr>
                <w:szCs w:val="21"/>
              </w:rPr>
            </w:pPr>
            <w:r>
              <w:rPr>
                <w:szCs w:val="21"/>
              </w:rPr>
              <w:t>《环境空气质量标准》</w:t>
            </w:r>
          </w:p>
          <w:p>
            <w:pPr>
              <w:adjustRightInd w:val="0"/>
              <w:snapToGrid w:val="0"/>
              <w:jc w:val="center"/>
              <w:rPr>
                <w:szCs w:val="21"/>
              </w:rPr>
            </w:pPr>
            <w:r>
              <w:rPr>
                <w:szCs w:val="21"/>
              </w:rPr>
              <w:t>（GB3095-2012）</w:t>
            </w:r>
          </w:p>
          <w:p>
            <w:pPr>
              <w:jc w:val="center"/>
              <w:rPr>
                <w:szCs w:val="21"/>
              </w:rPr>
            </w:pPr>
            <w:r>
              <w:rPr>
                <w:szCs w:val="21"/>
              </w:rPr>
              <w:t>二级标准及修改单</w:t>
            </w:r>
          </w:p>
        </w:tc>
        <w:tc>
          <w:tcPr>
            <w:tcW w:w="1291"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SO</w:t>
            </w:r>
            <w:r>
              <w:rPr>
                <w:szCs w:val="21"/>
                <w:vertAlign w:val="subscript"/>
              </w:rPr>
              <w:t>2</w:t>
            </w: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年平均60μg/m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jc w:val="center"/>
              <w:rPr>
                <w:szCs w:val="21"/>
              </w:rPr>
            </w:pPr>
          </w:p>
        </w:tc>
        <w:tc>
          <w:tcPr>
            <w:tcW w:w="1291"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24小时平均150μg/m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1小时平均500μg/m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jc w:val="center"/>
              <w:rPr>
                <w:szCs w:val="21"/>
              </w:rPr>
            </w:pPr>
          </w:p>
        </w:tc>
        <w:tc>
          <w:tcPr>
            <w:tcW w:w="1291" w:type="pct"/>
            <w:vMerge w:val="restart"/>
            <w:tcBorders>
              <w:top w:val="single" w:color="auto" w:sz="4" w:space="0"/>
              <w:left w:val="single" w:color="auto" w:sz="4" w:space="0"/>
              <w:right w:val="single" w:color="auto" w:sz="4" w:space="0"/>
            </w:tcBorders>
            <w:vAlign w:val="center"/>
          </w:tcPr>
          <w:p>
            <w:pPr>
              <w:jc w:val="center"/>
              <w:rPr>
                <w:szCs w:val="21"/>
              </w:rPr>
            </w:pPr>
            <w:r>
              <w:rPr>
                <w:szCs w:val="21"/>
              </w:rPr>
              <w:t>NO</w:t>
            </w:r>
            <w:r>
              <w:rPr>
                <w:szCs w:val="21"/>
                <w:vertAlign w:val="subscript"/>
              </w:rPr>
              <w:t>2</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年平均40μg/m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jc w:val="center"/>
              <w:rPr>
                <w:szCs w:val="21"/>
              </w:rPr>
            </w:pPr>
          </w:p>
        </w:tc>
        <w:tc>
          <w:tcPr>
            <w:tcW w:w="1291" w:type="pct"/>
            <w:vMerge w:val="continue"/>
            <w:tcBorders>
              <w:left w:val="single" w:color="auto" w:sz="4" w:space="0"/>
              <w:right w:val="single" w:color="auto" w:sz="4" w:space="0"/>
            </w:tcBorders>
            <w:vAlign w:val="center"/>
          </w:tcPr>
          <w:p>
            <w:pPr>
              <w:jc w:val="center"/>
              <w:rPr>
                <w:szCs w:val="21"/>
              </w:rPr>
            </w:pP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24小时平均80μg/m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vMerge w:val="continue"/>
            <w:tcBorders>
              <w:left w:val="single" w:color="auto" w:sz="4" w:space="0"/>
              <w:bottom w:val="single" w:color="auto" w:sz="4" w:space="0"/>
              <w:right w:val="single" w:color="auto" w:sz="4" w:space="0"/>
            </w:tcBorders>
            <w:vAlign w:val="center"/>
          </w:tcPr>
          <w:p>
            <w:pPr>
              <w:widowControl/>
              <w:jc w:val="center"/>
              <w:rPr>
                <w:szCs w:val="21"/>
              </w:rPr>
            </w:pP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1小时平均200μg/m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vMerge w:val="restart"/>
            <w:tcBorders>
              <w:left w:val="single" w:color="auto" w:sz="4" w:space="0"/>
              <w:right w:val="single" w:color="auto" w:sz="4" w:space="0"/>
            </w:tcBorders>
            <w:vAlign w:val="center"/>
          </w:tcPr>
          <w:p>
            <w:pPr>
              <w:widowControl/>
              <w:jc w:val="center"/>
              <w:rPr>
                <w:szCs w:val="21"/>
              </w:rPr>
            </w:pPr>
            <w:r>
              <w:t>NOx</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1小时平均250μg/m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vMerge w:val="continue"/>
            <w:tcBorders>
              <w:left w:val="single" w:color="auto" w:sz="4" w:space="0"/>
              <w:right w:val="single" w:color="auto" w:sz="4" w:space="0"/>
            </w:tcBorders>
            <w:vAlign w:val="center"/>
          </w:tcPr>
          <w:p>
            <w:pPr>
              <w:widowControl/>
              <w:jc w:val="center"/>
              <w:rPr>
                <w:szCs w:val="21"/>
              </w:rPr>
            </w:pP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24小时平均100μg/m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vMerge w:val="continue"/>
            <w:tcBorders>
              <w:left w:val="single" w:color="auto" w:sz="4" w:space="0"/>
              <w:bottom w:val="single" w:color="auto" w:sz="4" w:space="0"/>
              <w:right w:val="single" w:color="auto" w:sz="4" w:space="0"/>
            </w:tcBorders>
            <w:vAlign w:val="center"/>
          </w:tcPr>
          <w:p>
            <w:pPr>
              <w:widowControl/>
              <w:jc w:val="center"/>
              <w:rPr>
                <w:szCs w:val="21"/>
              </w:rPr>
            </w:pP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年平均50μg/m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vMerge w:val="restart"/>
            <w:tcBorders>
              <w:top w:val="single" w:color="auto" w:sz="4" w:space="0"/>
              <w:left w:val="single" w:color="auto" w:sz="4" w:space="0"/>
              <w:right w:val="single" w:color="auto" w:sz="4" w:space="0"/>
            </w:tcBorders>
            <w:vAlign w:val="center"/>
          </w:tcPr>
          <w:p>
            <w:pPr>
              <w:widowControl/>
              <w:jc w:val="center"/>
              <w:rPr>
                <w:szCs w:val="21"/>
              </w:rPr>
            </w:pPr>
            <w:r>
              <w:rPr>
                <w:szCs w:val="21"/>
              </w:rPr>
              <w:t>PM</w:t>
            </w:r>
            <w:r>
              <w:rPr>
                <w:szCs w:val="21"/>
                <w:vertAlign w:val="subscript"/>
              </w:rPr>
              <w:t>10</w:t>
            </w: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年平均70μg/m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vMerge w:val="continue"/>
            <w:tcBorders>
              <w:left w:val="single" w:color="auto" w:sz="4" w:space="0"/>
              <w:bottom w:val="single" w:color="auto" w:sz="4" w:space="0"/>
              <w:right w:val="single" w:color="auto" w:sz="4" w:space="0"/>
            </w:tcBorders>
            <w:vAlign w:val="center"/>
          </w:tcPr>
          <w:p>
            <w:pPr>
              <w:widowControl/>
              <w:jc w:val="center"/>
              <w:rPr>
                <w:szCs w:val="21"/>
              </w:rPr>
            </w:pP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24小时平均150μg/m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vMerge w:val="restart"/>
            <w:tcBorders>
              <w:top w:val="single" w:color="auto" w:sz="4" w:space="0"/>
              <w:left w:val="single" w:color="auto" w:sz="4" w:space="0"/>
              <w:right w:val="single" w:color="auto" w:sz="4" w:space="0"/>
            </w:tcBorders>
            <w:vAlign w:val="center"/>
          </w:tcPr>
          <w:p>
            <w:pPr>
              <w:widowControl/>
              <w:jc w:val="center"/>
              <w:rPr>
                <w:szCs w:val="21"/>
              </w:rPr>
            </w:pPr>
            <w:r>
              <w:rPr>
                <w:szCs w:val="21"/>
              </w:rPr>
              <w:t>PM</w:t>
            </w:r>
            <w:r>
              <w:rPr>
                <w:szCs w:val="21"/>
                <w:vertAlign w:val="subscript"/>
              </w:rPr>
              <w:t>2.5</w:t>
            </w: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年平均35μg/m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vMerge w:val="continue"/>
            <w:tcBorders>
              <w:left w:val="single" w:color="auto" w:sz="4" w:space="0"/>
              <w:bottom w:val="single" w:color="auto" w:sz="4" w:space="0"/>
              <w:right w:val="single" w:color="auto" w:sz="4" w:space="0"/>
            </w:tcBorders>
            <w:vAlign w:val="center"/>
          </w:tcPr>
          <w:p>
            <w:pPr>
              <w:widowControl/>
              <w:jc w:val="center"/>
              <w:rPr>
                <w:szCs w:val="21"/>
              </w:rPr>
            </w:pP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24小时平均75μg/m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vMerge w:val="restart"/>
            <w:tcBorders>
              <w:top w:val="single" w:color="auto" w:sz="4" w:space="0"/>
              <w:left w:val="single" w:color="auto" w:sz="4" w:space="0"/>
              <w:right w:val="single" w:color="auto" w:sz="4" w:space="0"/>
            </w:tcBorders>
            <w:vAlign w:val="center"/>
          </w:tcPr>
          <w:p>
            <w:pPr>
              <w:widowControl/>
              <w:jc w:val="center"/>
              <w:rPr>
                <w:szCs w:val="21"/>
              </w:rPr>
            </w:pPr>
            <w:r>
              <w:rPr>
                <w:szCs w:val="21"/>
              </w:rPr>
              <w:t>CO</w:t>
            </w: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24小时平均4μg/m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vMerge w:val="continue"/>
            <w:tcBorders>
              <w:left w:val="single" w:color="auto" w:sz="4" w:space="0"/>
              <w:bottom w:val="single" w:color="auto" w:sz="4" w:space="0"/>
              <w:right w:val="single" w:color="auto" w:sz="4" w:space="0"/>
            </w:tcBorders>
            <w:vAlign w:val="center"/>
          </w:tcPr>
          <w:p>
            <w:pPr>
              <w:widowControl/>
              <w:jc w:val="center"/>
              <w:rPr>
                <w:szCs w:val="21"/>
              </w:rPr>
            </w:pP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1小时平均10μg/m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vMerge w:val="restart"/>
            <w:tcBorders>
              <w:top w:val="single" w:color="auto" w:sz="4" w:space="0"/>
              <w:left w:val="single" w:color="auto" w:sz="4" w:space="0"/>
              <w:right w:val="single" w:color="auto" w:sz="4" w:space="0"/>
            </w:tcBorders>
            <w:vAlign w:val="center"/>
          </w:tcPr>
          <w:p>
            <w:pPr>
              <w:widowControl/>
              <w:jc w:val="center"/>
              <w:rPr>
                <w:szCs w:val="21"/>
              </w:rPr>
            </w:pPr>
            <w:r>
              <w:rPr>
                <w:szCs w:val="21"/>
              </w:rPr>
              <w:t>O</w:t>
            </w:r>
            <w:r>
              <w:rPr>
                <w:szCs w:val="21"/>
                <w:vertAlign w:val="subscript"/>
              </w:rPr>
              <w:t>3</w:t>
            </w: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日最大8小时平均160μg/m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vMerge w:val="continue"/>
            <w:tcBorders>
              <w:left w:val="single" w:color="auto" w:sz="4" w:space="0"/>
              <w:bottom w:val="single" w:color="auto" w:sz="4" w:space="0"/>
              <w:right w:val="single" w:color="auto" w:sz="4" w:space="0"/>
            </w:tcBorders>
            <w:vAlign w:val="center"/>
          </w:tcPr>
          <w:p>
            <w:pPr>
              <w:widowControl/>
              <w:jc w:val="center"/>
              <w:rPr>
                <w:szCs w:val="21"/>
              </w:rPr>
            </w:pP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1小时平均200μg/m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restart"/>
            <w:tcBorders>
              <w:left w:val="single" w:color="auto" w:sz="4" w:space="0"/>
              <w:right w:val="single" w:color="auto" w:sz="4" w:space="0"/>
            </w:tcBorders>
            <w:vAlign w:val="center"/>
          </w:tcPr>
          <w:p>
            <w:pPr>
              <w:widowControl/>
              <w:jc w:val="center"/>
              <w:rPr>
                <w:szCs w:val="21"/>
              </w:rPr>
            </w:pPr>
            <w:r>
              <w:rPr>
                <w:szCs w:val="21"/>
              </w:rPr>
              <w:t>《环境影响评价技术导则 大气环境》（HJ2.2-2018）附录D其他污染物空气质量浓度参考限值</w:t>
            </w:r>
          </w:p>
        </w:tc>
        <w:tc>
          <w:tcPr>
            <w:tcW w:w="1291" w:type="pct"/>
            <w:tcBorders>
              <w:left w:val="single" w:color="auto" w:sz="4" w:space="0"/>
              <w:right w:val="single" w:color="auto" w:sz="4" w:space="0"/>
            </w:tcBorders>
            <w:vAlign w:val="center"/>
          </w:tcPr>
          <w:p>
            <w:pPr>
              <w:jc w:val="center"/>
              <w:rPr>
                <w:szCs w:val="21"/>
              </w:rPr>
            </w:pPr>
            <w:r>
              <w:rPr>
                <w:szCs w:val="21"/>
              </w:rPr>
              <w:t>NH</w:t>
            </w:r>
            <w:r>
              <w:rPr>
                <w:szCs w:val="21"/>
                <w:vertAlign w:val="subscript"/>
              </w:rPr>
              <w:t>3</w:t>
            </w: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szCs w:val="21"/>
              </w:rPr>
              <w:t>1h平均200μg/m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widowControl/>
              <w:jc w:val="center"/>
              <w:rPr>
                <w:szCs w:val="21"/>
              </w:rPr>
            </w:pPr>
          </w:p>
        </w:tc>
        <w:tc>
          <w:tcPr>
            <w:tcW w:w="1699" w:type="pct"/>
            <w:gridSpan w:val="2"/>
            <w:vMerge w:val="continue"/>
            <w:tcBorders>
              <w:left w:val="single" w:color="auto" w:sz="4" w:space="0"/>
              <w:right w:val="single" w:color="auto" w:sz="4" w:space="0"/>
            </w:tcBorders>
            <w:vAlign w:val="center"/>
          </w:tcPr>
          <w:p>
            <w:pPr>
              <w:jc w:val="center"/>
              <w:rPr>
                <w:szCs w:val="21"/>
              </w:rPr>
            </w:pPr>
          </w:p>
        </w:tc>
        <w:tc>
          <w:tcPr>
            <w:tcW w:w="1291" w:type="pct"/>
            <w:tcBorders>
              <w:left w:val="single" w:color="auto" w:sz="4" w:space="0"/>
              <w:bottom w:val="single" w:color="auto" w:sz="4" w:space="0"/>
              <w:right w:val="single" w:color="auto" w:sz="4" w:space="0"/>
            </w:tcBorders>
            <w:vAlign w:val="center"/>
          </w:tcPr>
          <w:p>
            <w:pPr>
              <w:jc w:val="center"/>
              <w:rPr>
                <w:szCs w:val="21"/>
              </w:rPr>
            </w:pPr>
            <w:r>
              <w:rPr>
                <w:szCs w:val="21"/>
              </w:rPr>
              <w:t>H</w:t>
            </w:r>
            <w:r>
              <w:rPr>
                <w:szCs w:val="21"/>
                <w:vertAlign w:val="subscript"/>
              </w:rPr>
              <w:t>2</w:t>
            </w:r>
            <w:r>
              <w:rPr>
                <w:szCs w:val="21"/>
              </w:rPr>
              <w:t>S</w:t>
            </w:r>
          </w:p>
        </w:tc>
        <w:tc>
          <w:tcPr>
            <w:tcW w:w="154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szCs w:val="21"/>
              </w:rPr>
              <w:t>1h平均10μg/m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restart"/>
            <w:tcBorders>
              <w:left w:val="single" w:color="auto" w:sz="4" w:space="0"/>
              <w:right w:val="single" w:color="auto" w:sz="4" w:space="0"/>
            </w:tcBorders>
            <w:vAlign w:val="center"/>
          </w:tcPr>
          <w:p>
            <w:pPr>
              <w:jc w:val="center"/>
              <w:rPr>
                <w:szCs w:val="21"/>
              </w:rPr>
            </w:pPr>
            <w:r>
              <w:rPr>
                <w:szCs w:val="21"/>
              </w:rPr>
              <w:t>地表水</w:t>
            </w:r>
          </w:p>
        </w:tc>
        <w:tc>
          <w:tcPr>
            <w:tcW w:w="1699" w:type="pct"/>
            <w:gridSpan w:val="2"/>
            <w:vMerge w:val="restart"/>
            <w:tcBorders>
              <w:left w:val="single" w:color="auto" w:sz="4" w:space="0"/>
              <w:right w:val="single" w:color="auto" w:sz="4" w:space="0"/>
            </w:tcBorders>
            <w:vAlign w:val="center"/>
          </w:tcPr>
          <w:p>
            <w:pPr>
              <w:widowControl/>
              <w:jc w:val="center"/>
              <w:rPr>
                <w:szCs w:val="21"/>
              </w:rPr>
            </w:pPr>
            <w:r>
              <w:rPr>
                <w:kern w:val="0"/>
                <w:szCs w:val="21"/>
              </w:rPr>
              <w:t>《地表水环境质量标准》（GB3838-2002）Ⅲ类标准</w:t>
            </w: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pH</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COD</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BOD</w:t>
            </w:r>
            <w:r>
              <w:rPr>
                <w:szCs w:val="21"/>
                <w:vertAlign w:val="subscript"/>
              </w:rPr>
              <w:t>5</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氨氮</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kern w:val="0"/>
                <w:szCs w:val="21"/>
              </w:rPr>
              <w:t>1</w:t>
            </w:r>
            <w:r>
              <w:rPr>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总氮</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kern w:val="0"/>
                <w:szCs w:val="21"/>
              </w:rPr>
              <w:t>1</w:t>
            </w:r>
            <w:r>
              <w:rPr>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总磷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kern w:val="0"/>
                <w:szCs w:val="21"/>
              </w:rPr>
              <w:t>0.2</w:t>
            </w:r>
            <w:r>
              <w:rPr>
                <w:szCs w:val="21"/>
              </w:rPr>
              <w:t xml:space="preserve">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restart"/>
            <w:tcBorders>
              <w:left w:val="single" w:color="auto" w:sz="4" w:space="0"/>
              <w:right w:val="single" w:color="auto" w:sz="4" w:space="0"/>
            </w:tcBorders>
            <w:vAlign w:val="center"/>
          </w:tcPr>
          <w:p>
            <w:pPr>
              <w:jc w:val="center"/>
              <w:rPr>
                <w:szCs w:val="21"/>
              </w:rPr>
            </w:pPr>
            <w:r>
              <w:rPr>
                <w:szCs w:val="21"/>
              </w:rPr>
              <w:t>地下水</w:t>
            </w:r>
          </w:p>
        </w:tc>
        <w:tc>
          <w:tcPr>
            <w:tcW w:w="1699" w:type="pct"/>
            <w:gridSpan w:val="2"/>
            <w:vMerge w:val="restart"/>
            <w:tcBorders>
              <w:left w:val="single" w:color="auto" w:sz="4" w:space="0"/>
              <w:right w:val="single" w:color="auto" w:sz="4" w:space="0"/>
            </w:tcBorders>
            <w:vAlign w:val="center"/>
          </w:tcPr>
          <w:p>
            <w:pPr>
              <w:widowControl/>
              <w:jc w:val="center"/>
              <w:rPr>
                <w:szCs w:val="21"/>
              </w:rPr>
            </w:pPr>
            <w:r>
              <w:rPr>
                <w:szCs w:val="21"/>
              </w:rPr>
              <w:t>《地下水质量标准》（GB/T14848-2017）中Ⅲ类标准</w:t>
            </w: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pH</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色度</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氨氮</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≤0.50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硝酸盐</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≤20.0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亚硝酸盐</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≤1.00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总硬度</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≤450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溶解性总固体</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≤1000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jc w:val="center"/>
              <w:rPr>
                <w:bCs/>
                <w:spacing w:val="8"/>
                <w:szCs w:val="21"/>
              </w:rPr>
            </w:pPr>
            <w:r>
              <w:rPr>
                <w:szCs w:val="21"/>
              </w:rPr>
              <w:t>耗氧量（COD</w:t>
            </w:r>
            <w:r>
              <w:rPr>
                <w:szCs w:val="21"/>
                <w:vertAlign w:val="subscript"/>
              </w:rPr>
              <w:t>Mn</w:t>
            </w:r>
            <w:r>
              <w:rPr>
                <w:szCs w:val="21"/>
              </w:rPr>
              <w:t>法）</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≤3.0mg/L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widowControl/>
              <w:jc w:val="center"/>
              <w:rPr>
                <w:bCs/>
                <w:spacing w:val="8"/>
                <w:szCs w:val="21"/>
              </w:rPr>
            </w:pPr>
            <w:r>
              <w:rPr>
                <w:szCs w:val="21"/>
              </w:rPr>
              <w:t>总大肠菌群数</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≤3.0 MPN/100mL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widowControl/>
              <w:jc w:val="center"/>
              <w:rPr>
                <w:szCs w:val="21"/>
              </w:rPr>
            </w:pPr>
            <w:r>
              <w:rPr>
                <w:szCs w:val="21"/>
              </w:rPr>
              <w:t>菌落总数</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≤100 CFU/</w:t>
            </w:r>
            <w:r>
              <w:rPr>
                <w:kern w:val="0"/>
                <w:szCs w:val="21"/>
              </w:rPr>
              <w: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adjustRightInd w:val="0"/>
              <w:snapToGrid w:val="0"/>
              <w:jc w:val="center"/>
              <w:rPr>
                <w:szCs w:val="21"/>
              </w:rPr>
            </w:pPr>
            <w:r>
              <w:rPr>
                <w:szCs w:val="21"/>
              </w:rPr>
              <w:t>硫酸盐</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≤250mg/L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adjustRightInd w:val="0"/>
              <w:snapToGrid w:val="0"/>
              <w:jc w:val="center"/>
              <w:rPr>
                <w:szCs w:val="21"/>
              </w:rPr>
            </w:pPr>
            <w:r>
              <w:rPr>
                <w:szCs w:val="21"/>
              </w:rPr>
              <w:t>挥发性酚类</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adjustRightInd w:val="0"/>
              <w:snapToGrid w:val="0"/>
              <w:jc w:val="center"/>
              <w:rPr>
                <w:szCs w:val="21"/>
              </w:rPr>
            </w:pPr>
            <w:r>
              <w:rPr>
                <w:szCs w:val="21"/>
              </w:rPr>
              <w:t>氰化物</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adjustRightInd w:val="0"/>
              <w:snapToGrid w:val="0"/>
              <w:jc w:val="center"/>
              <w:rPr>
                <w:szCs w:val="21"/>
              </w:rPr>
            </w:pPr>
            <w:r>
              <w:rPr>
                <w:szCs w:val="21"/>
              </w:rPr>
              <w:t>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adjustRightInd w:val="0"/>
              <w:snapToGrid w:val="0"/>
              <w:jc w:val="center"/>
              <w:rPr>
                <w:szCs w:val="21"/>
              </w:rPr>
            </w:pPr>
            <w:r>
              <w:rPr>
                <w:szCs w:val="21"/>
              </w:rPr>
              <w:t>汞</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adjustRightInd w:val="0"/>
              <w:snapToGrid w:val="0"/>
              <w:jc w:val="center"/>
              <w:rPr>
                <w:szCs w:val="21"/>
              </w:rPr>
            </w:pPr>
            <w:r>
              <w:rPr>
                <w:szCs w:val="21"/>
              </w:rPr>
              <w:t>铅</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adjustRightInd w:val="0"/>
              <w:snapToGrid w:val="0"/>
              <w:jc w:val="center"/>
              <w:rPr>
                <w:szCs w:val="21"/>
              </w:rPr>
            </w:pPr>
            <w:r>
              <w:rPr>
                <w:szCs w:val="21"/>
              </w:rPr>
              <w:t>氟</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adjustRightInd w:val="0"/>
              <w:snapToGrid w:val="0"/>
              <w:jc w:val="center"/>
              <w:rPr>
                <w:szCs w:val="21"/>
              </w:rPr>
            </w:pPr>
            <w:r>
              <w:rPr>
                <w:szCs w:val="21"/>
              </w:rPr>
              <w:t>锰</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adjustRightInd w:val="0"/>
              <w:snapToGrid w:val="0"/>
              <w:jc w:val="center"/>
              <w:rPr>
                <w:szCs w:val="21"/>
              </w:rPr>
            </w:pPr>
            <w:r>
              <w:rPr>
                <w:szCs w:val="21"/>
              </w:rPr>
              <w:t>铁</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adjustRightInd w:val="0"/>
              <w:snapToGrid w:val="0"/>
              <w:jc w:val="center"/>
              <w:rPr>
                <w:szCs w:val="21"/>
              </w:rPr>
            </w:pPr>
            <w:r>
              <w:rPr>
                <w:szCs w:val="21"/>
              </w:rPr>
              <w:t>铬(六价)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adjustRightInd w:val="0"/>
              <w:snapToGrid w:val="0"/>
              <w:jc w:val="center"/>
              <w:rPr>
                <w:szCs w:val="21"/>
              </w:rPr>
            </w:pPr>
            <w:r>
              <w:rPr>
                <w:szCs w:val="21"/>
              </w:rPr>
              <w:t>镉</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adjustRightInd w:val="0"/>
              <w:snapToGrid w:val="0"/>
              <w:jc w:val="center"/>
              <w:rPr>
                <w:szCs w:val="21"/>
              </w:rPr>
            </w:pPr>
            <w:r>
              <w:rPr>
                <w:rFonts w:hint="eastAsia" w:ascii="Calibri" w:hAnsi="Calibri"/>
              </w:rPr>
              <w:t>硫化物</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highlight w:val="yellow"/>
              </w:rPr>
            </w:pPr>
          </w:p>
        </w:tc>
        <w:tc>
          <w:tcPr>
            <w:tcW w:w="1699" w:type="pct"/>
            <w:gridSpan w:val="2"/>
            <w:vMerge w:val="continue"/>
            <w:tcBorders>
              <w:left w:val="single" w:color="auto" w:sz="4" w:space="0"/>
              <w:right w:val="single" w:color="auto" w:sz="4" w:space="0"/>
            </w:tcBorders>
            <w:vAlign w:val="center"/>
          </w:tcPr>
          <w:p>
            <w:pPr>
              <w:widowControl/>
              <w:jc w:val="center"/>
              <w:rPr>
                <w:szCs w:val="21"/>
                <w:highlight w:val="yellow"/>
              </w:rPr>
            </w:pPr>
          </w:p>
        </w:tc>
        <w:tc>
          <w:tcPr>
            <w:tcW w:w="1291" w:type="pct"/>
            <w:tcBorders>
              <w:left w:val="single" w:color="auto" w:sz="4" w:space="0"/>
              <w:right w:val="single" w:color="auto" w:sz="4" w:space="0"/>
            </w:tcBorders>
            <w:vAlign w:val="center"/>
          </w:tcPr>
          <w:p>
            <w:pPr>
              <w:adjustRightInd w:val="0"/>
              <w:snapToGrid w:val="0"/>
              <w:jc w:val="center"/>
              <w:rPr>
                <w:szCs w:val="21"/>
              </w:rPr>
            </w:pPr>
            <w:r>
              <w:rPr>
                <w:szCs w:val="21"/>
              </w:rPr>
              <w:t>氯化物</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≤250mg/L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restart"/>
            <w:tcBorders>
              <w:left w:val="single" w:color="auto" w:sz="4" w:space="0"/>
              <w:right w:val="single" w:color="auto" w:sz="4" w:space="0"/>
            </w:tcBorders>
            <w:vAlign w:val="center"/>
          </w:tcPr>
          <w:p>
            <w:pPr>
              <w:jc w:val="center"/>
              <w:rPr>
                <w:szCs w:val="21"/>
              </w:rPr>
            </w:pPr>
            <w:r>
              <w:rPr>
                <w:szCs w:val="21"/>
              </w:rPr>
              <w:t>声环境</w:t>
            </w:r>
          </w:p>
        </w:tc>
        <w:tc>
          <w:tcPr>
            <w:tcW w:w="1254" w:type="pct"/>
            <w:vMerge w:val="restart"/>
            <w:tcBorders>
              <w:left w:val="single" w:color="auto" w:sz="4" w:space="0"/>
              <w:right w:val="single" w:color="auto" w:sz="4" w:space="0"/>
            </w:tcBorders>
            <w:vAlign w:val="center"/>
          </w:tcPr>
          <w:p>
            <w:pPr>
              <w:widowControl/>
              <w:jc w:val="center"/>
              <w:rPr>
                <w:szCs w:val="21"/>
              </w:rPr>
            </w:pPr>
            <w:r>
              <w:rPr>
                <w:szCs w:val="21"/>
              </w:rPr>
              <w:t>《声环境质量标准》（GB3096-2008）</w:t>
            </w:r>
          </w:p>
        </w:tc>
        <w:tc>
          <w:tcPr>
            <w:tcW w:w="445" w:type="pct"/>
            <w:vMerge w:val="restart"/>
            <w:tcBorders>
              <w:left w:val="single" w:color="auto" w:sz="4" w:space="0"/>
              <w:right w:val="single" w:color="auto" w:sz="4" w:space="0"/>
            </w:tcBorders>
            <w:vAlign w:val="center"/>
          </w:tcPr>
          <w:p>
            <w:pPr>
              <w:widowControl/>
              <w:jc w:val="center"/>
              <w:rPr>
                <w:szCs w:val="21"/>
              </w:rPr>
            </w:pPr>
            <w:r>
              <w:rPr>
                <w:szCs w:val="21"/>
              </w:rPr>
              <w:t>3类</w:t>
            </w:r>
          </w:p>
        </w:tc>
        <w:tc>
          <w:tcPr>
            <w:tcW w:w="1291" w:type="pct"/>
            <w:tcBorders>
              <w:left w:val="single" w:color="auto" w:sz="4" w:space="0"/>
              <w:right w:val="single" w:color="auto" w:sz="4" w:space="0"/>
            </w:tcBorders>
            <w:vAlign w:val="center"/>
          </w:tcPr>
          <w:p>
            <w:pPr>
              <w:widowControl/>
              <w:jc w:val="center"/>
              <w:rPr>
                <w:szCs w:val="21"/>
              </w:rPr>
            </w:pPr>
            <w:r>
              <w:rPr>
                <w:szCs w:val="21"/>
              </w:rPr>
              <w:t>昼间</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65dB(A)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254" w:type="pct"/>
            <w:vMerge w:val="continue"/>
            <w:tcBorders>
              <w:left w:val="single" w:color="auto" w:sz="4" w:space="0"/>
              <w:right w:val="single" w:color="auto" w:sz="4" w:space="0"/>
            </w:tcBorders>
            <w:vAlign w:val="center"/>
          </w:tcPr>
          <w:p>
            <w:pPr>
              <w:widowControl/>
              <w:jc w:val="center"/>
              <w:rPr>
                <w:szCs w:val="21"/>
              </w:rPr>
            </w:pPr>
          </w:p>
        </w:tc>
        <w:tc>
          <w:tcPr>
            <w:tcW w:w="445" w:type="pct"/>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rPr>
                <w:szCs w:val="21"/>
              </w:rPr>
              <w:t>夜间</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254" w:type="pct"/>
            <w:vMerge w:val="continue"/>
            <w:tcBorders>
              <w:left w:val="single" w:color="auto" w:sz="4" w:space="0"/>
              <w:right w:val="single" w:color="auto" w:sz="4" w:space="0"/>
            </w:tcBorders>
            <w:vAlign w:val="center"/>
          </w:tcPr>
          <w:p>
            <w:pPr>
              <w:widowControl/>
              <w:jc w:val="center"/>
              <w:rPr>
                <w:szCs w:val="21"/>
              </w:rPr>
            </w:pPr>
          </w:p>
        </w:tc>
        <w:tc>
          <w:tcPr>
            <w:tcW w:w="445" w:type="pct"/>
            <w:vMerge w:val="restart"/>
            <w:tcBorders>
              <w:left w:val="single" w:color="auto" w:sz="4" w:space="0"/>
              <w:right w:val="single" w:color="auto" w:sz="4" w:space="0"/>
            </w:tcBorders>
            <w:vAlign w:val="center"/>
          </w:tcPr>
          <w:p>
            <w:pPr>
              <w:widowControl/>
              <w:jc w:val="center"/>
              <w:rPr>
                <w:szCs w:val="21"/>
              </w:rPr>
            </w:pPr>
            <w:r>
              <w:rPr>
                <w:szCs w:val="21"/>
              </w:rPr>
              <w:t>2类</w:t>
            </w:r>
          </w:p>
        </w:tc>
        <w:tc>
          <w:tcPr>
            <w:tcW w:w="1291" w:type="pct"/>
            <w:tcBorders>
              <w:left w:val="single" w:color="auto" w:sz="4" w:space="0"/>
              <w:right w:val="single" w:color="auto" w:sz="4" w:space="0"/>
            </w:tcBorders>
            <w:vAlign w:val="center"/>
          </w:tcPr>
          <w:p>
            <w:pPr>
              <w:widowControl/>
              <w:jc w:val="center"/>
              <w:rPr>
                <w:szCs w:val="21"/>
              </w:rPr>
            </w:pPr>
            <w:r>
              <w:rPr>
                <w:szCs w:val="21"/>
              </w:rPr>
              <w:t>昼间</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60dB(A)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254" w:type="pct"/>
            <w:vMerge w:val="continue"/>
            <w:tcBorders>
              <w:left w:val="single" w:color="auto" w:sz="4" w:space="0"/>
              <w:right w:val="single" w:color="auto" w:sz="4" w:space="0"/>
            </w:tcBorders>
            <w:vAlign w:val="center"/>
          </w:tcPr>
          <w:p>
            <w:pPr>
              <w:widowControl/>
              <w:jc w:val="center"/>
              <w:rPr>
                <w:szCs w:val="21"/>
              </w:rPr>
            </w:pPr>
          </w:p>
        </w:tc>
        <w:tc>
          <w:tcPr>
            <w:tcW w:w="445" w:type="pct"/>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rPr>
                <w:szCs w:val="21"/>
              </w:rPr>
              <w:t>夜间</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restart"/>
            <w:tcBorders>
              <w:left w:val="single" w:color="auto" w:sz="4" w:space="0"/>
              <w:right w:val="single" w:color="auto" w:sz="4" w:space="0"/>
            </w:tcBorders>
            <w:vAlign w:val="center"/>
          </w:tcPr>
          <w:p>
            <w:pPr>
              <w:jc w:val="center"/>
              <w:rPr>
                <w:szCs w:val="21"/>
              </w:rPr>
            </w:pPr>
            <w:r>
              <w:rPr>
                <w:szCs w:val="21"/>
              </w:rPr>
              <w:t>土壤环境</w:t>
            </w:r>
          </w:p>
        </w:tc>
        <w:tc>
          <w:tcPr>
            <w:tcW w:w="1699" w:type="pct"/>
            <w:gridSpan w:val="2"/>
            <w:vMerge w:val="restart"/>
            <w:tcBorders>
              <w:left w:val="single" w:color="auto" w:sz="4" w:space="0"/>
              <w:right w:val="single" w:color="auto" w:sz="4" w:space="0"/>
            </w:tcBorders>
            <w:vAlign w:val="center"/>
          </w:tcPr>
          <w:p>
            <w:pPr>
              <w:jc w:val="center"/>
              <w:rPr>
                <w:szCs w:val="21"/>
              </w:rPr>
            </w:pPr>
            <w:r>
              <w:rPr>
                <w:szCs w:val="21"/>
              </w:rPr>
              <w:t>《土壤环境质量 建设用地土壤污染风险管控标准（试行）》（GB36600-2018）</w:t>
            </w:r>
          </w:p>
          <w:p>
            <w:pPr>
              <w:widowControl/>
              <w:jc w:val="center"/>
              <w:rPr>
                <w:szCs w:val="21"/>
              </w:rPr>
            </w:pPr>
            <w:r>
              <w:rPr>
                <w:szCs w:val="21"/>
              </w:rPr>
              <w:t>第二类用地筛选值</w:t>
            </w:r>
          </w:p>
        </w:tc>
        <w:tc>
          <w:tcPr>
            <w:tcW w:w="1291" w:type="pct"/>
            <w:tcBorders>
              <w:left w:val="single" w:color="auto" w:sz="4" w:space="0"/>
              <w:right w:val="single" w:color="auto" w:sz="4" w:space="0"/>
            </w:tcBorders>
            <w:vAlign w:val="center"/>
          </w:tcPr>
          <w:p>
            <w:pPr>
              <w:widowControl/>
              <w:jc w:val="center"/>
              <w:rPr>
                <w:szCs w:val="21"/>
              </w:rPr>
            </w:pPr>
            <w:r>
              <w:t>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60mg/kg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镉</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65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铬（六价）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5.7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铜</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18000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铅</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800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汞</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38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镍</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900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四氯化碳</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2.8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氯仿</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0.9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氯甲烷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37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1，1-二氯乙烷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9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1，2-二氯乙烷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1，1-二氯乙烯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66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顺1，2-二氯乙烯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596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反1，2-二氯乙烯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54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二氯甲烷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616mg/kg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1，2-二氯丙烷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1,1,1,2-四氯乙烷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10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1,1,2,2-四氯乙烷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6.8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四氯乙烯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53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1,1,1-三氯乙烷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840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1,1,2-三氯乙烷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2.8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三氯乙烯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2.8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1,2,3-三氯丙烷</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0.5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rPr>
                <w:szCs w:val="21"/>
              </w:rPr>
            </w:pPr>
            <w:r>
              <w:t>氯乙烯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t>0.43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4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氯苯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270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1,2-二氯苯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560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1,4-二氯苯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20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乙苯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28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苯乙烯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1290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甲苯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1200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间二甲苯+对二甲苯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570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邻二甲苯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640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硝基苯</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76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苯胺</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260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2-氯酚</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2256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苯并[a]蒽</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15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苯并[a]芘</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1.5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苯并[b]荧蒽</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15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苯并[k]荧蒽</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151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崫</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1293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二苯并[a,h]蒽</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1.5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茚并[1,2,3-cd]芘</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15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t>萘</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t>70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85" w:type="dxa"/>
            <w:bottom w:w="17" w:type="dxa"/>
            <w:right w:w="85" w:type="dxa"/>
          </w:tblCellMar>
        </w:tblPrEx>
        <w:trPr>
          <w:trHeight w:val="369" w:hRule="atLeast"/>
          <w:jc w:val="center"/>
        </w:trPr>
        <w:tc>
          <w:tcPr>
            <w:tcW w:w="466" w:type="pct"/>
            <w:vMerge w:val="continue"/>
            <w:tcBorders>
              <w:left w:val="single" w:color="auto" w:sz="4" w:space="0"/>
              <w:right w:val="single" w:color="auto" w:sz="4" w:space="0"/>
            </w:tcBorders>
            <w:vAlign w:val="center"/>
          </w:tcPr>
          <w:p>
            <w:pPr>
              <w:jc w:val="center"/>
              <w:rPr>
                <w:szCs w:val="21"/>
              </w:rPr>
            </w:pPr>
          </w:p>
        </w:tc>
        <w:tc>
          <w:tcPr>
            <w:tcW w:w="1699" w:type="pct"/>
            <w:gridSpan w:val="2"/>
            <w:vMerge w:val="continue"/>
            <w:tcBorders>
              <w:left w:val="single" w:color="auto" w:sz="4" w:space="0"/>
              <w:right w:val="single" w:color="auto" w:sz="4" w:space="0"/>
            </w:tcBorders>
            <w:vAlign w:val="center"/>
          </w:tcPr>
          <w:p>
            <w:pPr>
              <w:widowControl/>
              <w:jc w:val="center"/>
              <w:rPr>
                <w:szCs w:val="21"/>
              </w:rPr>
            </w:pPr>
          </w:p>
        </w:tc>
        <w:tc>
          <w:tcPr>
            <w:tcW w:w="1291" w:type="pct"/>
            <w:tcBorders>
              <w:left w:val="single" w:color="auto" w:sz="4" w:space="0"/>
              <w:right w:val="single" w:color="auto" w:sz="4" w:space="0"/>
            </w:tcBorders>
            <w:vAlign w:val="center"/>
          </w:tcPr>
          <w:p>
            <w:pPr>
              <w:widowControl/>
              <w:jc w:val="center"/>
            </w:pPr>
            <w:r>
              <w:rPr>
                <w:rFonts w:hint="eastAsia"/>
              </w:rPr>
              <w:t>石油烃（C</w:t>
            </w:r>
            <w:r>
              <w:rPr>
                <w:vertAlign w:val="subscript"/>
              </w:rPr>
              <w:t>10</w:t>
            </w:r>
            <w:r>
              <w:t>-C</w:t>
            </w:r>
            <w:r>
              <w:rPr>
                <w:vertAlign w:val="subscript"/>
              </w:rPr>
              <w:t>40</w:t>
            </w:r>
            <w:r>
              <w:rPr>
                <w:rFonts w:hint="eastAsia"/>
              </w:rPr>
              <w:t>）</w:t>
            </w:r>
          </w:p>
        </w:tc>
        <w:tc>
          <w:tcPr>
            <w:tcW w:w="154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rPr>
                <w:rFonts w:hint="eastAsia"/>
              </w:rPr>
              <w:t>4</w:t>
            </w:r>
            <w:r>
              <w:t>500mg/kg</w:t>
            </w:r>
          </w:p>
        </w:tc>
      </w:tr>
    </w:tbl>
    <w:p>
      <w:pPr>
        <w:keepNext/>
        <w:keepLines/>
        <w:spacing w:line="520" w:lineRule="exact"/>
        <w:outlineLvl w:val="2"/>
        <w:rPr>
          <w:rFonts w:eastAsia="楷体_GB2312"/>
          <w:bCs/>
          <w:sz w:val="28"/>
          <w:szCs w:val="28"/>
        </w:rPr>
      </w:pPr>
      <w:r>
        <w:rPr>
          <w:rFonts w:eastAsia="黑体"/>
          <w:bCs/>
          <w:sz w:val="28"/>
          <w:szCs w:val="28"/>
        </w:rPr>
        <w:t>2.5.2 污染物排放标准</w:t>
      </w:r>
    </w:p>
    <w:p>
      <w:pPr>
        <w:spacing w:line="520" w:lineRule="exact"/>
        <w:ind w:firstLine="480" w:firstLineChars="200"/>
        <w:rPr>
          <w:b/>
          <w:bCs/>
          <w:sz w:val="24"/>
        </w:rPr>
      </w:pPr>
      <w:r>
        <w:rPr>
          <w:sz w:val="24"/>
        </w:rPr>
        <w:t>本</w:t>
      </w:r>
      <w:bookmarkStart w:id="26" w:name="_Hlk93559555"/>
      <w:r>
        <w:rPr>
          <w:sz w:val="24"/>
        </w:rPr>
        <w:t>工程各类污染物排放所执行的污染物排放标准见表2.5-2。</w:t>
      </w:r>
      <w:bookmarkEnd w:id="26"/>
    </w:p>
    <w:p>
      <w:pPr>
        <w:spacing w:line="520" w:lineRule="exact"/>
        <w:ind w:firstLine="480" w:firstLineChars="200"/>
        <w:rPr>
          <w:rFonts w:eastAsia="黑体"/>
          <w:sz w:val="24"/>
          <w:szCs w:val="24"/>
        </w:rPr>
      </w:pPr>
      <w:r>
        <w:rPr>
          <w:rFonts w:eastAsia="黑体"/>
          <w:sz w:val="24"/>
          <w:szCs w:val="24"/>
        </w:rPr>
        <w:t>表2.5-2           评价执行的污染物排放标准</w:t>
      </w:r>
    </w:p>
    <w:tbl>
      <w:tblPr>
        <w:tblStyle w:val="49"/>
        <w:tblW w:w="90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735"/>
        <w:gridCol w:w="1760"/>
        <w:gridCol w:w="1760"/>
        <w:gridCol w:w="1275"/>
        <w:gridCol w:w="851"/>
        <w:gridCol w:w="746"/>
        <w:gridCol w:w="1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tcBorders>
              <w:top w:val="single" w:color="000000" w:sz="4" w:space="0"/>
              <w:left w:val="single" w:color="000000" w:sz="4" w:space="0"/>
              <w:bottom w:val="single" w:color="000000" w:sz="4" w:space="0"/>
              <w:right w:val="single" w:color="000000" w:sz="4" w:space="0"/>
            </w:tcBorders>
            <w:vAlign w:val="center"/>
          </w:tcPr>
          <w:p>
            <w:pPr>
              <w:snapToGrid w:val="0"/>
              <w:jc w:val="center"/>
              <w:rPr>
                <w:b/>
                <w:bCs/>
                <w:szCs w:val="21"/>
              </w:rPr>
            </w:pPr>
            <w:r>
              <w:rPr>
                <w:b/>
                <w:bCs/>
                <w:szCs w:val="21"/>
              </w:rPr>
              <w:t>污染物</w:t>
            </w:r>
          </w:p>
        </w:tc>
        <w:tc>
          <w:tcPr>
            <w:tcW w:w="1952" w:type="pct"/>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b/>
                <w:bCs/>
                <w:szCs w:val="21"/>
              </w:rPr>
            </w:pPr>
            <w:r>
              <w:rPr>
                <w:b/>
                <w:bCs/>
                <w:szCs w:val="21"/>
              </w:rPr>
              <w:t>标准名称及级（类）别</w:t>
            </w:r>
          </w:p>
        </w:tc>
        <w:tc>
          <w:tcPr>
            <w:tcW w:w="707" w:type="pct"/>
            <w:tcBorders>
              <w:top w:val="single" w:color="000000" w:sz="4" w:space="0"/>
              <w:left w:val="single" w:color="000000" w:sz="4" w:space="0"/>
              <w:bottom w:val="single" w:color="000000" w:sz="4" w:space="0"/>
              <w:right w:val="single" w:color="000000" w:sz="4" w:space="0"/>
            </w:tcBorders>
            <w:vAlign w:val="center"/>
          </w:tcPr>
          <w:p>
            <w:pPr>
              <w:snapToGrid w:val="0"/>
              <w:jc w:val="center"/>
              <w:rPr>
                <w:b/>
                <w:bCs/>
                <w:szCs w:val="21"/>
              </w:rPr>
            </w:pPr>
            <w:r>
              <w:rPr>
                <w:b/>
                <w:bCs/>
                <w:szCs w:val="21"/>
              </w:rPr>
              <w:t>污染因子</w:t>
            </w:r>
          </w:p>
        </w:tc>
        <w:tc>
          <w:tcPr>
            <w:tcW w:w="1933" w:type="pct"/>
            <w:gridSpan w:val="3"/>
            <w:tcBorders>
              <w:top w:val="single" w:color="000000" w:sz="4" w:space="0"/>
              <w:left w:val="single" w:color="000000" w:sz="4" w:space="0"/>
              <w:bottom w:val="single" w:color="000000" w:sz="4" w:space="0"/>
              <w:right w:val="single" w:color="000000" w:sz="4" w:space="0"/>
            </w:tcBorders>
            <w:vAlign w:val="center"/>
          </w:tcPr>
          <w:p>
            <w:pPr>
              <w:snapToGrid w:val="0"/>
              <w:jc w:val="center"/>
              <w:rPr>
                <w:b/>
                <w:bCs/>
                <w:szCs w:val="21"/>
              </w:rPr>
            </w:pPr>
            <w:r>
              <w:rPr>
                <w:b/>
                <w:bCs/>
                <w:szCs w:val="21"/>
              </w:rPr>
              <w:t>标 准 限 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restart"/>
            <w:tcBorders>
              <w:left w:val="single" w:color="000000" w:sz="4" w:space="0"/>
              <w:right w:val="single" w:color="000000" w:sz="4" w:space="0"/>
            </w:tcBorders>
            <w:vAlign w:val="center"/>
          </w:tcPr>
          <w:p>
            <w:pPr>
              <w:jc w:val="center"/>
              <w:rPr>
                <w:szCs w:val="21"/>
                <w:highlight w:val="yellow"/>
              </w:rPr>
            </w:pPr>
            <w:r>
              <w:rPr>
                <w:szCs w:val="21"/>
              </w:rPr>
              <w:t>废气</w:t>
            </w:r>
          </w:p>
        </w:tc>
        <w:tc>
          <w:tcPr>
            <w:tcW w:w="1952" w:type="pct"/>
            <w:gridSpan w:val="2"/>
            <w:vMerge w:val="restart"/>
            <w:tcBorders>
              <w:top w:val="single" w:color="000000" w:sz="4" w:space="0"/>
              <w:left w:val="single" w:color="000000" w:sz="4" w:space="0"/>
              <w:right w:val="single" w:color="000000" w:sz="4" w:space="0"/>
            </w:tcBorders>
            <w:vAlign w:val="center"/>
          </w:tcPr>
          <w:p>
            <w:pPr>
              <w:widowControl/>
              <w:jc w:val="center"/>
              <w:rPr>
                <w:szCs w:val="21"/>
              </w:rPr>
            </w:pPr>
            <w:bookmarkStart w:id="27" w:name="_Hlk93569081"/>
            <w:r>
              <w:rPr>
                <w:szCs w:val="21"/>
              </w:rPr>
              <w:t>《恶臭污染物排放标准》</w:t>
            </w:r>
            <w:bookmarkEnd w:id="27"/>
          </w:p>
          <w:p>
            <w:pPr>
              <w:widowControl/>
              <w:jc w:val="center"/>
              <w:rPr>
                <w:szCs w:val="21"/>
              </w:rPr>
            </w:pPr>
            <w:bookmarkStart w:id="28" w:name="_Hlk93569085"/>
            <w:r>
              <w:rPr>
                <w:szCs w:val="21"/>
              </w:rPr>
              <w:t>（GB14554-93）</w:t>
            </w:r>
            <w:bookmarkEnd w:id="28"/>
          </w:p>
        </w:tc>
        <w:tc>
          <w:tcPr>
            <w:tcW w:w="707" w:type="pct"/>
            <w:vMerge w:val="restart"/>
            <w:tcBorders>
              <w:top w:val="single" w:color="000000" w:sz="4" w:space="0"/>
              <w:left w:val="single" w:color="000000" w:sz="4" w:space="0"/>
              <w:right w:val="single" w:color="000000" w:sz="4" w:space="0"/>
            </w:tcBorders>
            <w:vAlign w:val="center"/>
          </w:tcPr>
          <w:p>
            <w:pPr>
              <w:snapToGrid w:val="0"/>
              <w:jc w:val="center"/>
              <w:rPr>
                <w:szCs w:val="21"/>
              </w:rPr>
            </w:pPr>
            <w:bookmarkStart w:id="29" w:name="_Hlk93569101"/>
            <w:r>
              <w:rPr>
                <w:szCs w:val="21"/>
              </w:rPr>
              <w:t>硫化氢</w:t>
            </w:r>
            <w:bookmarkEnd w:id="29"/>
          </w:p>
        </w:tc>
        <w:tc>
          <w:tcPr>
            <w:tcW w:w="472" w:type="pct"/>
            <w:tcBorders>
              <w:top w:val="single" w:color="000000" w:sz="4" w:space="0"/>
              <w:left w:val="single" w:color="000000" w:sz="4" w:space="0"/>
              <w:bottom w:val="single" w:color="000000" w:sz="4" w:space="0"/>
              <w:right w:val="single" w:color="000000" w:sz="4" w:space="0"/>
            </w:tcBorders>
            <w:vAlign w:val="center"/>
          </w:tcPr>
          <w:p>
            <w:pPr>
              <w:widowControl/>
              <w:jc w:val="center"/>
            </w:pPr>
            <w:bookmarkStart w:id="30" w:name="_Hlk93569096"/>
            <w:r>
              <w:t>有组织</w:t>
            </w:r>
            <w:bookmarkEnd w:id="30"/>
            <w:bookmarkStart w:id="31" w:name="_Hlk93573263"/>
          </w:p>
          <w:bookmarkEnd w:id="31"/>
        </w:tc>
        <w:tc>
          <w:tcPr>
            <w:tcW w:w="1461" w:type="pct"/>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0.33kg/h（15m）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highlight w:val="yellow"/>
              </w:rPr>
            </w:pPr>
          </w:p>
        </w:tc>
        <w:tc>
          <w:tcPr>
            <w:tcW w:w="1952" w:type="pct"/>
            <w:gridSpan w:val="2"/>
            <w:vMerge w:val="continue"/>
            <w:tcBorders>
              <w:left w:val="single" w:color="000000" w:sz="4" w:space="0"/>
              <w:right w:val="single" w:color="000000" w:sz="4" w:space="0"/>
            </w:tcBorders>
            <w:vAlign w:val="center"/>
          </w:tcPr>
          <w:p>
            <w:pPr>
              <w:widowControl/>
              <w:jc w:val="center"/>
              <w:rPr>
                <w:szCs w:val="21"/>
              </w:rPr>
            </w:pPr>
          </w:p>
        </w:tc>
        <w:tc>
          <w:tcPr>
            <w:tcW w:w="707" w:type="pct"/>
            <w:vMerge w:val="continue"/>
            <w:tcBorders>
              <w:left w:val="single" w:color="000000" w:sz="4" w:space="0"/>
              <w:bottom w:val="single" w:color="000000" w:sz="4" w:space="0"/>
              <w:right w:val="single" w:color="000000" w:sz="4" w:space="0"/>
            </w:tcBorders>
            <w:vAlign w:val="center"/>
          </w:tcPr>
          <w:p>
            <w:pPr>
              <w:snapToGrid w:val="0"/>
              <w:jc w:val="center"/>
              <w:rPr>
                <w:szCs w:val="21"/>
              </w:rPr>
            </w:pPr>
          </w:p>
        </w:tc>
        <w:tc>
          <w:tcPr>
            <w:tcW w:w="472" w:type="pct"/>
            <w:tcBorders>
              <w:top w:val="single" w:color="000000" w:sz="4" w:space="0"/>
              <w:left w:val="single" w:color="000000" w:sz="4" w:space="0"/>
              <w:bottom w:val="single" w:color="000000" w:sz="4" w:space="0"/>
              <w:right w:val="single" w:color="000000" w:sz="4" w:space="0"/>
            </w:tcBorders>
            <w:vAlign w:val="center"/>
          </w:tcPr>
          <w:p>
            <w:pPr>
              <w:widowControl/>
              <w:jc w:val="center"/>
            </w:pPr>
            <w:r>
              <w:t>无组织</w:t>
            </w:r>
          </w:p>
        </w:tc>
        <w:tc>
          <w:tcPr>
            <w:tcW w:w="1461" w:type="pct"/>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0.06mg/m</w:t>
            </w:r>
            <w:r>
              <w:rPr>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highlight w:val="yellow"/>
              </w:rPr>
            </w:pPr>
          </w:p>
        </w:tc>
        <w:tc>
          <w:tcPr>
            <w:tcW w:w="1952" w:type="pct"/>
            <w:gridSpan w:val="2"/>
            <w:vMerge w:val="continue"/>
            <w:tcBorders>
              <w:left w:val="single" w:color="000000" w:sz="4" w:space="0"/>
              <w:right w:val="single" w:color="000000" w:sz="4" w:space="0"/>
            </w:tcBorders>
            <w:vAlign w:val="center"/>
          </w:tcPr>
          <w:p>
            <w:pPr>
              <w:widowControl/>
              <w:jc w:val="center"/>
              <w:rPr>
                <w:szCs w:val="21"/>
              </w:rPr>
            </w:pPr>
          </w:p>
        </w:tc>
        <w:tc>
          <w:tcPr>
            <w:tcW w:w="707" w:type="pct"/>
            <w:vMerge w:val="restart"/>
            <w:tcBorders>
              <w:left w:val="single" w:color="000000" w:sz="4" w:space="0"/>
              <w:right w:val="single" w:color="000000" w:sz="4" w:space="0"/>
            </w:tcBorders>
            <w:vAlign w:val="center"/>
          </w:tcPr>
          <w:p>
            <w:pPr>
              <w:snapToGrid w:val="0"/>
              <w:jc w:val="center"/>
              <w:rPr>
                <w:szCs w:val="21"/>
              </w:rPr>
            </w:pPr>
            <w:bookmarkStart w:id="32" w:name="_Hlk93569115"/>
            <w:r>
              <w:rPr>
                <w:szCs w:val="21"/>
              </w:rPr>
              <w:t>氨</w:t>
            </w:r>
            <w:bookmarkEnd w:id="32"/>
          </w:p>
        </w:tc>
        <w:tc>
          <w:tcPr>
            <w:tcW w:w="472" w:type="pct"/>
            <w:tcBorders>
              <w:top w:val="single" w:color="000000" w:sz="4" w:space="0"/>
              <w:left w:val="single" w:color="000000" w:sz="4" w:space="0"/>
              <w:bottom w:val="single" w:color="000000" w:sz="4" w:space="0"/>
              <w:right w:val="single" w:color="000000" w:sz="4" w:space="0"/>
            </w:tcBorders>
            <w:vAlign w:val="center"/>
          </w:tcPr>
          <w:p>
            <w:pPr>
              <w:widowControl/>
              <w:jc w:val="center"/>
            </w:pPr>
            <w:r>
              <w:t>有组织</w:t>
            </w:r>
          </w:p>
        </w:tc>
        <w:tc>
          <w:tcPr>
            <w:tcW w:w="1461" w:type="pct"/>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4.9kg/h（15m）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highlight w:val="yellow"/>
              </w:rPr>
            </w:pPr>
          </w:p>
        </w:tc>
        <w:tc>
          <w:tcPr>
            <w:tcW w:w="1952" w:type="pct"/>
            <w:gridSpan w:val="2"/>
            <w:vMerge w:val="continue"/>
            <w:tcBorders>
              <w:left w:val="single" w:color="000000" w:sz="4" w:space="0"/>
              <w:right w:val="single" w:color="000000" w:sz="4" w:space="0"/>
            </w:tcBorders>
            <w:vAlign w:val="center"/>
          </w:tcPr>
          <w:p>
            <w:pPr>
              <w:widowControl/>
              <w:jc w:val="center"/>
              <w:rPr>
                <w:szCs w:val="21"/>
              </w:rPr>
            </w:pPr>
          </w:p>
        </w:tc>
        <w:tc>
          <w:tcPr>
            <w:tcW w:w="707" w:type="pct"/>
            <w:vMerge w:val="continue"/>
            <w:tcBorders>
              <w:left w:val="single" w:color="000000" w:sz="4" w:space="0"/>
              <w:bottom w:val="single" w:color="000000" w:sz="4" w:space="0"/>
              <w:right w:val="single" w:color="000000" w:sz="4" w:space="0"/>
            </w:tcBorders>
            <w:vAlign w:val="center"/>
          </w:tcPr>
          <w:p>
            <w:pPr>
              <w:snapToGrid w:val="0"/>
              <w:jc w:val="center"/>
              <w:rPr>
                <w:szCs w:val="21"/>
              </w:rPr>
            </w:pPr>
          </w:p>
        </w:tc>
        <w:tc>
          <w:tcPr>
            <w:tcW w:w="472" w:type="pct"/>
            <w:tcBorders>
              <w:top w:val="single" w:color="000000" w:sz="4" w:space="0"/>
              <w:left w:val="single" w:color="000000" w:sz="4" w:space="0"/>
              <w:bottom w:val="single" w:color="000000" w:sz="4" w:space="0"/>
              <w:right w:val="single" w:color="000000" w:sz="4" w:space="0"/>
            </w:tcBorders>
            <w:vAlign w:val="center"/>
          </w:tcPr>
          <w:p>
            <w:pPr>
              <w:widowControl/>
              <w:jc w:val="center"/>
            </w:pPr>
            <w:r>
              <w:t>无组织</w:t>
            </w:r>
          </w:p>
        </w:tc>
        <w:tc>
          <w:tcPr>
            <w:tcW w:w="1461" w:type="pct"/>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1.5mg/m</w:t>
            </w:r>
            <w:r>
              <w:rPr>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highlight w:val="yellow"/>
              </w:rPr>
            </w:pPr>
          </w:p>
        </w:tc>
        <w:tc>
          <w:tcPr>
            <w:tcW w:w="1952" w:type="pct"/>
            <w:gridSpan w:val="2"/>
            <w:vMerge w:val="continue"/>
            <w:tcBorders>
              <w:left w:val="single" w:color="000000" w:sz="4" w:space="0"/>
              <w:right w:val="single" w:color="000000" w:sz="4" w:space="0"/>
            </w:tcBorders>
            <w:vAlign w:val="center"/>
          </w:tcPr>
          <w:p>
            <w:pPr>
              <w:widowControl/>
              <w:jc w:val="center"/>
              <w:rPr>
                <w:szCs w:val="21"/>
              </w:rPr>
            </w:pPr>
          </w:p>
        </w:tc>
        <w:tc>
          <w:tcPr>
            <w:tcW w:w="707" w:type="pct"/>
            <w:vMerge w:val="restart"/>
            <w:tcBorders>
              <w:left w:val="single" w:color="000000" w:sz="4" w:space="0"/>
              <w:right w:val="single" w:color="000000" w:sz="4" w:space="0"/>
            </w:tcBorders>
            <w:vAlign w:val="center"/>
          </w:tcPr>
          <w:p>
            <w:pPr>
              <w:snapToGrid w:val="0"/>
              <w:jc w:val="center"/>
              <w:rPr>
                <w:szCs w:val="21"/>
              </w:rPr>
            </w:pPr>
            <w:bookmarkStart w:id="33" w:name="_Hlk93569129"/>
            <w:r>
              <w:rPr>
                <w:szCs w:val="21"/>
              </w:rPr>
              <w:t>臭气浓度</w:t>
            </w:r>
            <w:bookmarkEnd w:id="33"/>
          </w:p>
        </w:tc>
        <w:tc>
          <w:tcPr>
            <w:tcW w:w="472" w:type="pct"/>
            <w:tcBorders>
              <w:top w:val="single" w:color="000000" w:sz="4" w:space="0"/>
              <w:left w:val="single" w:color="000000" w:sz="4" w:space="0"/>
              <w:bottom w:val="single" w:color="000000" w:sz="4" w:space="0"/>
              <w:right w:val="single" w:color="000000" w:sz="4" w:space="0"/>
            </w:tcBorders>
            <w:vAlign w:val="center"/>
          </w:tcPr>
          <w:p>
            <w:pPr>
              <w:widowControl/>
              <w:jc w:val="center"/>
            </w:pPr>
            <w:r>
              <w:t>有组织</w:t>
            </w:r>
          </w:p>
        </w:tc>
        <w:tc>
          <w:tcPr>
            <w:tcW w:w="1461" w:type="pct"/>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2000（15m）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highlight w:val="yellow"/>
              </w:rPr>
            </w:pPr>
          </w:p>
        </w:tc>
        <w:tc>
          <w:tcPr>
            <w:tcW w:w="1952" w:type="pct"/>
            <w:gridSpan w:val="2"/>
            <w:vMerge w:val="continue"/>
            <w:tcBorders>
              <w:left w:val="single" w:color="000000" w:sz="4" w:space="0"/>
              <w:right w:val="single" w:color="000000" w:sz="4" w:space="0"/>
            </w:tcBorders>
            <w:vAlign w:val="center"/>
          </w:tcPr>
          <w:p>
            <w:pPr>
              <w:widowControl/>
              <w:jc w:val="center"/>
              <w:rPr>
                <w:szCs w:val="21"/>
              </w:rPr>
            </w:pPr>
          </w:p>
        </w:tc>
        <w:tc>
          <w:tcPr>
            <w:tcW w:w="707" w:type="pct"/>
            <w:vMerge w:val="continue"/>
            <w:tcBorders>
              <w:left w:val="single" w:color="000000" w:sz="4" w:space="0"/>
              <w:bottom w:val="single" w:color="000000" w:sz="4" w:space="0"/>
              <w:right w:val="single" w:color="000000" w:sz="4" w:space="0"/>
            </w:tcBorders>
            <w:vAlign w:val="center"/>
          </w:tcPr>
          <w:p>
            <w:pPr>
              <w:snapToGrid w:val="0"/>
              <w:jc w:val="center"/>
              <w:rPr>
                <w:szCs w:val="21"/>
              </w:rPr>
            </w:pPr>
          </w:p>
        </w:tc>
        <w:tc>
          <w:tcPr>
            <w:tcW w:w="472" w:type="pct"/>
            <w:tcBorders>
              <w:top w:val="single" w:color="000000" w:sz="4" w:space="0"/>
              <w:left w:val="single" w:color="000000" w:sz="4" w:space="0"/>
              <w:bottom w:val="single" w:color="000000" w:sz="4" w:space="0"/>
              <w:right w:val="single" w:color="000000" w:sz="4" w:space="0"/>
            </w:tcBorders>
            <w:vAlign w:val="center"/>
          </w:tcPr>
          <w:p>
            <w:pPr>
              <w:widowControl/>
              <w:jc w:val="center"/>
            </w:pPr>
            <w:r>
              <w:t>无组织</w:t>
            </w:r>
          </w:p>
        </w:tc>
        <w:tc>
          <w:tcPr>
            <w:tcW w:w="1461" w:type="pct"/>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restart"/>
            <w:tcBorders>
              <w:top w:val="single" w:color="000000" w:sz="4" w:space="0"/>
              <w:left w:val="single" w:color="000000" w:sz="4" w:space="0"/>
              <w:right w:val="single" w:color="000000" w:sz="4" w:space="0"/>
            </w:tcBorders>
            <w:vAlign w:val="center"/>
          </w:tcPr>
          <w:p>
            <w:pPr>
              <w:spacing w:line="340" w:lineRule="exact"/>
              <w:jc w:val="center"/>
              <w:rPr>
                <w:szCs w:val="21"/>
                <w:highlight w:val="yellow"/>
              </w:rPr>
            </w:pPr>
            <w:r>
              <w:rPr>
                <w:szCs w:val="21"/>
              </w:rPr>
              <w:t>废水</w:t>
            </w:r>
          </w:p>
        </w:tc>
        <w:tc>
          <w:tcPr>
            <w:tcW w:w="1952" w:type="pct"/>
            <w:gridSpan w:val="2"/>
            <w:vMerge w:val="restart"/>
            <w:tcBorders>
              <w:top w:val="single" w:color="000000" w:sz="4" w:space="0"/>
              <w:left w:val="single" w:color="000000" w:sz="4" w:space="0"/>
              <w:right w:val="single" w:color="000000" w:sz="4" w:space="0"/>
            </w:tcBorders>
            <w:vAlign w:val="center"/>
          </w:tcPr>
          <w:p>
            <w:pPr>
              <w:spacing w:line="340" w:lineRule="exact"/>
              <w:jc w:val="center"/>
              <w:rPr>
                <w:szCs w:val="21"/>
                <w:highlight w:val="yellow"/>
              </w:rPr>
            </w:pPr>
            <w:r>
              <w:rPr>
                <w:rFonts w:hint="eastAsia"/>
                <w:szCs w:val="21"/>
              </w:rPr>
              <w:t>原阳县产业集聚区</w:t>
            </w:r>
            <w:r>
              <w:rPr>
                <w:szCs w:val="21"/>
              </w:rPr>
              <w:t>污水处理厂收水标准</w:t>
            </w:r>
          </w:p>
        </w:tc>
        <w:tc>
          <w:tcPr>
            <w:tcW w:w="707" w:type="pct"/>
            <w:tcBorders>
              <w:top w:val="single" w:color="000000" w:sz="4" w:space="0"/>
              <w:left w:val="single" w:color="000000" w:sz="4" w:space="0"/>
              <w:bottom w:val="single" w:color="000000" w:sz="4" w:space="0"/>
              <w:right w:val="single" w:color="000000" w:sz="4" w:space="0"/>
            </w:tcBorders>
            <w:vAlign w:val="center"/>
          </w:tcPr>
          <w:p>
            <w:pPr>
              <w:widowControl/>
              <w:jc w:val="center"/>
              <w:rPr>
                <w:szCs w:val="21"/>
                <w:highlight w:val="yellow"/>
              </w:rPr>
            </w:pPr>
            <w:r>
              <w:rPr>
                <w:szCs w:val="21"/>
              </w:rPr>
              <w:t>pH</w:t>
            </w:r>
          </w:p>
        </w:tc>
        <w:tc>
          <w:tcPr>
            <w:tcW w:w="1933" w:type="pct"/>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jc w:val="center"/>
              <w:rPr>
                <w:szCs w:val="21"/>
                <w:highlight w:val="yellow"/>
              </w:rPr>
            </w:pPr>
            <w:r>
              <w:rPr>
                <w:szCs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highlight w:val="yellow"/>
              </w:rPr>
            </w:pPr>
          </w:p>
        </w:tc>
        <w:tc>
          <w:tcPr>
            <w:tcW w:w="1952" w:type="pct"/>
            <w:gridSpan w:val="2"/>
            <w:vMerge w:val="continue"/>
            <w:tcBorders>
              <w:left w:val="single" w:color="000000" w:sz="4" w:space="0"/>
              <w:right w:val="single" w:color="000000" w:sz="4" w:space="0"/>
            </w:tcBorders>
            <w:vAlign w:val="center"/>
          </w:tcPr>
          <w:p>
            <w:pPr>
              <w:spacing w:line="340" w:lineRule="exact"/>
              <w:jc w:val="center"/>
              <w:rPr>
                <w:szCs w:val="21"/>
              </w:rPr>
            </w:pPr>
          </w:p>
        </w:tc>
        <w:tc>
          <w:tcPr>
            <w:tcW w:w="707" w:type="pct"/>
            <w:tcBorders>
              <w:top w:val="single" w:color="000000" w:sz="4" w:space="0"/>
              <w:left w:val="single" w:color="000000" w:sz="4" w:space="0"/>
              <w:bottom w:val="single" w:color="000000" w:sz="4" w:space="0"/>
              <w:right w:val="single" w:color="000000" w:sz="4" w:space="0"/>
            </w:tcBorders>
            <w:vAlign w:val="center"/>
          </w:tcPr>
          <w:p>
            <w:pPr>
              <w:widowControl/>
              <w:jc w:val="center"/>
              <w:rPr>
                <w:szCs w:val="21"/>
              </w:rPr>
            </w:pPr>
            <w:r>
              <w:rPr>
                <w:szCs w:val="21"/>
              </w:rPr>
              <w:t>COD</w:t>
            </w:r>
          </w:p>
        </w:tc>
        <w:tc>
          <w:tcPr>
            <w:tcW w:w="1933" w:type="pct"/>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jc w:val="center"/>
              <w:rPr>
                <w:szCs w:val="21"/>
              </w:rPr>
            </w:pPr>
            <w:r>
              <w:rPr>
                <w:szCs w:val="21"/>
              </w:rPr>
              <w:t>420mg/L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highlight w:val="yellow"/>
              </w:rPr>
            </w:pPr>
          </w:p>
        </w:tc>
        <w:tc>
          <w:tcPr>
            <w:tcW w:w="1952" w:type="pct"/>
            <w:gridSpan w:val="2"/>
            <w:vMerge w:val="continue"/>
            <w:tcBorders>
              <w:left w:val="single" w:color="000000" w:sz="4" w:space="0"/>
              <w:right w:val="single" w:color="000000" w:sz="4" w:space="0"/>
            </w:tcBorders>
            <w:vAlign w:val="center"/>
          </w:tcPr>
          <w:p>
            <w:pPr>
              <w:spacing w:line="340" w:lineRule="exact"/>
              <w:jc w:val="center"/>
              <w:rPr>
                <w:szCs w:val="21"/>
              </w:rPr>
            </w:pPr>
          </w:p>
        </w:tc>
        <w:tc>
          <w:tcPr>
            <w:tcW w:w="707" w:type="pct"/>
            <w:tcBorders>
              <w:top w:val="single" w:color="000000" w:sz="4" w:space="0"/>
              <w:left w:val="single" w:color="000000" w:sz="4" w:space="0"/>
              <w:bottom w:val="single" w:color="000000" w:sz="4" w:space="0"/>
              <w:right w:val="single" w:color="000000" w:sz="4" w:space="0"/>
            </w:tcBorders>
            <w:vAlign w:val="center"/>
          </w:tcPr>
          <w:p>
            <w:pPr>
              <w:widowControl/>
              <w:jc w:val="center"/>
              <w:rPr>
                <w:szCs w:val="21"/>
              </w:rPr>
            </w:pPr>
            <w:r>
              <w:rPr>
                <w:rFonts w:hint="eastAsia"/>
                <w:szCs w:val="21"/>
              </w:rPr>
              <w:t>B</w:t>
            </w:r>
            <w:r>
              <w:rPr>
                <w:szCs w:val="21"/>
              </w:rPr>
              <w:t>OD</w:t>
            </w:r>
            <w:r>
              <w:rPr>
                <w:szCs w:val="21"/>
                <w:vertAlign w:val="subscript"/>
              </w:rPr>
              <w:t>5</w:t>
            </w:r>
          </w:p>
        </w:tc>
        <w:tc>
          <w:tcPr>
            <w:tcW w:w="1933" w:type="pct"/>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jc w:val="center"/>
              <w:rPr>
                <w:szCs w:val="21"/>
              </w:rPr>
            </w:pPr>
            <w:r>
              <w:rPr>
                <w:szCs w:val="21"/>
              </w:rPr>
              <w:t>210mg/L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highlight w:val="yellow"/>
              </w:rPr>
            </w:pPr>
          </w:p>
        </w:tc>
        <w:tc>
          <w:tcPr>
            <w:tcW w:w="1952" w:type="pct"/>
            <w:gridSpan w:val="2"/>
            <w:vMerge w:val="continue"/>
            <w:tcBorders>
              <w:left w:val="single" w:color="000000" w:sz="4" w:space="0"/>
              <w:right w:val="single" w:color="000000" w:sz="4" w:space="0"/>
            </w:tcBorders>
            <w:vAlign w:val="center"/>
          </w:tcPr>
          <w:p>
            <w:pPr>
              <w:spacing w:line="340" w:lineRule="exact"/>
              <w:jc w:val="center"/>
              <w:rPr>
                <w:szCs w:val="21"/>
              </w:rPr>
            </w:pPr>
          </w:p>
        </w:tc>
        <w:tc>
          <w:tcPr>
            <w:tcW w:w="707" w:type="pct"/>
            <w:tcBorders>
              <w:top w:val="single" w:color="000000" w:sz="4" w:space="0"/>
              <w:left w:val="single" w:color="000000" w:sz="4" w:space="0"/>
              <w:bottom w:val="single" w:color="000000" w:sz="4" w:space="0"/>
              <w:right w:val="single" w:color="000000" w:sz="4" w:space="0"/>
            </w:tcBorders>
            <w:vAlign w:val="center"/>
          </w:tcPr>
          <w:p>
            <w:pPr>
              <w:widowControl/>
              <w:jc w:val="center"/>
              <w:rPr>
                <w:szCs w:val="21"/>
              </w:rPr>
            </w:pPr>
            <w:r>
              <w:rPr>
                <w:szCs w:val="21"/>
              </w:rPr>
              <w:t>SS</w:t>
            </w:r>
          </w:p>
        </w:tc>
        <w:tc>
          <w:tcPr>
            <w:tcW w:w="1933" w:type="pct"/>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jc w:val="center"/>
              <w:rPr>
                <w:szCs w:val="21"/>
              </w:rPr>
            </w:pPr>
            <w:r>
              <w:rPr>
                <w:szCs w:val="21"/>
              </w:rPr>
              <w:t>350mg/L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highlight w:val="yellow"/>
              </w:rPr>
            </w:pPr>
          </w:p>
        </w:tc>
        <w:tc>
          <w:tcPr>
            <w:tcW w:w="1952" w:type="pct"/>
            <w:gridSpan w:val="2"/>
            <w:vMerge w:val="continue"/>
            <w:tcBorders>
              <w:left w:val="single" w:color="000000" w:sz="4" w:space="0"/>
              <w:right w:val="single" w:color="000000" w:sz="4" w:space="0"/>
            </w:tcBorders>
            <w:vAlign w:val="center"/>
          </w:tcPr>
          <w:p>
            <w:pPr>
              <w:spacing w:line="340" w:lineRule="exact"/>
              <w:jc w:val="center"/>
              <w:rPr>
                <w:szCs w:val="21"/>
              </w:rPr>
            </w:pPr>
          </w:p>
        </w:tc>
        <w:tc>
          <w:tcPr>
            <w:tcW w:w="707"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氨氮</w:t>
            </w:r>
          </w:p>
        </w:tc>
        <w:tc>
          <w:tcPr>
            <w:tcW w:w="1933" w:type="pct"/>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jc w:val="center"/>
              <w:rPr>
                <w:szCs w:val="21"/>
              </w:rPr>
            </w:pPr>
            <w:r>
              <w:rPr>
                <w:szCs w:val="21"/>
              </w:rPr>
              <w:t>40mg/L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highlight w:val="yellow"/>
              </w:rPr>
            </w:pPr>
          </w:p>
        </w:tc>
        <w:tc>
          <w:tcPr>
            <w:tcW w:w="1952" w:type="pct"/>
            <w:gridSpan w:val="2"/>
            <w:vMerge w:val="continue"/>
            <w:tcBorders>
              <w:left w:val="single" w:color="000000" w:sz="4" w:space="0"/>
              <w:right w:val="single" w:color="000000" w:sz="4" w:space="0"/>
            </w:tcBorders>
            <w:vAlign w:val="center"/>
          </w:tcPr>
          <w:p>
            <w:pPr>
              <w:spacing w:line="340" w:lineRule="exact"/>
              <w:jc w:val="center"/>
              <w:rPr>
                <w:szCs w:val="21"/>
              </w:rPr>
            </w:pPr>
          </w:p>
        </w:tc>
        <w:tc>
          <w:tcPr>
            <w:tcW w:w="707"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总氮</w:t>
            </w:r>
          </w:p>
        </w:tc>
        <w:tc>
          <w:tcPr>
            <w:tcW w:w="1933" w:type="pct"/>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jc w:val="center"/>
              <w:rPr>
                <w:szCs w:val="21"/>
              </w:rPr>
            </w:pPr>
            <w:r>
              <w:rPr>
                <w:szCs w:val="21"/>
              </w:rPr>
              <w:t>50mg/L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highlight w:val="yellow"/>
              </w:rPr>
            </w:pPr>
          </w:p>
        </w:tc>
        <w:tc>
          <w:tcPr>
            <w:tcW w:w="1952" w:type="pct"/>
            <w:gridSpan w:val="2"/>
            <w:vMerge w:val="continue"/>
            <w:tcBorders>
              <w:left w:val="single" w:color="000000" w:sz="4" w:space="0"/>
              <w:right w:val="single" w:color="000000" w:sz="4" w:space="0"/>
            </w:tcBorders>
            <w:vAlign w:val="center"/>
          </w:tcPr>
          <w:p>
            <w:pPr>
              <w:spacing w:line="340" w:lineRule="exact"/>
              <w:jc w:val="center"/>
              <w:rPr>
                <w:szCs w:val="21"/>
              </w:rPr>
            </w:pPr>
          </w:p>
        </w:tc>
        <w:tc>
          <w:tcPr>
            <w:tcW w:w="707"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总磷</w:t>
            </w:r>
          </w:p>
        </w:tc>
        <w:tc>
          <w:tcPr>
            <w:tcW w:w="1933" w:type="pct"/>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jc w:val="center"/>
              <w:rPr>
                <w:szCs w:val="21"/>
              </w:rPr>
            </w:pPr>
            <w:r>
              <w:rPr>
                <w:szCs w:val="21"/>
              </w:rPr>
              <w:t>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highlight w:val="yellow"/>
              </w:rPr>
            </w:pPr>
          </w:p>
        </w:tc>
        <w:tc>
          <w:tcPr>
            <w:tcW w:w="1952" w:type="pct"/>
            <w:gridSpan w:val="2"/>
            <w:tcBorders>
              <w:left w:val="single" w:color="000000" w:sz="4" w:space="0"/>
              <w:right w:val="single" w:color="000000" w:sz="4" w:space="0"/>
            </w:tcBorders>
            <w:vAlign w:val="center"/>
          </w:tcPr>
          <w:p>
            <w:pPr>
              <w:spacing w:line="340" w:lineRule="exact"/>
              <w:jc w:val="center"/>
              <w:rPr>
                <w:szCs w:val="21"/>
              </w:rPr>
            </w:pPr>
            <w:r>
              <w:rPr>
                <w:rFonts w:hint="eastAsia"/>
                <w:szCs w:val="21"/>
              </w:rPr>
              <w:t>《污水综合排放标准》（G</w:t>
            </w:r>
            <w:r>
              <w:rPr>
                <w:szCs w:val="21"/>
              </w:rPr>
              <w:t>B 8978-1996</w:t>
            </w:r>
            <w:r>
              <w:rPr>
                <w:rFonts w:hint="eastAsia"/>
                <w:szCs w:val="21"/>
              </w:rPr>
              <w:t>）二级标准</w:t>
            </w:r>
          </w:p>
        </w:tc>
        <w:tc>
          <w:tcPr>
            <w:tcW w:w="707"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rFonts w:hint="eastAsia"/>
                <w:szCs w:val="21"/>
              </w:rPr>
              <w:t>动植物油</w:t>
            </w:r>
          </w:p>
        </w:tc>
        <w:tc>
          <w:tcPr>
            <w:tcW w:w="1933" w:type="pct"/>
            <w:gridSpan w:val="3"/>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jc w:val="center"/>
              <w:rPr>
                <w:szCs w:val="21"/>
              </w:rPr>
            </w:pPr>
            <w:r>
              <w:rPr>
                <w:rFonts w:hint="eastAsia"/>
                <w:szCs w:val="21"/>
              </w:rPr>
              <w:t>1</w:t>
            </w:r>
            <w:r>
              <w:rPr>
                <w:szCs w:val="21"/>
              </w:rPr>
              <w:t>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restart"/>
            <w:tcBorders>
              <w:top w:val="single" w:color="000000" w:sz="4" w:space="0"/>
              <w:left w:val="single" w:color="000000" w:sz="4" w:space="0"/>
              <w:right w:val="single" w:color="000000" w:sz="4" w:space="0"/>
            </w:tcBorders>
            <w:vAlign w:val="center"/>
          </w:tcPr>
          <w:p>
            <w:pPr>
              <w:snapToGrid w:val="0"/>
              <w:jc w:val="center"/>
              <w:rPr>
                <w:szCs w:val="21"/>
              </w:rPr>
            </w:pPr>
            <w:r>
              <w:rPr>
                <w:szCs w:val="21"/>
              </w:rPr>
              <w:t>噪声</w:t>
            </w:r>
          </w:p>
        </w:tc>
        <w:tc>
          <w:tcPr>
            <w:tcW w:w="976" w:type="pct"/>
            <w:vMerge w:val="restart"/>
            <w:tcBorders>
              <w:top w:val="single" w:color="000000" w:sz="4" w:space="0"/>
              <w:left w:val="single" w:color="000000" w:sz="4" w:space="0"/>
              <w:right w:val="single" w:color="000000" w:sz="4" w:space="0"/>
            </w:tcBorders>
            <w:vAlign w:val="center"/>
          </w:tcPr>
          <w:p>
            <w:pPr>
              <w:widowControl/>
              <w:snapToGrid w:val="0"/>
              <w:jc w:val="center"/>
              <w:rPr>
                <w:b/>
                <w:szCs w:val="21"/>
              </w:rPr>
            </w:pPr>
            <w:r>
              <w:rPr>
                <w:szCs w:val="21"/>
              </w:rPr>
              <w:t>《工业企业厂界环境噪声排放标准》（GB12348-2008）</w:t>
            </w:r>
          </w:p>
        </w:tc>
        <w:tc>
          <w:tcPr>
            <w:tcW w:w="976" w:type="pct"/>
            <w:vMerge w:val="restart"/>
            <w:tcBorders>
              <w:top w:val="single" w:color="000000" w:sz="4" w:space="0"/>
              <w:left w:val="single" w:color="000000" w:sz="4" w:space="0"/>
              <w:right w:val="single" w:color="000000" w:sz="4" w:space="0"/>
            </w:tcBorders>
            <w:vAlign w:val="center"/>
          </w:tcPr>
          <w:p>
            <w:pPr>
              <w:widowControl/>
              <w:snapToGrid w:val="0"/>
              <w:jc w:val="center"/>
              <w:rPr>
                <w:b/>
                <w:szCs w:val="21"/>
              </w:rPr>
            </w:pPr>
            <w:r>
              <w:rPr>
                <w:szCs w:val="21"/>
              </w:rPr>
              <w:t>3类</w:t>
            </w:r>
          </w:p>
        </w:tc>
        <w:tc>
          <w:tcPr>
            <w:tcW w:w="707" w:type="pct"/>
            <w:vMerge w:val="restar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等效声级L</w:t>
            </w:r>
            <w:r>
              <w:rPr>
                <w:szCs w:val="21"/>
                <w:vertAlign w:val="subscript"/>
              </w:rPr>
              <w:t>Aeq</w:t>
            </w:r>
          </w:p>
        </w:tc>
        <w:tc>
          <w:tcPr>
            <w:tcW w:w="886" w:type="pct"/>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昼间</w:t>
            </w:r>
          </w:p>
        </w:tc>
        <w:tc>
          <w:tcPr>
            <w:tcW w:w="1047"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bCs/>
                <w:szCs w:val="21"/>
              </w:rPr>
              <w:t>65</w:t>
            </w:r>
            <w:r>
              <w:rPr>
                <w:szCs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rPr>
            </w:pPr>
          </w:p>
        </w:tc>
        <w:tc>
          <w:tcPr>
            <w:tcW w:w="976" w:type="pct"/>
            <w:vMerge w:val="continue"/>
            <w:tcBorders>
              <w:left w:val="single" w:color="000000" w:sz="4" w:space="0"/>
              <w:right w:val="single" w:color="000000" w:sz="4" w:space="0"/>
            </w:tcBorders>
            <w:vAlign w:val="center"/>
          </w:tcPr>
          <w:p>
            <w:pPr>
              <w:widowControl/>
              <w:ind w:firstLine="482"/>
              <w:jc w:val="center"/>
              <w:rPr>
                <w:b/>
                <w:szCs w:val="21"/>
              </w:rPr>
            </w:pPr>
          </w:p>
        </w:tc>
        <w:tc>
          <w:tcPr>
            <w:tcW w:w="976" w:type="pct"/>
            <w:vMerge w:val="continue"/>
            <w:tcBorders>
              <w:left w:val="single" w:color="000000" w:sz="4" w:space="0"/>
              <w:right w:val="single" w:color="000000" w:sz="4" w:space="0"/>
            </w:tcBorders>
            <w:vAlign w:val="center"/>
          </w:tcPr>
          <w:p>
            <w:pPr>
              <w:widowControl/>
              <w:ind w:firstLine="482"/>
              <w:jc w:val="center"/>
              <w:rPr>
                <w:b/>
                <w:szCs w:val="21"/>
              </w:rPr>
            </w:pPr>
          </w:p>
        </w:tc>
        <w:tc>
          <w:tcPr>
            <w:tcW w:w="70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szCs w:val="21"/>
              </w:rPr>
            </w:pPr>
          </w:p>
        </w:tc>
        <w:tc>
          <w:tcPr>
            <w:tcW w:w="886" w:type="pct"/>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夜间</w:t>
            </w:r>
          </w:p>
        </w:tc>
        <w:tc>
          <w:tcPr>
            <w:tcW w:w="1047"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bCs/>
                <w:szCs w:val="21"/>
              </w:rPr>
              <w:t>55</w:t>
            </w:r>
            <w:r>
              <w:rPr>
                <w:szCs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right w:val="single" w:color="000000" w:sz="4" w:space="0"/>
            </w:tcBorders>
            <w:vAlign w:val="center"/>
          </w:tcPr>
          <w:p>
            <w:pPr>
              <w:widowControl/>
              <w:jc w:val="center"/>
              <w:rPr>
                <w:szCs w:val="21"/>
              </w:rPr>
            </w:pPr>
          </w:p>
        </w:tc>
        <w:tc>
          <w:tcPr>
            <w:tcW w:w="976" w:type="pct"/>
            <w:vMerge w:val="continue"/>
            <w:tcBorders>
              <w:left w:val="single" w:color="000000" w:sz="4" w:space="0"/>
              <w:right w:val="single" w:color="000000" w:sz="4" w:space="0"/>
            </w:tcBorders>
            <w:vAlign w:val="center"/>
          </w:tcPr>
          <w:p>
            <w:pPr>
              <w:widowControl/>
              <w:ind w:firstLine="482"/>
              <w:jc w:val="center"/>
              <w:rPr>
                <w:b/>
                <w:szCs w:val="21"/>
              </w:rPr>
            </w:pPr>
          </w:p>
        </w:tc>
        <w:tc>
          <w:tcPr>
            <w:tcW w:w="976" w:type="pct"/>
            <w:vMerge w:val="restart"/>
            <w:tcBorders>
              <w:left w:val="single" w:color="000000" w:sz="4" w:space="0"/>
              <w:right w:val="single" w:color="000000" w:sz="4" w:space="0"/>
            </w:tcBorders>
            <w:vAlign w:val="center"/>
          </w:tcPr>
          <w:p>
            <w:pPr>
              <w:widowControl/>
              <w:jc w:val="center"/>
              <w:rPr>
                <w:b/>
                <w:szCs w:val="21"/>
              </w:rPr>
            </w:pPr>
            <w:r>
              <w:rPr>
                <w:szCs w:val="21"/>
              </w:rPr>
              <w:t>2类</w:t>
            </w:r>
          </w:p>
        </w:tc>
        <w:tc>
          <w:tcPr>
            <w:tcW w:w="707" w:type="pct"/>
            <w:vMerge w:val="restart"/>
            <w:tcBorders>
              <w:top w:val="single" w:color="000000" w:sz="4" w:space="0"/>
              <w:left w:val="single" w:color="000000" w:sz="4" w:space="0"/>
              <w:right w:val="single" w:color="000000" w:sz="4" w:space="0"/>
            </w:tcBorders>
            <w:vAlign w:val="center"/>
          </w:tcPr>
          <w:p>
            <w:pPr>
              <w:widowControl/>
              <w:jc w:val="center"/>
              <w:rPr>
                <w:szCs w:val="21"/>
              </w:rPr>
            </w:pPr>
            <w:r>
              <w:rPr>
                <w:szCs w:val="21"/>
              </w:rPr>
              <w:t>等效声级L</w:t>
            </w:r>
            <w:r>
              <w:rPr>
                <w:szCs w:val="21"/>
                <w:vertAlign w:val="subscript"/>
              </w:rPr>
              <w:t>Aeq</w:t>
            </w:r>
          </w:p>
        </w:tc>
        <w:tc>
          <w:tcPr>
            <w:tcW w:w="886" w:type="pct"/>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昼间</w:t>
            </w:r>
          </w:p>
        </w:tc>
        <w:tc>
          <w:tcPr>
            <w:tcW w:w="1047" w:type="pct"/>
            <w:tcBorders>
              <w:top w:val="single" w:color="000000" w:sz="4" w:space="0"/>
              <w:left w:val="single" w:color="000000" w:sz="4" w:space="0"/>
              <w:bottom w:val="single" w:color="000000" w:sz="4" w:space="0"/>
              <w:right w:val="single" w:color="000000" w:sz="4" w:space="0"/>
            </w:tcBorders>
            <w:vAlign w:val="center"/>
          </w:tcPr>
          <w:p>
            <w:pPr>
              <w:snapToGrid w:val="0"/>
              <w:jc w:val="center"/>
              <w:rPr>
                <w:bCs/>
                <w:szCs w:val="21"/>
              </w:rPr>
            </w:pPr>
            <w:r>
              <w:rPr>
                <w:bCs/>
                <w:szCs w:val="21"/>
              </w:rPr>
              <w:t>60</w:t>
            </w:r>
            <w:r>
              <w:rPr>
                <w:szCs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vMerge w:val="continue"/>
            <w:tcBorders>
              <w:left w:val="single" w:color="000000" w:sz="4" w:space="0"/>
              <w:bottom w:val="single" w:color="000000" w:sz="4" w:space="0"/>
              <w:right w:val="single" w:color="000000" w:sz="4" w:space="0"/>
            </w:tcBorders>
            <w:vAlign w:val="center"/>
          </w:tcPr>
          <w:p>
            <w:pPr>
              <w:widowControl/>
              <w:jc w:val="center"/>
              <w:rPr>
                <w:szCs w:val="21"/>
              </w:rPr>
            </w:pPr>
          </w:p>
        </w:tc>
        <w:tc>
          <w:tcPr>
            <w:tcW w:w="976" w:type="pct"/>
            <w:vMerge w:val="continue"/>
            <w:tcBorders>
              <w:left w:val="single" w:color="000000" w:sz="4" w:space="0"/>
              <w:bottom w:val="single" w:color="000000" w:sz="4" w:space="0"/>
              <w:right w:val="single" w:color="000000" w:sz="4" w:space="0"/>
            </w:tcBorders>
            <w:vAlign w:val="center"/>
          </w:tcPr>
          <w:p>
            <w:pPr>
              <w:widowControl/>
              <w:ind w:firstLine="482"/>
              <w:jc w:val="center"/>
              <w:rPr>
                <w:b/>
                <w:szCs w:val="21"/>
              </w:rPr>
            </w:pPr>
          </w:p>
        </w:tc>
        <w:tc>
          <w:tcPr>
            <w:tcW w:w="976" w:type="pct"/>
            <w:vMerge w:val="continue"/>
            <w:tcBorders>
              <w:left w:val="single" w:color="000000" w:sz="4" w:space="0"/>
              <w:bottom w:val="single" w:color="000000" w:sz="4" w:space="0"/>
              <w:right w:val="single" w:color="000000" w:sz="4" w:space="0"/>
            </w:tcBorders>
            <w:vAlign w:val="center"/>
          </w:tcPr>
          <w:p>
            <w:pPr>
              <w:widowControl/>
              <w:ind w:firstLine="482"/>
              <w:jc w:val="center"/>
              <w:rPr>
                <w:b/>
                <w:szCs w:val="21"/>
              </w:rPr>
            </w:pPr>
          </w:p>
        </w:tc>
        <w:tc>
          <w:tcPr>
            <w:tcW w:w="707" w:type="pct"/>
            <w:vMerge w:val="continue"/>
            <w:tcBorders>
              <w:left w:val="single" w:color="000000" w:sz="4" w:space="0"/>
              <w:bottom w:val="single" w:color="000000" w:sz="4" w:space="0"/>
              <w:right w:val="single" w:color="000000" w:sz="4" w:space="0"/>
            </w:tcBorders>
            <w:vAlign w:val="center"/>
          </w:tcPr>
          <w:p>
            <w:pPr>
              <w:widowControl/>
              <w:jc w:val="center"/>
              <w:rPr>
                <w:szCs w:val="21"/>
              </w:rPr>
            </w:pPr>
          </w:p>
        </w:tc>
        <w:tc>
          <w:tcPr>
            <w:tcW w:w="886" w:type="pct"/>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rPr>
            </w:pPr>
            <w:r>
              <w:rPr>
                <w:szCs w:val="21"/>
              </w:rPr>
              <w:t>夜间</w:t>
            </w:r>
          </w:p>
        </w:tc>
        <w:tc>
          <w:tcPr>
            <w:tcW w:w="1047" w:type="pct"/>
            <w:tcBorders>
              <w:top w:val="single" w:color="000000" w:sz="4" w:space="0"/>
              <w:left w:val="single" w:color="000000" w:sz="4" w:space="0"/>
              <w:bottom w:val="single" w:color="000000" w:sz="4" w:space="0"/>
              <w:right w:val="single" w:color="000000" w:sz="4" w:space="0"/>
            </w:tcBorders>
            <w:vAlign w:val="center"/>
          </w:tcPr>
          <w:p>
            <w:pPr>
              <w:snapToGrid w:val="0"/>
              <w:jc w:val="center"/>
              <w:rPr>
                <w:bCs/>
                <w:szCs w:val="21"/>
              </w:rPr>
            </w:pPr>
            <w:r>
              <w:rPr>
                <w:bCs/>
                <w:szCs w:val="21"/>
              </w:rPr>
              <w:t>50</w:t>
            </w:r>
            <w:r>
              <w:rPr>
                <w:szCs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jc w:val="center"/>
        </w:trPr>
        <w:tc>
          <w:tcPr>
            <w:tcW w:w="408" w:type="pct"/>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highlight w:val="yellow"/>
              </w:rPr>
            </w:pPr>
            <w:r>
              <w:rPr>
                <w:szCs w:val="21"/>
              </w:rPr>
              <w:t>固废</w:t>
            </w:r>
          </w:p>
        </w:tc>
        <w:tc>
          <w:tcPr>
            <w:tcW w:w="4592" w:type="pct"/>
            <w:gridSpan w:val="6"/>
            <w:tcBorders>
              <w:top w:val="single" w:color="000000" w:sz="4" w:space="0"/>
              <w:left w:val="single" w:color="000000" w:sz="4" w:space="0"/>
              <w:bottom w:val="single" w:color="000000" w:sz="4" w:space="0"/>
              <w:right w:val="single" w:color="000000" w:sz="4" w:space="0"/>
            </w:tcBorders>
            <w:vAlign w:val="center"/>
          </w:tcPr>
          <w:p>
            <w:pPr>
              <w:snapToGrid w:val="0"/>
              <w:jc w:val="center"/>
              <w:rPr>
                <w:szCs w:val="21"/>
                <w:highlight w:val="yellow"/>
              </w:rPr>
            </w:pPr>
            <w:r>
              <w:rPr>
                <w:szCs w:val="21"/>
              </w:rPr>
              <w:t>一般固废：</w:t>
            </w:r>
            <w:r>
              <w:t>《一般工业固体废物贮存和填埋污染控制标准》（GB18599-2020）</w:t>
            </w:r>
            <w:r>
              <w:rPr>
                <w:rFonts w:hint="eastAsia"/>
              </w:rPr>
              <w:t>中防渗漏、防雨淋、防扬尘等环境保护要求</w:t>
            </w:r>
          </w:p>
        </w:tc>
      </w:tr>
    </w:tbl>
    <w:p>
      <w:pPr>
        <w:keepNext/>
        <w:keepLines/>
        <w:spacing w:line="480" w:lineRule="exact"/>
        <w:outlineLvl w:val="1"/>
        <w:rPr>
          <w:rFonts w:eastAsia="黑体"/>
          <w:bCs/>
          <w:sz w:val="28"/>
          <w:szCs w:val="28"/>
          <w:lang w:val="zh-CN"/>
        </w:rPr>
      </w:pPr>
      <w:bookmarkStart w:id="34" w:name="_Toc30044"/>
      <w:r>
        <w:rPr>
          <w:rFonts w:eastAsia="黑体"/>
          <w:bCs/>
          <w:sz w:val="28"/>
          <w:szCs w:val="28"/>
          <w:lang w:val="zh-CN"/>
        </w:rPr>
        <w:t>2.6 评价工作等级及评价范围</w:t>
      </w:r>
      <w:bookmarkEnd w:id="34"/>
    </w:p>
    <w:p>
      <w:pPr>
        <w:keepNext/>
        <w:keepLines/>
        <w:spacing w:line="520" w:lineRule="exact"/>
        <w:outlineLvl w:val="2"/>
        <w:rPr>
          <w:rFonts w:eastAsia="黑体"/>
          <w:bCs/>
          <w:sz w:val="28"/>
          <w:szCs w:val="28"/>
        </w:rPr>
      </w:pPr>
      <w:r>
        <w:rPr>
          <w:rFonts w:eastAsia="黑体"/>
          <w:bCs/>
          <w:sz w:val="28"/>
          <w:szCs w:val="28"/>
        </w:rPr>
        <w:t>2.6.1 评价工作等级</w:t>
      </w:r>
    </w:p>
    <w:p>
      <w:pPr>
        <w:spacing w:line="520" w:lineRule="exact"/>
        <w:ind w:firstLine="480" w:firstLineChars="200"/>
        <w:rPr>
          <w:sz w:val="24"/>
        </w:rPr>
      </w:pPr>
      <w:r>
        <w:rPr>
          <w:sz w:val="24"/>
        </w:rPr>
        <w:t>根据环境影响评价技术导则中有关大气环境、地表水环境、地下水环境、土壤环境、声环境、环境风险环境影响评价等级的划分原则，结合本工程特点，本次评价工作对各专题评价工作等级确定如下：</w:t>
      </w:r>
    </w:p>
    <w:p>
      <w:pPr>
        <w:spacing w:line="520" w:lineRule="exact"/>
        <w:ind w:firstLine="480" w:firstLineChars="200"/>
        <w:outlineLvl w:val="3"/>
        <w:rPr>
          <w:sz w:val="24"/>
        </w:rPr>
      </w:pPr>
      <w:r>
        <w:rPr>
          <w:sz w:val="24"/>
        </w:rPr>
        <w:t>（1）大气环境评价工作等级</w:t>
      </w:r>
    </w:p>
    <w:p>
      <w:pPr>
        <w:spacing w:line="520" w:lineRule="exact"/>
        <w:ind w:firstLine="480" w:firstLineChars="200"/>
        <w:rPr>
          <w:sz w:val="24"/>
          <w:highlight w:val="yellow"/>
        </w:rPr>
      </w:pPr>
      <w:r>
        <w:rPr>
          <w:sz w:val="24"/>
        </w:rPr>
        <w:t>根据《环境影响评价技术导则-大气环境》（HJ2.2-2018）有关要求，大气环境影响评价应首先对评价区域内环境质量状况是否达标进行判断。</w:t>
      </w:r>
      <w:r>
        <w:rPr>
          <w:rFonts w:hint="eastAsia"/>
          <w:sz w:val="24"/>
        </w:rPr>
        <w:t>根据位于原阳县产业集聚区内大信家具常规监测站点2</w:t>
      </w:r>
      <w:r>
        <w:rPr>
          <w:sz w:val="24"/>
        </w:rPr>
        <w:t>021</w:t>
      </w:r>
      <w:r>
        <w:rPr>
          <w:rFonts w:hint="eastAsia"/>
          <w:sz w:val="24"/>
        </w:rPr>
        <w:t>年监测数据，2</w:t>
      </w:r>
      <w:r>
        <w:rPr>
          <w:sz w:val="24"/>
        </w:rPr>
        <w:t>021</w:t>
      </w:r>
      <w:r>
        <w:rPr>
          <w:rFonts w:hint="eastAsia"/>
          <w:sz w:val="24"/>
        </w:rPr>
        <w:t>年原阳县大气环境因子</w:t>
      </w:r>
      <w:r>
        <w:rPr>
          <w:sz w:val="24"/>
        </w:rPr>
        <w:t>PM</w:t>
      </w:r>
      <w:r>
        <w:rPr>
          <w:sz w:val="24"/>
          <w:vertAlign w:val="subscript"/>
        </w:rPr>
        <w:t>10</w:t>
      </w:r>
      <w:r>
        <w:rPr>
          <w:sz w:val="24"/>
        </w:rPr>
        <w:t>、PM</w:t>
      </w:r>
      <w:r>
        <w:rPr>
          <w:sz w:val="24"/>
          <w:vertAlign w:val="subscript"/>
        </w:rPr>
        <w:t>2.5</w:t>
      </w:r>
      <w:r>
        <w:rPr>
          <w:sz w:val="24"/>
        </w:rPr>
        <w:t>、O</w:t>
      </w:r>
      <w:r>
        <w:rPr>
          <w:sz w:val="24"/>
          <w:vertAlign w:val="subscript"/>
        </w:rPr>
        <w:t>3</w:t>
      </w:r>
      <w:r>
        <w:rPr>
          <w:rFonts w:hint="eastAsia"/>
          <w:sz w:val="24"/>
        </w:rPr>
        <w:t>均出现</w:t>
      </w:r>
      <w:r>
        <w:rPr>
          <w:sz w:val="24"/>
        </w:rPr>
        <w:t>超标，拟建项目所在区域属于环境空气质量未达标区。</w:t>
      </w:r>
    </w:p>
    <w:p>
      <w:pPr>
        <w:spacing w:line="520" w:lineRule="exact"/>
        <w:ind w:firstLine="480" w:firstLineChars="200"/>
        <w:rPr>
          <w:sz w:val="24"/>
        </w:rPr>
      </w:pPr>
      <w:r>
        <w:rPr>
          <w:sz w:val="24"/>
        </w:rPr>
        <w:t>根据《环境影响评价技术导则-大气环境》（HJ2.2-2018）规定的评价工作级别的划分原则和方法，选择推荐模式中的估算模式及项目的大气环境评价工作进行分级，评判依据见表2.6-1。</w:t>
      </w:r>
    </w:p>
    <w:p>
      <w:pPr>
        <w:tabs>
          <w:tab w:val="left" w:pos="4620"/>
        </w:tabs>
        <w:adjustRightInd w:val="0"/>
        <w:snapToGrid w:val="0"/>
        <w:spacing w:line="480" w:lineRule="exact"/>
        <w:ind w:firstLine="480" w:firstLineChars="200"/>
        <w:rPr>
          <w:rFonts w:eastAsia="黑体"/>
          <w:sz w:val="24"/>
          <w:szCs w:val="20"/>
        </w:rPr>
      </w:pPr>
      <w:r>
        <w:rPr>
          <w:rFonts w:eastAsia="黑体"/>
          <w:sz w:val="24"/>
          <w:szCs w:val="20"/>
        </w:rPr>
        <w:t>表2.6-1                大气环境评价工作等级判据</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896"/>
        <w:gridCol w:w="5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adjustRightInd w:val="0"/>
              <w:snapToGrid w:val="0"/>
              <w:jc w:val="center"/>
              <w:rPr>
                <w:b/>
                <w:bCs/>
                <w:szCs w:val="21"/>
              </w:rPr>
            </w:pPr>
            <w:r>
              <w:rPr>
                <w:b/>
                <w:bCs/>
                <w:szCs w:val="21"/>
              </w:rPr>
              <w:t>评价工作等级</w:t>
            </w:r>
          </w:p>
        </w:tc>
        <w:tc>
          <w:tcPr>
            <w:tcW w:w="3352"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adjustRightInd w:val="0"/>
              <w:snapToGrid w:val="0"/>
              <w:jc w:val="center"/>
              <w:rPr>
                <w:b/>
                <w:bCs/>
                <w:szCs w:val="21"/>
              </w:rPr>
            </w:pPr>
            <w:r>
              <w:rPr>
                <w:b/>
                <w:bCs/>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adjustRightInd w:val="0"/>
              <w:snapToGrid w:val="0"/>
              <w:jc w:val="center"/>
              <w:rPr>
                <w:szCs w:val="21"/>
              </w:rPr>
            </w:pPr>
            <w:r>
              <w:rPr>
                <w:szCs w:val="21"/>
              </w:rPr>
              <w:t>一级</w:t>
            </w:r>
          </w:p>
        </w:tc>
        <w:tc>
          <w:tcPr>
            <w:tcW w:w="3352"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adjustRightInd w:val="0"/>
              <w:snapToGrid w:val="0"/>
              <w:jc w:val="center"/>
              <w:rPr>
                <w:szCs w:val="21"/>
              </w:rPr>
            </w:pPr>
            <w:r>
              <w:rPr>
                <w:szCs w:val="21"/>
              </w:rPr>
              <w:t>P</w:t>
            </w:r>
            <w:r>
              <w:rPr>
                <w:szCs w:val="21"/>
                <w:vertAlign w:val="subscript"/>
              </w:rPr>
              <w:t>max</w:t>
            </w: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adjustRightInd w:val="0"/>
              <w:snapToGrid w:val="0"/>
              <w:jc w:val="center"/>
              <w:rPr>
                <w:szCs w:val="21"/>
              </w:rPr>
            </w:pPr>
            <w:r>
              <w:rPr>
                <w:szCs w:val="21"/>
              </w:rPr>
              <w:t>二级</w:t>
            </w:r>
          </w:p>
        </w:tc>
        <w:tc>
          <w:tcPr>
            <w:tcW w:w="3352"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autoSpaceDE w:val="0"/>
              <w:autoSpaceDN w:val="0"/>
              <w:adjustRightInd w:val="0"/>
              <w:snapToGrid w:val="0"/>
              <w:jc w:val="center"/>
              <w:rPr>
                <w:szCs w:val="21"/>
              </w:rPr>
            </w:pPr>
            <w:r>
              <w:rPr>
                <w:szCs w:val="21"/>
              </w:rPr>
              <w:t>1%≤P</w:t>
            </w:r>
            <w:r>
              <w:rPr>
                <w:szCs w:val="21"/>
                <w:vertAlign w:val="subscript"/>
              </w:rPr>
              <w:t>max</w:t>
            </w: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adjustRightInd w:val="0"/>
              <w:snapToGrid w:val="0"/>
              <w:jc w:val="center"/>
              <w:rPr>
                <w:szCs w:val="21"/>
              </w:rPr>
            </w:pPr>
            <w:r>
              <w:rPr>
                <w:szCs w:val="21"/>
              </w:rPr>
              <w:t>三级</w:t>
            </w:r>
          </w:p>
        </w:tc>
        <w:tc>
          <w:tcPr>
            <w:tcW w:w="3352" w:type="pct"/>
            <w:tcBorders>
              <w:top w:val="single" w:color="auto" w:sz="4" w:space="0"/>
              <w:left w:val="single" w:color="auto" w:sz="4" w:space="0"/>
              <w:bottom w:val="single" w:color="auto" w:sz="4" w:space="0"/>
              <w:right w:val="single" w:color="auto" w:sz="4" w:space="0"/>
            </w:tcBorders>
            <w:vAlign w:val="center"/>
          </w:tcPr>
          <w:p>
            <w:pPr>
              <w:tabs>
                <w:tab w:val="center" w:pos="4153"/>
                <w:tab w:val="right" w:pos="8306"/>
              </w:tabs>
              <w:adjustRightInd w:val="0"/>
              <w:snapToGrid w:val="0"/>
              <w:jc w:val="center"/>
              <w:rPr>
                <w:szCs w:val="21"/>
              </w:rPr>
            </w:pPr>
            <w:r>
              <w:rPr>
                <w:szCs w:val="21"/>
              </w:rPr>
              <w:t>P</w:t>
            </w:r>
            <w:r>
              <w:rPr>
                <w:szCs w:val="21"/>
                <w:vertAlign w:val="subscript"/>
              </w:rPr>
              <w:t>max</w:t>
            </w:r>
            <w:r>
              <w:rPr>
                <w:szCs w:val="21"/>
              </w:rPr>
              <w:t>＜1%</w:t>
            </w:r>
          </w:p>
        </w:tc>
      </w:tr>
    </w:tbl>
    <w:p>
      <w:pPr>
        <w:spacing w:line="520" w:lineRule="exact"/>
        <w:ind w:firstLine="480" w:firstLineChars="200"/>
        <w:jc w:val="left"/>
        <w:rPr>
          <w:sz w:val="24"/>
        </w:rPr>
      </w:pPr>
      <w:r>
        <w:rPr>
          <w:sz w:val="24"/>
        </w:rPr>
        <w:t>根据工程分析结果，选用《环境影响评价技术导则-大气环境》（HJ2.2-2018）中推荐模式中的估算模式，选择正常排放的主要污染物及排放参数，分别计算主要污染物的最大地面空气质量浓度占标率Pi及对应的地面浓度达标准限值10%所对应的最远距离D10%，依据上表判据进行大气评价等级判定。计算结果见表2.6-2。</w:t>
      </w:r>
    </w:p>
    <w:p>
      <w:pPr>
        <w:spacing w:line="520" w:lineRule="exact"/>
        <w:ind w:left="-34" w:firstLine="482"/>
        <w:rPr>
          <w:rFonts w:eastAsia="黑体"/>
          <w:sz w:val="24"/>
          <w:szCs w:val="20"/>
        </w:rPr>
      </w:pPr>
      <w:r>
        <w:rPr>
          <w:rFonts w:eastAsia="黑体"/>
          <w:sz w:val="24"/>
          <w:szCs w:val="20"/>
        </w:rPr>
        <w:t>表2.6-2      估算模式下各源占标率最大值及D10</w:t>
      </w:r>
      <w:r>
        <w:rPr>
          <w:rFonts w:hint="eastAsia" w:eastAsia="黑体"/>
          <w:sz w:val="24"/>
          <w:szCs w:val="20"/>
        </w:rPr>
        <w:t>%</w:t>
      </w:r>
      <w:r>
        <w:rPr>
          <w:rFonts w:eastAsia="黑体"/>
          <w:sz w:val="24"/>
          <w:szCs w:val="20"/>
        </w:rPr>
        <w:t>汇总表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737"/>
        <w:gridCol w:w="2040"/>
        <w:gridCol w:w="871"/>
        <w:gridCol w:w="1456"/>
        <w:gridCol w:w="873"/>
        <w:gridCol w:w="934"/>
        <w:gridCol w:w="10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71" w:type="pct"/>
            <w:vAlign w:val="center"/>
          </w:tcPr>
          <w:p>
            <w:pPr>
              <w:jc w:val="center"/>
              <w:rPr>
                <w:b/>
                <w:szCs w:val="20"/>
              </w:rPr>
            </w:pPr>
            <w:r>
              <w:rPr>
                <w:b/>
                <w:szCs w:val="20"/>
              </w:rPr>
              <w:t>污染源</w:t>
            </w:r>
          </w:p>
        </w:tc>
        <w:tc>
          <w:tcPr>
            <w:tcW w:w="1140" w:type="pct"/>
            <w:vAlign w:val="center"/>
          </w:tcPr>
          <w:p>
            <w:pPr>
              <w:jc w:val="center"/>
              <w:rPr>
                <w:b/>
                <w:szCs w:val="20"/>
              </w:rPr>
            </w:pPr>
            <w:r>
              <w:rPr>
                <w:b/>
                <w:szCs w:val="20"/>
              </w:rPr>
              <w:t>评价因子</w:t>
            </w:r>
          </w:p>
        </w:tc>
        <w:tc>
          <w:tcPr>
            <w:tcW w:w="487" w:type="pct"/>
            <w:vAlign w:val="center"/>
          </w:tcPr>
          <w:p>
            <w:pPr>
              <w:jc w:val="center"/>
              <w:rPr>
                <w:b/>
                <w:szCs w:val="20"/>
              </w:rPr>
            </w:pPr>
            <w:r>
              <w:rPr>
                <w:b/>
                <w:szCs w:val="20"/>
              </w:rPr>
              <w:t>离源距离m</w:t>
            </w:r>
          </w:p>
        </w:tc>
        <w:tc>
          <w:tcPr>
            <w:tcW w:w="814" w:type="pct"/>
            <w:vAlign w:val="center"/>
          </w:tcPr>
          <w:p>
            <w:pPr>
              <w:jc w:val="center"/>
              <w:rPr>
                <w:b/>
                <w:szCs w:val="20"/>
              </w:rPr>
            </w:pPr>
            <w:r>
              <w:rPr>
                <w:b/>
                <w:szCs w:val="20"/>
              </w:rPr>
              <w:t>最大落地浓度mg/m</w:t>
            </w:r>
            <w:r>
              <w:rPr>
                <w:b/>
                <w:szCs w:val="20"/>
                <w:vertAlign w:val="superscript"/>
              </w:rPr>
              <w:t>3</w:t>
            </w:r>
          </w:p>
        </w:tc>
        <w:tc>
          <w:tcPr>
            <w:tcW w:w="488" w:type="pct"/>
            <w:vAlign w:val="center"/>
          </w:tcPr>
          <w:p>
            <w:pPr>
              <w:jc w:val="center"/>
              <w:rPr>
                <w:b/>
                <w:szCs w:val="20"/>
              </w:rPr>
            </w:pPr>
            <w:r>
              <w:rPr>
                <w:b/>
                <w:szCs w:val="20"/>
              </w:rPr>
              <w:t>P</w:t>
            </w:r>
            <w:r>
              <w:rPr>
                <w:b/>
                <w:szCs w:val="20"/>
                <w:vertAlign w:val="subscript"/>
              </w:rPr>
              <w:t>max</w:t>
            </w:r>
            <w:r>
              <w:rPr>
                <w:b/>
                <w:szCs w:val="20"/>
              </w:rPr>
              <w:t>占标率%</w:t>
            </w:r>
          </w:p>
        </w:tc>
        <w:tc>
          <w:tcPr>
            <w:tcW w:w="522" w:type="pct"/>
            <w:vAlign w:val="center"/>
          </w:tcPr>
          <w:p>
            <w:pPr>
              <w:jc w:val="center"/>
              <w:rPr>
                <w:b/>
                <w:szCs w:val="24"/>
                <w:vertAlign w:val="subscript"/>
              </w:rPr>
            </w:pPr>
            <w:r>
              <w:rPr>
                <w:b/>
                <w:szCs w:val="20"/>
              </w:rPr>
              <w:t>D</w:t>
            </w:r>
            <w:r>
              <w:rPr>
                <w:b/>
                <w:szCs w:val="20"/>
                <w:vertAlign w:val="subscript"/>
              </w:rPr>
              <w:t>10%</w:t>
            </w:r>
          </w:p>
        </w:tc>
        <w:tc>
          <w:tcPr>
            <w:tcW w:w="578" w:type="pct"/>
            <w:vAlign w:val="center"/>
          </w:tcPr>
          <w:p>
            <w:pPr>
              <w:jc w:val="center"/>
              <w:rPr>
                <w:b/>
                <w:szCs w:val="24"/>
              </w:rPr>
            </w:pPr>
            <w:r>
              <w:rPr>
                <w:b/>
                <w:szCs w:val="20"/>
              </w:rPr>
              <w:t>评价等级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71" w:type="pct"/>
            <w:vMerge w:val="restart"/>
            <w:vAlign w:val="center"/>
          </w:tcPr>
          <w:p>
            <w:pPr>
              <w:contextualSpacing/>
              <w:jc w:val="center"/>
              <w:textAlignment w:val="baseline"/>
              <w:rPr>
                <w:szCs w:val="21"/>
              </w:rPr>
            </w:pPr>
            <w:r>
              <w:rPr>
                <w:rFonts w:hint="eastAsia"/>
                <w:szCs w:val="21"/>
              </w:rPr>
              <w:t>污水处理站</w:t>
            </w:r>
            <w:r>
              <w:rPr>
                <w:szCs w:val="21"/>
              </w:rPr>
              <w:t>排气筒P</w:t>
            </w:r>
          </w:p>
        </w:tc>
        <w:tc>
          <w:tcPr>
            <w:tcW w:w="1140" w:type="pct"/>
            <w:vAlign w:val="center"/>
          </w:tcPr>
          <w:p>
            <w:pPr>
              <w:jc w:val="center"/>
            </w:pPr>
            <w:r>
              <w:t>氨</w:t>
            </w:r>
          </w:p>
        </w:tc>
        <w:tc>
          <w:tcPr>
            <w:tcW w:w="487" w:type="pct"/>
            <w:vAlign w:val="center"/>
          </w:tcPr>
          <w:p>
            <w:pPr>
              <w:contextualSpacing/>
              <w:jc w:val="center"/>
              <w:textAlignment w:val="baseline"/>
              <w:rPr>
                <w:szCs w:val="24"/>
              </w:rPr>
            </w:pPr>
            <w:r>
              <w:rPr>
                <w:rFonts w:hint="eastAsia"/>
                <w:szCs w:val="24"/>
              </w:rPr>
              <w:t>2</w:t>
            </w:r>
            <w:r>
              <w:rPr>
                <w:szCs w:val="24"/>
              </w:rPr>
              <w:t>11</w:t>
            </w:r>
          </w:p>
        </w:tc>
        <w:tc>
          <w:tcPr>
            <w:tcW w:w="814" w:type="pct"/>
            <w:vAlign w:val="center"/>
          </w:tcPr>
          <w:p>
            <w:pPr>
              <w:contextualSpacing/>
              <w:jc w:val="center"/>
              <w:textAlignment w:val="baseline"/>
              <w:rPr>
                <w:szCs w:val="24"/>
              </w:rPr>
            </w:pPr>
            <w:r>
              <w:rPr>
                <w:szCs w:val="24"/>
              </w:rPr>
              <w:t>0.00112</w:t>
            </w:r>
          </w:p>
        </w:tc>
        <w:tc>
          <w:tcPr>
            <w:tcW w:w="488" w:type="pct"/>
            <w:vAlign w:val="center"/>
          </w:tcPr>
          <w:p>
            <w:pPr>
              <w:contextualSpacing/>
              <w:jc w:val="center"/>
              <w:textAlignment w:val="baseline"/>
              <w:rPr>
                <w:kern w:val="0"/>
                <w:szCs w:val="21"/>
              </w:rPr>
            </w:pPr>
            <w:r>
              <w:rPr>
                <w:kern w:val="0"/>
                <w:szCs w:val="21"/>
              </w:rPr>
              <w:t>0.56</w:t>
            </w:r>
          </w:p>
        </w:tc>
        <w:tc>
          <w:tcPr>
            <w:tcW w:w="522" w:type="pct"/>
            <w:vAlign w:val="center"/>
          </w:tcPr>
          <w:p>
            <w:pPr>
              <w:contextualSpacing/>
              <w:jc w:val="center"/>
              <w:textAlignment w:val="baseline"/>
              <w:rPr>
                <w:kern w:val="0"/>
                <w:szCs w:val="21"/>
              </w:rPr>
            </w:pPr>
            <w:r>
              <w:rPr>
                <w:kern w:val="0"/>
                <w:szCs w:val="21"/>
              </w:rPr>
              <w:t>未出现</w:t>
            </w:r>
          </w:p>
        </w:tc>
        <w:tc>
          <w:tcPr>
            <w:tcW w:w="578" w:type="pct"/>
            <w:vAlign w:val="center"/>
          </w:tcPr>
          <w:p>
            <w:pPr>
              <w:contextualSpacing/>
              <w:jc w:val="center"/>
              <w:textAlignment w:val="baseline"/>
              <w:rPr>
                <w:spacing w:val="-4"/>
                <w:kern w:val="0"/>
                <w:szCs w:val="21"/>
              </w:rPr>
            </w:pPr>
            <w:r>
              <w:rPr>
                <w:spacing w:val="-4"/>
                <w:kern w:val="0"/>
                <w:szCs w:val="21"/>
              </w:rPr>
              <w:t>三级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71" w:type="pct"/>
            <w:vMerge w:val="continue"/>
            <w:vAlign w:val="center"/>
          </w:tcPr>
          <w:p>
            <w:pPr>
              <w:contextualSpacing/>
              <w:jc w:val="center"/>
              <w:textAlignment w:val="baseline"/>
              <w:rPr>
                <w:szCs w:val="21"/>
              </w:rPr>
            </w:pPr>
          </w:p>
        </w:tc>
        <w:tc>
          <w:tcPr>
            <w:tcW w:w="1140" w:type="pct"/>
            <w:vAlign w:val="center"/>
          </w:tcPr>
          <w:p>
            <w:pPr>
              <w:jc w:val="center"/>
            </w:pPr>
            <w:r>
              <w:t>硫化氢</w:t>
            </w:r>
          </w:p>
        </w:tc>
        <w:tc>
          <w:tcPr>
            <w:tcW w:w="487" w:type="pct"/>
            <w:vAlign w:val="center"/>
          </w:tcPr>
          <w:p>
            <w:pPr>
              <w:contextualSpacing/>
              <w:jc w:val="center"/>
              <w:textAlignment w:val="baseline"/>
              <w:rPr>
                <w:szCs w:val="24"/>
              </w:rPr>
            </w:pPr>
            <w:r>
              <w:rPr>
                <w:rFonts w:hint="eastAsia"/>
                <w:szCs w:val="24"/>
              </w:rPr>
              <w:t>2</w:t>
            </w:r>
            <w:r>
              <w:rPr>
                <w:szCs w:val="24"/>
              </w:rPr>
              <w:t>11</w:t>
            </w:r>
          </w:p>
        </w:tc>
        <w:tc>
          <w:tcPr>
            <w:tcW w:w="814" w:type="pct"/>
            <w:vAlign w:val="center"/>
          </w:tcPr>
          <w:p>
            <w:pPr>
              <w:contextualSpacing/>
              <w:jc w:val="center"/>
              <w:textAlignment w:val="baseline"/>
              <w:rPr>
                <w:szCs w:val="24"/>
              </w:rPr>
            </w:pPr>
            <w:r>
              <w:rPr>
                <w:szCs w:val="24"/>
              </w:rPr>
              <w:t>4.64E-05</w:t>
            </w:r>
          </w:p>
        </w:tc>
        <w:tc>
          <w:tcPr>
            <w:tcW w:w="488" w:type="pct"/>
            <w:vAlign w:val="center"/>
          </w:tcPr>
          <w:p>
            <w:pPr>
              <w:contextualSpacing/>
              <w:jc w:val="center"/>
              <w:textAlignment w:val="baseline"/>
              <w:rPr>
                <w:kern w:val="0"/>
                <w:szCs w:val="21"/>
              </w:rPr>
            </w:pPr>
            <w:r>
              <w:rPr>
                <w:kern w:val="0"/>
                <w:szCs w:val="21"/>
              </w:rPr>
              <w:t>0.46</w:t>
            </w:r>
          </w:p>
        </w:tc>
        <w:tc>
          <w:tcPr>
            <w:tcW w:w="522" w:type="pct"/>
            <w:vAlign w:val="center"/>
          </w:tcPr>
          <w:p>
            <w:pPr>
              <w:contextualSpacing/>
              <w:jc w:val="center"/>
              <w:textAlignment w:val="baseline"/>
              <w:rPr>
                <w:kern w:val="0"/>
                <w:szCs w:val="21"/>
              </w:rPr>
            </w:pPr>
            <w:r>
              <w:rPr>
                <w:kern w:val="0"/>
                <w:szCs w:val="21"/>
              </w:rPr>
              <w:t>未出现</w:t>
            </w:r>
          </w:p>
        </w:tc>
        <w:tc>
          <w:tcPr>
            <w:tcW w:w="578" w:type="pct"/>
            <w:vAlign w:val="center"/>
          </w:tcPr>
          <w:p>
            <w:pPr>
              <w:contextualSpacing/>
              <w:jc w:val="center"/>
              <w:textAlignment w:val="baseline"/>
              <w:rPr>
                <w:spacing w:val="-4"/>
                <w:kern w:val="0"/>
                <w:szCs w:val="21"/>
              </w:rPr>
            </w:pPr>
            <w:r>
              <w:rPr>
                <w:spacing w:val="-4"/>
                <w:kern w:val="0"/>
                <w:szCs w:val="21"/>
              </w:rPr>
              <w:t>三级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71" w:type="pct"/>
            <w:vMerge w:val="restart"/>
            <w:vAlign w:val="center"/>
          </w:tcPr>
          <w:p>
            <w:pPr>
              <w:contextualSpacing/>
              <w:jc w:val="center"/>
              <w:textAlignment w:val="baseline"/>
              <w:rPr>
                <w:kern w:val="0"/>
                <w:szCs w:val="21"/>
              </w:rPr>
            </w:pPr>
            <w:r>
              <w:rPr>
                <w:kern w:val="0"/>
                <w:szCs w:val="21"/>
              </w:rPr>
              <w:t>面源</w:t>
            </w:r>
          </w:p>
          <w:p>
            <w:pPr>
              <w:contextualSpacing/>
              <w:jc w:val="center"/>
              <w:textAlignment w:val="baseline"/>
              <w:rPr>
                <w:kern w:val="0"/>
                <w:szCs w:val="21"/>
              </w:rPr>
            </w:pPr>
            <w:r>
              <w:rPr>
                <w:kern w:val="0"/>
                <w:szCs w:val="21"/>
              </w:rPr>
              <w:t>（污水处理站）</w:t>
            </w:r>
          </w:p>
        </w:tc>
        <w:tc>
          <w:tcPr>
            <w:tcW w:w="1140" w:type="pct"/>
            <w:vAlign w:val="center"/>
          </w:tcPr>
          <w:p>
            <w:pPr>
              <w:jc w:val="center"/>
            </w:pPr>
            <w:r>
              <w:t>NH</w:t>
            </w:r>
            <w:r>
              <w:rPr>
                <w:vertAlign w:val="subscript"/>
              </w:rPr>
              <w:t>3</w:t>
            </w:r>
          </w:p>
        </w:tc>
        <w:tc>
          <w:tcPr>
            <w:tcW w:w="487" w:type="pct"/>
            <w:vAlign w:val="center"/>
          </w:tcPr>
          <w:p>
            <w:pPr>
              <w:contextualSpacing/>
              <w:jc w:val="center"/>
              <w:textAlignment w:val="baseline"/>
              <w:rPr>
                <w:szCs w:val="24"/>
              </w:rPr>
            </w:pPr>
            <w:r>
              <w:rPr>
                <w:szCs w:val="24"/>
              </w:rPr>
              <w:t>78</w:t>
            </w:r>
          </w:p>
        </w:tc>
        <w:tc>
          <w:tcPr>
            <w:tcW w:w="814" w:type="pct"/>
            <w:vAlign w:val="center"/>
          </w:tcPr>
          <w:p>
            <w:pPr>
              <w:contextualSpacing/>
              <w:jc w:val="center"/>
              <w:textAlignment w:val="baseline"/>
              <w:rPr>
                <w:szCs w:val="24"/>
              </w:rPr>
            </w:pPr>
            <w:r>
              <w:rPr>
                <w:szCs w:val="24"/>
              </w:rPr>
              <w:t>0.0121</w:t>
            </w:r>
          </w:p>
        </w:tc>
        <w:tc>
          <w:tcPr>
            <w:tcW w:w="488" w:type="pct"/>
            <w:vAlign w:val="center"/>
          </w:tcPr>
          <w:p>
            <w:pPr>
              <w:contextualSpacing/>
              <w:jc w:val="center"/>
              <w:textAlignment w:val="baseline"/>
              <w:rPr>
                <w:kern w:val="0"/>
                <w:szCs w:val="21"/>
              </w:rPr>
            </w:pPr>
            <w:r>
              <w:rPr>
                <w:kern w:val="0"/>
                <w:szCs w:val="21"/>
              </w:rPr>
              <w:t>0.4</w:t>
            </w:r>
          </w:p>
        </w:tc>
        <w:tc>
          <w:tcPr>
            <w:tcW w:w="522" w:type="pct"/>
            <w:vAlign w:val="center"/>
          </w:tcPr>
          <w:p>
            <w:pPr>
              <w:contextualSpacing/>
              <w:jc w:val="center"/>
              <w:textAlignment w:val="baseline"/>
              <w:rPr>
                <w:kern w:val="0"/>
                <w:szCs w:val="21"/>
              </w:rPr>
            </w:pPr>
            <w:r>
              <w:rPr>
                <w:kern w:val="0"/>
                <w:szCs w:val="21"/>
              </w:rPr>
              <w:t>未出现</w:t>
            </w:r>
          </w:p>
        </w:tc>
        <w:tc>
          <w:tcPr>
            <w:tcW w:w="578" w:type="pct"/>
            <w:vAlign w:val="center"/>
          </w:tcPr>
          <w:p>
            <w:pPr>
              <w:contextualSpacing/>
              <w:jc w:val="center"/>
              <w:textAlignment w:val="baseline"/>
              <w:rPr>
                <w:spacing w:val="-4"/>
                <w:kern w:val="0"/>
                <w:szCs w:val="21"/>
              </w:rPr>
            </w:pPr>
            <w:r>
              <w:rPr>
                <w:rFonts w:hint="eastAsia"/>
                <w:spacing w:val="-4"/>
                <w:kern w:val="0"/>
                <w:szCs w:val="21"/>
              </w:rPr>
              <w:t>三</w:t>
            </w:r>
            <w:r>
              <w:rPr>
                <w:spacing w:val="-4"/>
                <w:kern w:val="0"/>
                <w:szCs w:val="21"/>
              </w:rPr>
              <w:t>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71" w:type="pct"/>
            <w:vMerge w:val="continue"/>
            <w:vAlign w:val="center"/>
          </w:tcPr>
          <w:p>
            <w:pPr>
              <w:contextualSpacing/>
              <w:jc w:val="center"/>
              <w:textAlignment w:val="baseline"/>
              <w:rPr>
                <w:kern w:val="0"/>
                <w:szCs w:val="21"/>
              </w:rPr>
            </w:pPr>
          </w:p>
        </w:tc>
        <w:tc>
          <w:tcPr>
            <w:tcW w:w="1140" w:type="pct"/>
            <w:vAlign w:val="center"/>
          </w:tcPr>
          <w:p>
            <w:pPr>
              <w:jc w:val="center"/>
            </w:pPr>
            <w:r>
              <w:t>H</w:t>
            </w:r>
            <w:r>
              <w:rPr>
                <w:vertAlign w:val="subscript"/>
              </w:rPr>
              <w:t>2</w:t>
            </w:r>
            <w:r>
              <w:t>S</w:t>
            </w:r>
          </w:p>
        </w:tc>
        <w:tc>
          <w:tcPr>
            <w:tcW w:w="487" w:type="pct"/>
            <w:vAlign w:val="center"/>
          </w:tcPr>
          <w:p>
            <w:pPr>
              <w:contextualSpacing/>
              <w:jc w:val="center"/>
              <w:textAlignment w:val="baseline"/>
              <w:rPr>
                <w:szCs w:val="24"/>
              </w:rPr>
            </w:pPr>
            <w:r>
              <w:rPr>
                <w:szCs w:val="24"/>
              </w:rPr>
              <w:t>78</w:t>
            </w:r>
          </w:p>
        </w:tc>
        <w:tc>
          <w:tcPr>
            <w:tcW w:w="814" w:type="pct"/>
            <w:vAlign w:val="center"/>
          </w:tcPr>
          <w:p>
            <w:pPr>
              <w:contextualSpacing/>
              <w:jc w:val="center"/>
              <w:textAlignment w:val="baseline"/>
              <w:rPr>
                <w:szCs w:val="24"/>
              </w:rPr>
            </w:pPr>
            <w:r>
              <w:rPr>
                <w:szCs w:val="24"/>
              </w:rPr>
              <w:t>3.98E-04</w:t>
            </w:r>
          </w:p>
        </w:tc>
        <w:tc>
          <w:tcPr>
            <w:tcW w:w="488" w:type="pct"/>
            <w:vAlign w:val="center"/>
          </w:tcPr>
          <w:p>
            <w:pPr>
              <w:contextualSpacing/>
              <w:jc w:val="center"/>
              <w:textAlignment w:val="baseline"/>
              <w:rPr>
                <w:kern w:val="0"/>
                <w:szCs w:val="21"/>
              </w:rPr>
            </w:pPr>
            <w:r>
              <w:rPr>
                <w:kern w:val="0"/>
                <w:szCs w:val="21"/>
              </w:rPr>
              <w:t>3.98</w:t>
            </w:r>
          </w:p>
        </w:tc>
        <w:tc>
          <w:tcPr>
            <w:tcW w:w="522" w:type="pct"/>
            <w:vAlign w:val="center"/>
          </w:tcPr>
          <w:p>
            <w:pPr>
              <w:contextualSpacing/>
              <w:jc w:val="center"/>
              <w:textAlignment w:val="baseline"/>
              <w:rPr>
                <w:kern w:val="0"/>
                <w:szCs w:val="21"/>
              </w:rPr>
            </w:pPr>
            <w:r>
              <w:rPr>
                <w:kern w:val="0"/>
                <w:szCs w:val="21"/>
              </w:rPr>
              <w:t>未出现</w:t>
            </w:r>
          </w:p>
        </w:tc>
        <w:tc>
          <w:tcPr>
            <w:tcW w:w="578" w:type="pct"/>
            <w:vAlign w:val="center"/>
          </w:tcPr>
          <w:p>
            <w:pPr>
              <w:contextualSpacing/>
              <w:jc w:val="center"/>
              <w:textAlignment w:val="baseline"/>
              <w:rPr>
                <w:spacing w:val="-4"/>
                <w:kern w:val="0"/>
                <w:szCs w:val="21"/>
              </w:rPr>
            </w:pPr>
            <w:r>
              <w:rPr>
                <w:spacing w:val="-4"/>
                <w:kern w:val="0"/>
                <w:szCs w:val="21"/>
              </w:rPr>
              <w:t>二级</w:t>
            </w:r>
          </w:p>
        </w:tc>
      </w:tr>
    </w:tbl>
    <w:p>
      <w:pPr>
        <w:spacing w:line="520" w:lineRule="exact"/>
        <w:ind w:firstLine="464" w:firstLineChars="200"/>
        <w:rPr>
          <w:sz w:val="24"/>
          <w:szCs w:val="24"/>
          <w:lang w:val="zh-CN"/>
        </w:rPr>
      </w:pPr>
      <w:r>
        <w:rPr>
          <w:spacing w:val="-4"/>
          <w:sz w:val="24"/>
          <w:szCs w:val="24"/>
        </w:rPr>
        <w:t>根据上表的计算结果可知，</w:t>
      </w:r>
      <w:r>
        <w:rPr>
          <w:sz w:val="24"/>
          <w:szCs w:val="24"/>
        </w:rPr>
        <w:t>本项目</w:t>
      </w:r>
      <w:r>
        <w:rPr>
          <w:rFonts w:hint="eastAsia"/>
          <w:sz w:val="24"/>
          <w:szCs w:val="24"/>
        </w:rPr>
        <w:t>点源中P氨</w:t>
      </w:r>
      <w:r>
        <w:rPr>
          <w:sz w:val="24"/>
          <w:szCs w:val="24"/>
        </w:rPr>
        <w:t>的最大地面浓度占标率P</w:t>
      </w:r>
      <w:r>
        <w:rPr>
          <w:sz w:val="24"/>
          <w:szCs w:val="24"/>
          <w:vertAlign w:val="subscript"/>
        </w:rPr>
        <w:t>max</w:t>
      </w:r>
      <w:r>
        <w:rPr>
          <w:sz w:val="24"/>
          <w:szCs w:val="24"/>
        </w:rPr>
        <w:t>=0.56</w:t>
      </w:r>
      <w:r>
        <w:rPr>
          <w:rFonts w:hint="eastAsia"/>
          <w:spacing w:val="-4"/>
          <w:sz w:val="24"/>
          <w:szCs w:val="24"/>
        </w:rPr>
        <w:t>＜</w:t>
      </w:r>
      <w:r>
        <w:rPr>
          <w:spacing w:val="-4"/>
          <w:sz w:val="24"/>
          <w:szCs w:val="24"/>
        </w:rPr>
        <w:t>1%</w:t>
      </w:r>
      <w:r>
        <w:rPr>
          <w:rFonts w:hint="eastAsia"/>
          <w:spacing w:val="-4"/>
          <w:sz w:val="24"/>
          <w:szCs w:val="24"/>
        </w:rPr>
        <w:t>，</w:t>
      </w:r>
      <w:r>
        <w:rPr>
          <w:rFonts w:hint="eastAsia"/>
          <w:sz w:val="24"/>
          <w:szCs w:val="24"/>
        </w:rPr>
        <w:t>硫化氢</w:t>
      </w:r>
      <w:r>
        <w:rPr>
          <w:sz w:val="24"/>
          <w:szCs w:val="24"/>
        </w:rPr>
        <w:t>的最大地面浓度占标率P</w:t>
      </w:r>
      <w:r>
        <w:rPr>
          <w:sz w:val="24"/>
          <w:szCs w:val="24"/>
          <w:vertAlign w:val="subscript"/>
        </w:rPr>
        <w:t>max</w:t>
      </w:r>
      <w:r>
        <w:rPr>
          <w:sz w:val="24"/>
          <w:szCs w:val="24"/>
        </w:rPr>
        <w:t>=0.46</w:t>
      </w:r>
      <w:r>
        <w:rPr>
          <w:rFonts w:hint="eastAsia"/>
          <w:spacing w:val="-4"/>
          <w:sz w:val="24"/>
          <w:szCs w:val="24"/>
        </w:rPr>
        <w:t>＜</w:t>
      </w:r>
      <w:r>
        <w:rPr>
          <w:spacing w:val="-4"/>
          <w:sz w:val="24"/>
          <w:szCs w:val="24"/>
        </w:rPr>
        <w:t>1%</w:t>
      </w:r>
      <w:r>
        <w:rPr>
          <w:rFonts w:hint="eastAsia"/>
          <w:spacing w:val="-4"/>
          <w:sz w:val="24"/>
          <w:szCs w:val="24"/>
        </w:rPr>
        <w:t>；面源中氨</w:t>
      </w:r>
      <w:r>
        <w:rPr>
          <w:sz w:val="24"/>
          <w:szCs w:val="24"/>
        </w:rPr>
        <w:t>的最大地面浓度占标率</w:t>
      </w:r>
      <w:r>
        <w:rPr>
          <w:rFonts w:hint="eastAsia"/>
          <w:bCs/>
          <w:sz w:val="24"/>
          <w:szCs w:val="24"/>
        </w:rPr>
        <w:t>1%＜</w:t>
      </w:r>
      <w:r>
        <w:rPr>
          <w:sz w:val="24"/>
          <w:szCs w:val="24"/>
        </w:rPr>
        <w:t>P</w:t>
      </w:r>
      <w:r>
        <w:rPr>
          <w:sz w:val="24"/>
          <w:szCs w:val="24"/>
          <w:vertAlign w:val="subscript"/>
        </w:rPr>
        <w:t>max</w:t>
      </w:r>
      <w:r>
        <w:rPr>
          <w:sz w:val="24"/>
          <w:szCs w:val="24"/>
        </w:rPr>
        <w:t>=6.07</w:t>
      </w:r>
      <w:r>
        <w:rPr>
          <w:rFonts w:hint="eastAsia"/>
          <w:spacing w:val="-4"/>
          <w:sz w:val="24"/>
          <w:szCs w:val="24"/>
        </w:rPr>
        <w:t>＜</w:t>
      </w:r>
      <w:r>
        <w:rPr>
          <w:spacing w:val="-4"/>
          <w:sz w:val="24"/>
          <w:szCs w:val="24"/>
        </w:rPr>
        <w:t>10%</w:t>
      </w:r>
      <w:r>
        <w:rPr>
          <w:rFonts w:hint="eastAsia"/>
          <w:spacing w:val="-4"/>
          <w:sz w:val="24"/>
          <w:szCs w:val="24"/>
        </w:rPr>
        <w:t>，硫化氢</w:t>
      </w:r>
      <w:r>
        <w:rPr>
          <w:sz w:val="24"/>
          <w:szCs w:val="24"/>
        </w:rPr>
        <w:t>的最大地面浓度占标率</w:t>
      </w:r>
      <w:r>
        <w:rPr>
          <w:rFonts w:hint="eastAsia"/>
          <w:bCs/>
          <w:sz w:val="24"/>
          <w:szCs w:val="24"/>
        </w:rPr>
        <w:t>1%＜</w:t>
      </w:r>
      <w:r>
        <w:rPr>
          <w:sz w:val="24"/>
          <w:szCs w:val="24"/>
        </w:rPr>
        <w:t>P</w:t>
      </w:r>
      <w:r>
        <w:rPr>
          <w:sz w:val="24"/>
          <w:szCs w:val="24"/>
          <w:vertAlign w:val="subscript"/>
        </w:rPr>
        <w:t>max</w:t>
      </w:r>
      <w:r>
        <w:rPr>
          <w:sz w:val="24"/>
          <w:szCs w:val="24"/>
        </w:rPr>
        <w:t>=3.98</w:t>
      </w:r>
      <w:r>
        <w:rPr>
          <w:rFonts w:hint="eastAsia"/>
          <w:spacing w:val="-4"/>
          <w:sz w:val="24"/>
          <w:szCs w:val="24"/>
        </w:rPr>
        <w:t>＜</w:t>
      </w:r>
      <w:r>
        <w:rPr>
          <w:spacing w:val="-4"/>
          <w:sz w:val="24"/>
          <w:szCs w:val="24"/>
        </w:rPr>
        <w:t>10%。</w:t>
      </w:r>
      <w:r>
        <w:rPr>
          <w:sz w:val="24"/>
          <w:szCs w:val="24"/>
        </w:rPr>
        <w:t>根据《环境影响评价技术导则大气环境》（HJ2.2-2018）规定，</w:t>
      </w:r>
      <w:r>
        <w:rPr>
          <w:spacing w:val="-4"/>
          <w:sz w:val="24"/>
          <w:szCs w:val="24"/>
        </w:rPr>
        <w:t>确定该项目的评价等级为</w:t>
      </w:r>
      <w:r>
        <w:rPr>
          <w:rFonts w:hint="eastAsia"/>
          <w:spacing w:val="-4"/>
          <w:sz w:val="24"/>
          <w:szCs w:val="24"/>
        </w:rPr>
        <w:t>二</w:t>
      </w:r>
      <w:r>
        <w:rPr>
          <w:spacing w:val="-4"/>
          <w:sz w:val="24"/>
          <w:szCs w:val="24"/>
        </w:rPr>
        <w:t>级。</w:t>
      </w:r>
    </w:p>
    <w:p>
      <w:pPr>
        <w:spacing w:line="520" w:lineRule="exact"/>
        <w:ind w:firstLine="480" w:firstLineChars="200"/>
        <w:outlineLvl w:val="3"/>
        <w:rPr>
          <w:sz w:val="24"/>
        </w:rPr>
      </w:pPr>
      <w:r>
        <w:rPr>
          <w:sz w:val="24"/>
        </w:rPr>
        <w:t>（2）地表水环境评价工作等级</w:t>
      </w:r>
    </w:p>
    <w:p>
      <w:pPr>
        <w:spacing w:line="520" w:lineRule="exact"/>
        <w:ind w:firstLine="480" w:firstLineChars="200"/>
        <w:rPr>
          <w:sz w:val="24"/>
          <w:highlight w:val="yellow"/>
        </w:rPr>
      </w:pPr>
      <w:bookmarkStart w:id="35" w:name="_Toc246148868"/>
      <w:bookmarkStart w:id="36" w:name="_Toc244488346"/>
      <w:bookmarkStart w:id="37" w:name="_Toc205025041"/>
      <w:bookmarkStart w:id="38" w:name="_Toc244319983"/>
      <w:bookmarkStart w:id="39" w:name="_Toc254593610"/>
      <w:r>
        <w:rPr>
          <w:sz w:val="24"/>
        </w:rPr>
        <w:t>本项目属于水污染影响型建设项目，根据《环境影响评价技术导则-地表水环境》（HJ2.3-2018），水污染影响型建设项目根据排放方式和废水排放量划分评价等级，判定依据见表2.6-3。本项目属于水污染影响型建设项目，本项目</w:t>
      </w:r>
      <w:r>
        <w:rPr>
          <w:rFonts w:hint="eastAsia"/>
          <w:sz w:val="24"/>
        </w:rPr>
        <w:t>生产</w:t>
      </w:r>
      <w:r>
        <w:rPr>
          <w:sz w:val="24"/>
        </w:rPr>
        <w:t>废水经</w:t>
      </w:r>
      <w:r>
        <w:rPr>
          <w:rFonts w:hint="eastAsia"/>
          <w:sz w:val="24"/>
        </w:rPr>
        <w:t>厂内</w:t>
      </w:r>
      <w:r>
        <w:rPr>
          <w:sz w:val="24"/>
        </w:rPr>
        <w:t>污水处理站处理进入</w:t>
      </w:r>
      <w:r>
        <w:rPr>
          <w:rFonts w:hint="eastAsia"/>
          <w:sz w:val="24"/>
        </w:rPr>
        <w:t>原阳县产业集聚区</w:t>
      </w:r>
      <w:r>
        <w:rPr>
          <w:sz w:val="24"/>
        </w:rPr>
        <w:t>污水处理厂进行二次处理，</w:t>
      </w:r>
      <w:r>
        <w:rPr>
          <w:bCs/>
          <w:sz w:val="24"/>
        </w:rPr>
        <w:t>处理后排入东关排渠，汇入文岩干渠</w:t>
      </w:r>
      <w:r>
        <w:rPr>
          <w:rFonts w:hint="eastAsia"/>
          <w:bCs/>
          <w:sz w:val="24"/>
        </w:rPr>
        <w:t>，</w:t>
      </w:r>
      <w:r>
        <w:rPr>
          <w:sz w:val="24"/>
        </w:rPr>
        <w:t>属于间接排放，因此确定本项目地表水评价等级为三级B。</w:t>
      </w:r>
    </w:p>
    <w:p>
      <w:pPr>
        <w:spacing w:line="520" w:lineRule="exact"/>
        <w:ind w:firstLine="480" w:firstLineChars="200"/>
        <w:rPr>
          <w:rFonts w:eastAsia="黑体"/>
          <w:sz w:val="24"/>
          <w:szCs w:val="24"/>
        </w:rPr>
      </w:pPr>
      <w:r>
        <w:rPr>
          <w:rFonts w:eastAsia="黑体"/>
          <w:sz w:val="24"/>
          <w:szCs w:val="24"/>
        </w:rPr>
        <w:t>表2.6-3              地表水环境影响评价级别判定表</w:t>
      </w:r>
    </w:p>
    <w:bookmarkEnd w:id="35"/>
    <w:bookmarkEnd w:id="36"/>
    <w:bookmarkEnd w:id="37"/>
    <w:bookmarkEnd w:id="38"/>
    <w:bookmarkEnd w:id="39"/>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267"/>
        <w:gridCol w:w="4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8" w:type="pct"/>
            <w:vMerge w:val="restar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评价等级</w:t>
            </w:r>
          </w:p>
        </w:tc>
        <w:tc>
          <w:tcPr>
            <w:tcW w:w="3672" w:type="pct"/>
            <w:gridSpan w:val="2"/>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8"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szCs w:val="21"/>
              </w:rPr>
            </w:pPr>
          </w:p>
        </w:tc>
        <w:tc>
          <w:tcPr>
            <w:tcW w:w="1267"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排放方式</w:t>
            </w:r>
          </w:p>
        </w:tc>
        <w:tc>
          <w:tcPr>
            <w:tcW w:w="2405"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废水排放量Q/（m</w:t>
            </w:r>
            <w:r>
              <w:rPr>
                <w:b/>
                <w:bCs/>
                <w:szCs w:val="21"/>
                <w:vertAlign w:val="superscript"/>
              </w:rPr>
              <w:t>3</w:t>
            </w:r>
            <w:r>
              <w:rPr>
                <w:b/>
                <w:bCs/>
                <w:szCs w:val="21"/>
              </w:rPr>
              <w:t>/d）；</w:t>
            </w:r>
          </w:p>
          <w:p>
            <w:pPr>
              <w:jc w:val="center"/>
              <w:rPr>
                <w:b/>
                <w:bCs/>
                <w:szCs w:val="21"/>
              </w:rPr>
            </w:pPr>
            <w:r>
              <w:rPr>
                <w:b/>
                <w:bCs/>
                <w:szCs w:val="21"/>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一级</w:t>
            </w:r>
          </w:p>
        </w:tc>
        <w:tc>
          <w:tcPr>
            <w:tcW w:w="12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直接排放</w:t>
            </w:r>
          </w:p>
        </w:tc>
        <w:tc>
          <w:tcPr>
            <w:tcW w:w="240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二级</w:t>
            </w:r>
          </w:p>
        </w:tc>
        <w:tc>
          <w:tcPr>
            <w:tcW w:w="12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直接排放</w:t>
            </w:r>
          </w:p>
        </w:tc>
        <w:tc>
          <w:tcPr>
            <w:tcW w:w="240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三级A</w:t>
            </w:r>
          </w:p>
        </w:tc>
        <w:tc>
          <w:tcPr>
            <w:tcW w:w="12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直接排放</w:t>
            </w:r>
          </w:p>
        </w:tc>
        <w:tc>
          <w:tcPr>
            <w:tcW w:w="240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三级B</w:t>
            </w:r>
          </w:p>
        </w:tc>
        <w:tc>
          <w:tcPr>
            <w:tcW w:w="12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间接排放</w:t>
            </w:r>
          </w:p>
        </w:tc>
        <w:tc>
          <w:tcPr>
            <w:tcW w:w="240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8" w:type="pct"/>
            <w:tcBorders>
              <w:top w:val="single" w:color="auto" w:sz="4" w:space="0"/>
              <w:left w:val="single" w:color="auto" w:sz="4" w:space="0"/>
              <w:bottom w:val="single" w:color="auto" w:sz="4" w:space="0"/>
              <w:right w:val="single" w:color="auto" w:sz="4" w:space="0"/>
            </w:tcBorders>
            <w:vAlign w:val="center"/>
          </w:tcPr>
          <w:p>
            <w:pPr>
              <w:tabs>
                <w:tab w:val="left" w:pos="2010"/>
              </w:tabs>
              <w:adjustRightInd w:val="0"/>
              <w:jc w:val="center"/>
              <w:rPr>
                <w:bCs/>
                <w:szCs w:val="21"/>
              </w:rPr>
            </w:pPr>
            <w:r>
              <w:rPr>
                <w:bCs/>
                <w:szCs w:val="21"/>
              </w:rPr>
              <w:t>本项目评价级别</w:t>
            </w:r>
          </w:p>
        </w:tc>
        <w:tc>
          <w:tcPr>
            <w:tcW w:w="3672" w:type="pct"/>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bCs/>
                <w:szCs w:val="21"/>
              </w:rPr>
            </w:pPr>
            <w:r>
              <w:rPr>
                <w:bCs/>
                <w:szCs w:val="21"/>
              </w:rPr>
              <w:t>本项目废水间接排放，因此评价等级为三级B</w:t>
            </w:r>
          </w:p>
        </w:tc>
      </w:tr>
    </w:tbl>
    <w:p>
      <w:pPr>
        <w:spacing w:line="520" w:lineRule="exact"/>
        <w:ind w:firstLine="480" w:firstLineChars="200"/>
        <w:outlineLvl w:val="3"/>
        <w:rPr>
          <w:sz w:val="24"/>
        </w:rPr>
      </w:pPr>
      <w:r>
        <w:rPr>
          <w:sz w:val="24"/>
        </w:rPr>
        <w:t>（3）地下水环境评价工作等级</w:t>
      </w:r>
    </w:p>
    <w:p>
      <w:pPr>
        <w:spacing w:line="520" w:lineRule="exact"/>
        <w:ind w:firstLine="480" w:firstLineChars="200"/>
        <w:rPr>
          <w:sz w:val="24"/>
        </w:rPr>
      </w:pPr>
      <w:r>
        <w:rPr>
          <w:sz w:val="24"/>
        </w:rPr>
        <w:t>根据《环境影响评价技术导则-地下水环境》（HJ610-2016），评价工作等级划分应依据建设项目行业分类和地下水环境敏感程度分级进行判定，确定本项目地下水环境评价等级如下。</w:t>
      </w:r>
    </w:p>
    <w:p>
      <w:pPr>
        <w:numPr>
          <w:ilvl w:val="0"/>
          <w:numId w:val="6"/>
        </w:numPr>
        <w:spacing w:line="520" w:lineRule="exact"/>
        <w:jc w:val="left"/>
        <w:rPr>
          <w:sz w:val="24"/>
        </w:rPr>
      </w:pPr>
      <w:r>
        <w:rPr>
          <w:sz w:val="24"/>
        </w:rPr>
        <w:t>建设项目行业分类</w:t>
      </w:r>
    </w:p>
    <w:p>
      <w:pPr>
        <w:spacing w:line="520" w:lineRule="exact"/>
        <w:ind w:firstLine="480" w:firstLineChars="200"/>
        <w:rPr>
          <w:sz w:val="24"/>
        </w:rPr>
      </w:pPr>
      <w:r>
        <w:rPr>
          <w:sz w:val="24"/>
        </w:rPr>
        <w:t>本项目主要新建车间厂房</w:t>
      </w:r>
      <w:r>
        <w:rPr>
          <w:rFonts w:hint="eastAsia"/>
          <w:sz w:val="24"/>
        </w:rPr>
        <w:t>、</w:t>
      </w:r>
      <w:r>
        <w:rPr>
          <w:sz w:val="24"/>
        </w:rPr>
        <w:t>污水处理站及其附属设施。根据《环境影响评价技术导则-地下水环境》（HJ610-2016）附录A，车间厂房属于“U城镇基础设施及房地产”“156房地产开发、宾馆、酒店、办公用房等”中的“建筑面积5万平方米及以上的”编制环境影响评价报告表项目，属于Ⅳ类建设项目；污水处理站属于“U城镇基础设施及房地产”“145工业废水集中处理”中的“全部”编制环境影响评价报告书项目，属于I类建设项目。综上，本项目属于I类建设项目。</w:t>
      </w:r>
    </w:p>
    <w:p>
      <w:pPr>
        <w:numPr>
          <w:ilvl w:val="0"/>
          <w:numId w:val="6"/>
        </w:numPr>
        <w:spacing w:line="520" w:lineRule="exact"/>
        <w:jc w:val="left"/>
        <w:rPr>
          <w:sz w:val="24"/>
        </w:rPr>
      </w:pPr>
      <w:r>
        <w:rPr>
          <w:sz w:val="24"/>
        </w:rPr>
        <w:t>地下水环境敏感程度</w:t>
      </w:r>
    </w:p>
    <w:p>
      <w:pPr>
        <w:spacing w:line="520" w:lineRule="exact"/>
        <w:ind w:firstLine="480" w:firstLineChars="200"/>
        <w:jc w:val="left"/>
        <w:rPr>
          <w:sz w:val="24"/>
        </w:rPr>
      </w:pPr>
      <w:r>
        <w:rPr>
          <w:sz w:val="24"/>
        </w:rPr>
        <w:t>地下水环境敏感程度分级见表2.6-4。</w:t>
      </w:r>
    </w:p>
    <w:p>
      <w:pPr>
        <w:spacing w:line="460" w:lineRule="exact"/>
        <w:ind w:firstLine="480" w:firstLineChars="200"/>
        <w:rPr>
          <w:rFonts w:eastAsia="黑体"/>
          <w:sz w:val="24"/>
          <w:szCs w:val="24"/>
        </w:rPr>
      </w:pPr>
      <w:r>
        <w:rPr>
          <w:rFonts w:eastAsia="黑体"/>
          <w:sz w:val="24"/>
          <w:szCs w:val="24"/>
        </w:rPr>
        <w:t>表2.6-4               地下水环境敏感程度分级表</w:t>
      </w:r>
    </w:p>
    <w:tbl>
      <w:tblPr>
        <w:tblStyle w:val="4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88"/>
        <w:gridCol w:w="77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664" w:type="pct"/>
            <w:tcBorders>
              <w:top w:val="single" w:color="auto" w:sz="6" w:space="0"/>
              <w:left w:val="single" w:color="auto" w:sz="6" w:space="0"/>
              <w:bottom w:val="single" w:color="auto" w:sz="6" w:space="0"/>
              <w:right w:val="single" w:color="auto" w:sz="6" w:space="0"/>
            </w:tcBorders>
            <w:vAlign w:val="center"/>
          </w:tcPr>
          <w:p>
            <w:pPr>
              <w:jc w:val="center"/>
              <w:rPr>
                <w:b/>
                <w:szCs w:val="21"/>
              </w:rPr>
            </w:pPr>
            <w:r>
              <w:rPr>
                <w:b/>
                <w:szCs w:val="21"/>
              </w:rPr>
              <w:t>敏感程度</w:t>
            </w:r>
          </w:p>
        </w:tc>
        <w:tc>
          <w:tcPr>
            <w:tcW w:w="4336" w:type="pct"/>
            <w:tcBorders>
              <w:top w:val="single" w:color="auto" w:sz="6" w:space="0"/>
              <w:left w:val="single" w:color="auto" w:sz="6" w:space="0"/>
              <w:bottom w:val="single" w:color="auto" w:sz="6" w:space="0"/>
              <w:right w:val="single" w:color="auto" w:sz="6" w:space="0"/>
            </w:tcBorders>
            <w:vAlign w:val="center"/>
          </w:tcPr>
          <w:p>
            <w:pPr>
              <w:jc w:val="center"/>
              <w:rPr>
                <w:b/>
                <w:szCs w:val="21"/>
              </w:rPr>
            </w:pPr>
            <w:r>
              <w:rPr>
                <w:b/>
                <w:szCs w:val="21"/>
              </w:rPr>
              <w:t>地下水环境敏感特征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664"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敏感</w:t>
            </w:r>
          </w:p>
        </w:tc>
        <w:tc>
          <w:tcPr>
            <w:tcW w:w="4336"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集中式饮用水水源（包括已建成的在用、备用、应急水源，在建和规划的饮用水水源）准保护区；除集中式饮用水水源以外的国家或地方政府设定的与地下水环境相关其它保护区，如热水、矿泉水、温泉等特殊地下水资源保护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664"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较敏感</w:t>
            </w:r>
          </w:p>
        </w:tc>
        <w:tc>
          <w:tcPr>
            <w:tcW w:w="4336"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bCs/>
                <w:szCs w:val="21"/>
                <w:vertAlign w:val="superscript"/>
              </w:rPr>
              <w:t>a</w:t>
            </w:r>
            <w:r>
              <w:rPr>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664"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不敏感</w:t>
            </w:r>
          </w:p>
        </w:tc>
        <w:tc>
          <w:tcPr>
            <w:tcW w:w="4336"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上述地区之外的其它地区。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5000" w:type="pct"/>
            <w:gridSpan w:val="2"/>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注：a“环境敏感区”是指《建设项目环境影响评价分类管理名录》中所界定的涉及地下水的环境敏感区。</w:t>
            </w:r>
          </w:p>
        </w:tc>
      </w:tr>
    </w:tbl>
    <w:p>
      <w:pPr>
        <w:spacing w:line="520" w:lineRule="exact"/>
        <w:ind w:firstLine="480" w:firstLineChars="200"/>
        <w:jc w:val="left"/>
        <w:rPr>
          <w:sz w:val="24"/>
        </w:rPr>
      </w:pPr>
      <w:r>
        <w:rPr>
          <w:sz w:val="24"/>
        </w:rPr>
        <w:t>经查阅《河南省人民政府办公厅关于印发河南省城市集中式饮用水源保护区划的通知》（豫政办〔2007〕125号）、《河南省人民政府办公厅关于印发河南省县级集中式饮用水水源保护区划的通知》（豫政办〔2013〕107号）及《河南省人民政府办公厅关于印发河南省乡镇集中式饮用水水源保护区划的通知》（豫政办〔2016〕23号）等文件，本项目</w:t>
      </w:r>
      <w:r>
        <w:rPr>
          <w:rFonts w:hint="eastAsia"/>
          <w:sz w:val="24"/>
        </w:rPr>
        <w:t>评价区域内存在</w:t>
      </w:r>
      <w:r>
        <w:rPr>
          <w:sz w:val="24"/>
        </w:rPr>
        <w:t>集中式饮用水源地保护区</w:t>
      </w:r>
      <w:r>
        <w:rPr>
          <w:rFonts w:hint="eastAsia"/>
          <w:sz w:val="24"/>
        </w:rPr>
        <w:t>-原阳县水厂地下水井群，故本</w:t>
      </w:r>
      <w:r>
        <w:rPr>
          <w:sz w:val="24"/>
        </w:rPr>
        <w:t>项目地下水敏感程度为“敏感”。</w:t>
      </w:r>
    </w:p>
    <w:p>
      <w:pPr>
        <w:numPr>
          <w:ilvl w:val="0"/>
          <w:numId w:val="6"/>
        </w:numPr>
        <w:spacing w:line="520" w:lineRule="exact"/>
        <w:jc w:val="left"/>
        <w:rPr>
          <w:sz w:val="24"/>
        </w:rPr>
      </w:pPr>
      <w:r>
        <w:rPr>
          <w:sz w:val="24"/>
        </w:rPr>
        <w:t>评价等级</w:t>
      </w:r>
    </w:p>
    <w:p>
      <w:pPr>
        <w:spacing w:line="520" w:lineRule="exact"/>
        <w:ind w:firstLine="480" w:firstLineChars="200"/>
        <w:jc w:val="left"/>
        <w:rPr>
          <w:sz w:val="24"/>
        </w:rPr>
      </w:pPr>
      <w:r>
        <w:rPr>
          <w:sz w:val="24"/>
        </w:rPr>
        <w:t>地下水环境影响评价工作等级划分依据见表2.6-5。</w:t>
      </w:r>
    </w:p>
    <w:p>
      <w:pPr>
        <w:spacing w:line="460" w:lineRule="exact"/>
        <w:ind w:firstLine="480" w:firstLineChars="200"/>
        <w:rPr>
          <w:rFonts w:eastAsia="黑体"/>
          <w:sz w:val="24"/>
          <w:szCs w:val="24"/>
        </w:rPr>
      </w:pPr>
      <w:r>
        <w:rPr>
          <w:rFonts w:eastAsia="黑体"/>
          <w:sz w:val="24"/>
          <w:szCs w:val="24"/>
        </w:rPr>
        <w:t>表2.6-5              地下水环境影响评价工作等级分级表</w:t>
      </w:r>
    </w:p>
    <w:tbl>
      <w:tblPr>
        <w:tblStyle w:val="4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534"/>
        <w:gridCol w:w="2136"/>
        <w:gridCol w:w="2138"/>
        <w:gridCol w:w="21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rPr>
        <w:tc>
          <w:tcPr>
            <w:tcW w:w="1416" w:type="pct"/>
            <w:tcBorders>
              <w:top w:val="single" w:color="auto" w:sz="6" w:space="0"/>
              <w:left w:val="single" w:color="auto" w:sz="6" w:space="0"/>
              <w:bottom w:val="single" w:color="auto" w:sz="6" w:space="0"/>
              <w:right w:val="single" w:color="auto" w:sz="6" w:space="0"/>
              <w:tl2br w:val="single" w:color="auto" w:sz="4" w:space="0"/>
            </w:tcBorders>
            <w:vAlign w:val="center"/>
          </w:tcPr>
          <w:p>
            <w:pPr>
              <w:ind w:firstLine="482"/>
              <w:jc w:val="center"/>
              <w:rPr>
                <w:b/>
                <w:szCs w:val="21"/>
              </w:rPr>
            </w:pPr>
            <w:r>
              <w:rPr>
                <w:b/>
                <w:szCs w:val="21"/>
              </w:rPr>
              <w:t xml:space="preserve">       项目类别</w:t>
            </w:r>
          </w:p>
          <w:p>
            <w:pPr>
              <w:ind w:firstLine="103" w:firstLineChars="49"/>
              <w:rPr>
                <w:b/>
                <w:szCs w:val="21"/>
              </w:rPr>
            </w:pPr>
            <w:r>
              <w:rPr>
                <w:b/>
                <w:szCs w:val="21"/>
              </w:rPr>
              <w:t>环境敏感程度</w:t>
            </w:r>
          </w:p>
        </w:tc>
        <w:tc>
          <w:tcPr>
            <w:tcW w:w="1194" w:type="pct"/>
            <w:tcBorders>
              <w:top w:val="single" w:color="auto" w:sz="6" w:space="0"/>
              <w:left w:val="single" w:color="auto" w:sz="6" w:space="0"/>
              <w:bottom w:val="single" w:color="auto" w:sz="6" w:space="0"/>
              <w:right w:val="single" w:color="auto" w:sz="6" w:space="0"/>
            </w:tcBorders>
            <w:vAlign w:val="center"/>
          </w:tcPr>
          <w:p>
            <w:pPr>
              <w:jc w:val="center"/>
              <w:rPr>
                <w:b/>
                <w:szCs w:val="21"/>
              </w:rPr>
            </w:pPr>
            <w:r>
              <w:rPr>
                <w:b/>
                <w:szCs w:val="21"/>
              </w:rPr>
              <w:t>I类项目</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szCs w:val="21"/>
              </w:rPr>
            </w:pPr>
            <w:r>
              <w:rPr>
                <w:b/>
                <w:szCs w:val="21"/>
              </w:rPr>
              <w:t>II类项目</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szCs w:val="21"/>
              </w:rPr>
            </w:pPr>
            <w:r>
              <w:rPr>
                <w:b/>
                <w:szCs w:val="21"/>
              </w:rPr>
              <w:t>III类项目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16"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敏感</w:t>
            </w:r>
          </w:p>
        </w:tc>
        <w:tc>
          <w:tcPr>
            <w:tcW w:w="1194" w:type="pct"/>
            <w:tcBorders>
              <w:top w:val="single" w:color="auto" w:sz="6" w:space="0"/>
              <w:left w:val="single" w:color="auto" w:sz="6" w:space="0"/>
              <w:bottom w:val="single" w:color="auto" w:sz="6" w:space="0"/>
              <w:right w:val="single" w:color="auto" w:sz="6" w:space="0"/>
            </w:tcBorders>
            <w:vAlign w:val="center"/>
          </w:tcPr>
          <w:p>
            <w:pPr>
              <w:jc w:val="center"/>
              <w:rPr>
                <w:b/>
                <w:bCs/>
                <w:szCs w:val="21"/>
              </w:rPr>
            </w:pPr>
            <w:r>
              <w:rPr>
                <w:b/>
                <w:bCs/>
                <w:szCs w:val="21"/>
              </w:rPr>
              <w:t>一</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bCs/>
                <w:szCs w:val="21"/>
              </w:rPr>
            </w:pPr>
            <w:r>
              <w:rPr>
                <w:b/>
                <w:bCs/>
                <w:szCs w:val="21"/>
              </w:rPr>
              <w:t>一</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bCs/>
                <w:szCs w:val="21"/>
              </w:rPr>
            </w:pPr>
            <w:r>
              <w:rPr>
                <w:b/>
                <w:bCs/>
                <w:szCs w:val="21"/>
              </w:rPr>
              <w:t>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16"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较敏感</w:t>
            </w:r>
          </w:p>
        </w:tc>
        <w:tc>
          <w:tcPr>
            <w:tcW w:w="1194" w:type="pct"/>
            <w:tcBorders>
              <w:top w:val="single" w:color="auto" w:sz="6" w:space="0"/>
              <w:left w:val="single" w:color="auto" w:sz="6" w:space="0"/>
              <w:bottom w:val="single" w:color="auto" w:sz="6" w:space="0"/>
              <w:right w:val="single" w:color="auto" w:sz="6" w:space="0"/>
            </w:tcBorders>
            <w:vAlign w:val="center"/>
          </w:tcPr>
          <w:p>
            <w:pPr>
              <w:jc w:val="center"/>
              <w:rPr>
                <w:b/>
                <w:bCs/>
                <w:szCs w:val="21"/>
              </w:rPr>
            </w:pPr>
            <w:r>
              <w:rPr>
                <w:b/>
                <w:bCs/>
                <w:szCs w:val="21"/>
              </w:rPr>
              <w:t>一</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bCs/>
                <w:szCs w:val="21"/>
              </w:rPr>
            </w:pPr>
            <w:r>
              <w:rPr>
                <w:b/>
                <w:bCs/>
                <w:szCs w:val="21"/>
              </w:rPr>
              <w:t>二</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bCs/>
                <w:szCs w:val="21"/>
              </w:rPr>
            </w:pPr>
            <w:r>
              <w:rPr>
                <w:b/>
                <w:bCs/>
                <w:szCs w:val="21"/>
              </w:rPr>
              <w:t>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16"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不敏感</w:t>
            </w:r>
          </w:p>
        </w:tc>
        <w:tc>
          <w:tcPr>
            <w:tcW w:w="1194" w:type="pct"/>
            <w:tcBorders>
              <w:top w:val="single" w:color="auto" w:sz="6" w:space="0"/>
              <w:left w:val="single" w:color="auto" w:sz="6" w:space="0"/>
              <w:bottom w:val="single" w:color="auto" w:sz="6" w:space="0"/>
              <w:right w:val="single" w:color="auto" w:sz="6" w:space="0"/>
            </w:tcBorders>
            <w:vAlign w:val="center"/>
          </w:tcPr>
          <w:p>
            <w:pPr>
              <w:jc w:val="center"/>
              <w:rPr>
                <w:b/>
                <w:bCs/>
                <w:szCs w:val="21"/>
              </w:rPr>
            </w:pPr>
            <w:r>
              <w:rPr>
                <w:b/>
                <w:bCs/>
                <w:szCs w:val="21"/>
              </w:rPr>
              <w:t>二</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bCs/>
                <w:szCs w:val="21"/>
              </w:rPr>
            </w:pPr>
            <w:r>
              <w:rPr>
                <w:b/>
                <w:bCs/>
                <w:szCs w:val="21"/>
              </w:rPr>
              <w:t>三</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bCs/>
                <w:szCs w:val="21"/>
              </w:rPr>
            </w:pPr>
            <w:r>
              <w:rPr>
                <w:b/>
                <w:bCs/>
                <w:szCs w:val="21"/>
              </w:rPr>
              <w:t>三</w:t>
            </w:r>
          </w:p>
        </w:tc>
      </w:tr>
    </w:tbl>
    <w:p>
      <w:pPr>
        <w:spacing w:line="520" w:lineRule="exact"/>
        <w:ind w:firstLine="480" w:firstLineChars="200"/>
        <w:jc w:val="left"/>
        <w:rPr>
          <w:sz w:val="24"/>
        </w:rPr>
      </w:pPr>
      <w:r>
        <w:rPr>
          <w:sz w:val="24"/>
        </w:rPr>
        <w:t>本项目属于I类建设项目，地下水环境属于“敏感”，综合判断地下水环境影响评价等级为</w:t>
      </w:r>
      <w:r>
        <w:rPr>
          <w:rFonts w:hint="eastAsia"/>
          <w:sz w:val="24"/>
        </w:rPr>
        <w:t>一</w:t>
      </w:r>
      <w:r>
        <w:rPr>
          <w:sz w:val="24"/>
        </w:rPr>
        <w:t>级。</w:t>
      </w:r>
    </w:p>
    <w:p>
      <w:pPr>
        <w:spacing w:line="520" w:lineRule="exact"/>
        <w:ind w:firstLine="480" w:firstLineChars="200"/>
        <w:outlineLvl w:val="3"/>
        <w:rPr>
          <w:sz w:val="24"/>
        </w:rPr>
      </w:pPr>
      <w:r>
        <w:rPr>
          <w:sz w:val="24"/>
        </w:rPr>
        <w:t>（4）声环境评价工作等级</w:t>
      </w:r>
    </w:p>
    <w:p>
      <w:pPr>
        <w:spacing w:line="520" w:lineRule="exact"/>
        <w:ind w:firstLine="480" w:firstLineChars="200"/>
        <w:rPr>
          <w:sz w:val="24"/>
          <w:highlight w:val="yellow"/>
        </w:rPr>
      </w:pPr>
      <w:r>
        <w:rPr>
          <w:sz w:val="24"/>
        </w:rPr>
        <w:t>本工程位于</w:t>
      </w:r>
      <w:r>
        <w:rPr>
          <w:rFonts w:hint="eastAsia"/>
          <w:sz w:val="24"/>
        </w:rPr>
        <w:t>原阳县</w:t>
      </w:r>
      <w:r>
        <w:rPr>
          <w:sz w:val="24"/>
        </w:rPr>
        <w:t>产业集聚区</w:t>
      </w:r>
      <w:r>
        <w:rPr>
          <w:rFonts w:hint="eastAsia"/>
          <w:sz w:val="24"/>
        </w:rPr>
        <w:t>，根据</w:t>
      </w:r>
      <w:r>
        <w:rPr>
          <w:bCs/>
          <w:sz w:val="24"/>
        </w:rPr>
        <w:t>《原阳县产业集聚区发展规划调整方案环境影响补充分析报告</w:t>
      </w:r>
      <w:r>
        <w:rPr>
          <w:rFonts w:hint="eastAsia"/>
          <w:bCs/>
          <w:sz w:val="24"/>
        </w:rPr>
        <w:t>书</w:t>
      </w:r>
      <w:r>
        <w:rPr>
          <w:bCs/>
          <w:sz w:val="24"/>
        </w:rPr>
        <w:t>》</w:t>
      </w:r>
      <w:r>
        <w:rPr>
          <w:rFonts w:hint="eastAsia"/>
          <w:bCs/>
          <w:sz w:val="24"/>
        </w:rPr>
        <w:t>（2</w:t>
      </w:r>
      <w:r>
        <w:rPr>
          <w:bCs/>
          <w:sz w:val="24"/>
        </w:rPr>
        <w:t>015</w:t>
      </w:r>
      <w:r>
        <w:rPr>
          <w:rFonts w:hint="eastAsia"/>
          <w:bCs/>
          <w:sz w:val="24"/>
        </w:rPr>
        <w:t>年</w:t>
      </w:r>
      <w:r>
        <w:rPr>
          <w:bCs/>
          <w:sz w:val="24"/>
        </w:rPr>
        <w:t>9</w:t>
      </w:r>
      <w:r>
        <w:rPr>
          <w:rFonts w:hint="eastAsia"/>
          <w:bCs/>
          <w:sz w:val="24"/>
        </w:rPr>
        <w:t>月），规划工业区为3类，故</w:t>
      </w:r>
      <w:r>
        <w:rPr>
          <w:sz w:val="24"/>
        </w:rPr>
        <w:t>该区域执行声环境质量3类；本项目对设备噪声采取完善的噪声防范措施，预计投产后敏感点噪声增加值小于3dB</w:t>
      </w:r>
      <w:r>
        <w:rPr>
          <w:rFonts w:hint="eastAsia"/>
          <w:sz w:val="24"/>
        </w:rPr>
        <w:t>(</w:t>
      </w:r>
      <w:r>
        <w:rPr>
          <w:sz w:val="24"/>
        </w:rPr>
        <w:t>A</w:t>
      </w:r>
      <w:r>
        <w:rPr>
          <w:rFonts w:hint="eastAsia"/>
          <w:sz w:val="24"/>
        </w:rPr>
        <w:t>)</w:t>
      </w:r>
      <w:r>
        <w:rPr>
          <w:sz w:val="24"/>
        </w:rPr>
        <w:t>，且受影响人口不发生变化，不会对周围环境产生明显影响。</w:t>
      </w:r>
    </w:p>
    <w:p>
      <w:pPr>
        <w:spacing w:line="520" w:lineRule="exact"/>
        <w:ind w:firstLine="480" w:firstLineChars="200"/>
        <w:rPr>
          <w:sz w:val="24"/>
        </w:rPr>
      </w:pPr>
      <w:r>
        <w:rPr>
          <w:sz w:val="24"/>
        </w:rPr>
        <w:t>根据《环境影响评价技术导则 声环境》（HJ2.4-2021）中有关声环境影响评价工作等级的划分原则与判据，确定声环境评价等级为三级。</w:t>
      </w:r>
    </w:p>
    <w:p>
      <w:pPr>
        <w:spacing w:line="520" w:lineRule="exact"/>
        <w:ind w:firstLine="480" w:firstLineChars="200"/>
        <w:rPr>
          <w:rFonts w:eastAsia="黑体"/>
          <w:sz w:val="24"/>
          <w:szCs w:val="24"/>
        </w:rPr>
      </w:pPr>
      <w:r>
        <w:rPr>
          <w:rFonts w:eastAsia="黑体"/>
          <w:sz w:val="24"/>
          <w:szCs w:val="24"/>
        </w:rPr>
        <w:t>表2.6-6            声环境影响评价等级判别表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4473"/>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adjustRightInd w:val="0"/>
              <w:jc w:val="center"/>
              <w:rPr>
                <w:b/>
              </w:rPr>
            </w:pPr>
            <w:r>
              <w:rPr>
                <w:b/>
              </w:rPr>
              <w:t>项目</w:t>
            </w:r>
          </w:p>
        </w:tc>
        <w:tc>
          <w:tcPr>
            <w:tcW w:w="2500" w:type="pct"/>
            <w:tcBorders>
              <w:top w:val="single" w:color="auto" w:sz="4" w:space="0"/>
              <w:left w:val="single" w:color="auto" w:sz="4" w:space="0"/>
              <w:bottom w:val="single" w:color="auto" w:sz="4" w:space="0"/>
              <w:right w:val="single" w:color="auto" w:sz="4" w:space="0"/>
            </w:tcBorders>
            <w:vAlign w:val="center"/>
          </w:tcPr>
          <w:p>
            <w:pPr>
              <w:adjustRightInd w:val="0"/>
              <w:jc w:val="center"/>
              <w:rPr>
                <w:b/>
              </w:rPr>
            </w:pPr>
            <w:r>
              <w:rPr>
                <w:b/>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adjustRightInd w:val="0"/>
              <w:jc w:val="center"/>
              <w:rPr>
                <w:bCs/>
              </w:rPr>
            </w:pPr>
            <w:r>
              <w:rPr>
                <w:bCs/>
              </w:rPr>
              <w:t>项目所处的声环境功能区</w:t>
            </w:r>
          </w:p>
        </w:tc>
        <w:tc>
          <w:tcPr>
            <w:tcW w:w="2500" w:type="pct"/>
            <w:tcBorders>
              <w:top w:val="single" w:color="auto" w:sz="4" w:space="0"/>
              <w:left w:val="single" w:color="auto" w:sz="4" w:space="0"/>
              <w:bottom w:val="single" w:color="auto" w:sz="4" w:space="0"/>
              <w:right w:val="single" w:color="auto" w:sz="4" w:space="0"/>
            </w:tcBorders>
            <w:vAlign w:val="center"/>
          </w:tcPr>
          <w:p>
            <w:pPr>
              <w:adjustRightInd w:val="0"/>
              <w:jc w:val="center"/>
              <w:rPr>
                <w:bCs/>
              </w:rPr>
            </w:pPr>
            <w:r>
              <w:rPr>
                <w:bCs/>
              </w:rPr>
              <w:t>GB3096-2008 规定的3类地区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adjustRightInd w:val="0"/>
              <w:jc w:val="center"/>
              <w:rPr>
                <w:bCs/>
              </w:rPr>
            </w:pPr>
            <w:r>
              <w:rPr>
                <w:bCs/>
              </w:rPr>
              <w:t>建设前后噪声级别变化程度</w:t>
            </w:r>
          </w:p>
        </w:tc>
        <w:tc>
          <w:tcPr>
            <w:tcW w:w="2500" w:type="pct"/>
            <w:tcBorders>
              <w:top w:val="single" w:color="auto" w:sz="4" w:space="0"/>
              <w:left w:val="single" w:color="auto" w:sz="4" w:space="0"/>
              <w:bottom w:val="single" w:color="auto" w:sz="4" w:space="0"/>
              <w:right w:val="single" w:color="auto" w:sz="4" w:space="0"/>
            </w:tcBorders>
            <w:vAlign w:val="center"/>
          </w:tcPr>
          <w:p>
            <w:pPr>
              <w:adjustRightInd w:val="0"/>
              <w:jc w:val="center"/>
              <w:rPr>
                <w:bCs/>
              </w:rPr>
            </w:pPr>
            <w:r>
              <w:rPr>
                <w:bCs/>
              </w:rPr>
              <w:t>&lt;3dB(A)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adjustRightInd w:val="0"/>
              <w:jc w:val="center"/>
              <w:rPr>
                <w:bCs/>
              </w:rPr>
            </w:pPr>
            <w:r>
              <w:rPr>
                <w:bCs/>
              </w:rPr>
              <w:t>受噪声影响人口</w:t>
            </w:r>
          </w:p>
        </w:tc>
        <w:tc>
          <w:tcPr>
            <w:tcW w:w="2500" w:type="pct"/>
            <w:tcBorders>
              <w:top w:val="single" w:color="auto" w:sz="4" w:space="0"/>
              <w:left w:val="single" w:color="auto" w:sz="4" w:space="0"/>
              <w:bottom w:val="single" w:color="auto" w:sz="4" w:space="0"/>
              <w:right w:val="single" w:color="auto" w:sz="4" w:space="0"/>
            </w:tcBorders>
            <w:vAlign w:val="center"/>
          </w:tcPr>
          <w:p>
            <w:pPr>
              <w:adjustRightInd w:val="0"/>
              <w:jc w:val="center"/>
              <w:rPr>
                <w:bCs/>
              </w:rPr>
            </w:pPr>
            <w:r>
              <w:rPr>
                <w:bCs/>
              </w:rPr>
              <w:t>受噪声影响人口少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adjustRightInd w:val="0"/>
              <w:jc w:val="center"/>
              <w:rPr>
                <w:bCs/>
              </w:rPr>
            </w:pPr>
            <w:r>
              <w:rPr>
                <w:bCs/>
              </w:rPr>
              <w:t>评价等级</w:t>
            </w:r>
          </w:p>
        </w:tc>
        <w:tc>
          <w:tcPr>
            <w:tcW w:w="2500" w:type="pct"/>
            <w:tcBorders>
              <w:top w:val="single" w:color="auto" w:sz="4" w:space="0"/>
              <w:left w:val="single" w:color="auto" w:sz="4" w:space="0"/>
              <w:bottom w:val="single" w:color="auto" w:sz="4" w:space="0"/>
              <w:right w:val="single" w:color="auto" w:sz="4" w:space="0"/>
            </w:tcBorders>
            <w:vAlign w:val="center"/>
          </w:tcPr>
          <w:p>
            <w:pPr>
              <w:adjustRightInd w:val="0"/>
              <w:jc w:val="center"/>
              <w:rPr>
                <w:bCs/>
              </w:rPr>
            </w:pPr>
            <w:r>
              <w:rPr>
                <w:bCs/>
              </w:rPr>
              <w:t>三级</w:t>
            </w:r>
          </w:p>
        </w:tc>
      </w:tr>
    </w:tbl>
    <w:p>
      <w:pPr>
        <w:spacing w:line="520" w:lineRule="exact"/>
        <w:ind w:firstLine="480" w:firstLineChars="200"/>
        <w:outlineLvl w:val="3"/>
        <w:rPr>
          <w:sz w:val="24"/>
        </w:rPr>
      </w:pPr>
      <w:r>
        <w:rPr>
          <w:sz w:val="24"/>
        </w:rPr>
        <w:t>（5）土壤环境评价工作等级</w:t>
      </w:r>
    </w:p>
    <w:p>
      <w:pPr>
        <w:spacing w:line="520" w:lineRule="exact"/>
        <w:ind w:firstLine="480" w:firstLineChars="200"/>
        <w:jc w:val="left"/>
        <w:rPr>
          <w:sz w:val="24"/>
        </w:rPr>
      </w:pPr>
      <w:r>
        <w:rPr>
          <w:sz w:val="24"/>
        </w:rPr>
        <w:t>根据《环境影响评价技术导则-土壤环境（试行）》（HJ964-2018），污染影响型建设项目根据评价项目类别、占地规模与敏感程度划分评价工作等级。</w:t>
      </w:r>
    </w:p>
    <w:p>
      <w:pPr>
        <w:numPr>
          <w:ilvl w:val="0"/>
          <w:numId w:val="7"/>
        </w:numPr>
        <w:spacing w:line="520" w:lineRule="exact"/>
        <w:jc w:val="left"/>
        <w:rPr>
          <w:sz w:val="24"/>
        </w:rPr>
      </w:pPr>
      <w:r>
        <w:rPr>
          <w:sz w:val="24"/>
        </w:rPr>
        <w:t>项目类别</w:t>
      </w:r>
    </w:p>
    <w:p>
      <w:pPr>
        <w:spacing w:line="520" w:lineRule="exact"/>
        <w:ind w:firstLine="480" w:firstLineChars="200"/>
        <w:rPr>
          <w:sz w:val="24"/>
          <w:highlight w:val="yellow"/>
        </w:rPr>
      </w:pPr>
      <w:r>
        <w:rPr>
          <w:sz w:val="24"/>
        </w:rPr>
        <w:t>根据《环境影响评价技术导则 土壤环境（试行）》（HJ 964-2018）附录A土壤环境影响评价项目类别，本项目</w:t>
      </w:r>
      <w:r>
        <w:rPr>
          <w:rFonts w:hint="eastAsia"/>
          <w:sz w:val="24"/>
        </w:rPr>
        <w:t>属于“电力热力燃气及水生产和供应业中的工业废水处理”，属于</w:t>
      </w:r>
      <w:r>
        <w:rPr>
          <w:sz w:val="24"/>
        </w:rPr>
        <w:t>Ⅱ</w:t>
      </w:r>
      <w:r>
        <w:rPr>
          <w:rFonts w:hint="eastAsia"/>
          <w:sz w:val="24"/>
        </w:rPr>
        <w:t>类项目。</w:t>
      </w:r>
    </w:p>
    <w:p>
      <w:pPr>
        <w:numPr>
          <w:ilvl w:val="0"/>
          <w:numId w:val="7"/>
        </w:numPr>
        <w:spacing w:line="520" w:lineRule="exact"/>
        <w:jc w:val="left"/>
        <w:rPr>
          <w:sz w:val="24"/>
        </w:rPr>
      </w:pPr>
      <w:r>
        <w:rPr>
          <w:sz w:val="24"/>
        </w:rPr>
        <w:t>项目占地规模</w:t>
      </w:r>
    </w:p>
    <w:p>
      <w:pPr>
        <w:spacing w:line="520" w:lineRule="exact"/>
        <w:ind w:firstLine="480" w:firstLineChars="200"/>
        <w:rPr>
          <w:sz w:val="24"/>
          <w:highlight w:val="yellow"/>
        </w:rPr>
      </w:pPr>
      <w:r>
        <w:rPr>
          <w:sz w:val="24"/>
        </w:rPr>
        <w:t>建设项目占地规模分为大型（≥50hm</w:t>
      </w:r>
      <w:r>
        <w:rPr>
          <w:sz w:val="24"/>
          <w:vertAlign w:val="superscript"/>
        </w:rPr>
        <w:t>2</w:t>
      </w:r>
      <w:r>
        <w:rPr>
          <w:sz w:val="24"/>
        </w:rPr>
        <w:t>）、中型（5-50hm</w:t>
      </w:r>
      <w:r>
        <w:rPr>
          <w:sz w:val="24"/>
          <w:vertAlign w:val="superscript"/>
        </w:rPr>
        <w:t>2</w:t>
      </w:r>
      <w:r>
        <w:rPr>
          <w:sz w:val="24"/>
        </w:rPr>
        <w:t>）、小型（≤5hm</w:t>
      </w:r>
      <w:r>
        <w:rPr>
          <w:sz w:val="24"/>
          <w:vertAlign w:val="superscript"/>
        </w:rPr>
        <w:t>2</w:t>
      </w:r>
      <w:r>
        <w:rPr>
          <w:sz w:val="24"/>
        </w:rPr>
        <w:t>），建设项目占地主要为永久占地。</w:t>
      </w:r>
      <w:r>
        <w:rPr>
          <w:sz w:val="24"/>
          <w:szCs w:val="24"/>
        </w:rPr>
        <w:t>本项目占地面积约76300平方米，属于5-50hm</w:t>
      </w:r>
      <w:r>
        <w:rPr>
          <w:sz w:val="24"/>
          <w:szCs w:val="24"/>
          <w:vertAlign w:val="superscript"/>
        </w:rPr>
        <w:t>2</w:t>
      </w:r>
      <w:r>
        <w:rPr>
          <w:sz w:val="24"/>
          <w:szCs w:val="24"/>
        </w:rPr>
        <w:t>范围内，属于中型建设项目。</w:t>
      </w:r>
    </w:p>
    <w:p>
      <w:pPr>
        <w:numPr>
          <w:ilvl w:val="0"/>
          <w:numId w:val="7"/>
        </w:numPr>
        <w:spacing w:line="520" w:lineRule="exact"/>
        <w:jc w:val="left"/>
        <w:rPr>
          <w:sz w:val="24"/>
        </w:rPr>
      </w:pPr>
      <w:r>
        <w:rPr>
          <w:sz w:val="24"/>
        </w:rPr>
        <w:t>土壤环境敏感程度</w:t>
      </w:r>
    </w:p>
    <w:p>
      <w:pPr>
        <w:spacing w:line="520" w:lineRule="exact"/>
        <w:ind w:firstLine="480" w:firstLineChars="200"/>
        <w:rPr>
          <w:sz w:val="24"/>
        </w:rPr>
      </w:pPr>
      <w:r>
        <w:rPr>
          <w:sz w:val="24"/>
        </w:rPr>
        <w:t>建设项目所在地周边的土壤环境敏感程度分为敏感，较敏感、不敏感，判别依据见表2.6-7，本项目位于</w:t>
      </w:r>
      <w:r>
        <w:rPr>
          <w:rFonts w:hint="eastAsia"/>
          <w:sz w:val="24"/>
        </w:rPr>
        <w:t>原阳县产业集聚区</w:t>
      </w:r>
      <w:r>
        <w:rPr>
          <w:sz w:val="24"/>
        </w:rPr>
        <w:t>，项目</w:t>
      </w:r>
      <w:r>
        <w:rPr>
          <w:rFonts w:hint="eastAsia"/>
          <w:sz w:val="24"/>
        </w:rPr>
        <w:t>及周围用地均</w:t>
      </w:r>
      <w:r>
        <w:rPr>
          <w:sz w:val="24"/>
        </w:rPr>
        <w:t>为规划的工业用地，</w:t>
      </w:r>
      <w:r>
        <w:rPr>
          <w:rFonts w:hint="eastAsia"/>
          <w:sz w:val="24"/>
        </w:rPr>
        <w:t>但考虑</w:t>
      </w:r>
      <w:r>
        <w:rPr>
          <w:sz w:val="24"/>
        </w:rPr>
        <w:t>本项目</w:t>
      </w:r>
      <w:r>
        <w:rPr>
          <w:rFonts w:hint="eastAsia"/>
          <w:sz w:val="24"/>
        </w:rPr>
        <w:t>厂区目前东邻小庄村，</w:t>
      </w:r>
      <w:r>
        <w:rPr>
          <w:sz w:val="24"/>
        </w:rPr>
        <w:t>故</w:t>
      </w:r>
      <w:r>
        <w:rPr>
          <w:rFonts w:hint="eastAsia"/>
          <w:sz w:val="24"/>
        </w:rPr>
        <w:t>将</w:t>
      </w:r>
      <w:r>
        <w:rPr>
          <w:sz w:val="24"/>
        </w:rPr>
        <w:t>项目周边土壤环境敏感程度</w:t>
      </w:r>
      <w:r>
        <w:rPr>
          <w:rFonts w:hint="eastAsia"/>
          <w:sz w:val="24"/>
        </w:rPr>
        <w:t>定</w:t>
      </w:r>
      <w:r>
        <w:rPr>
          <w:sz w:val="24"/>
        </w:rPr>
        <w:t>为“敏感”。</w:t>
      </w:r>
    </w:p>
    <w:p>
      <w:pPr>
        <w:spacing w:line="520" w:lineRule="exact"/>
        <w:ind w:firstLine="480" w:firstLineChars="200"/>
        <w:rPr>
          <w:rFonts w:eastAsia="黑体"/>
          <w:bCs/>
          <w:sz w:val="24"/>
          <w:szCs w:val="24"/>
        </w:rPr>
      </w:pPr>
      <w:r>
        <w:rPr>
          <w:rFonts w:eastAsia="黑体"/>
          <w:bCs/>
          <w:sz w:val="24"/>
          <w:szCs w:val="24"/>
        </w:rPr>
        <w:t>表2.6-7             污染影响型敏感程度分级表</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6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1228" w:type="pct"/>
            <w:vAlign w:val="center"/>
          </w:tcPr>
          <w:p>
            <w:pPr>
              <w:jc w:val="center"/>
              <w:rPr>
                <w:b/>
                <w:bCs/>
                <w:szCs w:val="21"/>
              </w:rPr>
            </w:pPr>
            <w:r>
              <w:rPr>
                <w:b/>
                <w:bCs/>
                <w:szCs w:val="21"/>
              </w:rPr>
              <w:t>敏感程度</w:t>
            </w:r>
          </w:p>
        </w:tc>
        <w:tc>
          <w:tcPr>
            <w:tcW w:w="3772" w:type="pct"/>
            <w:vAlign w:val="center"/>
          </w:tcPr>
          <w:p>
            <w:pPr>
              <w:jc w:val="center"/>
              <w:rPr>
                <w:b/>
                <w:bCs/>
                <w:szCs w:val="21"/>
              </w:rPr>
            </w:pPr>
            <w:r>
              <w:rPr>
                <w:b/>
                <w:bCs/>
                <w:szCs w:val="21"/>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228" w:type="pct"/>
            <w:vAlign w:val="center"/>
          </w:tcPr>
          <w:p>
            <w:pPr>
              <w:jc w:val="center"/>
              <w:rPr>
                <w:szCs w:val="21"/>
              </w:rPr>
            </w:pPr>
            <w:r>
              <w:rPr>
                <w:szCs w:val="21"/>
              </w:rPr>
              <w:t>敏感</w:t>
            </w:r>
          </w:p>
        </w:tc>
        <w:tc>
          <w:tcPr>
            <w:tcW w:w="3772" w:type="pct"/>
            <w:vAlign w:val="center"/>
          </w:tcPr>
          <w:p>
            <w:pPr>
              <w:jc w:val="center"/>
              <w:rPr>
                <w:szCs w:val="21"/>
              </w:rPr>
            </w:pPr>
            <w:r>
              <w:rPr>
                <w:szCs w:val="21"/>
              </w:rPr>
              <w:t>建设项目周边存在耕地、园地、牧草地、饮用水水源地及居民区、学校、医院、疗养院、养老院等土壤环境敏感目标的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228" w:type="pct"/>
            <w:vAlign w:val="center"/>
          </w:tcPr>
          <w:p>
            <w:pPr>
              <w:jc w:val="center"/>
              <w:rPr>
                <w:szCs w:val="21"/>
              </w:rPr>
            </w:pPr>
            <w:r>
              <w:rPr>
                <w:szCs w:val="21"/>
              </w:rPr>
              <w:t>较敏感</w:t>
            </w:r>
          </w:p>
        </w:tc>
        <w:tc>
          <w:tcPr>
            <w:tcW w:w="3772" w:type="pct"/>
            <w:vAlign w:val="center"/>
          </w:tcPr>
          <w:p>
            <w:pPr>
              <w:jc w:val="center"/>
              <w:rPr>
                <w:szCs w:val="21"/>
              </w:rPr>
            </w:pPr>
            <w:r>
              <w:rPr>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228" w:type="pct"/>
            <w:vAlign w:val="center"/>
          </w:tcPr>
          <w:p>
            <w:pPr>
              <w:jc w:val="center"/>
              <w:rPr>
                <w:szCs w:val="21"/>
              </w:rPr>
            </w:pPr>
            <w:r>
              <w:rPr>
                <w:szCs w:val="21"/>
              </w:rPr>
              <w:t>不敏感</w:t>
            </w:r>
          </w:p>
        </w:tc>
        <w:tc>
          <w:tcPr>
            <w:tcW w:w="3772" w:type="pct"/>
            <w:vAlign w:val="center"/>
          </w:tcPr>
          <w:p>
            <w:pPr>
              <w:jc w:val="center"/>
              <w:rPr>
                <w:szCs w:val="21"/>
              </w:rPr>
            </w:pPr>
            <w:r>
              <w:rPr>
                <w:szCs w:val="21"/>
              </w:rPr>
              <w:t>其他情况</w:t>
            </w:r>
          </w:p>
        </w:tc>
      </w:tr>
    </w:tbl>
    <w:p>
      <w:pPr>
        <w:numPr>
          <w:ilvl w:val="0"/>
          <w:numId w:val="7"/>
        </w:numPr>
        <w:spacing w:line="520" w:lineRule="exact"/>
        <w:jc w:val="left"/>
        <w:rPr>
          <w:sz w:val="24"/>
        </w:rPr>
      </w:pPr>
      <w:r>
        <w:rPr>
          <w:sz w:val="24"/>
        </w:rPr>
        <w:t>评价等级</w:t>
      </w:r>
    </w:p>
    <w:p>
      <w:pPr>
        <w:spacing w:line="520" w:lineRule="exact"/>
        <w:ind w:firstLine="480" w:firstLineChars="200"/>
        <w:jc w:val="left"/>
        <w:rPr>
          <w:sz w:val="24"/>
        </w:rPr>
      </w:pPr>
      <w:r>
        <w:rPr>
          <w:sz w:val="24"/>
        </w:rPr>
        <w:t>污染影响型评价工作等级划分见表2.6-8。</w:t>
      </w:r>
    </w:p>
    <w:p>
      <w:pPr>
        <w:spacing w:line="520" w:lineRule="exact"/>
        <w:ind w:firstLine="480" w:firstLineChars="200"/>
        <w:rPr>
          <w:rFonts w:eastAsia="黑体"/>
          <w:bCs/>
          <w:sz w:val="24"/>
          <w:szCs w:val="24"/>
        </w:rPr>
      </w:pPr>
      <w:r>
        <w:rPr>
          <w:rFonts w:eastAsia="黑体"/>
          <w:bCs/>
          <w:sz w:val="24"/>
          <w:szCs w:val="24"/>
        </w:rPr>
        <w:t>表2.6-8            污染影响型评价工作等级划分表</w:t>
      </w:r>
    </w:p>
    <w:tbl>
      <w:tblPr>
        <w:tblStyle w:val="4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534"/>
        <w:gridCol w:w="712"/>
        <w:gridCol w:w="712"/>
        <w:gridCol w:w="716"/>
        <w:gridCol w:w="712"/>
        <w:gridCol w:w="712"/>
        <w:gridCol w:w="714"/>
        <w:gridCol w:w="712"/>
        <w:gridCol w:w="712"/>
        <w:gridCol w:w="7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16" w:type="pct"/>
            <w:vMerge w:val="restart"/>
            <w:tcBorders>
              <w:top w:val="single" w:color="auto" w:sz="6" w:space="0"/>
              <w:left w:val="single" w:color="auto" w:sz="6" w:space="0"/>
              <w:right w:val="single" w:color="auto" w:sz="6" w:space="0"/>
            </w:tcBorders>
            <w:vAlign w:val="center"/>
          </w:tcPr>
          <w:p>
            <w:pPr>
              <w:jc w:val="center"/>
              <w:rPr>
                <w:b/>
                <w:szCs w:val="21"/>
              </w:rPr>
            </w:pPr>
            <w:r>
              <w:rPr>
                <w:b/>
                <w:szCs w:val="20"/>
              </w:rPr>
              <mc:AlternateContent>
                <mc:Choice Requires="wps">
                  <w:drawing>
                    <wp:anchor distT="0" distB="0" distL="114300" distR="114300" simplePos="0" relativeHeight="251741184" behindDoc="0" locked="0" layoutInCell="1" allowOverlap="1">
                      <wp:simplePos x="0" y="0"/>
                      <wp:positionH relativeFrom="column">
                        <wp:posOffset>654050</wp:posOffset>
                      </wp:positionH>
                      <wp:positionV relativeFrom="paragraph">
                        <wp:posOffset>18415</wp:posOffset>
                      </wp:positionV>
                      <wp:extent cx="883920" cy="489585"/>
                      <wp:effectExtent l="5080" t="10160" r="6350" b="5080"/>
                      <wp:wrapNone/>
                      <wp:docPr id="1314046746"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883920" cy="489585"/>
                              </a:xfrm>
                              <a:prstGeom prst="line">
                                <a:avLst/>
                              </a:prstGeom>
                              <a:noFill/>
                              <a:ln w="9525">
                                <a:solidFill>
                                  <a:srgbClr val="000000"/>
                                </a:solidFill>
                                <a:round/>
                              </a:ln>
                            </wps:spPr>
                            <wps:bodyPr/>
                          </wps:wsp>
                        </a:graphicData>
                      </a:graphic>
                    </wp:anchor>
                  </w:drawing>
                </mc:Choice>
                <mc:Fallback>
                  <w:pict>
                    <v:line id="直接连接符 14" o:spid="_x0000_s1026" o:spt="20" style="position:absolute;left:0pt;margin-left:51.5pt;margin-top:1.45pt;height:38.55pt;width:69.6pt;z-index:251741184;mso-width-relative:page;mso-height-relative:page;" filled="f" stroked="t" coordsize="21600,21600" o:gfxdata="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nkWDrVAAAACAEAAA8AAAAAAAAAAQAgAAAAIgAAAGRycy9kb3ducmV2LnhtbFBLAQIUABQA&#10;AAAIAIdO4kDNKbrK8wEAALgDAAAOAAAAAAAAAAEAIAAAACQBAABkcnMvZTJvRG9jLnhtbFBLBQYA&#10;AAAABgAGAFkBAACJBQAAAAA=&#10;">
                      <v:fill on="f" focussize="0,0"/>
                      <v:stroke color="#000000" joinstyle="round"/>
                      <v:imagedata o:title=""/>
                      <o:lock v:ext="edit" aspectratio="f"/>
                    </v:line>
                  </w:pict>
                </mc:Fallback>
              </mc:AlternateContent>
            </w:r>
            <w:r>
              <w:rPr>
                <w:rFonts w:hint="eastAsia"/>
                <w:b/>
                <w:szCs w:val="21"/>
              </w:rPr>
              <w:t xml:space="preserve"> </w:t>
            </w:r>
            <w:r>
              <w:rPr>
                <w:b/>
                <w:szCs w:val="21"/>
              </w:rPr>
              <w:t xml:space="preserve">           占地规模</w:t>
            </w:r>
          </w:p>
          <w:p>
            <w:pPr>
              <w:ind w:firstLine="211" w:firstLineChars="100"/>
              <w:rPr>
                <w:b/>
                <w:szCs w:val="21"/>
              </w:rPr>
            </w:pPr>
            <w:r>
              <w:rPr>
                <w:b/>
                <w:szCs w:val="21"/>
              </w:rPr>
              <mc:AlternateContent>
                <mc:Choice Requires="wps">
                  <w:drawing>
                    <wp:anchor distT="0" distB="0" distL="114300" distR="114300" simplePos="0" relativeHeight="251742208" behindDoc="0" locked="0" layoutInCell="1" allowOverlap="1">
                      <wp:simplePos x="0" y="0"/>
                      <wp:positionH relativeFrom="column">
                        <wp:posOffset>-33655</wp:posOffset>
                      </wp:positionH>
                      <wp:positionV relativeFrom="paragraph">
                        <wp:posOffset>83820</wp:posOffset>
                      </wp:positionV>
                      <wp:extent cx="1546860" cy="250190"/>
                      <wp:effectExtent l="12700" t="10160" r="12065" b="6350"/>
                      <wp:wrapNone/>
                      <wp:docPr id="1254257246"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1546860" cy="250190"/>
                              </a:xfrm>
                              <a:prstGeom prst="line">
                                <a:avLst/>
                              </a:prstGeom>
                              <a:noFill/>
                              <a:ln w="9525">
                                <a:solidFill>
                                  <a:srgbClr val="000000"/>
                                </a:solidFill>
                                <a:round/>
                              </a:ln>
                            </wps:spPr>
                            <wps:bodyPr/>
                          </wps:wsp>
                        </a:graphicData>
                      </a:graphic>
                    </wp:anchor>
                  </w:drawing>
                </mc:Choice>
                <mc:Fallback>
                  <w:pict>
                    <v:line id="直接连接符 13" o:spid="_x0000_s1026" o:spt="20" style="position:absolute;left:0pt;margin-left:-2.65pt;margin-top:6.6pt;height:19.7pt;width:121.8pt;z-index:251742208;mso-width-relative:page;mso-height-relative:page;" filled="f" stroked="t" coordsize="21600,21600" o:gfxdata="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dohv1gAAAAgBAAAPAAAAAAAAAAEAIAAAACIAAABkcnMvZG93bnJldi54bWxQSwECFAAU&#10;AAAACACHTuJA1WQGvvMBAAC5AwAADgAAAAAAAAABACAAAAAlAQAAZHJzL2Uyb0RvYy54bWxQSwUG&#10;AAAAAAYABgBZAQAAigUAAAAA&#10;">
                      <v:fill on="f" focussize="0,0"/>
                      <v:stroke color="#000000" joinstyle="round"/>
                      <v:imagedata o:title=""/>
                      <o:lock v:ext="edit" aspectratio="f"/>
                    </v:line>
                  </w:pict>
                </mc:Fallback>
              </mc:AlternateContent>
            </w:r>
            <w:r>
              <w:rPr>
                <w:b/>
                <w:szCs w:val="21"/>
              </w:rPr>
              <w:t>评价工作等级</w:t>
            </w:r>
          </w:p>
          <w:p>
            <w:pPr>
              <w:rPr>
                <w:b/>
                <w:szCs w:val="21"/>
              </w:rPr>
            </w:pPr>
            <w:r>
              <w:rPr>
                <w:b/>
                <w:szCs w:val="21"/>
              </w:rPr>
              <w:t>敏感程度</w:t>
            </w:r>
          </w:p>
        </w:tc>
        <w:tc>
          <w:tcPr>
            <w:tcW w:w="1196" w:type="pct"/>
            <w:gridSpan w:val="3"/>
            <w:tcBorders>
              <w:top w:val="single" w:color="auto" w:sz="6" w:space="0"/>
              <w:left w:val="single" w:color="auto" w:sz="6" w:space="0"/>
              <w:bottom w:val="single" w:color="auto" w:sz="6" w:space="0"/>
              <w:right w:val="single" w:color="auto" w:sz="6" w:space="0"/>
            </w:tcBorders>
            <w:vAlign w:val="center"/>
          </w:tcPr>
          <w:p>
            <w:pPr>
              <w:jc w:val="center"/>
              <w:rPr>
                <w:b/>
                <w:szCs w:val="21"/>
              </w:rPr>
            </w:pPr>
            <w:r>
              <w:rPr>
                <w:b/>
                <w:szCs w:val="21"/>
              </w:rPr>
              <w:t>I类</w:t>
            </w:r>
          </w:p>
        </w:tc>
        <w:tc>
          <w:tcPr>
            <w:tcW w:w="1195" w:type="pct"/>
            <w:gridSpan w:val="3"/>
            <w:tcBorders>
              <w:top w:val="single" w:color="auto" w:sz="6" w:space="0"/>
              <w:left w:val="single" w:color="auto" w:sz="6" w:space="0"/>
              <w:right w:val="single" w:color="auto" w:sz="6" w:space="0"/>
            </w:tcBorders>
            <w:vAlign w:val="center"/>
          </w:tcPr>
          <w:p>
            <w:pPr>
              <w:jc w:val="center"/>
              <w:rPr>
                <w:b/>
                <w:szCs w:val="21"/>
              </w:rPr>
            </w:pPr>
            <w:r>
              <w:rPr>
                <w:b/>
                <w:szCs w:val="21"/>
              </w:rPr>
              <w:t>II类</w:t>
            </w:r>
          </w:p>
        </w:tc>
        <w:tc>
          <w:tcPr>
            <w:tcW w:w="1193" w:type="pct"/>
            <w:gridSpan w:val="3"/>
            <w:tcBorders>
              <w:top w:val="single" w:color="auto" w:sz="6" w:space="0"/>
              <w:left w:val="single" w:color="auto" w:sz="6" w:space="0"/>
              <w:right w:val="single" w:color="auto" w:sz="6" w:space="0"/>
            </w:tcBorders>
            <w:vAlign w:val="center"/>
          </w:tcPr>
          <w:p>
            <w:pPr>
              <w:jc w:val="center"/>
              <w:rPr>
                <w:b/>
                <w:szCs w:val="21"/>
              </w:rPr>
            </w:pPr>
            <w:r>
              <w:rPr>
                <w:b/>
                <w:szCs w:val="21"/>
              </w:rPr>
              <w:t>III类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16" w:type="pct"/>
            <w:vMerge w:val="continue"/>
            <w:tcBorders>
              <w:left w:val="single" w:color="auto" w:sz="6" w:space="0"/>
              <w:bottom w:val="single" w:color="auto" w:sz="6" w:space="0"/>
              <w:right w:val="single" w:color="auto" w:sz="6" w:space="0"/>
            </w:tcBorders>
            <w:vAlign w:val="center"/>
          </w:tcPr>
          <w:p>
            <w:pPr>
              <w:jc w:val="center"/>
              <w:rPr>
                <w:b/>
                <w:szCs w:val="21"/>
              </w:rPr>
            </w:pP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
                <w:szCs w:val="21"/>
              </w:rPr>
            </w:pPr>
            <w:r>
              <w:rPr>
                <w:b/>
                <w:szCs w:val="21"/>
              </w:rPr>
              <w:t>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
                <w:szCs w:val="21"/>
              </w:rPr>
            </w:pPr>
            <w:r>
              <w:rPr>
                <w:b/>
                <w:szCs w:val="21"/>
              </w:rPr>
              <w:t>中</w:t>
            </w:r>
          </w:p>
        </w:tc>
        <w:tc>
          <w:tcPr>
            <w:tcW w:w="400" w:type="pct"/>
            <w:tcBorders>
              <w:top w:val="single" w:color="auto" w:sz="6" w:space="0"/>
              <w:left w:val="single" w:color="auto" w:sz="6" w:space="0"/>
              <w:bottom w:val="single" w:color="auto" w:sz="6" w:space="0"/>
              <w:right w:val="single" w:color="auto" w:sz="6" w:space="0"/>
            </w:tcBorders>
            <w:vAlign w:val="center"/>
          </w:tcPr>
          <w:p>
            <w:pPr>
              <w:jc w:val="center"/>
              <w:rPr>
                <w:b/>
                <w:szCs w:val="21"/>
              </w:rPr>
            </w:pPr>
            <w:r>
              <w:rPr>
                <w:b/>
                <w:szCs w:val="21"/>
              </w:rPr>
              <w:t>小</w:t>
            </w:r>
          </w:p>
        </w:tc>
        <w:tc>
          <w:tcPr>
            <w:tcW w:w="398" w:type="pct"/>
            <w:tcBorders>
              <w:left w:val="single" w:color="auto" w:sz="6" w:space="0"/>
              <w:bottom w:val="single" w:color="auto" w:sz="6" w:space="0"/>
              <w:right w:val="single" w:color="auto" w:sz="6" w:space="0"/>
            </w:tcBorders>
            <w:vAlign w:val="center"/>
          </w:tcPr>
          <w:p>
            <w:pPr>
              <w:jc w:val="center"/>
              <w:rPr>
                <w:b/>
                <w:szCs w:val="21"/>
              </w:rPr>
            </w:pPr>
            <w:r>
              <w:rPr>
                <w:b/>
                <w:szCs w:val="21"/>
              </w:rPr>
              <w:t>大</w:t>
            </w:r>
          </w:p>
        </w:tc>
        <w:tc>
          <w:tcPr>
            <w:tcW w:w="398" w:type="pct"/>
            <w:tcBorders>
              <w:left w:val="single" w:color="auto" w:sz="6" w:space="0"/>
              <w:bottom w:val="single" w:color="auto" w:sz="6" w:space="0"/>
              <w:right w:val="single" w:color="auto" w:sz="6" w:space="0"/>
            </w:tcBorders>
            <w:vAlign w:val="center"/>
          </w:tcPr>
          <w:p>
            <w:pPr>
              <w:jc w:val="center"/>
              <w:rPr>
                <w:b/>
                <w:szCs w:val="21"/>
              </w:rPr>
            </w:pPr>
            <w:r>
              <w:rPr>
                <w:b/>
                <w:szCs w:val="21"/>
              </w:rPr>
              <w:t>中</w:t>
            </w:r>
          </w:p>
        </w:tc>
        <w:tc>
          <w:tcPr>
            <w:tcW w:w="399" w:type="pct"/>
            <w:tcBorders>
              <w:left w:val="single" w:color="auto" w:sz="6" w:space="0"/>
              <w:bottom w:val="single" w:color="auto" w:sz="6" w:space="0"/>
              <w:right w:val="single" w:color="auto" w:sz="6" w:space="0"/>
            </w:tcBorders>
            <w:vAlign w:val="center"/>
          </w:tcPr>
          <w:p>
            <w:pPr>
              <w:jc w:val="center"/>
              <w:rPr>
                <w:b/>
                <w:szCs w:val="21"/>
              </w:rPr>
            </w:pPr>
            <w:r>
              <w:rPr>
                <w:b/>
                <w:szCs w:val="21"/>
              </w:rPr>
              <w:t>小</w:t>
            </w:r>
          </w:p>
        </w:tc>
        <w:tc>
          <w:tcPr>
            <w:tcW w:w="398" w:type="pct"/>
            <w:tcBorders>
              <w:left w:val="single" w:color="auto" w:sz="6" w:space="0"/>
              <w:bottom w:val="single" w:color="auto" w:sz="6" w:space="0"/>
              <w:right w:val="single" w:color="auto" w:sz="6" w:space="0"/>
            </w:tcBorders>
            <w:vAlign w:val="center"/>
          </w:tcPr>
          <w:p>
            <w:pPr>
              <w:jc w:val="center"/>
              <w:rPr>
                <w:b/>
                <w:szCs w:val="21"/>
              </w:rPr>
            </w:pPr>
            <w:r>
              <w:rPr>
                <w:b/>
                <w:szCs w:val="21"/>
              </w:rPr>
              <w:t>大</w:t>
            </w:r>
          </w:p>
        </w:tc>
        <w:tc>
          <w:tcPr>
            <w:tcW w:w="398" w:type="pct"/>
            <w:tcBorders>
              <w:left w:val="single" w:color="auto" w:sz="6" w:space="0"/>
              <w:bottom w:val="single" w:color="auto" w:sz="6" w:space="0"/>
              <w:right w:val="single" w:color="auto" w:sz="6" w:space="0"/>
            </w:tcBorders>
            <w:vAlign w:val="center"/>
          </w:tcPr>
          <w:p>
            <w:pPr>
              <w:jc w:val="center"/>
              <w:rPr>
                <w:b/>
                <w:szCs w:val="21"/>
              </w:rPr>
            </w:pPr>
            <w:r>
              <w:rPr>
                <w:b/>
                <w:szCs w:val="21"/>
              </w:rPr>
              <w:t>中</w:t>
            </w:r>
          </w:p>
        </w:tc>
        <w:tc>
          <w:tcPr>
            <w:tcW w:w="397" w:type="pct"/>
            <w:tcBorders>
              <w:left w:val="single" w:color="auto" w:sz="6" w:space="0"/>
              <w:bottom w:val="single" w:color="auto" w:sz="6" w:space="0"/>
              <w:right w:val="single" w:color="auto" w:sz="6" w:space="0"/>
            </w:tcBorders>
            <w:vAlign w:val="center"/>
          </w:tcPr>
          <w:p>
            <w:pPr>
              <w:jc w:val="center"/>
              <w:rPr>
                <w:b/>
                <w:szCs w:val="21"/>
              </w:rPr>
            </w:pPr>
            <w:r>
              <w:rPr>
                <w:b/>
                <w:szCs w:val="21"/>
              </w:rPr>
              <w:t>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16"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敏感</w:t>
            </w:r>
          </w:p>
        </w:tc>
        <w:tc>
          <w:tcPr>
            <w:tcW w:w="398" w:type="pct"/>
            <w:tcBorders>
              <w:top w:val="single" w:color="auto" w:sz="6" w:space="0"/>
              <w:left w:val="single" w:color="auto" w:sz="6" w:space="0"/>
              <w:right w:val="single" w:color="auto" w:sz="6" w:space="0"/>
            </w:tcBorders>
            <w:vAlign w:val="center"/>
          </w:tcPr>
          <w:p>
            <w:pPr>
              <w:jc w:val="center"/>
              <w:rPr>
                <w:bCs/>
                <w:szCs w:val="21"/>
              </w:rPr>
            </w:pPr>
            <w:r>
              <w:rPr>
                <w:bCs/>
                <w:szCs w:val="21"/>
              </w:rPr>
              <w:t>一级</w:t>
            </w:r>
          </w:p>
        </w:tc>
        <w:tc>
          <w:tcPr>
            <w:tcW w:w="398" w:type="pct"/>
            <w:tcBorders>
              <w:top w:val="single" w:color="auto" w:sz="6" w:space="0"/>
              <w:left w:val="single" w:color="auto" w:sz="6" w:space="0"/>
              <w:right w:val="single" w:color="auto" w:sz="6" w:space="0"/>
            </w:tcBorders>
            <w:vAlign w:val="center"/>
          </w:tcPr>
          <w:p>
            <w:pPr>
              <w:jc w:val="center"/>
              <w:rPr>
                <w:bCs/>
                <w:szCs w:val="21"/>
              </w:rPr>
            </w:pPr>
            <w:r>
              <w:rPr>
                <w:bCs/>
                <w:szCs w:val="21"/>
              </w:rPr>
              <w:t>一级</w:t>
            </w:r>
          </w:p>
        </w:tc>
        <w:tc>
          <w:tcPr>
            <w:tcW w:w="400" w:type="pct"/>
            <w:tcBorders>
              <w:top w:val="single" w:color="auto" w:sz="6" w:space="0"/>
              <w:left w:val="single" w:color="auto" w:sz="6" w:space="0"/>
              <w:right w:val="single" w:color="auto" w:sz="6" w:space="0"/>
            </w:tcBorders>
            <w:vAlign w:val="center"/>
          </w:tcPr>
          <w:p>
            <w:pPr>
              <w:jc w:val="center"/>
              <w:rPr>
                <w:bCs/>
                <w:szCs w:val="21"/>
              </w:rPr>
            </w:pPr>
            <w:r>
              <w:rPr>
                <w:bCs/>
                <w:szCs w:val="21"/>
              </w:rPr>
              <w:t>一级</w:t>
            </w:r>
          </w:p>
        </w:tc>
        <w:tc>
          <w:tcPr>
            <w:tcW w:w="398" w:type="pct"/>
            <w:tcBorders>
              <w:top w:val="single" w:color="auto" w:sz="6" w:space="0"/>
              <w:left w:val="single" w:color="auto" w:sz="6" w:space="0"/>
              <w:right w:val="single" w:color="auto" w:sz="6" w:space="0"/>
            </w:tcBorders>
            <w:vAlign w:val="center"/>
          </w:tcPr>
          <w:p>
            <w:pPr>
              <w:jc w:val="center"/>
              <w:rPr>
                <w:bCs/>
                <w:szCs w:val="21"/>
              </w:rPr>
            </w:pPr>
            <w:r>
              <w:rPr>
                <w:bCs/>
                <w:szCs w:val="21"/>
              </w:rPr>
              <w:t>二级</w:t>
            </w:r>
          </w:p>
        </w:tc>
        <w:tc>
          <w:tcPr>
            <w:tcW w:w="398" w:type="pct"/>
            <w:tcBorders>
              <w:top w:val="single" w:color="auto" w:sz="6" w:space="0"/>
              <w:left w:val="single" w:color="auto" w:sz="6" w:space="0"/>
              <w:right w:val="single" w:color="auto" w:sz="6" w:space="0"/>
            </w:tcBorders>
            <w:vAlign w:val="center"/>
          </w:tcPr>
          <w:p>
            <w:pPr>
              <w:jc w:val="center"/>
              <w:rPr>
                <w:bCs/>
                <w:szCs w:val="21"/>
              </w:rPr>
            </w:pPr>
            <w:r>
              <w:rPr>
                <w:bCs/>
                <w:szCs w:val="21"/>
              </w:rPr>
              <w:t>二级</w:t>
            </w:r>
          </w:p>
        </w:tc>
        <w:tc>
          <w:tcPr>
            <w:tcW w:w="399" w:type="pct"/>
            <w:tcBorders>
              <w:top w:val="single" w:color="auto" w:sz="6" w:space="0"/>
              <w:left w:val="single" w:color="auto" w:sz="6" w:space="0"/>
              <w:right w:val="single" w:color="auto" w:sz="6" w:space="0"/>
            </w:tcBorders>
            <w:vAlign w:val="center"/>
          </w:tcPr>
          <w:p>
            <w:pPr>
              <w:jc w:val="center"/>
              <w:rPr>
                <w:bCs/>
                <w:szCs w:val="21"/>
              </w:rPr>
            </w:pPr>
            <w:r>
              <w:rPr>
                <w:bCs/>
                <w:szCs w:val="21"/>
              </w:rPr>
              <w:t>二级</w:t>
            </w:r>
          </w:p>
        </w:tc>
        <w:tc>
          <w:tcPr>
            <w:tcW w:w="398" w:type="pct"/>
            <w:tcBorders>
              <w:top w:val="single" w:color="auto" w:sz="6" w:space="0"/>
              <w:left w:val="single" w:color="auto" w:sz="6" w:space="0"/>
              <w:right w:val="single" w:color="auto" w:sz="6" w:space="0"/>
            </w:tcBorders>
            <w:vAlign w:val="center"/>
          </w:tcPr>
          <w:p>
            <w:pPr>
              <w:jc w:val="center"/>
              <w:rPr>
                <w:bCs/>
                <w:szCs w:val="21"/>
              </w:rPr>
            </w:pPr>
            <w:r>
              <w:rPr>
                <w:bCs/>
                <w:szCs w:val="21"/>
              </w:rPr>
              <w:t>三级</w:t>
            </w:r>
          </w:p>
        </w:tc>
        <w:tc>
          <w:tcPr>
            <w:tcW w:w="398" w:type="pct"/>
            <w:tcBorders>
              <w:top w:val="single" w:color="auto" w:sz="6" w:space="0"/>
              <w:left w:val="single" w:color="auto" w:sz="6" w:space="0"/>
              <w:right w:val="single" w:color="auto" w:sz="6" w:space="0"/>
            </w:tcBorders>
            <w:vAlign w:val="center"/>
          </w:tcPr>
          <w:p>
            <w:pPr>
              <w:jc w:val="center"/>
              <w:rPr>
                <w:bCs/>
                <w:szCs w:val="21"/>
              </w:rPr>
            </w:pPr>
            <w:r>
              <w:rPr>
                <w:bCs/>
                <w:szCs w:val="21"/>
              </w:rPr>
              <w:t>三级</w:t>
            </w:r>
          </w:p>
        </w:tc>
        <w:tc>
          <w:tcPr>
            <w:tcW w:w="397" w:type="pct"/>
            <w:tcBorders>
              <w:top w:val="single" w:color="auto" w:sz="6" w:space="0"/>
              <w:left w:val="single" w:color="auto" w:sz="6" w:space="0"/>
              <w:right w:val="single" w:color="auto" w:sz="6" w:space="0"/>
            </w:tcBorders>
            <w:vAlign w:val="center"/>
          </w:tcPr>
          <w:p>
            <w:pPr>
              <w:jc w:val="center"/>
              <w:rPr>
                <w:bCs/>
                <w:szCs w:val="21"/>
              </w:rPr>
            </w:pPr>
            <w:r>
              <w:rPr>
                <w:bCs/>
                <w:szCs w:val="21"/>
              </w:rPr>
              <w:t>三级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16"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较敏感</w:t>
            </w:r>
          </w:p>
        </w:tc>
        <w:tc>
          <w:tcPr>
            <w:tcW w:w="398" w:type="pct"/>
            <w:tcBorders>
              <w:left w:val="single" w:color="auto" w:sz="6" w:space="0"/>
              <w:right w:val="single" w:color="auto" w:sz="6" w:space="0"/>
            </w:tcBorders>
            <w:vAlign w:val="center"/>
          </w:tcPr>
          <w:p>
            <w:pPr>
              <w:jc w:val="center"/>
              <w:rPr>
                <w:bCs/>
                <w:szCs w:val="21"/>
              </w:rPr>
            </w:pPr>
            <w:r>
              <w:rPr>
                <w:bCs/>
                <w:szCs w:val="21"/>
              </w:rPr>
              <w:t>一级</w:t>
            </w:r>
          </w:p>
        </w:tc>
        <w:tc>
          <w:tcPr>
            <w:tcW w:w="398" w:type="pct"/>
            <w:tcBorders>
              <w:left w:val="single" w:color="auto" w:sz="6" w:space="0"/>
              <w:right w:val="single" w:color="auto" w:sz="6" w:space="0"/>
            </w:tcBorders>
            <w:vAlign w:val="center"/>
          </w:tcPr>
          <w:p>
            <w:pPr>
              <w:jc w:val="center"/>
              <w:rPr>
                <w:bCs/>
                <w:szCs w:val="21"/>
              </w:rPr>
            </w:pPr>
            <w:r>
              <w:rPr>
                <w:bCs/>
                <w:szCs w:val="21"/>
              </w:rPr>
              <w:t>一级</w:t>
            </w:r>
          </w:p>
        </w:tc>
        <w:tc>
          <w:tcPr>
            <w:tcW w:w="400" w:type="pct"/>
            <w:tcBorders>
              <w:left w:val="single" w:color="auto" w:sz="6" w:space="0"/>
              <w:right w:val="single" w:color="auto" w:sz="6" w:space="0"/>
            </w:tcBorders>
            <w:vAlign w:val="center"/>
          </w:tcPr>
          <w:p>
            <w:pPr>
              <w:jc w:val="center"/>
              <w:rPr>
                <w:bCs/>
                <w:szCs w:val="21"/>
              </w:rPr>
            </w:pPr>
            <w:r>
              <w:rPr>
                <w:bCs/>
                <w:szCs w:val="21"/>
              </w:rPr>
              <w:t>二级</w:t>
            </w:r>
          </w:p>
        </w:tc>
        <w:tc>
          <w:tcPr>
            <w:tcW w:w="398" w:type="pct"/>
            <w:tcBorders>
              <w:left w:val="single" w:color="auto" w:sz="6" w:space="0"/>
              <w:right w:val="single" w:color="auto" w:sz="6" w:space="0"/>
            </w:tcBorders>
            <w:vAlign w:val="center"/>
          </w:tcPr>
          <w:p>
            <w:pPr>
              <w:jc w:val="center"/>
              <w:rPr>
                <w:bCs/>
                <w:szCs w:val="21"/>
              </w:rPr>
            </w:pPr>
            <w:r>
              <w:rPr>
                <w:bCs/>
                <w:szCs w:val="21"/>
              </w:rPr>
              <w:t>二级</w:t>
            </w:r>
          </w:p>
        </w:tc>
        <w:tc>
          <w:tcPr>
            <w:tcW w:w="398" w:type="pct"/>
            <w:tcBorders>
              <w:left w:val="single" w:color="auto" w:sz="6" w:space="0"/>
              <w:right w:val="single" w:color="auto" w:sz="6" w:space="0"/>
            </w:tcBorders>
            <w:vAlign w:val="center"/>
          </w:tcPr>
          <w:p>
            <w:pPr>
              <w:jc w:val="center"/>
              <w:rPr>
                <w:bCs/>
                <w:szCs w:val="21"/>
              </w:rPr>
            </w:pPr>
            <w:r>
              <w:rPr>
                <w:bCs/>
                <w:szCs w:val="21"/>
              </w:rPr>
              <w:t>二级</w:t>
            </w:r>
          </w:p>
        </w:tc>
        <w:tc>
          <w:tcPr>
            <w:tcW w:w="399" w:type="pct"/>
            <w:tcBorders>
              <w:left w:val="single" w:color="auto" w:sz="6" w:space="0"/>
              <w:right w:val="single" w:color="auto" w:sz="6" w:space="0"/>
            </w:tcBorders>
            <w:vAlign w:val="center"/>
          </w:tcPr>
          <w:p>
            <w:pPr>
              <w:jc w:val="center"/>
              <w:rPr>
                <w:bCs/>
                <w:szCs w:val="21"/>
              </w:rPr>
            </w:pPr>
            <w:r>
              <w:rPr>
                <w:bCs/>
                <w:szCs w:val="21"/>
              </w:rPr>
              <w:t>三级</w:t>
            </w:r>
          </w:p>
        </w:tc>
        <w:tc>
          <w:tcPr>
            <w:tcW w:w="398" w:type="pct"/>
            <w:tcBorders>
              <w:left w:val="single" w:color="auto" w:sz="6" w:space="0"/>
              <w:right w:val="single" w:color="auto" w:sz="6" w:space="0"/>
            </w:tcBorders>
            <w:vAlign w:val="center"/>
          </w:tcPr>
          <w:p>
            <w:pPr>
              <w:jc w:val="center"/>
              <w:rPr>
                <w:bCs/>
                <w:szCs w:val="21"/>
              </w:rPr>
            </w:pPr>
            <w:r>
              <w:rPr>
                <w:bCs/>
                <w:szCs w:val="21"/>
              </w:rPr>
              <w:t>三级</w:t>
            </w:r>
          </w:p>
        </w:tc>
        <w:tc>
          <w:tcPr>
            <w:tcW w:w="398" w:type="pct"/>
            <w:tcBorders>
              <w:left w:val="single" w:color="auto" w:sz="6" w:space="0"/>
              <w:right w:val="single" w:color="auto" w:sz="6" w:space="0"/>
            </w:tcBorders>
            <w:vAlign w:val="center"/>
          </w:tcPr>
          <w:p>
            <w:pPr>
              <w:jc w:val="center"/>
              <w:rPr>
                <w:bCs/>
                <w:szCs w:val="21"/>
              </w:rPr>
            </w:pPr>
            <w:r>
              <w:rPr>
                <w:bCs/>
                <w:szCs w:val="21"/>
              </w:rPr>
              <w:t>三级</w:t>
            </w:r>
          </w:p>
        </w:tc>
        <w:tc>
          <w:tcPr>
            <w:tcW w:w="397" w:type="pct"/>
            <w:tcBorders>
              <w:left w:val="single" w:color="auto" w:sz="6" w:space="0"/>
              <w:right w:val="single" w:color="auto" w:sz="6" w:space="0"/>
            </w:tcBorders>
            <w:vAlign w:val="center"/>
          </w:tcPr>
          <w:p>
            <w:pPr>
              <w:jc w:val="center"/>
              <w:rPr>
                <w:bCs/>
                <w:szCs w:val="21"/>
              </w:rPr>
            </w:pPr>
            <w:r>
              <w:rPr>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16"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不敏感</w:t>
            </w:r>
          </w:p>
        </w:tc>
        <w:tc>
          <w:tcPr>
            <w:tcW w:w="398" w:type="pct"/>
            <w:tcBorders>
              <w:left w:val="single" w:color="auto" w:sz="6" w:space="0"/>
              <w:right w:val="single" w:color="auto" w:sz="6" w:space="0"/>
            </w:tcBorders>
            <w:vAlign w:val="center"/>
          </w:tcPr>
          <w:p>
            <w:pPr>
              <w:jc w:val="center"/>
              <w:rPr>
                <w:bCs/>
                <w:szCs w:val="21"/>
              </w:rPr>
            </w:pPr>
            <w:r>
              <w:rPr>
                <w:bCs/>
                <w:szCs w:val="21"/>
              </w:rPr>
              <w:t>一级</w:t>
            </w:r>
          </w:p>
        </w:tc>
        <w:tc>
          <w:tcPr>
            <w:tcW w:w="398" w:type="pct"/>
            <w:tcBorders>
              <w:left w:val="single" w:color="auto" w:sz="6" w:space="0"/>
              <w:right w:val="single" w:color="auto" w:sz="6" w:space="0"/>
            </w:tcBorders>
            <w:vAlign w:val="center"/>
          </w:tcPr>
          <w:p>
            <w:pPr>
              <w:jc w:val="center"/>
              <w:rPr>
                <w:bCs/>
                <w:szCs w:val="21"/>
              </w:rPr>
            </w:pPr>
            <w:r>
              <w:rPr>
                <w:bCs/>
                <w:szCs w:val="21"/>
              </w:rPr>
              <w:t>二级</w:t>
            </w:r>
          </w:p>
        </w:tc>
        <w:tc>
          <w:tcPr>
            <w:tcW w:w="400" w:type="pct"/>
            <w:tcBorders>
              <w:left w:val="single" w:color="auto" w:sz="6" w:space="0"/>
              <w:right w:val="single" w:color="auto" w:sz="6" w:space="0"/>
            </w:tcBorders>
            <w:vAlign w:val="center"/>
          </w:tcPr>
          <w:p>
            <w:pPr>
              <w:jc w:val="center"/>
              <w:rPr>
                <w:bCs/>
                <w:szCs w:val="21"/>
              </w:rPr>
            </w:pPr>
            <w:r>
              <w:rPr>
                <w:bCs/>
                <w:szCs w:val="21"/>
              </w:rPr>
              <w:t>二级</w:t>
            </w:r>
          </w:p>
        </w:tc>
        <w:tc>
          <w:tcPr>
            <w:tcW w:w="398" w:type="pct"/>
            <w:tcBorders>
              <w:left w:val="single" w:color="auto" w:sz="6" w:space="0"/>
              <w:right w:val="single" w:color="auto" w:sz="6" w:space="0"/>
            </w:tcBorders>
            <w:vAlign w:val="center"/>
          </w:tcPr>
          <w:p>
            <w:pPr>
              <w:jc w:val="center"/>
              <w:rPr>
                <w:bCs/>
                <w:szCs w:val="21"/>
              </w:rPr>
            </w:pPr>
            <w:r>
              <w:rPr>
                <w:bCs/>
                <w:szCs w:val="21"/>
              </w:rPr>
              <w:t>二级</w:t>
            </w:r>
          </w:p>
        </w:tc>
        <w:tc>
          <w:tcPr>
            <w:tcW w:w="398" w:type="pct"/>
            <w:tcBorders>
              <w:left w:val="single" w:color="auto" w:sz="6" w:space="0"/>
              <w:right w:val="single" w:color="auto" w:sz="6" w:space="0"/>
            </w:tcBorders>
            <w:vAlign w:val="center"/>
          </w:tcPr>
          <w:p>
            <w:pPr>
              <w:jc w:val="center"/>
              <w:rPr>
                <w:bCs/>
                <w:szCs w:val="21"/>
              </w:rPr>
            </w:pPr>
            <w:r>
              <w:rPr>
                <w:bCs/>
                <w:szCs w:val="21"/>
              </w:rPr>
              <w:t>三级</w:t>
            </w:r>
          </w:p>
        </w:tc>
        <w:tc>
          <w:tcPr>
            <w:tcW w:w="399" w:type="pct"/>
            <w:tcBorders>
              <w:left w:val="single" w:color="auto" w:sz="6" w:space="0"/>
              <w:right w:val="single" w:color="auto" w:sz="6" w:space="0"/>
            </w:tcBorders>
            <w:vAlign w:val="center"/>
          </w:tcPr>
          <w:p>
            <w:pPr>
              <w:jc w:val="center"/>
              <w:rPr>
                <w:bCs/>
                <w:szCs w:val="21"/>
              </w:rPr>
            </w:pPr>
            <w:r>
              <w:rPr>
                <w:bCs/>
                <w:szCs w:val="21"/>
              </w:rPr>
              <w:t>三级</w:t>
            </w:r>
          </w:p>
        </w:tc>
        <w:tc>
          <w:tcPr>
            <w:tcW w:w="398" w:type="pct"/>
            <w:tcBorders>
              <w:left w:val="single" w:color="auto" w:sz="6" w:space="0"/>
              <w:right w:val="single" w:color="auto" w:sz="6" w:space="0"/>
            </w:tcBorders>
            <w:vAlign w:val="center"/>
          </w:tcPr>
          <w:p>
            <w:pPr>
              <w:jc w:val="center"/>
              <w:rPr>
                <w:bCs/>
                <w:szCs w:val="21"/>
              </w:rPr>
            </w:pPr>
            <w:r>
              <w:rPr>
                <w:bCs/>
                <w:szCs w:val="21"/>
              </w:rPr>
              <w:t>三级</w:t>
            </w:r>
          </w:p>
        </w:tc>
        <w:tc>
          <w:tcPr>
            <w:tcW w:w="398" w:type="pct"/>
            <w:tcBorders>
              <w:left w:val="single" w:color="auto" w:sz="6" w:space="0"/>
              <w:right w:val="single" w:color="auto" w:sz="6" w:space="0"/>
            </w:tcBorders>
            <w:vAlign w:val="center"/>
          </w:tcPr>
          <w:p>
            <w:pPr>
              <w:jc w:val="center"/>
              <w:rPr>
                <w:bCs/>
                <w:szCs w:val="21"/>
              </w:rPr>
            </w:pPr>
            <w:r>
              <w:rPr>
                <w:szCs w:val="21"/>
              </w:rPr>
              <w:t>—</w:t>
            </w:r>
          </w:p>
        </w:tc>
        <w:tc>
          <w:tcPr>
            <w:tcW w:w="397" w:type="pct"/>
            <w:tcBorders>
              <w:left w:val="single" w:color="auto" w:sz="6" w:space="0"/>
              <w:right w:val="single" w:color="auto" w:sz="6" w:space="0"/>
            </w:tcBorders>
            <w:vAlign w:val="center"/>
          </w:tcPr>
          <w:p>
            <w:pPr>
              <w:jc w:val="center"/>
              <w:rPr>
                <w:bCs/>
                <w:szCs w:val="21"/>
              </w:rPr>
            </w:pPr>
            <w:r>
              <w:rPr>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10"/>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注：“</w:t>
            </w:r>
            <w:r>
              <w:rPr>
                <w:szCs w:val="21"/>
              </w:rPr>
              <w:t>—</w:t>
            </w:r>
            <w:r>
              <w:rPr>
                <w:bCs/>
                <w:szCs w:val="21"/>
              </w:rPr>
              <w:t>”表示可不开展土壤环境影响评价工作。</w:t>
            </w:r>
          </w:p>
        </w:tc>
      </w:tr>
    </w:tbl>
    <w:p>
      <w:pPr>
        <w:spacing w:line="520" w:lineRule="exact"/>
        <w:ind w:firstLine="480" w:firstLineChars="200"/>
        <w:jc w:val="left"/>
        <w:rPr>
          <w:sz w:val="24"/>
        </w:rPr>
      </w:pPr>
      <w:r>
        <w:rPr>
          <w:sz w:val="24"/>
        </w:rPr>
        <w:t>综上所述，通过分析本项目属于土壤环境影响评价Ⅱ类项目，项目占地规模为中型，土壤环境敏感程度属于“敏感”，综合判断土壤环境影响评价等级为</w:t>
      </w:r>
      <w:r>
        <w:rPr>
          <w:rFonts w:hint="eastAsia"/>
          <w:sz w:val="24"/>
        </w:rPr>
        <w:t>二</w:t>
      </w:r>
      <w:r>
        <w:rPr>
          <w:sz w:val="24"/>
        </w:rPr>
        <w:t>级。</w:t>
      </w:r>
    </w:p>
    <w:p>
      <w:pPr>
        <w:spacing w:line="520" w:lineRule="exact"/>
        <w:ind w:firstLine="480" w:firstLineChars="200"/>
        <w:outlineLvl w:val="3"/>
        <w:rPr>
          <w:sz w:val="24"/>
        </w:rPr>
      </w:pPr>
      <w:r>
        <w:rPr>
          <w:sz w:val="24"/>
        </w:rPr>
        <w:t>（6）环境风险评价等级</w:t>
      </w:r>
    </w:p>
    <w:p>
      <w:pPr>
        <w:spacing w:line="520" w:lineRule="exact"/>
        <w:ind w:firstLine="480" w:firstLineChars="200"/>
        <w:jc w:val="left"/>
        <w:rPr>
          <w:sz w:val="24"/>
        </w:rPr>
      </w:pPr>
      <w:r>
        <w:rPr>
          <w:sz w:val="24"/>
        </w:rPr>
        <w:t>按照《建设项目环境风险评价技术导则》（HJ 169-2018），环境风险评价等级划分为一级、二级、三级及简单分析。</w:t>
      </w:r>
    </w:p>
    <w:p>
      <w:pPr>
        <w:spacing w:line="520" w:lineRule="exact"/>
        <w:ind w:firstLine="480" w:firstLineChars="200"/>
        <w:jc w:val="left"/>
        <w:rPr>
          <w:sz w:val="24"/>
        </w:rPr>
      </w:pPr>
      <w:r>
        <w:rPr>
          <w:rFonts w:hint="eastAsia"/>
          <w:sz w:val="24"/>
        </w:rPr>
        <w:t>本项目</w:t>
      </w:r>
      <w:r>
        <w:rPr>
          <w:sz w:val="24"/>
        </w:rPr>
        <w:t>物质总量与临界量比值：Q=0.5766＜1</w:t>
      </w:r>
      <w:r>
        <w:rPr>
          <w:rFonts w:hint="eastAsia"/>
          <w:sz w:val="24"/>
        </w:rPr>
        <w:t>，</w:t>
      </w:r>
      <w:r>
        <w:rPr>
          <w:sz w:val="24"/>
        </w:rPr>
        <w:t>因此，</w:t>
      </w:r>
      <w:r>
        <w:rPr>
          <w:rFonts w:hint="eastAsia"/>
          <w:sz w:val="24"/>
        </w:rPr>
        <w:t>本项目环境风险潜势为</w:t>
      </w:r>
      <w:r>
        <w:rPr>
          <w:sz w:val="24"/>
        </w:rPr>
        <w:t>Ⅰ</w:t>
      </w:r>
      <w:r>
        <w:rPr>
          <w:rFonts w:hint="eastAsia"/>
          <w:sz w:val="24"/>
        </w:rPr>
        <w:t>，故</w:t>
      </w:r>
      <w:r>
        <w:rPr>
          <w:sz w:val="24"/>
        </w:rPr>
        <w:t>本项目风险评价等级为</w:t>
      </w:r>
      <w:r>
        <w:rPr>
          <w:rFonts w:hint="eastAsia"/>
          <w:sz w:val="24"/>
        </w:rPr>
        <w:t>简单分析</w:t>
      </w:r>
      <w:r>
        <w:rPr>
          <w:sz w:val="24"/>
        </w:rPr>
        <w:t>。</w:t>
      </w:r>
    </w:p>
    <w:p>
      <w:pPr>
        <w:spacing w:line="520" w:lineRule="exact"/>
        <w:ind w:firstLine="480" w:firstLineChars="200"/>
        <w:outlineLvl w:val="3"/>
        <w:rPr>
          <w:sz w:val="24"/>
        </w:rPr>
      </w:pPr>
      <w:r>
        <w:rPr>
          <w:sz w:val="24"/>
        </w:rPr>
        <w:t>（7）</w:t>
      </w:r>
      <w:r>
        <w:rPr>
          <w:rFonts w:hint="eastAsia"/>
          <w:sz w:val="24"/>
        </w:rPr>
        <w:t>生态环境评价等级</w:t>
      </w:r>
    </w:p>
    <w:p>
      <w:pPr>
        <w:spacing w:line="520" w:lineRule="exact"/>
        <w:ind w:firstLine="480" w:firstLineChars="200"/>
        <w:jc w:val="left"/>
        <w:rPr>
          <w:sz w:val="24"/>
        </w:rPr>
      </w:pPr>
      <w:r>
        <w:rPr>
          <w:sz w:val="24"/>
        </w:rPr>
        <w:t>项目所在地</w:t>
      </w:r>
      <w:r>
        <w:rPr>
          <w:rFonts w:hint="eastAsia"/>
          <w:sz w:val="24"/>
        </w:rPr>
        <w:t>用地性质</w:t>
      </w:r>
      <w:r>
        <w:rPr>
          <w:sz w:val="24"/>
        </w:rPr>
        <w:t>为</w:t>
      </w:r>
      <w:r>
        <w:rPr>
          <w:rFonts w:hint="eastAsia"/>
          <w:sz w:val="24"/>
        </w:rPr>
        <w:t>工业用地，</w:t>
      </w:r>
      <w:r>
        <w:rPr>
          <w:sz w:val="24"/>
        </w:rPr>
        <w:t>占地</w:t>
      </w:r>
      <w:r>
        <w:rPr>
          <w:rFonts w:hint="eastAsia"/>
          <w:sz w:val="24"/>
        </w:rPr>
        <w:t>1</w:t>
      </w:r>
      <w:r>
        <w:rPr>
          <w:sz w:val="24"/>
        </w:rPr>
        <w:t>14.45</w:t>
      </w:r>
      <w:r>
        <w:rPr>
          <w:rFonts w:hint="eastAsia"/>
          <w:sz w:val="24"/>
        </w:rPr>
        <w:t>亩（7</w:t>
      </w:r>
      <w:r>
        <w:rPr>
          <w:sz w:val="24"/>
        </w:rPr>
        <w:t>6300m</w:t>
      </w:r>
      <w:r>
        <w:rPr>
          <w:sz w:val="24"/>
          <w:vertAlign w:val="superscript"/>
        </w:rPr>
        <w:t>2</w:t>
      </w:r>
      <w:r>
        <w:rPr>
          <w:rFonts w:hint="eastAsia"/>
          <w:sz w:val="24"/>
        </w:rPr>
        <w:t>）</w:t>
      </w:r>
      <w:r>
        <w:rPr>
          <w:sz w:val="24"/>
        </w:rPr>
        <w:t>，根据《环境影响评价技术导则生态影响》（HJ19－20</w:t>
      </w:r>
      <w:r>
        <w:rPr>
          <w:rFonts w:hint="eastAsia"/>
          <w:sz w:val="24"/>
        </w:rPr>
        <w:t>22</w:t>
      </w:r>
      <w:r>
        <w:rPr>
          <w:sz w:val="24"/>
        </w:rPr>
        <w:t>），</w:t>
      </w:r>
      <w:r>
        <w:rPr>
          <w:rFonts w:hint="eastAsia"/>
          <w:sz w:val="24"/>
        </w:rPr>
        <w:t>应按以下原则确定评价等级：</w:t>
      </w:r>
    </w:p>
    <w:p>
      <w:pPr>
        <w:spacing w:line="520" w:lineRule="exact"/>
        <w:ind w:firstLine="480" w:firstLineChars="200"/>
        <w:jc w:val="left"/>
        <w:rPr>
          <w:sz w:val="24"/>
        </w:rPr>
      </w:pPr>
      <w:r>
        <w:rPr>
          <w:rFonts w:hint="eastAsia"/>
          <w:sz w:val="24"/>
        </w:rPr>
        <w:t xml:space="preserve">a）涉及国家公园、自然保护区、世界自然遗产、重要生境时，评价等级为一级； </w:t>
      </w:r>
    </w:p>
    <w:p>
      <w:pPr>
        <w:spacing w:line="520" w:lineRule="exact"/>
        <w:ind w:firstLine="480" w:firstLineChars="200"/>
        <w:jc w:val="left"/>
        <w:rPr>
          <w:sz w:val="24"/>
        </w:rPr>
      </w:pPr>
      <w:r>
        <w:rPr>
          <w:rFonts w:hint="eastAsia"/>
          <w:sz w:val="24"/>
        </w:rPr>
        <w:t>b）涉及自然公园时，评价等级为二级；</w:t>
      </w:r>
    </w:p>
    <w:p>
      <w:pPr>
        <w:spacing w:line="520" w:lineRule="exact"/>
        <w:ind w:firstLine="480" w:firstLineChars="200"/>
        <w:jc w:val="left"/>
        <w:rPr>
          <w:sz w:val="24"/>
        </w:rPr>
      </w:pPr>
      <w:r>
        <w:rPr>
          <w:rFonts w:hint="eastAsia"/>
          <w:sz w:val="24"/>
        </w:rPr>
        <w:t>c）涉及生态保护红线时，评价等级不低于二级；</w:t>
      </w:r>
    </w:p>
    <w:p>
      <w:pPr>
        <w:spacing w:line="520" w:lineRule="exact"/>
        <w:ind w:firstLine="480" w:firstLineChars="200"/>
        <w:jc w:val="left"/>
        <w:rPr>
          <w:sz w:val="24"/>
        </w:rPr>
      </w:pPr>
      <w:r>
        <w:rPr>
          <w:rFonts w:hint="eastAsia"/>
          <w:sz w:val="24"/>
        </w:rPr>
        <w:t>d）根据 HJ 2.3 判断属于水文要素影响型且地表水评价等级不低于二级的建设项目，生态影响评价等级不低于二级；</w:t>
      </w:r>
    </w:p>
    <w:p>
      <w:pPr>
        <w:spacing w:line="520" w:lineRule="exact"/>
        <w:ind w:firstLine="480" w:firstLineChars="200"/>
        <w:jc w:val="left"/>
        <w:rPr>
          <w:sz w:val="24"/>
        </w:rPr>
      </w:pPr>
      <w:r>
        <w:rPr>
          <w:rFonts w:hint="eastAsia"/>
          <w:sz w:val="24"/>
        </w:rPr>
        <w:t>e） 根据 HJ 610、HJ 964 判断地下水水位或土壤影响范围内分布有天然林、公益林、湿地等生态保护目标的建设项目，生态影响评价等级不低于二级；</w:t>
      </w:r>
    </w:p>
    <w:p>
      <w:pPr>
        <w:spacing w:line="520" w:lineRule="exact"/>
        <w:ind w:firstLine="480" w:firstLineChars="200"/>
        <w:jc w:val="left"/>
        <w:rPr>
          <w:sz w:val="24"/>
        </w:rPr>
      </w:pPr>
      <w:r>
        <w:rPr>
          <w:rFonts w:hint="eastAsia"/>
          <w:sz w:val="24"/>
        </w:rPr>
        <w:t>f） 当工程占地规模大于20km</w:t>
      </w:r>
      <w:r>
        <w:rPr>
          <w:rFonts w:hint="eastAsia"/>
          <w:sz w:val="24"/>
          <w:vertAlign w:val="superscript"/>
        </w:rPr>
        <w:t>2</w:t>
      </w:r>
      <w:r>
        <w:rPr>
          <w:rFonts w:hint="eastAsia"/>
          <w:sz w:val="24"/>
        </w:rPr>
        <w:t>时（包括永久和临时占用陆域和水域），评价等级不低于二级；改扩建项目的占地范围以新增占地（包括陆域和水域）确定；生态影响评价工作等级为三级。</w:t>
      </w:r>
    </w:p>
    <w:p>
      <w:pPr>
        <w:spacing w:line="520" w:lineRule="exact"/>
        <w:ind w:firstLine="480" w:firstLineChars="200"/>
        <w:jc w:val="left"/>
        <w:rPr>
          <w:sz w:val="24"/>
        </w:rPr>
      </w:pPr>
      <w:r>
        <w:rPr>
          <w:rFonts w:hint="eastAsia"/>
          <w:sz w:val="24"/>
        </w:rPr>
        <w:t>g） 除本条a）、b）、c）、d）、e）、f）以外的情况，评价等级为三级；</w:t>
      </w:r>
    </w:p>
    <w:p>
      <w:pPr>
        <w:spacing w:line="520" w:lineRule="exact"/>
        <w:ind w:firstLine="480" w:firstLineChars="200"/>
        <w:jc w:val="left"/>
        <w:rPr>
          <w:sz w:val="24"/>
        </w:rPr>
      </w:pPr>
      <w:r>
        <w:rPr>
          <w:rFonts w:hint="eastAsia"/>
          <w:sz w:val="24"/>
        </w:rPr>
        <w:t>本项目不涉及a）、b）、c）、d）、e）、f），属于g）的情况，故评价等级为三级。</w:t>
      </w:r>
    </w:p>
    <w:p>
      <w:pPr>
        <w:spacing w:line="520" w:lineRule="exact"/>
        <w:ind w:firstLine="480" w:firstLineChars="200"/>
        <w:outlineLvl w:val="3"/>
        <w:rPr>
          <w:sz w:val="24"/>
        </w:rPr>
      </w:pPr>
      <w:r>
        <w:rPr>
          <w:rFonts w:hint="eastAsia"/>
          <w:sz w:val="24"/>
        </w:rPr>
        <w:t>（8）</w:t>
      </w:r>
      <w:r>
        <w:rPr>
          <w:sz w:val="24"/>
        </w:rPr>
        <w:t>汇总</w:t>
      </w:r>
    </w:p>
    <w:p>
      <w:pPr>
        <w:spacing w:line="520" w:lineRule="exact"/>
        <w:ind w:firstLine="480" w:firstLineChars="200"/>
        <w:jc w:val="left"/>
        <w:rPr>
          <w:sz w:val="24"/>
        </w:rPr>
      </w:pPr>
      <w:r>
        <w:rPr>
          <w:sz w:val="24"/>
        </w:rPr>
        <w:t>综上所述，本工程各专题评价等级汇总情况，见表2.6-11。</w:t>
      </w:r>
    </w:p>
    <w:p>
      <w:pPr>
        <w:tabs>
          <w:tab w:val="left" w:pos="4620"/>
        </w:tabs>
        <w:adjustRightInd w:val="0"/>
        <w:snapToGrid w:val="0"/>
        <w:spacing w:line="520" w:lineRule="exact"/>
        <w:ind w:firstLine="480"/>
        <w:rPr>
          <w:rFonts w:eastAsia="黑体"/>
          <w:sz w:val="24"/>
          <w:szCs w:val="20"/>
        </w:rPr>
      </w:pPr>
      <w:r>
        <w:rPr>
          <w:rFonts w:eastAsia="黑体"/>
          <w:sz w:val="24"/>
          <w:szCs w:val="20"/>
        </w:rPr>
        <w:t>表2.6-11             拟建项目各专题评价等级一览表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991"/>
        <w:gridCol w:w="1134"/>
        <w:gridCol w:w="1134"/>
        <w:gridCol w:w="1134"/>
        <w:gridCol w:w="991"/>
        <w:gridCol w:w="1159"/>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类别</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大气</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地表水</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地下水</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土壤</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b/>
                <w:bCs/>
                <w:szCs w:val="21"/>
                <w:highlight w:val="yellow"/>
              </w:rPr>
            </w:pPr>
            <w:r>
              <w:rPr>
                <w:b/>
                <w:bCs/>
                <w:szCs w:val="21"/>
              </w:rPr>
              <w:t>声</w:t>
            </w:r>
          </w:p>
        </w:tc>
        <w:tc>
          <w:tcPr>
            <w:tcW w:w="647" w:type="pct"/>
            <w:tcBorders>
              <w:top w:val="single" w:color="auto" w:sz="4" w:space="0"/>
              <w:left w:val="single" w:color="auto" w:sz="4" w:space="0"/>
              <w:right w:val="single" w:color="auto" w:sz="4" w:space="0"/>
            </w:tcBorders>
            <w:vAlign w:val="center"/>
          </w:tcPr>
          <w:p>
            <w:pPr>
              <w:jc w:val="center"/>
              <w:rPr>
                <w:b/>
                <w:bCs/>
                <w:szCs w:val="21"/>
              </w:rPr>
            </w:pPr>
            <w:r>
              <w:rPr>
                <w:b/>
                <w:bCs/>
                <w:szCs w:val="21"/>
              </w:rPr>
              <w:t>风险评价</w:t>
            </w:r>
          </w:p>
        </w:tc>
        <w:tc>
          <w:tcPr>
            <w:tcW w:w="648" w:type="pct"/>
            <w:tcBorders>
              <w:top w:val="single" w:color="auto" w:sz="4" w:space="0"/>
              <w:left w:val="single" w:color="auto" w:sz="4" w:space="0"/>
              <w:right w:val="single" w:color="auto" w:sz="4" w:space="0"/>
            </w:tcBorders>
            <w:vAlign w:val="center"/>
          </w:tcPr>
          <w:p>
            <w:pPr>
              <w:jc w:val="center"/>
              <w:rPr>
                <w:b/>
                <w:bCs/>
                <w:szCs w:val="21"/>
              </w:rPr>
            </w:pPr>
            <w:r>
              <w:rPr>
                <w:rFonts w:hint="eastAsia"/>
                <w:b/>
                <w:bCs/>
                <w:szCs w:val="21"/>
              </w:rPr>
              <w:t>生态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评价等级</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二</w:t>
            </w:r>
            <w:r>
              <w:rPr>
                <w:szCs w:val="21"/>
              </w:rPr>
              <w:t>级</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三级B</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一</w:t>
            </w:r>
            <w:r>
              <w:rPr>
                <w:szCs w:val="21"/>
              </w:rPr>
              <w:t>级</w:t>
            </w:r>
          </w:p>
        </w:tc>
        <w:tc>
          <w:tcPr>
            <w:tcW w:w="63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二</w:t>
            </w:r>
            <w:r>
              <w:rPr>
                <w:szCs w:val="21"/>
              </w:rPr>
              <w:t>级</w:t>
            </w:r>
          </w:p>
        </w:tc>
        <w:tc>
          <w:tcPr>
            <w:tcW w:w="554" w:type="pct"/>
            <w:tcBorders>
              <w:top w:val="single" w:color="auto" w:sz="4" w:space="0"/>
              <w:left w:val="single" w:color="auto" w:sz="4" w:space="0"/>
              <w:bottom w:val="single" w:color="auto" w:sz="4" w:space="0"/>
              <w:right w:val="single" w:color="auto" w:sz="4" w:space="0"/>
            </w:tcBorders>
            <w:vAlign w:val="center"/>
          </w:tcPr>
          <w:p>
            <w:pPr>
              <w:jc w:val="center"/>
              <w:rPr>
                <w:szCs w:val="21"/>
                <w:highlight w:val="yellow"/>
              </w:rPr>
            </w:pPr>
            <w:r>
              <w:rPr>
                <w:szCs w:val="21"/>
              </w:rPr>
              <w:t>三级</w:t>
            </w:r>
          </w:p>
        </w:tc>
        <w:tc>
          <w:tcPr>
            <w:tcW w:w="647"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简单分析</w:t>
            </w:r>
          </w:p>
        </w:tc>
        <w:tc>
          <w:tcPr>
            <w:tcW w:w="648"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三级</w:t>
            </w:r>
          </w:p>
        </w:tc>
      </w:tr>
    </w:tbl>
    <w:p>
      <w:pPr>
        <w:keepNext/>
        <w:keepLines/>
        <w:spacing w:line="520" w:lineRule="exact"/>
        <w:outlineLvl w:val="2"/>
        <w:rPr>
          <w:rFonts w:eastAsia="黑体"/>
          <w:bCs/>
          <w:sz w:val="28"/>
          <w:szCs w:val="28"/>
        </w:rPr>
      </w:pPr>
      <w:r>
        <w:rPr>
          <w:rFonts w:eastAsia="黑体"/>
          <w:bCs/>
          <w:sz w:val="28"/>
          <w:szCs w:val="28"/>
        </w:rPr>
        <w:t>2.6.2 评价范围</w:t>
      </w:r>
    </w:p>
    <w:p>
      <w:pPr>
        <w:spacing w:line="520" w:lineRule="exact"/>
        <w:ind w:firstLine="480" w:firstLineChars="200"/>
        <w:jc w:val="left"/>
        <w:rPr>
          <w:rFonts w:eastAsia="黑体"/>
          <w:kern w:val="0"/>
          <w:sz w:val="24"/>
          <w:szCs w:val="24"/>
        </w:rPr>
      </w:pPr>
      <w:r>
        <w:rPr>
          <w:sz w:val="24"/>
        </w:rPr>
        <w:t>根据建设项目污染物排放特点及当地气象条件、自然环境状况，确定各环境要素评价范围见表2.6-12。</w:t>
      </w:r>
    </w:p>
    <w:p>
      <w:pPr>
        <w:adjustRightInd w:val="0"/>
        <w:spacing w:line="360" w:lineRule="auto"/>
        <w:ind w:firstLine="600" w:firstLineChars="250"/>
        <w:rPr>
          <w:rFonts w:eastAsia="黑体"/>
          <w:kern w:val="0"/>
          <w:sz w:val="24"/>
          <w:szCs w:val="24"/>
        </w:rPr>
      </w:pPr>
      <w:r>
        <w:rPr>
          <w:rFonts w:eastAsia="黑体"/>
          <w:kern w:val="0"/>
          <w:sz w:val="24"/>
          <w:szCs w:val="24"/>
        </w:rPr>
        <w:t>表2.6-12         工程各环境因素评价范围一览表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27"/>
        <w:gridCol w:w="7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bCs/>
                <w:szCs w:val="21"/>
              </w:rPr>
            </w:pPr>
            <w:r>
              <w:rPr>
                <w:b/>
                <w:bCs/>
                <w:szCs w:val="21"/>
              </w:rPr>
              <w:t>环境要素</w:t>
            </w:r>
          </w:p>
        </w:tc>
        <w:tc>
          <w:tcPr>
            <w:tcW w:w="4074"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b/>
                <w:bCs/>
                <w:szCs w:val="21"/>
                <w:highlight w:val="yellow"/>
              </w:rPr>
            </w:pPr>
            <w:r>
              <w:rPr>
                <w:b/>
                <w:bCs/>
                <w:szCs w:val="21"/>
              </w:rPr>
              <w:t>调查、评价范围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szCs w:val="21"/>
              </w:rPr>
              <w:t>环境空气</w:t>
            </w:r>
          </w:p>
        </w:tc>
        <w:tc>
          <w:tcPr>
            <w:tcW w:w="4074" w:type="pct"/>
            <w:tcBorders>
              <w:top w:val="single" w:color="auto" w:sz="4" w:space="0"/>
              <w:left w:val="single" w:color="auto" w:sz="4" w:space="0"/>
              <w:bottom w:val="single" w:color="auto" w:sz="4" w:space="0"/>
              <w:right w:val="single" w:color="auto" w:sz="4" w:space="0"/>
            </w:tcBorders>
            <w:vAlign w:val="center"/>
          </w:tcPr>
          <w:p>
            <w:pPr>
              <w:spacing w:line="400" w:lineRule="exact"/>
              <w:ind w:firstLine="464"/>
              <w:jc w:val="center"/>
              <w:rPr>
                <w:szCs w:val="21"/>
                <w:highlight w:val="yellow"/>
              </w:rPr>
            </w:pPr>
            <w:r>
              <w:rPr>
                <w:bCs/>
                <w:spacing w:val="-4"/>
                <w:szCs w:val="21"/>
              </w:rPr>
              <w:t>工程厂址中心为，向东、西、南、北各延伸2.5km的矩形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szCs w:val="21"/>
              </w:rPr>
              <w:t>地表水环境</w:t>
            </w:r>
          </w:p>
        </w:tc>
        <w:tc>
          <w:tcPr>
            <w:tcW w:w="4074"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highlight w:val="yellow"/>
              </w:rPr>
            </w:pPr>
            <w:r>
              <w:rPr>
                <w:szCs w:val="21"/>
              </w:rPr>
              <w:t>主要进行废水纳管依托污水处理设施环境可行性分析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szCs w:val="21"/>
              </w:rPr>
              <w:t>地下水环境</w:t>
            </w:r>
          </w:p>
        </w:tc>
        <w:tc>
          <w:tcPr>
            <w:tcW w:w="4074"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highlight w:val="yellow"/>
              </w:rPr>
            </w:pPr>
            <w:r>
              <w:t>厂区及周边，</w:t>
            </w:r>
            <w:r>
              <w:rPr>
                <w:rFonts w:hint="eastAsia"/>
              </w:rPr>
              <w:t>东北侧</w:t>
            </w:r>
            <w:r>
              <w:t>2.73</w:t>
            </w:r>
            <w:r>
              <w:rPr>
                <w:rFonts w:hint="eastAsia"/>
              </w:rPr>
              <w:t>km西南文岩渠至刘秀王庄村西关排一线</w:t>
            </w:r>
            <w:r>
              <w:t>，厂界</w:t>
            </w:r>
            <w:r>
              <w:rPr>
                <w:rFonts w:hint="eastAsia"/>
              </w:rPr>
              <w:t>上游</w:t>
            </w:r>
            <w:r>
              <w:t>西南侧</w:t>
            </w:r>
            <w:r>
              <w:rPr>
                <w:rFonts w:hint="eastAsia"/>
              </w:rPr>
              <w:t>的天然二支渠一线</w:t>
            </w:r>
            <w:r>
              <w:t>，</w:t>
            </w:r>
            <w:r>
              <w:rPr>
                <w:rFonts w:hint="eastAsia"/>
              </w:rPr>
              <w:t>厂界西侧新一干灌渠和西北侧文岩渠一线</w:t>
            </w:r>
            <w:r>
              <w:t>，</w:t>
            </w:r>
            <w:r>
              <w:rPr>
                <w:rFonts w:hint="eastAsia"/>
              </w:rPr>
              <w:t>厂界东南侧西关排一线，总调查面积为</w:t>
            </w:r>
            <w:r>
              <w:t>34.2</w:t>
            </w:r>
            <w:r>
              <w:rPr>
                <w:rFonts w:hint="eastAsia"/>
              </w:rPr>
              <w:t>km</w:t>
            </w:r>
            <w:r>
              <w:rPr>
                <w:rFonts w:hint="eastAsia"/>
                <w:vertAlign w:val="superscript"/>
              </w:rPr>
              <w:t>2</w:t>
            </w:r>
            <w:r>
              <w:rPr>
                <w:szCs w:val="21"/>
              </w:rPr>
              <w:t>的水文地质单元范围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szCs w:val="21"/>
              </w:rPr>
              <w:t>声环境</w:t>
            </w:r>
          </w:p>
        </w:tc>
        <w:tc>
          <w:tcPr>
            <w:tcW w:w="4074"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highlight w:val="yellow"/>
              </w:rPr>
            </w:pPr>
            <w:r>
              <w:rPr>
                <w:spacing w:val="-4"/>
                <w:szCs w:val="21"/>
              </w:rPr>
              <w:t>厂界外200米范围内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szCs w:val="21"/>
              </w:rPr>
              <w:t>土壤</w:t>
            </w:r>
          </w:p>
        </w:tc>
        <w:tc>
          <w:tcPr>
            <w:tcW w:w="4074"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highlight w:val="yellow"/>
              </w:rPr>
            </w:pPr>
            <w:r>
              <w:rPr>
                <w:szCs w:val="21"/>
              </w:rPr>
              <w:t>厂址及厂界外200m范围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2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szCs w:val="21"/>
              </w:rPr>
            </w:pPr>
            <w:r>
              <w:rPr>
                <w:szCs w:val="21"/>
              </w:rPr>
              <w:t>环境风险</w:t>
            </w:r>
          </w:p>
        </w:tc>
        <w:tc>
          <w:tcPr>
            <w:tcW w:w="407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kern w:val="0"/>
                <w:szCs w:val="21"/>
              </w:rPr>
            </w:pPr>
            <w:r>
              <w:rPr>
                <w:rFonts w:hint="eastAsia"/>
                <w:kern w:val="0"/>
                <w:szCs w:val="21"/>
              </w:rPr>
              <w:t>/</w:t>
            </w:r>
          </w:p>
        </w:tc>
      </w:tr>
    </w:tbl>
    <w:p>
      <w:pPr>
        <w:keepNext/>
        <w:keepLines/>
        <w:spacing w:line="520" w:lineRule="exact"/>
        <w:outlineLvl w:val="1"/>
        <w:rPr>
          <w:rFonts w:eastAsia="黑体"/>
          <w:bCs/>
          <w:sz w:val="28"/>
          <w:szCs w:val="28"/>
          <w:lang w:val="zh-CN"/>
        </w:rPr>
      </w:pPr>
      <w:bookmarkStart w:id="40" w:name="_Toc31558"/>
      <w:r>
        <w:rPr>
          <w:rFonts w:eastAsia="黑体"/>
          <w:bCs/>
          <w:sz w:val="28"/>
          <w:szCs w:val="28"/>
          <w:lang w:val="zh-CN"/>
        </w:rPr>
        <w:t>2.7 环境敏感目标</w:t>
      </w:r>
      <w:bookmarkEnd w:id="40"/>
    </w:p>
    <w:p>
      <w:pPr>
        <w:spacing w:line="520" w:lineRule="exact"/>
        <w:ind w:firstLine="480" w:firstLineChars="200"/>
        <w:rPr>
          <w:sz w:val="24"/>
          <w:szCs w:val="24"/>
        </w:rPr>
      </w:pPr>
      <w:r>
        <w:rPr>
          <w:sz w:val="24"/>
          <w:szCs w:val="24"/>
        </w:rPr>
        <w:t>根据现场勘查情况，本项目位于</w:t>
      </w:r>
      <w:r>
        <w:rPr>
          <w:rFonts w:hint="eastAsia"/>
          <w:sz w:val="24"/>
          <w:szCs w:val="24"/>
        </w:rPr>
        <w:t>原阳县</w:t>
      </w:r>
      <w:r>
        <w:rPr>
          <w:sz w:val="24"/>
          <w:szCs w:val="24"/>
        </w:rPr>
        <w:t>产业集聚区</w:t>
      </w:r>
      <w:r>
        <w:rPr>
          <w:rFonts w:hint="eastAsia"/>
          <w:sz w:val="24"/>
          <w:szCs w:val="24"/>
        </w:rPr>
        <w:t>，</w:t>
      </w:r>
      <w:r>
        <w:rPr>
          <w:sz w:val="24"/>
          <w:szCs w:val="24"/>
        </w:rPr>
        <w:t>项目厂址周边主要环境保护目标见表2.7-1。</w:t>
      </w:r>
    </w:p>
    <w:p>
      <w:pPr>
        <w:spacing w:line="520" w:lineRule="exact"/>
        <w:ind w:firstLine="480" w:firstLineChars="200"/>
        <w:rPr>
          <w:rFonts w:eastAsia="黑体"/>
          <w:sz w:val="24"/>
          <w:szCs w:val="20"/>
        </w:rPr>
      </w:pPr>
      <w:r>
        <w:rPr>
          <w:rFonts w:eastAsia="黑体"/>
          <w:sz w:val="24"/>
          <w:szCs w:val="20"/>
        </w:rPr>
        <w:t>表2.7-1                环境保护目标一览表</w:t>
      </w:r>
    </w:p>
    <w:tbl>
      <w:tblPr>
        <w:tblStyle w:val="49"/>
        <w:tblpPr w:leftFromText="180" w:rightFromText="180" w:vertAnchor="text" w:tblpXSpec="center" w:tblpY="1"/>
        <w:tblOverlap w:val="neve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736"/>
        <w:gridCol w:w="1986"/>
        <w:gridCol w:w="708"/>
        <w:gridCol w:w="993"/>
        <w:gridCol w:w="850"/>
        <w:gridCol w:w="1543"/>
        <w:gridCol w:w="1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tcBorders>
              <w:top w:val="single" w:color="auto" w:sz="4" w:space="0"/>
              <w:left w:val="single" w:color="000000" w:sz="4" w:space="0"/>
              <w:bottom w:val="single" w:color="000000" w:sz="4" w:space="0"/>
              <w:right w:val="single" w:color="000000" w:sz="4" w:space="0"/>
            </w:tcBorders>
            <w:vAlign w:val="center"/>
          </w:tcPr>
          <w:p>
            <w:pPr>
              <w:snapToGrid w:val="0"/>
              <w:jc w:val="center"/>
              <w:rPr>
                <w:b/>
                <w:bCs/>
                <w:kern w:val="0"/>
                <w:szCs w:val="21"/>
              </w:rPr>
            </w:pPr>
            <w:r>
              <w:rPr>
                <w:b/>
                <w:bCs/>
                <w:kern w:val="0"/>
                <w:szCs w:val="21"/>
              </w:rPr>
              <w:t>环境要素</w:t>
            </w:r>
          </w:p>
        </w:tc>
        <w:tc>
          <w:tcPr>
            <w:tcW w:w="1130" w:type="pct"/>
            <w:tcBorders>
              <w:top w:val="single" w:color="auto" w:sz="4" w:space="0"/>
              <w:left w:val="single" w:color="000000" w:sz="4" w:space="0"/>
              <w:bottom w:val="single" w:color="000000" w:sz="4" w:space="0"/>
              <w:right w:val="single" w:color="000000" w:sz="4" w:space="0"/>
            </w:tcBorders>
            <w:vAlign w:val="center"/>
          </w:tcPr>
          <w:p>
            <w:pPr>
              <w:widowControl/>
              <w:snapToGrid w:val="0"/>
              <w:jc w:val="center"/>
              <w:rPr>
                <w:b/>
                <w:bCs/>
                <w:kern w:val="0"/>
                <w:szCs w:val="21"/>
              </w:rPr>
            </w:pPr>
            <w:r>
              <w:rPr>
                <w:b/>
                <w:bCs/>
                <w:kern w:val="0"/>
                <w:szCs w:val="21"/>
              </w:rPr>
              <w:t>名称</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b/>
                <w:bCs/>
                <w:kern w:val="0"/>
                <w:szCs w:val="21"/>
              </w:rPr>
            </w:pPr>
            <w:r>
              <w:rPr>
                <w:b/>
                <w:bCs/>
                <w:kern w:val="0"/>
                <w:szCs w:val="21"/>
              </w:rPr>
              <w:t>相对</w:t>
            </w:r>
          </w:p>
          <w:p>
            <w:pPr>
              <w:widowControl/>
              <w:snapToGrid w:val="0"/>
              <w:jc w:val="center"/>
              <w:rPr>
                <w:b/>
                <w:bCs/>
                <w:kern w:val="0"/>
                <w:szCs w:val="21"/>
              </w:rPr>
            </w:pPr>
            <w:r>
              <w:rPr>
                <w:b/>
                <w:bCs/>
                <w:kern w:val="0"/>
                <w:szCs w:val="21"/>
              </w:rPr>
              <w:t>方位</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b/>
                <w:bCs/>
                <w:kern w:val="0"/>
                <w:szCs w:val="21"/>
              </w:rPr>
            </w:pPr>
            <w:r>
              <w:rPr>
                <w:b/>
                <w:bCs/>
                <w:kern w:val="0"/>
                <w:szCs w:val="21"/>
              </w:rPr>
              <w:t>距厂界距离（m）</w:t>
            </w:r>
          </w:p>
        </w:tc>
        <w:tc>
          <w:tcPr>
            <w:tcW w:w="484"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b/>
                <w:bCs/>
                <w:kern w:val="0"/>
                <w:szCs w:val="21"/>
              </w:rPr>
            </w:pPr>
            <w:r>
              <w:rPr>
                <w:b/>
                <w:bCs/>
                <w:kern w:val="0"/>
                <w:szCs w:val="21"/>
              </w:rPr>
              <w:t>人口</w:t>
            </w:r>
          </w:p>
        </w:tc>
        <w:tc>
          <w:tcPr>
            <w:tcW w:w="878" w:type="pct"/>
            <w:tcBorders>
              <w:top w:val="single" w:color="auto" w:sz="4" w:space="0"/>
              <w:left w:val="single" w:color="000000" w:sz="4" w:space="0"/>
              <w:bottom w:val="single" w:color="000000" w:sz="4" w:space="0"/>
              <w:right w:val="single" w:color="000000" w:sz="4" w:space="0"/>
            </w:tcBorders>
            <w:vAlign w:val="center"/>
          </w:tcPr>
          <w:p>
            <w:pPr>
              <w:snapToGrid w:val="0"/>
              <w:jc w:val="center"/>
              <w:rPr>
                <w:b/>
                <w:bCs/>
                <w:kern w:val="0"/>
                <w:szCs w:val="21"/>
              </w:rPr>
            </w:pPr>
            <w:r>
              <w:rPr>
                <w:b/>
                <w:bCs/>
                <w:kern w:val="0"/>
                <w:szCs w:val="21"/>
              </w:rPr>
              <w:t>功能</w:t>
            </w:r>
          </w:p>
        </w:tc>
        <w:tc>
          <w:tcPr>
            <w:tcW w:w="1121" w:type="pct"/>
            <w:tcBorders>
              <w:top w:val="single" w:color="auto" w:sz="4" w:space="0"/>
              <w:left w:val="single" w:color="000000" w:sz="4" w:space="0"/>
              <w:bottom w:val="single" w:color="000000" w:sz="4" w:space="0"/>
              <w:right w:val="single" w:color="000000" w:sz="4" w:space="0"/>
            </w:tcBorders>
            <w:vAlign w:val="center"/>
          </w:tcPr>
          <w:p>
            <w:pPr>
              <w:snapToGrid w:val="0"/>
              <w:jc w:val="center"/>
              <w:rPr>
                <w:b/>
                <w:bCs/>
                <w:kern w:val="0"/>
                <w:szCs w:val="21"/>
              </w:rPr>
            </w:pPr>
            <w:r>
              <w:rPr>
                <w:b/>
                <w:bCs/>
                <w:kern w:val="0"/>
                <w:szCs w:val="21"/>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restart"/>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r>
              <w:rPr>
                <w:kern w:val="0"/>
                <w:szCs w:val="21"/>
              </w:rPr>
              <w:t>环境空气、声环境</w:t>
            </w: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小庄村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highlight w:val="yellow"/>
              </w:rPr>
            </w:pPr>
            <w:r>
              <w:rPr>
                <w:rFonts w:hint="eastAsia"/>
                <w:kern w:val="0"/>
                <w:szCs w:val="21"/>
              </w:rPr>
              <w:t>紧邻</w:t>
            </w:r>
            <w:r>
              <w:rPr>
                <w:rFonts w:hint="eastAsia"/>
                <w:kern w:val="0"/>
                <w:szCs w:val="21"/>
                <w:vertAlign w:val="superscript"/>
              </w:rPr>
              <w:t>注</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highlight w:val="yellow"/>
              </w:rPr>
            </w:pPr>
            <w:r>
              <w:rPr>
                <w:rFonts w:hint="eastAsia"/>
                <w:kern w:val="0"/>
                <w:szCs w:val="21"/>
              </w:rPr>
              <w:t>1</w:t>
            </w:r>
            <w:r>
              <w:rPr>
                <w:kern w:val="0"/>
                <w:szCs w:val="21"/>
              </w:rPr>
              <w:t>774</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restart"/>
            <w:tcBorders>
              <w:top w:val="single" w:color="auto" w:sz="4" w:space="0"/>
              <w:left w:val="single" w:color="000000" w:sz="4" w:space="0"/>
              <w:right w:val="single" w:color="000000" w:sz="4" w:space="0"/>
            </w:tcBorders>
            <w:vAlign w:val="center"/>
          </w:tcPr>
          <w:p>
            <w:pPr>
              <w:widowControl/>
              <w:snapToGrid w:val="0"/>
              <w:jc w:val="center"/>
              <w:rPr>
                <w:kern w:val="0"/>
                <w:szCs w:val="21"/>
              </w:rPr>
            </w:pPr>
            <w:r>
              <w:rPr>
                <w:kern w:val="0"/>
                <w:szCs w:val="21"/>
              </w:rPr>
              <w:t>《环境空气质量标准》（GB3095-2012）</w:t>
            </w:r>
          </w:p>
          <w:p>
            <w:pPr>
              <w:snapToGrid w:val="0"/>
              <w:jc w:val="center"/>
              <w:rPr>
                <w:kern w:val="0"/>
                <w:szCs w:val="21"/>
                <w:highlight w:val="yellow"/>
              </w:rPr>
            </w:pPr>
            <w:r>
              <w:rPr>
                <w:szCs w:val="21"/>
              </w:rPr>
              <w:t>二级标准、</w:t>
            </w:r>
            <w:r>
              <w:rPr>
                <w:kern w:val="0"/>
                <w:szCs w:val="21"/>
              </w:rPr>
              <w:t>《声环境质量标准》（GB3096-2008）2类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袁庄</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3</w:t>
            </w:r>
            <w:r>
              <w:rPr>
                <w:kern w:val="0"/>
                <w:szCs w:val="21"/>
              </w:rPr>
              <w:t>70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3</w:t>
            </w:r>
            <w:r>
              <w:rPr>
                <w:kern w:val="0"/>
                <w:szCs w:val="21"/>
              </w:rPr>
              <w:t>540</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李学彦村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1</w:t>
            </w:r>
            <w:r>
              <w:rPr>
                <w:kern w:val="0"/>
                <w:szCs w:val="21"/>
              </w:rPr>
              <w:t>770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1</w:t>
            </w:r>
            <w:r>
              <w:rPr>
                <w:kern w:val="0"/>
                <w:szCs w:val="21"/>
              </w:rPr>
              <w:t>010</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魏店村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1</w:t>
            </w:r>
            <w:r>
              <w:rPr>
                <w:kern w:val="0"/>
                <w:szCs w:val="21"/>
              </w:rPr>
              <w:t>740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3</w:t>
            </w:r>
            <w:r>
              <w:rPr>
                <w:kern w:val="0"/>
                <w:szCs w:val="21"/>
              </w:rPr>
              <w:t>000</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毛庄</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2480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3</w:t>
            </w:r>
            <w:r>
              <w:rPr>
                <w:kern w:val="0"/>
                <w:szCs w:val="21"/>
              </w:rPr>
              <w:t>30</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小李庄村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西南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2</w:t>
            </w:r>
            <w:r>
              <w:rPr>
                <w:kern w:val="0"/>
                <w:szCs w:val="21"/>
              </w:rPr>
              <w:t>330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8</w:t>
            </w:r>
            <w:r>
              <w:rPr>
                <w:kern w:val="0"/>
                <w:szCs w:val="21"/>
              </w:rPr>
              <w:t>85</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丁庄村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西南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1</w:t>
            </w:r>
            <w:r>
              <w:rPr>
                <w:kern w:val="0"/>
                <w:szCs w:val="21"/>
              </w:rPr>
              <w:t>550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7</w:t>
            </w:r>
            <w:r>
              <w:rPr>
                <w:kern w:val="0"/>
                <w:szCs w:val="21"/>
              </w:rPr>
              <w:t>50</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天润中学</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西南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5</w:t>
            </w:r>
            <w:r>
              <w:rPr>
                <w:kern w:val="0"/>
                <w:szCs w:val="21"/>
              </w:rPr>
              <w:t>20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3</w:t>
            </w:r>
            <w:r>
              <w:rPr>
                <w:kern w:val="0"/>
                <w:szCs w:val="21"/>
              </w:rPr>
              <w:t>128</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文化教育区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棘针坟村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西南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1</w:t>
            </w:r>
            <w:r>
              <w:rPr>
                <w:kern w:val="0"/>
                <w:szCs w:val="21"/>
              </w:rPr>
              <w:t>890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1</w:t>
            </w:r>
            <w:r>
              <w:rPr>
                <w:kern w:val="0"/>
                <w:szCs w:val="21"/>
              </w:rPr>
              <w:t>935</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尹圪垱村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西南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1</w:t>
            </w:r>
            <w:r>
              <w:rPr>
                <w:kern w:val="0"/>
                <w:szCs w:val="21"/>
              </w:rPr>
              <w:t>740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3</w:t>
            </w:r>
            <w:r>
              <w:rPr>
                <w:kern w:val="0"/>
                <w:szCs w:val="21"/>
              </w:rPr>
              <w:t>543</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葛庄村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西南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1</w:t>
            </w:r>
            <w:r>
              <w:rPr>
                <w:kern w:val="0"/>
                <w:szCs w:val="21"/>
              </w:rPr>
              <w:t>860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2</w:t>
            </w:r>
            <w:r>
              <w:rPr>
                <w:kern w:val="0"/>
                <w:szCs w:val="21"/>
              </w:rPr>
              <w:t>490</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樊庄村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西北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9</w:t>
            </w:r>
            <w:r>
              <w:rPr>
                <w:kern w:val="0"/>
                <w:szCs w:val="21"/>
              </w:rPr>
              <w:t>40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2</w:t>
            </w:r>
            <w:r>
              <w:rPr>
                <w:kern w:val="0"/>
                <w:szCs w:val="21"/>
              </w:rPr>
              <w:t>700</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胡庄村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西北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1</w:t>
            </w:r>
            <w:r>
              <w:rPr>
                <w:kern w:val="0"/>
                <w:szCs w:val="21"/>
              </w:rPr>
              <w:t>550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1</w:t>
            </w:r>
            <w:r>
              <w:rPr>
                <w:kern w:val="0"/>
                <w:szCs w:val="21"/>
              </w:rPr>
              <w:t>904</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安庄村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西北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6</w:t>
            </w:r>
            <w:r>
              <w:rPr>
                <w:kern w:val="0"/>
                <w:szCs w:val="21"/>
              </w:rPr>
              <w:t>90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2</w:t>
            </w:r>
            <w:r>
              <w:rPr>
                <w:kern w:val="0"/>
                <w:szCs w:val="21"/>
              </w:rPr>
              <w:t>128</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highlight w:val="yellow"/>
              </w:rPr>
            </w:pPr>
            <w:r>
              <w:rPr>
                <w:rFonts w:hint="eastAsia"/>
                <w:kern w:val="0"/>
                <w:szCs w:val="21"/>
              </w:rPr>
              <w:t>胡沙窝村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西北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1</w:t>
            </w:r>
            <w:r>
              <w:rPr>
                <w:kern w:val="0"/>
                <w:szCs w:val="21"/>
              </w:rPr>
              <w:t>240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3</w:t>
            </w:r>
            <w:r>
              <w:rPr>
                <w:kern w:val="0"/>
                <w:szCs w:val="21"/>
              </w:rPr>
              <w:t>137</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朱柳园村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西北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2</w:t>
            </w:r>
            <w:r>
              <w:rPr>
                <w:kern w:val="0"/>
                <w:szCs w:val="21"/>
              </w:rPr>
              <w:t>230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3</w:t>
            </w:r>
            <w:r>
              <w:rPr>
                <w:kern w:val="0"/>
                <w:szCs w:val="21"/>
              </w:rPr>
              <w:t>194</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娄庄村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2</w:t>
            </w:r>
            <w:r>
              <w:rPr>
                <w:kern w:val="0"/>
                <w:szCs w:val="21"/>
              </w:rPr>
              <w:t>330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2</w:t>
            </w:r>
            <w:r>
              <w:rPr>
                <w:kern w:val="0"/>
                <w:szCs w:val="21"/>
              </w:rPr>
              <w:t>345</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范堤口村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w:t>
            </w:r>
            <w:r>
              <w:rPr>
                <w:kern w:val="0"/>
                <w:szCs w:val="21"/>
              </w:rPr>
              <w:t>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1</w:t>
            </w:r>
            <w:r>
              <w:rPr>
                <w:kern w:val="0"/>
                <w:szCs w:val="21"/>
              </w:rPr>
              <w:t>970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3</w:t>
            </w:r>
            <w:r>
              <w:rPr>
                <w:kern w:val="0"/>
                <w:szCs w:val="21"/>
              </w:rPr>
              <w:t>018</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张庄村</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w:t>
            </w:r>
            <w:r>
              <w:rPr>
                <w:kern w:val="0"/>
                <w:szCs w:val="21"/>
              </w:rPr>
              <w:t>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1</w:t>
            </w:r>
            <w:r>
              <w:rPr>
                <w:kern w:val="0"/>
                <w:szCs w:val="21"/>
              </w:rPr>
              <w:t>590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3</w:t>
            </w:r>
            <w:r>
              <w:rPr>
                <w:kern w:val="0"/>
                <w:szCs w:val="21"/>
              </w:rPr>
              <w:t>224</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东辉 蓝堡湾</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w:t>
            </w:r>
            <w:r>
              <w:rPr>
                <w:kern w:val="0"/>
                <w:szCs w:val="21"/>
              </w:rPr>
              <w:t>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2</w:t>
            </w:r>
            <w:r>
              <w:rPr>
                <w:kern w:val="0"/>
                <w:szCs w:val="21"/>
              </w:rPr>
              <w:t>250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4</w:t>
            </w:r>
            <w:r>
              <w:rPr>
                <w:kern w:val="0"/>
                <w:szCs w:val="21"/>
              </w:rPr>
              <w:t>872</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东辉 理想城</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w:t>
            </w:r>
            <w:r>
              <w:rPr>
                <w:kern w:val="0"/>
                <w:szCs w:val="21"/>
              </w:rPr>
              <w:t>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2</w:t>
            </w:r>
            <w:r>
              <w:rPr>
                <w:kern w:val="0"/>
                <w:szCs w:val="21"/>
              </w:rPr>
              <w:t>320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4</w:t>
            </w:r>
            <w:r>
              <w:rPr>
                <w:kern w:val="0"/>
                <w:szCs w:val="21"/>
              </w:rPr>
              <w:t>658</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聚龙社区</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w:t>
            </w:r>
            <w:r>
              <w:rPr>
                <w:kern w:val="0"/>
                <w:szCs w:val="21"/>
              </w:rPr>
              <w:t>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8</w:t>
            </w:r>
            <w:r>
              <w:rPr>
                <w:kern w:val="0"/>
                <w:szCs w:val="21"/>
              </w:rPr>
              <w:t>70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3</w:t>
            </w:r>
            <w:r>
              <w:rPr>
                <w:kern w:val="0"/>
                <w:szCs w:val="21"/>
              </w:rPr>
              <w:t>600</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居民区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原阳县第三完全小学</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w:t>
            </w:r>
            <w:r>
              <w:rPr>
                <w:kern w:val="0"/>
                <w:szCs w:val="21"/>
              </w:rPr>
              <w:t>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1</w:t>
            </w:r>
            <w:r>
              <w:rPr>
                <w:kern w:val="0"/>
                <w:szCs w:val="21"/>
              </w:rPr>
              <w:t>150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4</w:t>
            </w:r>
            <w:r>
              <w:rPr>
                <w:kern w:val="0"/>
                <w:szCs w:val="21"/>
              </w:rPr>
              <w:t>70</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文化教育区</w:t>
            </w:r>
          </w:p>
        </w:tc>
        <w:tc>
          <w:tcPr>
            <w:tcW w:w="1121" w:type="pct"/>
            <w:vMerge w:val="restart"/>
            <w:tcBorders>
              <w:top w:val="single" w:color="auto" w:sz="4" w:space="0"/>
              <w:left w:val="single" w:color="000000" w:sz="4" w:space="0"/>
              <w:right w:val="single" w:color="000000" w:sz="4" w:space="0"/>
            </w:tcBorders>
            <w:vAlign w:val="center"/>
          </w:tcPr>
          <w:p>
            <w:pPr>
              <w:widowControl/>
              <w:snapToGrid w:val="0"/>
              <w:jc w:val="center"/>
              <w:rPr>
                <w:kern w:val="0"/>
                <w:szCs w:val="21"/>
              </w:rPr>
            </w:pPr>
            <w:r>
              <w:rPr>
                <w:kern w:val="0"/>
                <w:szCs w:val="21"/>
              </w:rPr>
              <w:t>《环境空气质量标准》（GB3095-2012）</w:t>
            </w:r>
          </w:p>
          <w:p>
            <w:pPr>
              <w:widowControl/>
              <w:snapToGrid w:val="0"/>
              <w:jc w:val="center"/>
              <w:rPr>
                <w:kern w:val="0"/>
                <w:szCs w:val="21"/>
                <w:highlight w:val="yellow"/>
              </w:rPr>
            </w:pPr>
            <w:r>
              <w:rPr>
                <w:szCs w:val="21"/>
              </w:rPr>
              <w:t>二级标准、</w:t>
            </w:r>
            <w:r>
              <w:rPr>
                <w:kern w:val="0"/>
                <w:szCs w:val="21"/>
              </w:rPr>
              <w:t>《声环境质量标准》（GB3096-2008）1类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葛埠口乡二中</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w:t>
            </w:r>
            <w:r>
              <w:rPr>
                <w:kern w:val="0"/>
                <w:szCs w:val="21"/>
              </w:rPr>
              <w:t>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1</w:t>
            </w:r>
            <w:r>
              <w:rPr>
                <w:kern w:val="0"/>
                <w:szCs w:val="21"/>
              </w:rPr>
              <w:t>580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kern w:val="0"/>
                <w:szCs w:val="21"/>
              </w:rPr>
              <w:t>320</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文化教育区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p>
        </w:tc>
        <w:tc>
          <w:tcPr>
            <w:tcW w:w="1130" w:type="pct"/>
            <w:tcBorders>
              <w:top w:val="single" w:color="auto"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原阳县人民医院</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w:t>
            </w:r>
            <w:r>
              <w:rPr>
                <w:kern w:val="0"/>
                <w:szCs w:val="21"/>
              </w:rPr>
              <w:t>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1</w:t>
            </w:r>
            <w:r>
              <w:rPr>
                <w:kern w:val="0"/>
                <w:szCs w:val="21"/>
              </w:rPr>
              <w:t>280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rFonts w:hint="eastAsia"/>
                <w:kern w:val="0"/>
                <w:szCs w:val="21"/>
              </w:rPr>
              <w:t>4</w:t>
            </w:r>
            <w:r>
              <w:rPr>
                <w:kern w:val="0"/>
                <w:szCs w:val="21"/>
              </w:rPr>
              <w:t>325</w:t>
            </w:r>
          </w:p>
        </w:tc>
        <w:tc>
          <w:tcPr>
            <w:tcW w:w="878" w:type="pct"/>
            <w:tcBorders>
              <w:top w:val="single" w:color="auto"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医疗卫生区</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restart"/>
            <w:tcBorders>
              <w:top w:val="single" w:color="auto" w:sz="4" w:space="0"/>
              <w:left w:val="single" w:color="000000" w:sz="4" w:space="0"/>
              <w:right w:val="single" w:color="000000" w:sz="4" w:space="0"/>
            </w:tcBorders>
            <w:vAlign w:val="center"/>
          </w:tcPr>
          <w:p>
            <w:pPr>
              <w:widowControl/>
              <w:snapToGrid w:val="0"/>
              <w:jc w:val="center"/>
              <w:rPr>
                <w:kern w:val="0"/>
                <w:szCs w:val="21"/>
                <w:highlight w:val="yellow"/>
              </w:rPr>
            </w:pPr>
            <w:r>
              <w:rPr>
                <w:rFonts w:hint="eastAsia"/>
                <w:kern w:val="0"/>
                <w:szCs w:val="21"/>
              </w:rPr>
              <w:t>地下水</w:t>
            </w:r>
          </w:p>
        </w:tc>
        <w:tc>
          <w:tcPr>
            <w:tcW w:w="1130" w:type="pct"/>
            <w:vMerge w:val="restart"/>
            <w:tcBorders>
              <w:top w:val="single" w:color="auto" w:sz="4" w:space="0"/>
              <w:left w:val="single" w:color="000000" w:sz="4" w:space="0"/>
              <w:right w:val="single" w:color="000000" w:sz="4" w:space="0"/>
            </w:tcBorders>
            <w:vAlign w:val="center"/>
          </w:tcPr>
          <w:p>
            <w:pPr>
              <w:jc w:val="center"/>
              <w:rPr>
                <w:kern w:val="0"/>
                <w:szCs w:val="21"/>
              </w:rPr>
            </w:pPr>
            <w:r>
              <w:rPr>
                <w:rFonts w:hint="eastAsia"/>
                <w:kern w:val="0"/>
                <w:szCs w:val="21"/>
              </w:rPr>
              <w:t>原阳县水厂地下水井群二级保护区</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1540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highlight w:val="yellow"/>
              </w:rPr>
            </w:pPr>
            <w:r>
              <w:rPr>
                <w:kern w:val="0"/>
                <w:szCs w:val="21"/>
              </w:rPr>
              <w:t>—</w:t>
            </w:r>
          </w:p>
        </w:tc>
        <w:tc>
          <w:tcPr>
            <w:tcW w:w="878" w:type="pct"/>
            <w:vMerge w:val="restart"/>
            <w:tcBorders>
              <w:top w:val="single" w:color="auto" w:sz="4" w:space="0"/>
              <w:left w:val="single" w:color="000000" w:sz="4" w:space="0"/>
              <w:right w:val="single" w:color="000000" w:sz="4" w:space="0"/>
            </w:tcBorders>
            <w:vAlign w:val="center"/>
          </w:tcPr>
          <w:p>
            <w:pPr>
              <w:widowControl/>
              <w:jc w:val="center"/>
              <w:rPr>
                <w:kern w:val="0"/>
                <w:szCs w:val="21"/>
              </w:rPr>
            </w:pPr>
            <w:r>
              <w:rPr>
                <w:kern w:val="0"/>
                <w:szCs w:val="21"/>
              </w:rPr>
              <w:t>饮用水水源保护区</w:t>
            </w:r>
          </w:p>
        </w:tc>
        <w:tc>
          <w:tcPr>
            <w:tcW w:w="1121" w:type="pct"/>
            <w:vMerge w:val="restart"/>
            <w:tcBorders>
              <w:left w:val="single" w:color="000000" w:sz="4" w:space="0"/>
              <w:right w:val="single" w:color="000000" w:sz="4" w:space="0"/>
            </w:tcBorders>
            <w:vAlign w:val="center"/>
          </w:tcPr>
          <w:p>
            <w:pPr>
              <w:widowControl/>
              <w:snapToGrid w:val="0"/>
              <w:jc w:val="center"/>
              <w:rPr>
                <w:kern w:val="0"/>
                <w:szCs w:val="21"/>
                <w:highlight w:val="yellow"/>
              </w:rPr>
            </w:pPr>
            <w:r>
              <w:rPr>
                <w:rFonts w:hint="eastAsia"/>
                <w:kern w:val="0"/>
                <w:szCs w:val="21"/>
              </w:rPr>
              <w:t>《地下水质量标准》GB/T14848-93）</w:t>
            </w:r>
            <w:r>
              <w:rPr>
                <w:kern w:val="0"/>
                <w:szCs w:val="21"/>
              </w:rPr>
              <w:t>Ⅲ</w:t>
            </w:r>
            <w:r>
              <w:rPr>
                <w:rFonts w:hint="eastAsia"/>
                <w:kern w:val="0"/>
                <w:szCs w:val="21"/>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rPr>
            </w:pPr>
          </w:p>
        </w:tc>
        <w:tc>
          <w:tcPr>
            <w:tcW w:w="1130" w:type="pct"/>
            <w:vMerge w:val="continue"/>
            <w:tcBorders>
              <w:top w:val="single" w:color="auto" w:sz="4" w:space="0"/>
              <w:left w:val="single" w:color="000000" w:sz="4" w:space="0"/>
              <w:right w:val="single" w:color="000000" w:sz="4" w:space="0"/>
            </w:tcBorders>
            <w:vAlign w:val="center"/>
          </w:tcPr>
          <w:p>
            <w:pPr>
              <w:jc w:val="center"/>
              <w:rPr>
                <w:kern w:val="0"/>
                <w:szCs w:val="21"/>
              </w:rPr>
            </w:pP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3</w:t>
            </w:r>
            <w:r>
              <w:rPr>
                <w:kern w:val="0"/>
                <w:szCs w:val="21"/>
              </w:rPr>
              <w:t>990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kern w:val="0"/>
                <w:szCs w:val="21"/>
              </w:rPr>
              <w:t>—</w:t>
            </w:r>
          </w:p>
        </w:tc>
        <w:tc>
          <w:tcPr>
            <w:tcW w:w="878" w:type="pct"/>
            <w:vMerge w:val="continue"/>
            <w:tcBorders>
              <w:top w:val="single" w:color="auto" w:sz="4" w:space="0"/>
              <w:left w:val="single" w:color="000000" w:sz="4" w:space="0"/>
              <w:right w:val="single" w:color="000000" w:sz="4" w:space="0"/>
            </w:tcBorders>
            <w:vAlign w:val="center"/>
          </w:tcPr>
          <w:p>
            <w:pPr>
              <w:widowControl/>
              <w:jc w:val="center"/>
              <w:rPr>
                <w:kern w:val="0"/>
                <w:szCs w:val="21"/>
              </w:rPr>
            </w:pP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top w:val="single" w:color="auto" w:sz="4" w:space="0"/>
              <w:left w:val="single" w:color="000000" w:sz="4" w:space="0"/>
              <w:right w:val="single" w:color="000000" w:sz="4" w:space="0"/>
            </w:tcBorders>
            <w:vAlign w:val="center"/>
          </w:tcPr>
          <w:p>
            <w:pPr>
              <w:widowControl/>
              <w:snapToGrid w:val="0"/>
              <w:jc w:val="center"/>
              <w:rPr>
                <w:kern w:val="0"/>
                <w:szCs w:val="21"/>
              </w:rPr>
            </w:pPr>
          </w:p>
        </w:tc>
        <w:tc>
          <w:tcPr>
            <w:tcW w:w="1130" w:type="pct"/>
            <w:vMerge w:val="continue"/>
            <w:tcBorders>
              <w:top w:val="single" w:color="auto" w:sz="4" w:space="0"/>
              <w:left w:val="single" w:color="000000" w:sz="4" w:space="0"/>
              <w:right w:val="single" w:color="000000" w:sz="4" w:space="0"/>
            </w:tcBorders>
            <w:vAlign w:val="center"/>
          </w:tcPr>
          <w:p>
            <w:pPr>
              <w:jc w:val="center"/>
              <w:rPr>
                <w:kern w:val="0"/>
                <w:szCs w:val="21"/>
              </w:rPr>
            </w:pP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东北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6</w:t>
            </w:r>
            <w:r>
              <w:rPr>
                <w:kern w:val="0"/>
                <w:szCs w:val="21"/>
              </w:rPr>
              <w:t>200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kern w:val="0"/>
                <w:szCs w:val="21"/>
              </w:rPr>
              <w:t>—</w:t>
            </w:r>
          </w:p>
        </w:tc>
        <w:tc>
          <w:tcPr>
            <w:tcW w:w="878" w:type="pct"/>
            <w:vMerge w:val="continue"/>
            <w:tcBorders>
              <w:top w:val="single" w:color="auto" w:sz="4" w:space="0"/>
              <w:left w:val="single" w:color="000000" w:sz="4" w:space="0"/>
              <w:right w:val="single" w:color="000000" w:sz="4" w:space="0"/>
            </w:tcBorders>
            <w:vAlign w:val="center"/>
          </w:tcPr>
          <w:p>
            <w:pPr>
              <w:widowControl/>
              <w:jc w:val="center"/>
              <w:rPr>
                <w:kern w:val="0"/>
                <w:szCs w:val="21"/>
              </w:rPr>
            </w:pP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left w:val="single" w:color="000000" w:sz="4" w:space="0"/>
              <w:right w:val="single" w:color="000000" w:sz="4" w:space="0"/>
            </w:tcBorders>
            <w:vAlign w:val="center"/>
          </w:tcPr>
          <w:p>
            <w:pPr>
              <w:widowControl/>
              <w:snapToGrid w:val="0"/>
              <w:jc w:val="center"/>
              <w:rPr>
                <w:kern w:val="0"/>
                <w:szCs w:val="21"/>
              </w:rPr>
            </w:pPr>
          </w:p>
        </w:tc>
        <w:tc>
          <w:tcPr>
            <w:tcW w:w="1130" w:type="pct"/>
            <w:vMerge w:val="continue"/>
            <w:tcBorders>
              <w:left w:val="single" w:color="000000" w:sz="4" w:space="0"/>
              <w:bottom w:val="single" w:color="000000" w:sz="4" w:space="0"/>
              <w:right w:val="single" w:color="000000" w:sz="4" w:space="0"/>
            </w:tcBorders>
            <w:vAlign w:val="center"/>
          </w:tcPr>
          <w:p>
            <w:pPr>
              <w:jc w:val="center"/>
              <w:rPr>
                <w:kern w:val="0"/>
                <w:szCs w:val="21"/>
              </w:rPr>
            </w:pP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rFonts w:hint="eastAsia"/>
                <w:kern w:val="0"/>
                <w:szCs w:val="21"/>
              </w:rPr>
              <w:t>西南</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jc w:val="center"/>
              <w:rPr>
                <w:kern w:val="0"/>
                <w:szCs w:val="21"/>
              </w:rPr>
            </w:pPr>
            <w:r>
              <w:rPr>
                <w:kern w:val="0"/>
                <w:szCs w:val="21"/>
              </w:rPr>
              <w:t>460</w:t>
            </w:r>
          </w:p>
        </w:tc>
        <w:tc>
          <w:tcPr>
            <w:tcW w:w="484"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kern w:val="0"/>
                <w:szCs w:val="21"/>
              </w:rPr>
              <w:t>—</w:t>
            </w:r>
          </w:p>
        </w:tc>
        <w:tc>
          <w:tcPr>
            <w:tcW w:w="878" w:type="pct"/>
            <w:vMerge w:val="continue"/>
            <w:tcBorders>
              <w:left w:val="single" w:color="000000" w:sz="4" w:space="0"/>
              <w:bottom w:val="single" w:color="000000" w:sz="4" w:space="0"/>
              <w:right w:val="single" w:color="000000" w:sz="4" w:space="0"/>
            </w:tcBorders>
            <w:vAlign w:val="center"/>
          </w:tcPr>
          <w:p>
            <w:pPr>
              <w:widowControl/>
              <w:jc w:val="center"/>
              <w:rPr>
                <w:kern w:val="0"/>
                <w:szCs w:val="21"/>
              </w:rPr>
            </w:pP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highlight w:val="yellow"/>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restart"/>
            <w:tcBorders>
              <w:top w:val="single" w:color="000000" w:sz="4" w:space="0"/>
              <w:left w:val="single" w:color="000000" w:sz="4" w:space="0"/>
              <w:right w:val="single" w:color="000000" w:sz="4" w:space="0"/>
            </w:tcBorders>
            <w:vAlign w:val="center"/>
          </w:tcPr>
          <w:p>
            <w:pPr>
              <w:widowControl/>
              <w:snapToGrid w:val="0"/>
              <w:jc w:val="center"/>
              <w:rPr>
                <w:kern w:val="0"/>
                <w:szCs w:val="21"/>
              </w:rPr>
            </w:pPr>
            <w:r>
              <w:rPr>
                <w:kern w:val="0"/>
                <w:szCs w:val="21"/>
              </w:rPr>
              <w:t>地表水</w:t>
            </w:r>
          </w:p>
        </w:tc>
        <w:tc>
          <w:tcPr>
            <w:tcW w:w="1130"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kern w:val="0"/>
                <w:szCs w:val="21"/>
              </w:rPr>
            </w:pPr>
            <w:r>
              <w:rPr>
                <w:rFonts w:hint="eastAsia"/>
                <w:kern w:val="0"/>
                <w:szCs w:val="21"/>
              </w:rPr>
              <w:t>西关排</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kern w:val="0"/>
                <w:szCs w:val="21"/>
              </w:rPr>
            </w:pPr>
            <w:r>
              <w:rPr>
                <w:rFonts w:hint="eastAsia"/>
                <w:szCs w:val="21"/>
              </w:rPr>
              <w:t>东</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kern w:val="0"/>
                <w:szCs w:val="21"/>
              </w:rPr>
            </w:pPr>
            <w:r>
              <w:rPr>
                <w:szCs w:val="21"/>
              </w:rPr>
              <w:t>1540</w:t>
            </w:r>
          </w:p>
        </w:tc>
        <w:tc>
          <w:tcPr>
            <w:tcW w:w="484"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kern w:val="0"/>
                <w:szCs w:val="21"/>
              </w:rPr>
            </w:pPr>
            <w:r>
              <w:rPr>
                <w:kern w:val="0"/>
                <w:szCs w:val="21"/>
              </w:rPr>
              <w:t>—</w:t>
            </w:r>
          </w:p>
        </w:tc>
        <w:tc>
          <w:tcPr>
            <w:tcW w:w="878"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kern w:val="0"/>
                <w:szCs w:val="21"/>
              </w:rPr>
            </w:pPr>
            <w:r>
              <w:rPr>
                <w:rFonts w:hint="eastAsia"/>
                <w:szCs w:val="21"/>
              </w:rPr>
              <w:t>最终汇入文岩干渠</w:t>
            </w:r>
          </w:p>
        </w:tc>
        <w:tc>
          <w:tcPr>
            <w:tcW w:w="1121" w:type="pct"/>
            <w:vMerge w:val="restart"/>
            <w:tcBorders>
              <w:top w:val="single" w:color="000000" w:sz="4" w:space="0"/>
              <w:left w:val="single" w:color="000000" w:sz="4" w:space="0"/>
              <w:right w:val="single" w:color="000000" w:sz="4" w:space="0"/>
            </w:tcBorders>
            <w:vAlign w:val="center"/>
          </w:tcPr>
          <w:p>
            <w:pPr>
              <w:snapToGrid w:val="0"/>
              <w:jc w:val="center"/>
              <w:rPr>
                <w:kern w:val="0"/>
                <w:szCs w:val="21"/>
              </w:rPr>
            </w:pPr>
            <w:r>
              <w:rPr>
                <w:kern w:val="0"/>
                <w:szCs w:val="21"/>
              </w:rPr>
              <w:t>《地表水环境质量标准》（GB3838-2002）Ⅲ类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419" w:type="pct"/>
            <w:vMerge w:val="continue"/>
            <w:tcBorders>
              <w:left w:val="single" w:color="000000" w:sz="4" w:space="0"/>
              <w:right w:val="single" w:color="000000" w:sz="4" w:space="0"/>
            </w:tcBorders>
            <w:vAlign w:val="center"/>
          </w:tcPr>
          <w:p>
            <w:pPr>
              <w:widowControl/>
              <w:snapToGrid w:val="0"/>
              <w:jc w:val="center"/>
              <w:rPr>
                <w:kern w:val="0"/>
                <w:szCs w:val="21"/>
              </w:rPr>
            </w:pPr>
          </w:p>
        </w:tc>
        <w:tc>
          <w:tcPr>
            <w:tcW w:w="1130"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kern w:val="0"/>
                <w:szCs w:val="21"/>
              </w:rPr>
            </w:pPr>
            <w:r>
              <w:rPr>
                <w:rFonts w:hint="eastAsia"/>
                <w:kern w:val="0"/>
                <w:szCs w:val="21"/>
              </w:rPr>
              <w:t>东关排</w:t>
            </w:r>
          </w:p>
        </w:tc>
        <w:tc>
          <w:tcPr>
            <w:tcW w:w="403"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szCs w:val="21"/>
              </w:rPr>
            </w:pPr>
            <w:r>
              <w:rPr>
                <w:rFonts w:hint="eastAsia"/>
                <w:szCs w:val="21"/>
              </w:rPr>
              <w:t>东</w:t>
            </w:r>
          </w:p>
        </w:tc>
        <w:tc>
          <w:tcPr>
            <w:tcW w:w="565"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szCs w:val="21"/>
              </w:rPr>
            </w:pPr>
            <w:r>
              <w:rPr>
                <w:rFonts w:hint="eastAsia"/>
                <w:szCs w:val="21"/>
              </w:rPr>
              <w:t>4</w:t>
            </w:r>
            <w:r>
              <w:rPr>
                <w:szCs w:val="21"/>
              </w:rPr>
              <w:t>380</w:t>
            </w:r>
          </w:p>
        </w:tc>
        <w:tc>
          <w:tcPr>
            <w:tcW w:w="484"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kern w:val="0"/>
                <w:szCs w:val="21"/>
              </w:rPr>
            </w:pPr>
            <w:r>
              <w:rPr>
                <w:kern w:val="0"/>
                <w:szCs w:val="21"/>
              </w:rPr>
              <w:t>—</w:t>
            </w:r>
          </w:p>
        </w:tc>
        <w:tc>
          <w:tcPr>
            <w:tcW w:w="878" w:type="pc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szCs w:val="21"/>
              </w:rPr>
            </w:pPr>
            <w:r>
              <w:rPr>
                <w:rFonts w:hint="eastAsia"/>
                <w:szCs w:val="21"/>
              </w:rPr>
              <w:t>原阳县产业集聚区</w:t>
            </w:r>
            <w:r>
              <w:rPr>
                <w:szCs w:val="21"/>
              </w:rPr>
              <w:t>污水处理厂纳污水体</w:t>
            </w:r>
            <w:r>
              <w:rPr>
                <w:rFonts w:hint="eastAsia"/>
                <w:szCs w:val="21"/>
              </w:rPr>
              <w:t>，最终汇入文岩干渠</w:t>
            </w:r>
          </w:p>
        </w:tc>
        <w:tc>
          <w:tcPr>
            <w:tcW w:w="1121" w:type="pct"/>
            <w:vMerge w:val="continue"/>
            <w:tcBorders>
              <w:left w:val="single" w:color="000000" w:sz="4" w:space="0"/>
              <w:right w:val="single" w:color="000000" w:sz="4" w:space="0"/>
            </w:tcBorders>
            <w:vAlign w:val="center"/>
          </w:tcPr>
          <w:p>
            <w:pPr>
              <w:widowControl/>
              <w:snapToGrid w:val="0"/>
              <w:jc w:val="center"/>
              <w:rPr>
                <w:kern w:val="0"/>
                <w:szCs w:val="21"/>
              </w:rPr>
            </w:pPr>
          </w:p>
        </w:tc>
      </w:tr>
    </w:tbl>
    <w:p>
      <w:pPr>
        <w:spacing w:line="520" w:lineRule="exact"/>
        <w:ind w:firstLine="480" w:firstLineChars="200"/>
        <w:rPr>
          <w:sz w:val="24"/>
        </w:rPr>
      </w:pPr>
      <w:r>
        <w:rPr>
          <w:rFonts w:hint="eastAsia"/>
          <w:sz w:val="24"/>
        </w:rPr>
        <w:t>注：</w:t>
      </w:r>
      <w:r>
        <w:rPr>
          <w:sz w:val="24"/>
        </w:rPr>
        <w:t>根据现场实地踏勘，</w:t>
      </w:r>
      <w:r>
        <w:rPr>
          <w:rFonts w:hint="eastAsia"/>
          <w:sz w:val="24"/>
        </w:rPr>
        <w:t>目前厂区东侧紧邻的小庄村，待金祥南街建成后，小庄村则位于厂区东侧</w:t>
      </w:r>
      <w:r>
        <w:rPr>
          <w:sz w:val="24"/>
        </w:rPr>
        <w:t>50m处</w:t>
      </w:r>
      <w:r>
        <w:rPr>
          <w:rFonts w:hint="eastAsia"/>
          <w:sz w:val="24"/>
        </w:rPr>
        <w:t>。</w:t>
      </w:r>
    </w:p>
    <w:p>
      <w:pPr>
        <w:keepNext/>
        <w:keepLines/>
        <w:spacing w:line="500" w:lineRule="exact"/>
        <w:outlineLvl w:val="1"/>
        <w:rPr>
          <w:rFonts w:eastAsia="黑体"/>
          <w:bCs/>
          <w:sz w:val="28"/>
          <w:szCs w:val="28"/>
        </w:rPr>
      </w:pPr>
      <w:bookmarkStart w:id="41" w:name="_Toc28778"/>
      <w:r>
        <w:rPr>
          <w:rFonts w:eastAsia="黑体"/>
          <w:bCs/>
          <w:sz w:val="28"/>
          <w:szCs w:val="28"/>
        </w:rPr>
        <w:t>2.8 与相关规划相符性分析</w:t>
      </w:r>
      <w:bookmarkEnd w:id="41"/>
    </w:p>
    <w:p>
      <w:pPr>
        <w:keepNext/>
        <w:keepLines/>
        <w:spacing w:line="520" w:lineRule="exact"/>
        <w:outlineLvl w:val="2"/>
        <w:rPr>
          <w:rFonts w:eastAsia="黑体"/>
          <w:bCs/>
          <w:sz w:val="28"/>
          <w:szCs w:val="28"/>
        </w:rPr>
      </w:pPr>
      <w:r>
        <w:rPr>
          <w:rFonts w:eastAsia="黑体"/>
          <w:bCs/>
          <w:sz w:val="28"/>
          <w:szCs w:val="28"/>
        </w:rPr>
        <w:t>2.8.1 与</w:t>
      </w:r>
      <w:r>
        <w:rPr>
          <w:rFonts w:hint="eastAsia" w:eastAsia="黑体"/>
          <w:bCs/>
          <w:sz w:val="28"/>
          <w:szCs w:val="28"/>
        </w:rPr>
        <w:t>《原阳县城乡总体规划》（2</w:t>
      </w:r>
      <w:r>
        <w:rPr>
          <w:rFonts w:eastAsia="黑体"/>
          <w:bCs/>
          <w:sz w:val="28"/>
          <w:szCs w:val="28"/>
        </w:rPr>
        <w:t>009-2030</w:t>
      </w:r>
      <w:r>
        <w:rPr>
          <w:rFonts w:hint="eastAsia" w:eastAsia="黑体"/>
          <w:bCs/>
          <w:sz w:val="28"/>
          <w:szCs w:val="28"/>
        </w:rPr>
        <w:t>）</w:t>
      </w:r>
    </w:p>
    <w:p>
      <w:pPr>
        <w:spacing w:line="520" w:lineRule="exact"/>
        <w:ind w:firstLine="480" w:firstLineChars="200"/>
        <w:rPr>
          <w:sz w:val="24"/>
        </w:rPr>
      </w:pPr>
      <w:r>
        <w:rPr>
          <w:rFonts w:hint="eastAsia"/>
          <w:sz w:val="24"/>
        </w:rPr>
        <w:t>（1）发展目标</w:t>
      </w:r>
    </w:p>
    <w:p>
      <w:pPr>
        <w:spacing w:line="520" w:lineRule="exact"/>
        <w:ind w:firstLine="480" w:firstLineChars="200"/>
        <w:rPr>
          <w:sz w:val="24"/>
        </w:rPr>
      </w:pPr>
      <w:r>
        <w:rPr>
          <w:rFonts w:hint="eastAsia"/>
          <w:sz w:val="24"/>
        </w:rPr>
        <w:t>将原阳县、平原新区建设成中原经济区新兴农业经济和“三化”协调发展的示范区域。形成产业协调，资源结合紧密，职能分工明确，空间布局结构合理的县域城镇体系:搞好社会主义新农村建设，实现区域内城乡协调发展:提高城乡居民生活质量，全面建设小康社会。</w:t>
      </w:r>
    </w:p>
    <w:p>
      <w:pPr>
        <w:spacing w:line="520" w:lineRule="exact"/>
        <w:ind w:firstLine="480" w:firstLineChars="200"/>
        <w:rPr>
          <w:sz w:val="24"/>
        </w:rPr>
      </w:pPr>
      <w:r>
        <w:rPr>
          <w:rFonts w:hint="eastAsia"/>
          <w:sz w:val="24"/>
        </w:rPr>
        <w:t>（2）空间结构</w:t>
      </w:r>
    </w:p>
    <w:p>
      <w:pPr>
        <w:spacing w:line="520" w:lineRule="exact"/>
        <w:ind w:firstLine="480" w:firstLineChars="200"/>
        <w:rPr>
          <w:sz w:val="24"/>
        </w:rPr>
      </w:pPr>
      <w:r>
        <w:rPr>
          <w:rFonts w:hint="eastAsia"/>
          <w:sz w:val="24"/>
        </w:rPr>
        <w:t>规划提出了“核心、重点、极轴和特色”的非均衡的城镇空间发展战略，确定县域城镇空间结构：“一心两核、三轴、四区、三点”</w:t>
      </w:r>
    </w:p>
    <w:p>
      <w:pPr>
        <w:spacing w:line="520" w:lineRule="exact"/>
        <w:ind w:firstLine="480" w:firstLineChars="200"/>
        <w:rPr>
          <w:sz w:val="24"/>
        </w:rPr>
      </w:pPr>
      <w:r>
        <w:rPr>
          <w:rFonts w:hint="eastAsia"/>
          <w:sz w:val="24"/>
        </w:rPr>
        <w:t>“一心两核”：一心两核指原阳县城城区（包括城关镇镇区）和平原新区核心区（包括原武镇镇区）所组成的中心城区。</w:t>
      </w:r>
    </w:p>
    <w:p>
      <w:pPr>
        <w:spacing w:line="520" w:lineRule="exact"/>
        <w:ind w:firstLine="480" w:firstLineChars="200"/>
        <w:rPr>
          <w:sz w:val="24"/>
        </w:rPr>
      </w:pPr>
      <w:r>
        <w:rPr>
          <w:rFonts w:hint="eastAsia"/>
          <w:sz w:val="24"/>
        </w:rPr>
        <w:t>三轴：新郑漂发展轴、国道107新线经济带和一县双城发展轴。</w:t>
      </w:r>
    </w:p>
    <w:p>
      <w:pPr>
        <w:spacing w:line="520" w:lineRule="exact"/>
        <w:ind w:firstLine="480" w:firstLineChars="200"/>
        <w:rPr>
          <w:sz w:val="24"/>
        </w:rPr>
      </w:pPr>
      <w:r>
        <w:rPr>
          <w:rFonts w:hint="eastAsia"/>
          <w:sz w:val="24"/>
        </w:rPr>
        <w:t>四区：四个经济区，即①东北部黄河故道经济区、②中部加工商贸经济区、③西部科研、现代服务业和高效农业经济区、④沿黄旅游、养殖特色经济区。</w:t>
      </w:r>
    </w:p>
    <w:p>
      <w:pPr>
        <w:spacing w:line="520" w:lineRule="exact"/>
        <w:ind w:firstLine="480" w:firstLineChars="200"/>
        <w:rPr>
          <w:sz w:val="24"/>
        </w:rPr>
      </w:pPr>
      <w:r>
        <w:rPr>
          <w:rFonts w:hint="eastAsia"/>
          <w:sz w:val="24"/>
        </w:rPr>
        <w:t>三点：指原阳县的三个门户镇，即齐街、阳阿、福宁集。</w:t>
      </w:r>
    </w:p>
    <w:p>
      <w:pPr>
        <w:spacing w:line="520" w:lineRule="exact"/>
        <w:ind w:firstLine="480" w:firstLineChars="200"/>
        <w:rPr>
          <w:sz w:val="24"/>
        </w:rPr>
      </w:pPr>
      <w:r>
        <w:rPr>
          <w:rFonts w:hint="eastAsia"/>
          <w:sz w:val="24"/>
        </w:rPr>
        <w:t>（3）产业发展要求</w:t>
      </w:r>
    </w:p>
    <w:p>
      <w:pPr>
        <w:spacing w:line="520" w:lineRule="exact"/>
        <w:ind w:firstLine="480" w:firstLineChars="200"/>
        <w:rPr>
          <w:sz w:val="24"/>
        </w:rPr>
      </w:pPr>
      <w:r>
        <w:rPr>
          <w:rFonts w:hint="eastAsia"/>
          <w:sz w:val="24"/>
        </w:rPr>
        <w:t>形成师寨食品轻纺加工区，阳阿汽车零部件加工、食品、轻纺加工和物流服务综合区，蒋庄绿色食品、轻纺加工和物流服务区</w:t>
      </w:r>
    </w:p>
    <w:p>
      <w:pPr>
        <w:spacing w:line="520" w:lineRule="exact"/>
        <w:ind w:firstLine="480" w:firstLineChars="200"/>
        <w:rPr>
          <w:sz w:val="24"/>
        </w:rPr>
      </w:pPr>
      <w:r>
        <w:rPr>
          <w:rFonts w:hint="eastAsia"/>
          <w:sz w:val="24"/>
        </w:rPr>
        <w:t>（4）功能结构</w:t>
      </w:r>
    </w:p>
    <w:p>
      <w:pPr>
        <w:spacing w:line="520" w:lineRule="exact"/>
        <w:ind w:firstLine="480" w:firstLineChars="200"/>
        <w:rPr>
          <w:sz w:val="24"/>
        </w:rPr>
      </w:pPr>
      <w:r>
        <w:rPr>
          <w:rFonts w:hint="eastAsia"/>
          <w:sz w:val="24"/>
        </w:rPr>
        <w:t>“一主、一副、三轴、三片区”。其中“三轴”分别为城市综合功能轴、产城联动轴和城市商业发展轴。“三片区”为老城综合片区、新城综合片区和产业聚集区。</w:t>
      </w:r>
    </w:p>
    <w:p>
      <w:pPr>
        <w:spacing w:line="520" w:lineRule="exact"/>
        <w:ind w:firstLine="480" w:firstLineChars="200"/>
        <w:rPr>
          <w:sz w:val="24"/>
        </w:rPr>
      </w:pPr>
      <w:r>
        <w:rPr>
          <w:rFonts w:hint="eastAsia"/>
          <w:sz w:val="24"/>
        </w:rPr>
        <w:t>（5）中心城区性质</w:t>
      </w:r>
    </w:p>
    <w:p>
      <w:pPr>
        <w:spacing w:line="520" w:lineRule="exact"/>
        <w:ind w:firstLine="480" w:firstLineChars="200"/>
        <w:rPr>
          <w:sz w:val="24"/>
        </w:rPr>
      </w:pPr>
      <w:r>
        <w:rPr>
          <w:rFonts w:hint="eastAsia"/>
          <w:sz w:val="24"/>
        </w:rPr>
        <w:t>原阳县政治中心，是以绿色食品生产、汽车零部件加工和制动器加工等产业为主的县城区。2030年，县城规划建设用地34.7平方公里，35万人。</w:t>
      </w:r>
    </w:p>
    <w:p>
      <w:pPr>
        <w:spacing w:line="520" w:lineRule="exact"/>
        <w:ind w:firstLine="480" w:firstLineChars="200"/>
        <w:rPr>
          <w:sz w:val="24"/>
        </w:rPr>
      </w:pPr>
      <w:r>
        <w:rPr>
          <w:rFonts w:hint="eastAsia"/>
          <w:sz w:val="24"/>
        </w:rPr>
        <w:t>综上分析，本项目位于原阳县产业聚集区永安路南侧、金祥南街西侧、小庄排河东侧，位于原阳县产业集聚区的西北侧，主要建设预制菜创新孵化园内的车间厂房及配套的污水处理站，项目符合原阳县城乡总体规划（2009-2030）)，中心城区用地规划图见附图五。</w:t>
      </w:r>
    </w:p>
    <w:p>
      <w:pPr>
        <w:keepNext/>
        <w:keepLines/>
        <w:spacing w:line="520" w:lineRule="exact"/>
        <w:outlineLvl w:val="2"/>
        <w:rPr>
          <w:rFonts w:eastAsia="黑体"/>
          <w:bCs/>
          <w:sz w:val="28"/>
          <w:szCs w:val="28"/>
        </w:rPr>
      </w:pPr>
      <w:r>
        <w:rPr>
          <w:rFonts w:eastAsia="黑体"/>
          <w:bCs/>
          <w:sz w:val="28"/>
          <w:szCs w:val="28"/>
        </w:rPr>
        <w:t xml:space="preserve">2.8.2 </w:t>
      </w:r>
      <w:r>
        <w:rPr>
          <w:rFonts w:hint="eastAsia" w:eastAsia="黑体"/>
          <w:bCs/>
          <w:sz w:val="28"/>
          <w:szCs w:val="28"/>
        </w:rPr>
        <w:t>产业集聚区规划</w:t>
      </w:r>
    </w:p>
    <w:p>
      <w:pPr>
        <w:keepNext/>
        <w:keepLines/>
        <w:spacing w:line="520" w:lineRule="exact"/>
        <w:outlineLvl w:val="3"/>
        <w:rPr>
          <w:rFonts w:eastAsia="黑体"/>
          <w:bCs/>
          <w:sz w:val="28"/>
          <w:szCs w:val="28"/>
        </w:rPr>
      </w:pPr>
      <w:r>
        <w:rPr>
          <w:rFonts w:hint="eastAsia" w:eastAsia="黑体"/>
          <w:bCs/>
          <w:sz w:val="28"/>
          <w:szCs w:val="28"/>
        </w:rPr>
        <w:t>2</w:t>
      </w:r>
      <w:r>
        <w:rPr>
          <w:rFonts w:eastAsia="黑体"/>
          <w:bCs/>
          <w:sz w:val="28"/>
          <w:szCs w:val="28"/>
        </w:rPr>
        <w:t xml:space="preserve">.8.2.1 </w:t>
      </w:r>
      <w:r>
        <w:rPr>
          <w:rFonts w:hint="eastAsia" w:eastAsia="黑体"/>
          <w:bCs/>
          <w:sz w:val="28"/>
          <w:szCs w:val="28"/>
        </w:rPr>
        <w:t>原阳县产业集聚区发展规划（2</w:t>
      </w:r>
      <w:r>
        <w:rPr>
          <w:rFonts w:eastAsia="黑体"/>
          <w:bCs/>
          <w:sz w:val="28"/>
          <w:szCs w:val="28"/>
        </w:rPr>
        <w:t>009-2020</w:t>
      </w:r>
      <w:r>
        <w:rPr>
          <w:rFonts w:hint="eastAsia" w:eastAsia="黑体"/>
          <w:bCs/>
          <w:sz w:val="28"/>
          <w:szCs w:val="28"/>
        </w:rPr>
        <w:t>）</w:t>
      </w:r>
    </w:p>
    <w:p>
      <w:pPr>
        <w:spacing w:line="520" w:lineRule="exact"/>
        <w:ind w:firstLine="480" w:firstLineChars="200"/>
        <w:rPr>
          <w:color w:val="000000"/>
          <w:sz w:val="24"/>
          <w:szCs w:val="24"/>
        </w:rPr>
      </w:pPr>
      <w:r>
        <w:rPr>
          <w:rFonts w:hint="eastAsia"/>
          <w:color w:val="000000"/>
          <w:sz w:val="24"/>
          <w:szCs w:val="24"/>
        </w:rPr>
        <w:t>（1）主导产业</w:t>
      </w:r>
    </w:p>
    <w:p>
      <w:pPr>
        <w:spacing w:line="520" w:lineRule="exact"/>
        <w:ind w:firstLine="480" w:firstLineChars="200"/>
        <w:rPr>
          <w:color w:val="000000"/>
          <w:sz w:val="24"/>
          <w:szCs w:val="24"/>
        </w:rPr>
      </w:pPr>
      <w:r>
        <w:rPr>
          <w:rFonts w:hint="eastAsia"/>
          <w:color w:val="000000"/>
          <w:sz w:val="24"/>
          <w:szCs w:val="24"/>
        </w:rPr>
        <w:t>农副产品加工业和汽车零部件制造业。</w:t>
      </w:r>
    </w:p>
    <w:p>
      <w:pPr>
        <w:spacing w:line="520" w:lineRule="exact"/>
        <w:ind w:firstLine="480" w:firstLineChars="200"/>
        <w:rPr>
          <w:color w:val="000000"/>
          <w:sz w:val="24"/>
          <w:szCs w:val="24"/>
        </w:rPr>
      </w:pPr>
      <w:r>
        <w:rPr>
          <w:rFonts w:hint="eastAsia"/>
          <w:color w:val="000000"/>
          <w:sz w:val="24"/>
          <w:szCs w:val="24"/>
        </w:rPr>
        <w:t>（2）发展定位</w:t>
      </w:r>
    </w:p>
    <w:p>
      <w:pPr>
        <w:spacing w:line="520" w:lineRule="exact"/>
        <w:ind w:firstLine="480" w:firstLineChars="200"/>
        <w:rPr>
          <w:color w:val="000000"/>
          <w:sz w:val="24"/>
          <w:szCs w:val="24"/>
        </w:rPr>
      </w:pPr>
      <w:r>
        <w:rPr>
          <w:rFonts w:hint="eastAsia"/>
          <w:color w:val="000000"/>
          <w:sz w:val="24"/>
          <w:szCs w:val="24"/>
        </w:rPr>
        <w:t>国内乃至亚洲地区的汽车零部件知名品牌:我国农副产品、乳制品龙头企业生产基地。</w:t>
      </w:r>
    </w:p>
    <w:p>
      <w:pPr>
        <w:spacing w:line="520" w:lineRule="exact"/>
        <w:ind w:firstLine="480" w:firstLineChars="200"/>
        <w:rPr>
          <w:color w:val="000000"/>
          <w:sz w:val="24"/>
          <w:szCs w:val="24"/>
        </w:rPr>
      </w:pPr>
      <w:r>
        <w:rPr>
          <w:rFonts w:hint="eastAsia"/>
          <w:color w:val="000000"/>
          <w:sz w:val="24"/>
          <w:szCs w:val="24"/>
        </w:rPr>
        <w:t>（3）空间结构</w:t>
      </w:r>
    </w:p>
    <w:p>
      <w:pPr>
        <w:spacing w:line="520" w:lineRule="exact"/>
        <w:ind w:firstLine="480" w:firstLineChars="200"/>
        <w:rPr>
          <w:color w:val="000000"/>
          <w:sz w:val="24"/>
          <w:szCs w:val="24"/>
        </w:rPr>
      </w:pPr>
      <w:r>
        <w:rPr>
          <w:rFonts w:hint="eastAsia"/>
          <w:color w:val="000000"/>
          <w:sz w:val="24"/>
          <w:szCs w:val="24"/>
        </w:rPr>
        <w:t>“一心、一轴、一带、三片区”的空间结构。</w:t>
      </w:r>
    </w:p>
    <w:p>
      <w:pPr>
        <w:spacing w:line="520" w:lineRule="exact"/>
        <w:ind w:firstLine="480" w:firstLineChars="200"/>
        <w:rPr>
          <w:color w:val="000000"/>
          <w:sz w:val="24"/>
          <w:szCs w:val="24"/>
        </w:rPr>
      </w:pPr>
      <w:r>
        <w:rPr>
          <w:rFonts w:hint="eastAsia"/>
          <w:color w:val="000000"/>
          <w:sz w:val="24"/>
          <w:szCs w:val="24"/>
        </w:rPr>
        <w:t>一心：即融合中心，包括行政办公、商业金融、科研、教育中心等，是整个集聚区规划的重点，该区域将引领集聚区今后的发展。</w:t>
      </w:r>
    </w:p>
    <w:p>
      <w:pPr>
        <w:spacing w:line="520" w:lineRule="exact"/>
        <w:ind w:firstLine="480" w:firstLineChars="200"/>
        <w:rPr>
          <w:color w:val="000000"/>
          <w:sz w:val="24"/>
          <w:szCs w:val="24"/>
        </w:rPr>
      </w:pPr>
      <w:r>
        <w:rPr>
          <w:rFonts w:hint="eastAsia"/>
          <w:color w:val="000000"/>
          <w:sz w:val="24"/>
          <w:szCs w:val="24"/>
        </w:rPr>
        <w:t>一轴：即集聚区的发展主轴，贯穿原阳县的中心城区，并延续至集聚区的融合中心。这条轴线使中心城区的发展格局得到延续，并使集聚区与原阳县中心城区互为呼应、协调发展。</w:t>
      </w:r>
    </w:p>
    <w:p>
      <w:pPr>
        <w:spacing w:line="520" w:lineRule="exact"/>
        <w:ind w:firstLine="480" w:firstLineChars="200"/>
        <w:rPr>
          <w:color w:val="000000"/>
          <w:sz w:val="24"/>
          <w:szCs w:val="24"/>
        </w:rPr>
      </w:pPr>
      <w:r>
        <w:rPr>
          <w:rFonts w:hint="eastAsia"/>
          <w:color w:val="000000"/>
          <w:sz w:val="24"/>
          <w:szCs w:val="24"/>
        </w:rPr>
        <w:t>一带：指区内的一条自然水系一-西关排河，结合两岸滨河绿化景观带的建设，营造舒适宜人的绿色生产与生活空间。</w:t>
      </w:r>
    </w:p>
    <w:p>
      <w:pPr>
        <w:spacing w:line="520" w:lineRule="exact"/>
        <w:ind w:firstLine="480" w:firstLineChars="200"/>
        <w:rPr>
          <w:color w:val="000000"/>
          <w:sz w:val="24"/>
          <w:szCs w:val="24"/>
        </w:rPr>
      </w:pPr>
      <w:r>
        <w:rPr>
          <w:rFonts w:hint="eastAsia"/>
          <w:color w:val="000000"/>
          <w:sz w:val="24"/>
          <w:szCs w:val="24"/>
        </w:rPr>
        <w:t>三片区：指集聚区北部农副产品加工区、东部的汽车零部件加工区以及西南部的综合产业区。</w:t>
      </w:r>
    </w:p>
    <w:p>
      <w:pPr>
        <w:spacing w:line="520" w:lineRule="exact"/>
        <w:ind w:firstLine="480" w:firstLineChars="200"/>
        <w:rPr>
          <w:color w:val="000000"/>
          <w:sz w:val="24"/>
          <w:szCs w:val="24"/>
        </w:rPr>
      </w:pPr>
      <w:r>
        <w:rPr>
          <w:rFonts w:hint="eastAsia"/>
          <w:color w:val="000000"/>
          <w:sz w:val="24"/>
          <w:szCs w:val="24"/>
        </w:rPr>
        <w:t>（</w:t>
      </w:r>
      <w:r>
        <w:rPr>
          <w:color w:val="000000"/>
          <w:sz w:val="24"/>
          <w:szCs w:val="24"/>
        </w:rPr>
        <w:t>4</w:t>
      </w:r>
      <w:r>
        <w:rPr>
          <w:rFonts w:hint="eastAsia"/>
          <w:color w:val="000000"/>
          <w:sz w:val="24"/>
          <w:szCs w:val="24"/>
        </w:rPr>
        <w:t>）用地布局</w:t>
      </w:r>
    </w:p>
    <w:p>
      <w:pPr>
        <w:spacing w:line="500" w:lineRule="exact"/>
        <w:ind w:firstLine="480" w:firstLineChars="200"/>
        <w:rPr>
          <w:rFonts w:eastAsia="黑体"/>
          <w:sz w:val="24"/>
          <w:szCs w:val="24"/>
        </w:rPr>
      </w:pPr>
      <w:r>
        <w:rPr>
          <w:rFonts w:eastAsia="黑体"/>
          <w:sz w:val="24"/>
          <w:szCs w:val="24"/>
        </w:rPr>
        <w:t>表</w:t>
      </w:r>
      <w:r>
        <w:rPr>
          <w:sz w:val="24"/>
          <w:szCs w:val="24"/>
        </w:rPr>
        <w:t>2.8</w:t>
      </w:r>
      <w:r>
        <w:rPr>
          <w:rFonts w:eastAsia="黑体"/>
          <w:sz w:val="24"/>
          <w:szCs w:val="24"/>
        </w:rPr>
        <w:t xml:space="preserve">-1    </w:t>
      </w:r>
      <w:r>
        <w:rPr>
          <w:rFonts w:hint="eastAsia" w:eastAsia="黑体"/>
          <w:sz w:val="24"/>
          <w:szCs w:val="24"/>
        </w:rPr>
        <w:t>原阳县产业集聚区发展规划（2</w:t>
      </w:r>
      <w:r>
        <w:rPr>
          <w:rFonts w:eastAsia="黑体"/>
          <w:sz w:val="24"/>
          <w:szCs w:val="24"/>
        </w:rPr>
        <w:t>009-2020</w:t>
      </w:r>
      <w:r>
        <w:rPr>
          <w:rFonts w:hint="eastAsia" w:eastAsia="黑体"/>
          <w:sz w:val="24"/>
          <w:szCs w:val="24"/>
        </w:rPr>
        <w:t>）用地规划</w:t>
      </w:r>
    </w:p>
    <w:tbl>
      <w:tblPr>
        <w:tblStyle w:val="49"/>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autofit"/>
        <w:tblCellMar>
          <w:top w:w="0" w:type="dxa"/>
          <w:left w:w="108" w:type="dxa"/>
          <w:bottom w:w="0" w:type="dxa"/>
          <w:right w:w="108" w:type="dxa"/>
        </w:tblCellMar>
      </w:tblPr>
      <w:tblGrid>
        <w:gridCol w:w="955"/>
        <w:gridCol w:w="996"/>
        <w:gridCol w:w="851"/>
        <w:gridCol w:w="2268"/>
        <w:gridCol w:w="1984"/>
        <w:gridCol w:w="1892"/>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5" w:type="dxa"/>
            <w:shd w:val="clear" w:color="auto" w:fill="auto"/>
            <w:vAlign w:val="center"/>
          </w:tcPr>
          <w:p>
            <w:pPr>
              <w:jc w:val="center"/>
              <w:rPr>
                <w:b/>
                <w:bCs/>
                <w:color w:val="000000"/>
                <w:szCs w:val="21"/>
              </w:rPr>
            </w:pPr>
            <w:r>
              <w:rPr>
                <w:rFonts w:hint="eastAsia"/>
                <w:b/>
                <w:bCs/>
                <w:color w:val="000000"/>
                <w:szCs w:val="21"/>
              </w:rPr>
              <w:t>序号</w:t>
            </w:r>
          </w:p>
        </w:tc>
        <w:tc>
          <w:tcPr>
            <w:tcW w:w="1847" w:type="dxa"/>
            <w:gridSpan w:val="2"/>
            <w:shd w:val="clear" w:color="auto" w:fill="auto"/>
            <w:vAlign w:val="center"/>
          </w:tcPr>
          <w:p>
            <w:pPr>
              <w:jc w:val="center"/>
              <w:rPr>
                <w:b/>
                <w:bCs/>
                <w:color w:val="000000"/>
                <w:szCs w:val="21"/>
              </w:rPr>
            </w:pPr>
            <w:r>
              <w:rPr>
                <w:rFonts w:hint="eastAsia"/>
                <w:b/>
                <w:bCs/>
                <w:color w:val="000000"/>
                <w:szCs w:val="21"/>
              </w:rPr>
              <w:t>用地代码</w:t>
            </w:r>
          </w:p>
        </w:tc>
        <w:tc>
          <w:tcPr>
            <w:tcW w:w="2268" w:type="dxa"/>
            <w:shd w:val="clear" w:color="auto" w:fill="auto"/>
            <w:vAlign w:val="center"/>
          </w:tcPr>
          <w:p>
            <w:pPr>
              <w:jc w:val="center"/>
              <w:rPr>
                <w:b/>
                <w:bCs/>
                <w:color w:val="000000"/>
                <w:szCs w:val="21"/>
              </w:rPr>
            </w:pPr>
            <w:r>
              <w:rPr>
                <w:rFonts w:hint="eastAsia"/>
                <w:b/>
                <w:bCs/>
                <w:color w:val="000000"/>
                <w:szCs w:val="21"/>
              </w:rPr>
              <w:t>用地名称</w:t>
            </w:r>
          </w:p>
        </w:tc>
        <w:tc>
          <w:tcPr>
            <w:tcW w:w="1984" w:type="dxa"/>
            <w:shd w:val="clear" w:color="auto" w:fill="auto"/>
            <w:vAlign w:val="center"/>
          </w:tcPr>
          <w:p>
            <w:pPr>
              <w:jc w:val="center"/>
              <w:rPr>
                <w:b/>
                <w:bCs/>
                <w:color w:val="000000"/>
                <w:szCs w:val="21"/>
              </w:rPr>
            </w:pPr>
            <w:r>
              <w:rPr>
                <w:rFonts w:hint="eastAsia"/>
                <w:b/>
                <w:bCs/>
                <w:color w:val="000000"/>
                <w:szCs w:val="21"/>
              </w:rPr>
              <w:t>面积（公顷）</w:t>
            </w:r>
          </w:p>
        </w:tc>
        <w:tc>
          <w:tcPr>
            <w:tcW w:w="1892" w:type="dxa"/>
            <w:shd w:val="clear" w:color="auto" w:fill="auto"/>
            <w:vAlign w:val="center"/>
          </w:tcPr>
          <w:p>
            <w:pPr>
              <w:jc w:val="center"/>
              <w:rPr>
                <w:b/>
                <w:bCs/>
                <w:color w:val="000000"/>
                <w:szCs w:val="21"/>
              </w:rPr>
            </w:pPr>
            <w:r>
              <w:rPr>
                <w:rFonts w:hint="eastAsia"/>
                <w:b/>
                <w:bCs/>
                <w:color w:val="000000"/>
                <w:szCs w:val="21"/>
              </w:rPr>
              <w:t>占建筑用地（%）</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5" w:type="dxa"/>
            <w:shd w:val="clear" w:color="auto" w:fill="auto"/>
            <w:vAlign w:val="center"/>
          </w:tcPr>
          <w:p>
            <w:pPr>
              <w:jc w:val="center"/>
              <w:rPr>
                <w:color w:val="000000"/>
                <w:szCs w:val="21"/>
              </w:rPr>
            </w:pPr>
            <w:r>
              <w:rPr>
                <w:rFonts w:hint="eastAsia"/>
                <w:color w:val="000000"/>
                <w:szCs w:val="21"/>
              </w:rPr>
              <w:t>1</w:t>
            </w:r>
          </w:p>
        </w:tc>
        <w:tc>
          <w:tcPr>
            <w:tcW w:w="1847" w:type="dxa"/>
            <w:gridSpan w:val="2"/>
            <w:shd w:val="clear" w:color="auto" w:fill="auto"/>
            <w:vAlign w:val="center"/>
          </w:tcPr>
          <w:p>
            <w:pPr>
              <w:jc w:val="center"/>
              <w:rPr>
                <w:color w:val="000000"/>
                <w:szCs w:val="21"/>
              </w:rPr>
            </w:pPr>
            <w:r>
              <w:rPr>
                <w:rFonts w:hint="eastAsia"/>
                <w:color w:val="000000"/>
                <w:szCs w:val="21"/>
              </w:rPr>
              <w:t>R</w:t>
            </w:r>
          </w:p>
        </w:tc>
        <w:tc>
          <w:tcPr>
            <w:tcW w:w="2268" w:type="dxa"/>
            <w:shd w:val="clear" w:color="auto" w:fill="auto"/>
            <w:vAlign w:val="center"/>
          </w:tcPr>
          <w:p>
            <w:pPr>
              <w:jc w:val="center"/>
              <w:rPr>
                <w:color w:val="000000"/>
                <w:szCs w:val="21"/>
              </w:rPr>
            </w:pPr>
            <w:r>
              <w:rPr>
                <w:rFonts w:hint="eastAsia"/>
                <w:color w:val="000000"/>
                <w:szCs w:val="21"/>
              </w:rPr>
              <w:t>居住用地</w:t>
            </w:r>
          </w:p>
        </w:tc>
        <w:tc>
          <w:tcPr>
            <w:tcW w:w="1984" w:type="dxa"/>
            <w:shd w:val="clear" w:color="auto" w:fill="auto"/>
            <w:vAlign w:val="center"/>
          </w:tcPr>
          <w:p>
            <w:pPr>
              <w:jc w:val="center"/>
              <w:rPr>
                <w:color w:val="000000"/>
                <w:szCs w:val="21"/>
              </w:rPr>
            </w:pPr>
            <w:r>
              <w:rPr>
                <w:rFonts w:hint="eastAsia"/>
                <w:color w:val="000000"/>
                <w:szCs w:val="21"/>
              </w:rPr>
              <w:t>1</w:t>
            </w:r>
            <w:r>
              <w:rPr>
                <w:color w:val="000000"/>
                <w:szCs w:val="21"/>
              </w:rPr>
              <w:t>8</w:t>
            </w:r>
          </w:p>
        </w:tc>
        <w:tc>
          <w:tcPr>
            <w:tcW w:w="1892" w:type="dxa"/>
            <w:shd w:val="clear" w:color="auto" w:fill="auto"/>
            <w:vAlign w:val="center"/>
          </w:tcPr>
          <w:p>
            <w:pPr>
              <w:jc w:val="center"/>
              <w:rPr>
                <w:color w:val="000000"/>
                <w:szCs w:val="21"/>
              </w:rPr>
            </w:pPr>
            <w:r>
              <w:rPr>
                <w:rFonts w:hint="eastAsia"/>
                <w:color w:val="000000"/>
                <w:szCs w:val="21"/>
              </w:rPr>
              <w:t>1</w:t>
            </w:r>
            <w:r>
              <w:rPr>
                <w:color w:val="000000"/>
                <w:szCs w:val="21"/>
              </w:rPr>
              <w:t>.73</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5" w:type="dxa"/>
            <w:vMerge w:val="restart"/>
            <w:shd w:val="clear" w:color="auto" w:fill="auto"/>
            <w:vAlign w:val="center"/>
          </w:tcPr>
          <w:p>
            <w:pPr>
              <w:jc w:val="center"/>
              <w:rPr>
                <w:color w:val="000000"/>
                <w:szCs w:val="21"/>
              </w:rPr>
            </w:pPr>
            <w:r>
              <w:rPr>
                <w:rFonts w:hint="eastAsia"/>
                <w:color w:val="000000"/>
                <w:szCs w:val="21"/>
              </w:rPr>
              <w:t>2</w:t>
            </w:r>
          </w:p>
        </w:tc>
        <w:tc>
          <w:tcPr>
            <w:tcW w:w="1847" w:type="dxa"/>
            <w:gridSpan w:val="2"/>
            <w:shd w:val="clear" w:color="auto" w:fill="auto"/>
            <w:vAlign w:val="center"/>
          </w:tcPr>
          <w:p>
            <w:pPr>
              <w:jc w:val="center"/>
              <w:rPr>
                <w:color w:val="000000"/>
                <w:szCs w:val="21"/>
              </w:rPr>
            </w:pPr>
            <w:r>
              <w:rPr>
                <w:rFonts w:hint="eastAsia"/>
                <w:color w:val="000000"/>
                <w:szCs w:val="21"/>
              </w:rPr>
              <w:t>M</w:t>
            </w:r>
          </w:p>
        </w:tc>
        <w:tc>
          <w:tcPr>
            <w:tcW w:w="2268" w:type="dxa"/>
            <w:shd w:val="clear" w:color="auto" w:fill="auto"/>
            <w:vAlign w:val="center"/>
          </w:tcPr>
          <w:p>
            <w:pPr>
              <w:jc w:val="center"/>
              <w:rPr>
                <w:color w:val="000000"/>
                <w:szCs w:val="21"/>
              </w:rPr>
            </w:pPr>
            <w:r>
              <w:rPr>
                <w:rFonts w:hint="eastAsia"/>
                <w:color w:val="000000"/>
                <w:szCs w:val="21"/>
              </w:rPr>
              <w:t>工业用地</w:t>
            </w:r>
          </w:p>
        </w:tc>
        <w:tc>
          <w:tcPr>
            <w:tcW w:w="1984" w:type="dxa"/>
            <w:shd w:val="clear" w:color="auto" w:fill="auto"/>
            <w:vAlign w:val="center"/>
          </w:tcPr>
          <w:p>
            <w:pPr>
              <w:jc w:val="center"/>
              <w:rPr>
                <w:color w:val="000000"/>
                <w:szCs w:val="21"/>
              </w:rPr>
            </w:pPr>
            <w:r>
              <w:rPr>
                <w:rFonts w:hint="eastAsia"/>
                <w:color w:val="000000"/>
                <w:szCs w:val="21"/>
              </w:rPr>
              <w:t>6</w:t>
            </w:r>
            <w:r>
              <w:rPr>
                <w:color w:val="000000"/>
                <w:szCs w:val="21"/>
              </w:rPr>
              <w:t>72</w:t>
            </w:r>
          </w:p>
        </w:tc>
        <w:tc>
          <w:tcPr>
            <w:tcW w:w="1892" w:type="dxa"/>
            <w:shd w:val="clear" w:color="auto" w:fill="auto"/>
            <w:vAlign w:val="center"/>
          </w:tcPr>
          <w:p>
            <w:pPr>
              <w:jc w:val="center"/>
              <w:rPr>
                <w:color w:val="000000"/>
                <w:szCs w:val="21"/>
              </w:rPr>
            </w:pPr>
            <w:r>
              <w:rPr>
                <w:rFonts w:hint="eastAsia"/>
                <w:color w:val="000000"/>
                <w:szCs w:val="21"/>
              </w:rPr>
              <w:t>6</w:t>
            </w:r>
            <w:r>
              <w:rPr>
                <w:color w:val="000000"/>
                <w:szCs w:val="21"/>
              </w:rPr>
              <w:t>4.43</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5" w:type="dxa"/>
            <w:vMerge w:val="continue"/>
            <w:shd w:val="clear" w:color="auto" w:fill="auto"/>
            <w:vAlign w:val="center"/>
          </w:tcPr>
          <w:p>
            <w:pPr>
              <w:jc w:val="center"/>
              <w:rPr>
                <w:color w:val="000000"/>
                <w:szCs w:val="21"/>
              </w:rPr>
            </w:pPr>
          </w:p>
        </w:tc>
        <w:tc>
          <w:tcPr>
            <w:tcW w:w="996" w:type="dxa"/>
            <w:vMerge w:val="restart"/>
            <w:shd w:val="clear" w:color="auto" w:fill="auto"/>
            <w:vAlign w:val="center"/>
          </w:tcPr>
          <w:p>
            <w:pPr>
              <w:jc w:val="center"/>
              <w:rPr>
                <w:color w:val="000000"/>
                <w:szCs w:val="21"/>
              </w:rPr>
            </w:pPr>
            <w:r>
              <w:rPr>
                <w:rFonts w:hint="eastAsia"/>
                <w:color w:val="000000"/>
                <w:szCs w:val="21"/>
              </w:rPr>
              <w:t>其中</w:t>
            </w:r>
          </w:p>
        </w:tc>
        <w:tc>
          <w:tcPr>
            <w:tcW w:w="851" w:type="dxa"/>
            <w:shd w:val="clear" w:color="auto" w:fill="auto"/>
            <w:vAlign w:val="center"/>
          </w:tcPr>
          <w:p>
            <w:pPr>
              <w:jc w:val="center"/>
              <w:rPr>
                <w:color w:val="000000"/>
                <w:szCs w:val="21"/>
              </w:rPr>
            </w:pPr>
            <w:r>
              <w:rPr>
                <w:rFonts w:hint="eastAsia"/>
                <w:color w:val="000000"/>
                <w:szCs w:val="21"/>
              </w:rPr>
              <w:t>M</w:t>
            </w:r>
            <w:r>
              <w:rPr>
                <w:color w:val="000000"/>
                <w:szCs w:val="21"/>
              </w:rPr>
              <w:t>1</w:t>
            </w:r>
          </w:p>
        </w:tc>
        <w:tc>
          <w:tcPr>
            <w:tcW w:w="2268" w:type="dxa"/>
            <w:shd w:val="clear" w:color="auto" w:fill="auto"/>
            <w:vAlign w:val="center"/>
          </w:tcPr>
          <w:p>
            <w:pPr>
              <w:jc w:val="center"/>
              <w:rPr>
                <w:color w:val="000000"/>
                <w:szCs w:val="21"/>
              </w:rPr>
            </w:pPr>
            <w:r>
              <w:rPr>
                <w:rFonts w:hint="eastAsia"/>
                <w:color w:val="000000"/>
                <w:szCs w:val="21"/>
              </w:rPr>
              <w:t>一类工业用地</w:t>
            </w:r>
          </w:p>
        </w:tc>
        <w:tc>
          <w:tcPr>
            <w:tcW w:w="1984" w:type="dxa"/>
            <w:shd w:val="clear" w:color="auto" w:fill="auto"/>
            <w:vAlign w:val="center"/>
          </w:tcPr>
          <w:p>
            <w:pPr>
              <w:jc w:val="center"/>
              <w:rPr>
                <w:color w:val="000000"/>
                <w:szCs w:val="21"/>
              </w:rPr>
            </w:pPr>
            <w:r>
              <w:rPr>
                <w:rFonts w:hint="eastAsia"/>
                <w:color w:val="000000"/>
                <w:szCs w:val="21"/>
              </w:rPr>
              <w:t>1</w:t>
            </w:r>
            <w:r>
              <w:rPr>
                <w:color w:val="000000"/>
                <w:szCs w:val="21"/>
              </w:rPr>
              <w:t>87</w:t>
            </w:r>
          </w:p>
        </w:tc>
        <w:tc>
          <w:tcPr>
            <w:tcW w:w="1892" w:type="dxa"/>
            <w:shd w:val="clear" w:color="auto" w:fill="auto"/>
            <w:vAlign w:val="center"/>
          </w:tcPr>
          <w:p>
            <w:pPr>
              <w:jc w:val="center"/>
              <w:rPr>
                <w:color w:val="000000"/>
                <w:szCs w:val="21"/>
              </w:rPr>
            </w:pPr>
            <w:r>
              <w:rPr>
                <w:rFonts w:hint="eastAsia"/>
                <w:color w:val="000000"/>
                <w:szCs w:val="21"/>
              </w:rPr>
              <w:t>1</w:t>
            </w:r>
            <w:r>
              <w:rPr>
                <w:color w:val="000000"/>
                <w:szCs w:val="21"/>
              </w:rPr>
              <w:t>7.93</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5" w:type="dxa"/>
            <w:vMerge w:val="continue"/>
            <w:shd w:val="clear" w:color="auto" w:fill="auto"/>
            <w:vAlign w:val="center"/>
          </w:tcPr>
          <w:p>
            <w:pPr>
              <w:jc w:val="center"/>
              <w:rPr>
                <w:color w:val="000000"/>
                <w:szCs w:val="21"/>
              </w:rPr>
            </w:pPr>
          </w:p>
        </w:tc>
        <w:tc>
          <w:tcPr>
            <w:tcW w:w="996" w:type="dxa"/>
            <w:vMerge w:val="continue"/>
            <w:shd w:val="clear" w:color="auto" w:fill="auto"/>
            <w:vAlign w:val="center"/>
          </w:tcPr>
          <w:p>
            <w:pPr>
              <w:jc w:val="center"/>
              <w:rPr>
                <w:color w:val="000000"/>
                <w:szCs w:val="21"/>
              </w:rPr>
            </w:pPr>
          </w:p>
        </w:tc>
        <w:tc>
          <w:tcPr>
            <w:tcW w:w="851" w:type="dxa"/>
            <w:shd w:val="clear" w:color="auto" w:fill="auto"/>
            <w:vAlign w:val="center"/>
          </w:tcPr>
          <w:p>
            <w:pPr>
              <w:jc w:val="center"/>
              <w:rPr>
                <w:color w:val="000000"/>
                <w:szCs w:val="21"/>
              </w:rPr>
            </w:pPr>
            <w:r>
              <w:rPr>
                <w:rFonts w:hint="eastAsia"/>
                <w:color w:val="000000"/>
                <w:szCs w:val="21"/>
              </w:rPr>
              <w:t>M</w:t>
            </w:r>
            <w:r>
              <w:rPr>
                <w:color w:val="000000"/>
                <w:szCs w:val="21"/>
              </w:rPr>
              <w:t>2</w:t>
            </w:r>
          </w:p>
        </w:tc>
        <w:tc>
          <w:tcPr>
            <w:tcW w:w="2268" w:type="dxa"/>
            <w:shd w:val="clear" w:color="auto" w:fill="auto"/>
            <w:vAlign w:val="center"/>
          </w:tcPr>
          <w:p>
            <w:pPr>
              <w:jc w:val="center"/>
              <w:rPr>
                <w:color w:val="000000"/>
                <w:szCs w:val="21"/>
              </w:rPr>
            </w:pPr>
            <w:r>
              <w:rPr>
                <w:rFonts w:hint="eastAsia"/>
                <w:color w:val="000000"/>
                <w:szCs w:val="21"/>
              </w:rPr>
              <w:t>二类工业用地</w:t>
            </w:r>
          </w:p>
        </w:tc>
        <w:tc>
          <w:tcPr>
            <w:tcW w:w="1984" w:type="dxa"/>
            <w:shd w:val="clear" w:color="auto" w:fill="auto"/>
            <w:vAlign w:val="center"/>
          </w:tcPr>
          <w:p>
            <w:pPr>
              <w:jc w:val="center"/>
              <w:rPr>
                <w:color w:val="000000"/>
                <w:szCs w:val="21"/>
              </w:rPr>
            </w:pPr>
            <w:r>
              <w:rPr>
                <w:rFonts w:hint="eastAsia"/>
                <w:color w:val="000000"/>
                <w:szCs w:val="21"/>
              </w:rPr>
              <w:t>3</w:t>
            </w:r>
            <w:r>
              <w:rPr>
                <w:color w:val="000000"/>
                <w:szCs w:val="21"/>
              </w:rPr>
              <w:t>58</w:t>
            </w:r>
          </w:p>
        </w:tc>
        <w:tc>
          <w:tcPr>
            <w:tcW w:w="1892" w:type="dxa"/>
            <w:shd w:val="clear" w:color="auto" w:fill="auto"/>
            <w:vAlign w:val="center"/>
          </w:tcPr>
          <w:p>
            <w:pPr>
              <w:jc w:val="center"/>
              <w:rPr>
                <w:color w:val="000000"/>
                <w:szCs w:val="21"/>
              </w:rPr>
            </w:pPr>
            <w:r>
              <w:rPr>
                <w:rFonts w:hint="eastAsia"/>
                <w:color w:val="000000"/>
                <w:szCs w:val="21"/>
              </w:rPr>
              <w:t>3</w:t>
            </w:r>
            <w:r>
              <w:rPr>
                <w:color w:val="000000"/>
                <w:szCs w:val="21"/>
              </w:rPr>
              <w:t>4.32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5" w:type="dxa"/>
            <w:vMerge w:val="continue"/>
            <w:shd w:val="clear" w:color="auto" w:fill="auto"/>
            <w:vAlign w:val="center"/>
          </w:tcPr>
          <w:p>
            <w:pPr>
              <w:jc w:val="center"/>
              <w:rPr>
                <w:color w:val="000000"/>
                <w:szCs w:val="21"/>
              </w:rPr>
            </w:pPr>
          </w:p>
        </w:tc>
        <w:tc>
          <w:tcPr>
            <w:tcW w:w="996" w:type="dxa"/>
            <w:vMerge w:val="continue"/>
            <w:shd w:val="clear" w:color="auto" w:fill="auto"/>
            <w:vAlign w:val="center"/>
          </w:tcPr>
          <w:p>
            <w:pPr>
              <w:jc w:val="center"/>
              <w:rPr>
                <w:color w:val="000000"/>
                <w:szCs w:val="21"/>
              </w:rPr>
            </w:pPr>
          </w:p>
        </w:tc>
        <w:tc>
          <w:tcPr>
            <w:tcW w:w="851" w:type="dxa"/>
            <w:shd w:val="clear" w:color="auto" w:fill="auto"/>
            <w:vAlign w:val="center"/>
          </w:tcPr>
          <w:p>
            <w:pPr>
              <w:jc w:val="center"/>
              <w:rPr>
                <w:color w:val="000000"/>
                <w:szCs w:val="21"/>
              </w:rPr>
            </w:pPr>
            <w:r>
              <w:rPr>
                <w:rFonts w:hint="eastAsia"/>
                <w:color w:val="000000"/>
                <w:szCs w:val="21"/>
              </w:rPr>
              <w:t>M</w:t>
            </w:r>
            <w:r>
              <w:rPr>
                <w:color w:val="000000"/>
                <w:szCs w:val="21"/>
              </w:rPr>
              <w:t>3</w:t>
            </w:r>
          </w:p>
        </w:tc>
        <w:tc>
          <w:tcPr>
            <w:tcW w:w="2268" w:type="dxa"/>
            <w:shd w:val="clear" w:color="auto" w:fill="auto"/>
            <w:vAlign w:val="center"/>
          </w:tcPr>
          <w:p>
            <w:pPr>
              <w:jc w:val="center"/>
              <w:rPr>
                <w:color w:val="000000"/>
                <w:szCs w:val="21"/>
              </w:rPr>
            </w:pPr>
            <w:r>
              <w:rPr>
                <w:rFonts w:hint="eastAsia"/>
                <w:color w:val="000000"/>
                <w:szCs w:val="21"/>
              </w:rPr>
              <w:t>三类工业用地</w:t>
            </w:r>
          </w:p>
        </w:tc>
        <w:tc>
          <w:tcPr>
            <w:tcW w:w="1984" w:type="dxa"/>
            <w:shd w:val="clear" w:color="auto" w:fill="auto"/>
            <w:vAlign w:val="center"/>
          </w:tcPr>
          <w:p>
            <w:pPr>
              <w:jc w:val="center"/>
              <w:rPr>
                <w:color w:val="000000"/>
                <w:szCs w:val="21"/>
              </w:rPr>
            </w:pPr>
            <w:r>
              <w:rPr>
                <w:rFonts w:hint="eastAsia"/>
                <w:color w:val="000000"/>
                <w:szCs w:val="21"/>
              </w:rPr>
              <w:t>1</w:t>
            </w:r>
            <w:r>
              <w:rPr>
                <w:color w:val="000000"/>
                <w:szCs w:val="21"/>
              </w:rPr>
              <w:t>27</w:t>
            </w:r>
          </w:p>
        </w:tc>
        <w:tc>
          <w:tcPr>
            <w:tcW w:w="1892" w:type="dxa"/>
            <w:shd w:val="clear" w:color="auto" w:fill="auto"/>
            <w:vAlign w:val="center"/>
          </w:tcPr>
          <w:p>
            <w:pPr>
              <w:jc w:val="center"/>
              <w:rPr>
                <w:color w:val="000000"/>
                <w:szCs w:val="21"/>
              </w:rPr>
            </w:pPr>
            <w:r>
              <w:rPr>
                <w:rFonts w:hint="eastAsia"/>
                <w:color w:val="000000"/>
                <w:szCs w:val="21"/>
              </w:rPr>
              <w:t>1</w:t>
            </w:r>
            <w:r>
              <w:rPr>
                <w:color w:val="000000"/>
                <w:szCs w:val="21"/>
              </w:rPr>
              <w:t>2.18</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5" w:type="dxa"/>
            <w:shd w:val="clear" w:color="auto" w:fill="auto"/>
            <w:vAlign w:val="center"/>
          </w:tcPr>
          <w:p>
            <w:pPr>
              <w:jc w:val="center"/>
              <w:rPr>
                <w:color w:val="000000"/>
                <w:szCs w:val="21"/>
              </w:rPr>
            </w:pPr>
            <w:r>
              <w:rPr>
                <w:rFonts w:hint="eastAsia"/>
                <w:color w:val="000000"/>
                <w:szCs w:val="21"/>
              </w:rPr>
              <w:t>3</w:t>
            </w:r>
          </w:p>
        </w:tc>
        <w:tc>
          <w:tcPr>
            <w:tcW w:w="1847" w:type="dxa"/>
            <w:gridSpan w:val="2"/>
            <w:shd w:val="clear" w:color="auto" w:fill="auto"/>
            <w:vAlign w:val="center"/>
          </w:tcPr>
          <w:p>
            <w:pPr>
              <w:jc w:val="center"/>
              <w:rPr>
                <w:color w:val="000000"/>
                <w:szCs w:val="21"/>
              </w:rPr>
            </w:pPr>
            <w:r>
              <w:rPr>
                <w:rFonts w:hint="eastAsia"/>
                <w:color w:val="000000"/>
                <w:szCs w:val="21"/>
              </w:rPr>
              <w:t>W</w:t>
            </w:r>
          </w:p>
        </w:tc>
        <w:tc>
          <w:tcPr>
            <w:tcW w:w="2268" w:type="dxa"/>
            <w:shd w:val="clear" w:color="auto" w:fill="auto"/>
            <w:vAlign w:val="center"/>
          </w:tcPr>
          <w:p>
            <w:pPr>
              <w:jc w:val="center"/>
              <w:rPr>
                <w:color w:val="000000"/>
                <w:szCs w:val="21"/>
              </w:rPr>
            </w:pPr>
            <w:r>
              <w:rPr>
                <w:rFonts w:hint="eastAsia"/>
                <w:color w:val="000000"/>
                <w:szCs w:val="21"/>
              </w:rPr>
              <w:t>仓储物流用地</w:t>
            </w:r>
          </w:p>
        </w:tc>
        <w:tc>
          <w:tcPr>
            <w:tcW w:w="1984" w:type="dxa"/>
            <w:shd w:val="clear" w:color="auto" w:fill="auto"/>
            <w:vAlign w:val="center"/>
          </w:tcPr>
          <w:p>
            <w:pPr>
              <w:jc w:val="center"/>
              <w:rPr>
                <w:color w:val="000000"/>
                <w:szCs w:val="21"/>
              </w:rPr>
            </w:pPr>
            <w:r>
              <w:rPr>
                <w:rFonts w:hint="eastAsia"/>
                <w:color w:val="000000"/>
                <w:szCs w:val="21"/>
              </w:rPr>
              <w:t>2</w:t>
            </w:r>
            <w:r>
              <w:rPr>
                <w:color w:val="000000"/>
                <w:szCs w:val="21"/>
              </w:rPr>
              <w:t>2</w:t>
            </w:r>
          </w:p>
        </w:tc>
        <w:tc>
          <w:tcPr>
            <w:tcW w:w="1892" w:type="dxa"/>
            <w:shd w:val="clear" w:color="auto" w:fill="auto"/>
            <w:vAlign w:val="center"/>
          </w:tcPr>
          <w:p>
            <w:pPr>
              <w:jc w:val="center"/>
              <w:rPr>
                <w:color w:val="000000"/>
                <w:szCs w:val="21"/>
              </w:rPr>
            </w:pPr>
            <w:r>
              <w:rPr>
                <w:rFonts w:hint="eastAsia"/>
                <w:color w:val="000000"/>
                <w:szCs w:val="21"/>
              </w:rPr>
              <w:t>2</w:t>
            </w:r>
            <w:r>
              <w:rPr>
                <w:color w:val="000000"/>
                <w:szCs w:val="21"/>
              </w:rPr>
              <w:t>.11</w:t>
            </w:r>
          </w:p>
        </w:tc>
      </w:tr>
    </w:tbl>
    <w:p>
      <w:pPr>
        <w:keepNext/>
        <w:keepLines/>
        <w:spacing w:line="520" w:lineRule="exact"/>
        <w:outlineLvl w:val="3"/>
        <w:rPr>
          <w:rFonts w:eastAsia="黑体"/>
          <w:bCs/>
          <w:sz w:val="28"/>
          <w:szCs w:val="28"/>
        </w:rPr>
      </w:pPr>
      <w:r>
        <w:rPr>
          <w:rFonts w:hint="eastAsia" w:eastAsia="黑体"/>
          <w:bCs/>
          <w:sz w:val="28"/>
          <w:szCs w:val="28"/>
        </w:rPr>
        <w:t>2</w:t>
      </w:r>
      <w:r>
        <w:rPr>
          <w:rFonts w:eastAsia="黑体"/>
          <w:bCs/>
          <w:sz w:val="28"/>
          <w:szCs w:val="28"/>
        </w:rPr>
        <w:t xml:space="preserve">.8.2.2 </w:t>
      </w:r>
      <w:r>
        <w:rPr>
          <w:rFonts w:hint="eastAsia" w:eastAsia="黑体"/>
          <w:bCs/>
          <w:sz w:val="28"/>
          <w:szCs w:val="28"/>
        </w:rPr>
        <w:t>原阳县产业集聚区发展规划（2</w:t>
      </w:r>
      <w:r>
        <w:rPr>
          <w:rFonts w:eastAsia="黑体"/>
          <w:bCs/>
          <w:sz w:val="28"/>
          <w:szCs w:val="28"/>
        </w:rPr>
        <w:t>012-2020</w:t>
      </w:r>
      <w:r>
        <w:rPr>
          <w:rFonts w:hint="eastAsia" w:eastAsia="黑体"/>
          <w:bCs/>
          <w:sz w:val="28"/>
          <w:szCs w:val="28"/>
        </w:rPr>
        <w:t>）调整方案</w:t>
      </w:r>
    </w:p>
    <w:p>
      <w:pPr>
        <w:spacing w:line="520" w:lineRule="exact"/>
        <w:ind w:firstLine="480" w:firstLineChars="200"/>
        <w:rPr>
          <w:color w:val="000000"/>
          <w:sz w:val="24"/>
          <w:szCs w:val="24"/>
        </w:rPr>
      </w:pPr>
      <w:r>
        <w:rPr>
          <w:color w:val="000000"/>
          <w:sz w:val="24"/>
          <w:szCs w:val="24"/>
        </w:rPr>
        <w:t>1</w:t>
      </w:r>
      <w:r>
        <w:rPr>
          <w:rFonts w:hint="eastAsia"/>
          <w:color w:val="000000"/>
          <w:sz w:val="24"/>
          <w:szCs w:val="24"/>
        </w:rPr>
        <w:t>、规划范围</w:t>
      </w:r>
    </w:p>
    <w:p>
      <w:pPr>
        <w:spacing w:line="520" w:lineRule="exact"/>
        <w:ind w:firstLine="480" w:firstLineChars="200"/>
        <w:rPr>
          <w:color w:val="000000"/>
          <w:sz w:val="24"/>
          <w:szCs w:val="24"/>
        </w:rPr>
      </w:pPr>
      <w:r>
        <w:rPr>
          <w:rFonts w:hint="eastAsia"/>
          <w:color w:val="000000"/>
          <w:sz w:val="24"/>
          <w:szCs w:val="24"/>
        </w:rPr>
        <w:t>本次调整后规划面积为14.69平方公里，规划范围为：东至黄河路、西至西二环、南至工业大道、北至南干道。</w:t>
      </w:r>
    </w:p>
    <w:p>
      <w:pPr>
        <w:spacing w:line="520" w:lineRule="exact"/>
        <w:ind w:firstLine="480" w:firstLineChars="200"/>
        <w:rPr>
          <w:color w:val="000000"/>
          <w:sz w:val="24"/>
          <w:szCs w:val="24"/>
        </w:rPr>
      </w:pPr>
      <w:r>
        <w:rPr>
          <w:rFonts w:hint="eastAsia"/>
          <w:color w:val="000000"/>
          <w:sz w:val="24"/>
          <w:szCs w:val="24"/>
        </w:rPr>
        <w:t>2、主导产业</w:t>
      </w:r>
    </w:p>
    <w:p>
      <w:pPr>
        <w:spacing w:line="520" w:lineRule="exact"/>
        <w:ind w:firstLine="480" w:firstLineChars="200"/>
        <w:rPr>
          <w:color w:val="000000"/>
          <w:sz w:val="24"/>
          <w:szCs w:val="24"/>
        </w:rPr>
      </w:pPr>
      <w:r>
        <w:rPr>
          <w:rFonts w:hint="eastAsia"/>
          <w:color w:val="000000"/>
          <w:sz w:val="24"/>
          <w:szCs w:val="24"/>
        </w:rPr>
        <w:t>规划主导产业不变，为汽车零部件和农副产品加工。</w:t>
      </w:r>
    </w:p>
    <w:p>
      <w:pPr>
        <w:spacing w:line="520" w:lineRule="exact"/>
        <w:ind w:firstLine="480" w:firstLineChars="200"/>
        <w:rPr>
          <w:color w:val="000000"/>
          <w:sz w:val="24"/>
          <w:szCs w:val="24"/>
        </w:rPr>
      </w:pPr>
      <w:r>
        <w:rPr>
          <w:rFonts w:hint="eastAsia"/>
          <w:color w:val="000000"/>
          <w:sz w:val="24"/>
          <w:szCs w:val="24"/>
        </w:rPr>
        <w:t>3、发展定位</w:t>
      </w:r>
    </w:p>
    <w:p>
      <w:pPr>
        <w:spacing w:line="520" w:lineRule="exact"/>
        <w:ind w:firstLine="480" w:firstLineChars="200"/>
        <w:rPr>
          <w:color w:val="000000"/>
          <w:sz w:val="24"/>
          <w:szCs w:val="24"/>
        </w:rPr>
      </w:pPr>
      <w:r>
        <w:rPr>
          <w:rFonts w:hint="eastAsia"/>
          <w:color w:val="000000"/>
          <w:sz w:val="24"/>
          <w:szCs w:val="24"/>
        </w:rPr>
        <w:t>（1）产业定位</w:t>
      </w:r>
    </w:p>
    <w:p>
      <w:pPr>
        <w:spacing w:line="520" w:lineRule="exact"/>
        <w:ind w:firstLine="480" w:firstLineChars="200"/>
        <w:rPr>
          <w:color w:val="000000"/>
          <w:sz w:val="24"/>
          <w:szCs w:val="24"/>
        </w:rPr>
      </w:pPr>
      <w:r>
        <w:rPr>
          <w:rFonts w:hint="eastAsia"/>
          <w:color w:val="000000"/>
          <w:sz w:val="24"/>
          <w:szCs w:val="24"/>
        </w:rPr>
        <w:t>依据原阳县产业发展的现状，分析区位优势、区域资源禀赋特点以及区域比较优势，确定原阳县产业集聚区将以汽车零部件制造、农副产品深加工、机电电气和家具加工产业为主导，以现代物流等相关配套产业为支撑的，分工明确、组织合理的产业体系。</w:t>
      </w:r>
    </w:p>
    <w:p>
      <w:pPr>
        <w:spacing w:line="520" w:lineRule="exact"/>
        <w:ind w:firstLine="480" w:firstLineChars="200"/>
        <w:rPr>
          <w:color w:val="000000"/>
          <w:sz w:val="24"/>
          <w:szCs w:val="24"/>
        </w:rPr>
      </w:pPr>
      <w:r>
        <w:rPr>
          <w:rFonts w:hint="eastAsia"/>
          <w:color w:val="000000"/>
          <w:sz w:val="24"/>
          <w:szCs w:val="24"/>
        </w:rPr>
        <w:t>（2）功能定位</w:t>
      </w:r>
    </w:p>
    <w:p>
      <w:pPr>
        <w:spacing w:line="520" w:lineRule="exact"/>
        <w:ind w:firstLine="480" w:firstLineChars="200"/>
        <w:rPr>
          <w:color w:val="000000"/>
          <w:sz w:val="24"/>
          <w:szCs w:val="24"/>
        </w:rPr>
      </w:pPr>
      <w:r>
        <w:rPr>
          <w:rFonts w:hint="eastAsia"/>
          <w:color w:val="000000"/>
          <w:sz w:val="24"/>
          <w:szCs w:val="24"/>
        </w:rPr>
        <w:t>通过协调周边区域的发展，建构合理的空间体系与功能布局，加强园区配套设施建设，改善生产生活环境，将原阳县产业集聚区建设成为产业特色鲜明、物流兴旺、配套设施完善的多功能复合型城镇功能区、原阳县重要的经济增长极、中原经济区核心增长区的重要节点增长极。</w:t>
      </w:r>
    </w:p>
    <w:p>
      <w:pPr>
        <w:spacing w:line="520" w:lineRule="exact"/>
        <w:ind w:firstLine="480" w:firstLineChars="200"/>
        <w:rPr>
          <w:color w:val="000000"/>
          <w:sz w:val="24"/>
          <w:szCs w:val="24"/>
        </w:rPr>
      </w:pPr>
      <w:r>
        <w:rPr>
          <w:rFonts w:hint="eastAsia"/>
          <w:color w:val="000000"/>
          <w:sz w:val="24"/>
          <w:szCs w:val="24"/>
        </w:rPr>
        <w:t>（3）总体定位</w:t>
      </w:r>
    </w:p>
    <w:p>
      <w:pPr>
        <w:spacing w:line="520" w:lineRule="exact"/>
        <w:ind w:firstLine="480" w:firstLineChars="200"/>
        <w:rPr>
          <w:color w:val="000000"/>
          <w:sz w:val="24"/>
          <w:szCs w:val="24"/>
        </w:rPr>
      </w:pPr>
      <w:r>
        <w:rPr>
          <w:rFonts w:hint="eastAsia"/>
          <w:color w:val="000000"/>
          <w:sz w:val="24"/>
          <w:szCs w:val="24"/>
        </w:rPr>
        <w:t>结合区位条件和资源优势，根据构建“三大体系”的载体和形成跨越式发展新机制的要求，提出原阳县产业集聚区总体发展定位为“一极、两区、三基地”：</w:t>
      </w:r>
    </w:p>
    <w:p>
      <w:pPr>
        <w:spacing w:line="520" w:lineRule="exact"/>
        <w:ind w:firstLine="480" w:firstLineChars="200"/>
        <w:rPr>
          <w:color w:val="000000"/>
          <w:sz w:val="24"/>
          <w:szCs w:val="24"/>
        </w:rPr>
      </w:pPr>
      <w:r>
        <w:rPr>
          <w:rFonts w:hint="eastAsia"/>
          <w:color w:val="000000"/>
          <w:sz w:val="24"/>
          <w:szCs w:val="24"/>
        </w:rPr>
        <w:t>“一极”中原经济区核心增长区的重要节点增长极；</w:t>
      </w:r>
    </w:p>
    <w:p>
      <w:pPr>
        <w:spacing w:line="520" w:lineRule="exact"/>
        <w:ind w:firstLine="480" w:firstLineChars="200"/>
        <w:rPr>
          <w:color w:val="000000"/>
          <w:sz w:val="24"/>
          <w:szCs w:val="24"/>
        </w:rPr>
      </w:pPr>
      <w:r>
        <w:rPr>
          <w:rFonts w:hint="eastAsia"/>
          <w:color w:val="000000"/>
          <w:sz w:val="24"/>
          <w:szCs w:val="24"/>
        </w:rPr>
        <w:t>“两区”中原经济区新型工业化先行区：新（乡）郑（州）区域合作发展示范；</w:t>
      </w:r>
    </w:p>
    <w:p>
      <w:pPr>
        <w:spacing w:line="520" w:lineRule="exact"/>
        <w:ind w:firstLine="480" w:firstLineChars="200"/>
        <w:rPr>
          <w:color w:val="000000"/>
          <w:sz w:val="24"/>
          <w:szCs w:val="24"/>
        </w:rPr>
      </w:pPr>
      <w:r>
        <w:rPr>
          <w:rFonts w:hint="eastAsia"/>
          <w:color w:val="000000"/>
          <w:sz w:val="24"/>
          <w:szCs w:val="24"/>
        </w:rPr>
        <w:t>“三基地”国家级农副产品、家具加工基地、河南省重要的汽车零部件、电器加工基地、区域性现代物流基地。</w:t>
      </w:r>
    </w:p>
    <w:p>
      <w:pPr>
        <w:spacing w:line="520" w:lineRule="exact"/>
        <w:ind w:firstLine="480" w:firstLineChars="200"/>
        <w:rPr>
          <w:color w:val="000000"/>
          <w:sz w:val="24"/>
          <w:szCs w:val="24"/>
        </w:rPr>
      </w:pPr>
      <w:r>
        <w:rPr>
          <w:rFonts w:hint="eastAsia"/>
          <w:color w:val="000000"/>
          <w:sz w:val="24"/>
          <w:szCs w:val="24"/>
        </w:rPr>
        <w:t>（4）总体发展目标</w:t>
      </w:r>
    </w:p>
    <w:p>
      <w:pPr>
        <w:spacing w:line="520" w:lineRule="exact"/>
        <w:ind w:firstLine="480" w:firstLineChars="200"/>
        <w:rPr>
          <w:color w:val="000000"/>
          <w:sz w:val="24"/>
          <w:szCs w:val="24"/>
        </w:rPr>
      </w:pPr>
      <w:r>
        <w:rPr>
          <w:rFonts w:hint="eastAsia"/>
          <w:color w:val="000000"/>
          <w:sz w:val="24"/>
          <w:szCs w:val="24"/>
        </w:rPr>
        <w:t>“企业集中布局、产业集群发展、资源集约利用、功能集合构建”，以市场为导向、以创新为动力、以整合区域资源为出发点、以招商引资为抓手、以项目入驻为根本，大力推进汽车零部件制造、农副产品深加工、机电电气、家具加工和现代物流的发展。集聚区建成科技领先、工业发达、服务业先进、竞争力较强、具有全国知名度的产业集聚区，综合实力稳居全省前列。</w:t>
      </w:r>
    </w:p>
    <w:p>
      <w:pPr>
        <w:spacing w:line="520" w:lineRule="exact"/>
        <w:ind w:firstLine="480" w:firstLineChars="200"/>
        <w:rPr>
          <w:color w:val="000000"/>
          <w:sz w:val="24"/>
          <w:szCs w:val="24"/>
        </w:rPr>
      </w:pPr>
      <w:r>
        <w:rPr>
          <w:rFonts w:hint="eastAsia"/>
          <w:color w:val="000000"/>
          <w:sz w:val="24"/>
          <w:szCs w:val="24"/>
        </w:rPr>
        <w:t>4、空间布局结构</w:t>
      </w:r>
    </w:p>
    <w:p>
      <w:pPr>
        <w:spacing w:line="520" w:lineRule="exact"/>
        <w:ind w:firstLine="480" w:firstLineChars="200"/>
        <w:rPr>
          <w:color w:val="000000"/>
          <w:sz w:val="24"/>
          <w:szCs w:val="24"/>
        </w:rPr>
      </w:pPr>
      <w:r>
        <w:rPr>
          <w:rFonts w:hint="eastAsia"/>
          <w:color w:val="000000"/>
          <w:sz w:val="24"/>
          <w:szCs w:val="24"/>
        </w:rPr>
        <w:t>原阳县产业集聚区总体空间结构为：两轴四园。</w:t>
      </w:r>
    </w:p>
    <w:p>
      <w:pPr>
        <w:spacing w:line="520" w:lineRule="exact"/>
        <w:ind w:firstLine="480" w:firstLineChars="200"/>
        <w:rPr>
          <w:color w:val="000000"/>
          <w:sz w:val="24"/>
          <w:szCs w:val="24"/>
        </w:rPr>
      </w:pPr>
      <w:r>
        <w:rPr>
          <w:rFonts w:hint="eastAsia"/>
          <w:color w:val="000000"/>
          <w:sz w:val="24"/>
          <w:szCs w:val="24"/>
        </w:rPr>
        <w:t>“两轴”为沿太行大道的南北向综合发展轴及沿连接线的东西向发展轴。</w:t>
      </w:r>
    </w:p>
    <w:p>
      <w:pPr>
        <w:spacing w:line="520" w:lineRule="exact"/>
        <w:ind w:firstLine="480" w:firstLineChars="200"/>
        <w:rPr>
          <w:color w:val="000000"/>
          <w:sz w:val="24"/>
          <w:szCs w:val="24"/>
        </w:rPr>
      </w:pPr>
      <w:r>
        <w:rPr>
          <w:rFonts w:hint="eastAsia"/>
          <w:color w:val="000000"/>
          <w:sz w:val="24"/>
          <w:szCs w:val="24"/>
        </w:rPr>
        <w:t>“四园”为汽车零部件制造产业园、农副产品深加工产业园、企业孵化和综合服务产业园。</w:t>
      </w:r>
    </w:p>
    <w:p>
      <w:pPr>
        <w:spacing w:line="520" w:lineRule="exact"/>
        <w:ind w:firstLine="480" w:firstLineChars="200"/>
        <w:rPr>
          <w:color w:val="000000"/>
          <w:sz w:val="24"/>
          <w:szCs w:val="24"/>
        </w:rPr>
      </w:pPr>
      <w:r>
        <w:rPr>
          <w:rFonts w:hint="eastAsia"/>
          <w:color w:val="000000"/>
          <w:sz w:val="24"/>
          <w:szCs w:val="24"/>
        </w:rPr>
        <w:t>5、功能分区</w:t>
      </w:r>
    </w:p>
    <w:p>
      <w:pPr>
        <w:spacing w:line="520" w:lineRule="exact"/>
        <w:ind w:firstLine="480" w:firstLineChars="200"/>
        <w:rPr>
          <w:color w:val="000000"/>
          <w:sz w:val="24"/>
          <w:szCs w:val="24"/>
        </w:rPr>
      </w:pPr>
      <w:r>
        <w:rPr>
          <w:rFonts w:hint="eastAsia"/>
          <w:color w:val="000000"/>
          <w:sz w:val="24"/>
          <w:szCs w:val="24"/>
        </w:rPr>
        <w:t>集聚区未对产业集聚区的功能严格分区，以集聚区空间布局主要划分为产业发展功能区为主（三个产业区）和集聚区生产生活服务配套功能区和生态功能区。</w:t>
      </w:r>
    </w:p>
    <w:p>
      <w:pPr>
        <w:spacing w:line="520" w:lineRule="exact"/>
        <w:ind w:firstLine="480" w:firstLineChars="200"/>
        <w:rPr>
          <w:color w:val="000000"/>
          <w:sz w:val="24"/>
          <w:szCs w:val="24"/>
        </w:rPr>
      </w:pPr>
      <w:r>
        <w:rPr>
          <w:rFonts w:hint="eastAsia"/>
          <w:color w:val="000000"/>
          <w:sz w:val="24"/>
          <w:szCs w:val="24"/>
        </w:rPr>
        <w:t>——产业功能发展区：产业分为“四园”，为汽车零部件制造产业园、农副产品深加工产业园、企业孵化和综合服务产业园。</w:t>
      </w:r>
    </w:p>
    <w:p>
      <w:pPr>
        <w:spacing w:line="520" w:lineRule="exact"/>
        <w:ind w:firstLine="480" w:firstLineChars="200"/>
        <w:rPr>
          <w:color w:val="000000"/>
          <w:sz w:val="24"/>
          <w:szCs w:val="24"/>
        </w:rPr>
      </w:pPr>
      <w:r>
        <w:rPr>
          <w:rFonts w:hint="eastAsia"/>
          <w:color w:val="000000"/>
          <w:sz w:val="24"/>
          <w:szCs w:val="24"/>
        </w:rPr>
        <w:t>——生产、生活服务配套功能区：包括集聚区管理服务、行政办公区、金融商业服务和医疗以及文化娱乐休闲服务区及其它生活配套服务区。</w:t>
      </w:r>
    </w:p>
    <w:p>
      <w:pPr>
        <w:spacing w:line="520" w:lineRule="exact"/>
        <w:ind w:firstLine="480" w:firstLineChars="200"/>
        <w:rPr>
          <w:color w:val="000000"/>
          <w:sz w:val="24"/>
          <w:szCs w:val="24"/>
        </w:rPr>
      </w:pPr>
      <w:r>
        <w:rPr>
          <w:rFonts w:hint="eastAsia"/>
          <w:color w:val="000000"/>
          <w:sz w:val="24"/>
          <w:szCs w:val="24"/>
        </w:rPr>
        <w:t>——生态功能区：包括各种绿地、西关排滨河生态绿地、生产防护绿地和沿路公共绿化等。</w:t>
      </w:r>
    </w:p>
    <w:p>
      <w:pPr>
        <w:spacing w:line="520" w:lineRule="exact"/>
        <w:ind w:firstLine="480" w:firstLineChars="200"/>
        <w:rPr>
          <w:color w:val="000000"/>
          <w:sz w:val="24"/>
          <w:szCs w:val="24"/>
        </w:rPr>
      </w:pPr>
      <w:r>
        <w:rPr>
          <w:rFonts w:hint="eastAsia"/>
          <w:color w:val="000000"/>
          <w:sz w:val="24"/>
          <w:szCs w:val="24"/>
        </w:rPr>
        <w:t>6、环境保护规划</w:t>
      </w:r>
    </w:p>
    <w:p>
      <w:pPr>
        <w:spacing w:line="520" w:lineRule="exact"/>
        <w:ind w:firstLine="480" w:firstLineChars="200"/>
        <w:rPr>
          <w:color w:val="000000"/>
          <w:sz w:val="24"/>
          <w:szCs w:val="24"/>
        </w:rPr>
      </w:pPr>
      <w:r>
        <w:rPr>
          <w:rFonts w:hint="eastAsia"/>
          <w:color w:val="000000"/>
          <w:sz w:val="24"/>
          <w:szCs w:val="24"/>
        </w:rPr>
        <w:t>大气环境目标：执行国家《环境空气质量标准》(GB3095-2012)，规划区划为二类环境空气质量控制区，执行二级标准。</w:t>
      </w:r>
    </w:p>
    <w:p>
      <w:pPr>
        <w:spacing w:line="520" w:lineRule="exact"/>
        <w:ind w:firstLine="480" w:firstLineChars="200"/>
        <w:rPr>
          <w:color w:val="000000"/>
          <w:sz w:val="24"/>
          <w:szCs w:val="24"/>
        </w:rPr>
      </w:pPr>
      <w:r>
        <w:rPr>
          <w:rFonts w:hint="eastAsia"/>
          <w:color w:val="000000"/>
          <w:sz w:val="24"/>
          <w:szCs w:val="24"/>
        </w:rPr>
        <w:t>水环境目标：河流水体执行《地表水环境质量标准》（GB3838-2002）V类标准。地下水执行《地下水质量标准》（GB/T14848-2017）</w:t>
      </w:r>
      <w:r>
        <w:rPr>
          <w:color w:val="000000"/>
          <w:sz w:val="24"/>
          <w:szCs w:val="24"/>
        </w:rPr>
        <w:t>Ⅲ</w:t>
      </w:r>
      <w:r>
        <w:rPr>
          <w:rFonts w:hint="eastAsia"/>
          <w:color w:val="000000"/>
          <w:sz w:val="24"/>
          <w:szCs w:val="24"/>
        </w:rPr>
        <w:t>类标准。</w:t>
      </w:r>
    </w:p>
    <w:p>
      <w:pPr>
        <w:spacing w:line="520" w:lineRule="exact"/>
        <w:ind w:firstLine="480" w:firstLineChars="200"/>
        <w:rPr>
          <w:color w:val="000000"/>
          <w:sz w:val="24"/>
          <w:szCs w:val="24"/>
        </w:rPr>
      </w:pPr>
      <w:r>
        <w:rPr>
          <w:rFonts w:hint="eastAsia"/>
          <w:color w:val="000000"/>
          <w:sz w:val="24"/>
          <w:szCs w:val="24"/>
        </w:rPr>
        <w:t>噪声环境保护目标：执行《声环境质量标准》（GB3096-2008）2、3、4类相关要求执行。</w:t>
      </w:r>
    </w:p>
    <w:p>
      <w:pPr>
        <w:keepNext/>
        <w:keepLines/>
        <w:spacing w:line="520" w:lineRule="exact"/>
        <w:outlineLvl w:val="3"/>
        <w:rPr>
          <w:rFonts w:eastAsia="黑体"/>
          <w:bCs/>
          <w:sz w:val="28"/>
          <w:szCs w:val="28"/>
        </w:rPr>
      </w:pPr>
      <w:r>
        <w:rPr>
          <w:rFonts w:hint="eastAsia" w:eastAsia="黑体"/>
          <w:bCs/>
          <w:sz w:val="28"/>
          <w:szCs w:val="28"/>
        </w:rPr>
        <w:t>2</w:t>
      </w:r>
      <w:r>
        <w:rPr>
          <w:rFonts w:eastAsia="黑体"/>
          <w:bCs/>
          <w:sz w:val="28"/>
          <w:szCs w:val="28"/>
        </w:rPr>
        <w:t>.8.2.3</w:t>
      </w:r>
      <w:r>
        <w:rPr>
          <w:rFonts w:hint="eastAsia" w:eastAsia="黑体"/>
          <w:bCs/>
          <w:sz w:val="28"/>
          <w:szCs w:val="28"/>
        </w:rPr>
        <w:t>《</w:t>
      </w:r>
      <w:r>
        <w:rPr>
          <w:rFonts w:eastAsia="黑体"/>
          <w:bCs/>
          <w:sz w:val="28"/>
          <w:szCs w:val="28"/>
        </w:rPr>
        <w:t>原阳县产业集聚区发展规划调整方案环境影响补充分析报告》</w:t>
      </w:r>
    </w:p>
    <w:p>
      <w:pPr>
        <w:spacing w:line="520" w:lineRule="exact"/>
        <w:ind w:firstLine="480" w:firstLineChars="200"/>
        <w:rPr>
          <w:sz w:val="24"/>
        </w:rPr>
      </w:pPr>
      <w:r>
        <w:rPr>
          <w:rFonts w:hint="eastAsia"/>
          <w:sz w:val="24"/>
        </w:rPr>
        <w:t>1、规划</w:t>
      </w:r>
      <w:r>
        <w:rPr>
          <w:sz w:val="24"/>
        </w:rPr>
        <w:t>范围</w:t>
      </w:r>
    </w:p>
    <w:p>
      <w:pPr>
        <w:spacing w:line="520" w:lineRule="exact"/>
        <w:ind w:firstLine="480" w:firstLineChars="200"/>
        <w:rPr>
          <w:sz w:val="24"/>
        </w:rPr>
      </w:pPr>
      <w:r>
        <w:rPr>
          <w:rFonts w:hint="eastAsia"/>
          <w:sz w:val="24"/>
        </w:rPr>
        <w:t>东至黄河路，西至西二环，南至工业大道，北至南干道，</w:t>
      </w:r>
      <w:r>
        <w:rPr>
          <w:sz w:val="24"/>
        </w:rPr>
        <w:t>规划面积14.69km</w:t>
      </w:r>
      <w:r>
        <w:rPr>
          <w:sz w:val="24"/>
          <w:vertAlign w:val="superscript"/>
        </w:rPr>
        <w:t>2</w:t>
      </w:r>
      <w:r>
        <w:rPr>
          <w:rFonts w:hint="eastAsia"/>
          <w:sz w:val="24"/>
        </w:rPr>
        <w:t>，其中建成区面积为2.2</w:t>
      </w:r>
      <w:r>
        <w:rPr>
          <w:sz w:val="24"/>
        </w:rPr>
        <w:t>km</w:t>
      </w:r>
      <w:r>
        <w:rPr>
          <w:sz w:val="24"/>
          <w:vertAlign w:val="superscript"/>
        </w:rPr>
        <w:t>2</w:t>
      </w:r>
      <w:r>
        <w:rPr>
          <w:rFonts w:hint="eastAsia"/>
          <w:sz w:val="24"/>
        </w:rPr>
        <w:t>、发展规划面积5.49</w:t>
      </w:r>
      <w:r>
        <w:rPr>
          <w:sz w:val="24"/>
        </w:rPr>
        <w:t>km</w:t>
      </w:r>
      <w:r>
        <w:rPr>
          <w:sz w:val="24"/>
          <w:vertAlign w:val="superscript"/>
        </w:rPr>
        <w:t>2</w:t>
      </w:r>
      <w:r>
        <w:rPr>
          <w:rFonts w:hint="eastAsia"/>
          <w:sz w:val="24"/>
        </w:rPr>
        <w:t>、控制规划面积7</w:t>
      </w:r>
      <w:r>
        <w:rPr>
          <w:sz w:val="24"/>
        </w:rPr>
        <w:t>km</w:t>
      </w:r>
      <w:r>
        <w:rPr>
          <w:sz w:val="24"/>
          <w:vertAlign w:val="superscript"/>
        </w:rPr>
        <w:t>2</w:t>
      </w:r>
      <w:r>
        <w:rPr>
          <w:rFonts w:hint="eastAsia"/>
          <w:sz w:val="24"/>
        </w:rPr>
        <w:t>。</w:t>
      </w:r>
    </w:p>
    <w:p>
      <w:pPr>
        <w:spacing w:line="520" w:lineRule="exact"/>
        <w:ind w:firstLine="480" w:firstLineChars="200"/>
        <w:rPr>
          <w:sz w:val="24"/>
        </w:rPr>
      </w:pPr>
      <w:r>
        <w:rPr>
          <w:sz w:val="24"/>
        </w:rPr>
        <w:t>2</w:t>
      </w:r>
      <w:r>
        <w:rPr>
          <w:rFonts w:hint="eastAsia"/>
          <w:sz w:val="24"/>
        </w:rPr>
        <w:t>、</w:t>
      </w:r>
      <w:r>
        <w:rPr>
          <w:sz w:val="24"/>
        </w:rPr>
        <w:t>主导产业</w:t>
      </w:r>
    </w:p>
    <w:p>
      <w:pPr>
        <w:spacing w:line="520" w:lineRule="exact"/>
        <w:ind w:firstLine="480" w:firstLineChars="200"/>
        <w:rPr>
          <w:sz w:val="24"/>
        </w:rPr>
      </w:pPr>
      <w:r>
        <w:rPr>
          <w:rFonts w:hint="eastAsia"/>
          <w:sz w:val="24"/>
        </w:rPr>
        <w:t>汽车零部件制造、农副产品深加工。</w:t>
      </w:r>
    </w:p>
    <w:p>
      <w:pPr>
        <w:spacing w:line="520" w:lineRule="exact"/>
        <w:ind w:firstLine="480" w:firstLineChars="200"/>
        <w:rPr>
          <w:sz w:val="24"/>
        </w:rPr>
      </w:pPr>
      <w:r>
        <w:rPr>
          <w:rFonts w:hint="eastAsia"/>
          <w:sz w:val="24"/>
        </w:rPr>
        <w:t>3、</w:t>
      </w:r>
      <w:r>
        <w:rPr>
          <w:sz w:val="24"/>
        </w:rPr>
        <w:t>产业集聚区的发展定位为</w:t>
      </w:r>
    </w:p>
    <w:p>
      <w:pPr>
        <w:spacing w:line="520" w:lineRule="exact"/>
        <w:ind w:firstLine="480" w:firstLineChars="200"/>
        <w:rPr>
          <w:sz w:val="24"/>
          <w:highlight w:val="yellow"/>
        </w:rPr>
      </w:pPr>
      <w:r>
        <w:rPr>
          <w:rFonts w:hint="eastAsia"/>
          <w:sz w:val="24"/>
        </w:rPr>
        <w:t>（1）</w:t>
      </w:r>
      <w:r>
        <w:rPr>
          <w:sz w:val="24"/>
        </w:rPr>
        <w:t>以</w:t>
      </w:r>
      <w:r>
        <w:rPr>
          <w:rFonts w:hint="eastAsia"/>
          <w:sz w:val="24"/>
        </w:rPr>
        <w:t>汽车零部件制造、农副产品深加工</w:t>
      </w:r>
      <w:r>
        <w:rPr>
          <w:sz w:val="24"/>
        </w:rPr>
        <w:t>为主导，以</w:t>
      </w:r>
      <w:r>
        <w:rPr>
          <w:rFonts w:hint="eastAsia"/>
          <w:sz w:val="24"/>
        </w:rPr>
        <w:t>现代物流等相关配套产业为</w:t>
      </w:r>
      <w:r>
        <w:rPr>
          <w:sz w:val="24"/>
        </w:rPr>
        <w:t>支撑的</w:t>
      </w:r>
      <w:r>
        <w:rPr>
          <w:rFonts w:hint="eastAsia"/>
          <w:sz w:val="24"/>
        </w:rPr>
        <w:t>，分工明确、组织合理的</w:t>
      </w:r>
      <w:r>
        <w:rPr>
          <w:sz w:val="24"/>
        </w:rPr>
        <w:t>产业体系</w:t>
      </w:r>
      <w:r>
        <w:rPr>
          <w:rFonts w:hint="eastAsia"/>
          <w:sz w:val="24"/>
        </w:rPr>
        <w:t>。</w:t>
      </w:r>
    </w:p>
    <w:p>
      <w:pPr>
        <w:spacing w:line="520" w:lineRule="exact"/>
        <w:ind w:firstLine="480" w:firstLineChars="200"/>
        <w:rPr>
          <w:color w:val="000000"/>
          <w:sz w:val="24"/>
          <w:szCs w:val="24"/>
        </w:rPr>
      </w:pPr>
      <w:r>
        <w:rPr>
          <w:rFonts w:hint="eastAsia"/>
          <w:color w:val="000000"/>
          <w:sz w:val="24"/>
          <w:szCs w:val="24"/>
        </w:rPr>
        <w:t>（2）功能定位</w:t>
      </w:r>
    </w:p>
    <w:p>
      <w:pPr>
        <w:spacing w:line="520" w:lineRule="exact"/>
        <w:ind w:firstLine="480" w:firstLineChars="200"/>
        <w:rPr>
          <w:color w:val="000000"/>
          <w:sz w:val="24"/>
          <w:szCs w:val="24"/>
        </w:rPr>
      </w:pPr>
      <w:r>
        <w:rPr>
          <w:rFonts w:hint="eastAsia"/>
          <w:color w:val="000000"/>
          <w:sz w:val="24"/>
          <w:szCs w:val="24"/>
        </w:rPr>
        <w:t>通过协调周边区域的发展，建构合理的空间体系与功能布局，加强园区配套设施建设，改善生产生活环境，将原阳县产业集聚区建设成为产业特色鲜明、物流兴旺、配套设施完善的多功能复合型城镇功能区、原阳县重要的经济增长极、中原经济区核心增长区的重要节点增长极。</w:t>
      </w:r>
    </w:p>
    <w:p>
      <w:pPr>
        <w:spacing w:line="520" w:lineRule="exact"/>
        <w:ind w:firstLine="480" w:firstLineChars="200"/>
        <w:rPr>
          <w:color w:val="000000"/>
          <w:sz w:val="24"/>
          <w:szCs w:val="24"/>
        </w:rPr>
      </w:pPr>
      <w:r>
        <w:rPr>
          <w:rFonts w:hint="eastAsia"/>
          <w:color w:val="000000"/>
          <w:sz w:val="24"/>
          <w:szCs w:val="24"/>
        </w:rPr>
        <w:t>（3）总体定位</w:t>
      </w:r>
    </w:p>
    <w:p>
      <w:pPr>
        <w:spacing w:line="520" w:lineRule="exact"/>
        <w:ind w:firstLine="480" w:firstLineChars="200"/>
        <w:rPr>
          <w:color w:val="000000"/>
          <w:sz w:val="24"/>
          <w:szCs w:val="24"/>
        </w:rPr>
      </w:pPr>
      <w:r>
        <w:rPr>
          <w:color w:val="000000"/>
          <w:sz w:val="24"/>
          <w:szCs w:val="24"/>
        </w:rPr>
        <w:t>结合区位条件和资源优势，根据构建</w:t>
      </w:r>
      <w:r>
        <w:rPr>
          <w:rFonts w:hint="eastAsia"/>
          <w:color w:val="000000"/>
          <w:sz w:val="24"/>
          <w:szCs w:val="24"/>
        </w:rPr>
        <w:t>“三大体系”</w:t>
      </w:r>
      <w:r>
        <w:rPr>
          <w:color w:val="000000"/>
          <w:sz w:val="24"/>
          <w:szCs w:val="24"/>
        </w:rPr>
        <w:t>的载体和形成跨越式发展新机制的要求，提出</w:t>
      </w:r>
      <w:r>
        <w:rPr>
          <w:rFonts w:hint="eastAsia"/>
          <w:color w:val="000000"/>
          <w:sz w:val="24"/>
          <w:szCs w:val="24"/>
        </w:rPr>
        <w:t>原阳县产业集聚区</w:t>
      </w:r>
      <w:r>
        <w:rPr>
          <w:color w:val="000000"/>
          <w:sz w:val="24"/>
          <w:szCs w:val="24"/>
        </w:rPr>
        <w:t>总体发展定位</w:t>
      </w:r>
      <w:r>
        <w:rPr>
          <w:rFonts w:hint="eastAsia"/>
          <w:color w:val="000000"/>
          <w:sz w:val="24"/>
          <w:szCs w:val="24"/>
        </w:rPr>
        <w:t>为“一极、两区、三基地”</w:t>
      </w:r>
      <w:r>
        <w:rPr>
          <w:color w:val="000000"/>
          <w:sz w:val="24"/>
          <w:szCs w:val="24"/>
        </w:rPr>
        <w:t>：</w:t>
      </w:r>
    </w:p>
    <w:p>
      <w:pPr>
        <w:spacing w:line="520" w:lineRule="exact"/>
        <w:ind w:firstLine="480" w:firstLineChars="200"/>
        <w:rPr>
          <w:color w:val="000000"/>
          <w:sz w:val="24"/>
          <w:szCs w:val="24"/>
        </w:rPr>
      </w:pPr>
      <w:r>
        <w:rPr>
          <w:rFonts w:hint="eastAsia"/>
          <w:color w:val="000000"/>
          <w:sz w:val="24"/>
          <w:szCs w:val="24"/>
        </w:rPr>
        <w:t>“一极”中原经济区核心增长区的重要节点增长极</w:t>
      </w:r>
    </w:p>
    <w:p>
      <w:pPr>
        <w:spacing w:line="520" w:lineRule="exact"/>
        <w:ind w:firstLine="480" w:firstLineChars="200"/>
        <w:rPr>
          <w:color w:val="000000"/>
          <w:sz w:val="24"/>
          <w:szCs w:val="24"/>
        </w:rPr>
      </w:pPr>
      <w:r>
        <w:rPr>
          <w:rFonts w:hint="eastAsia"/>
          <w:color w:val="000000"/>
          <w:sz w:val="24"/>
          <w:szCs w:val="24"/>
        </w:rPr>
        <w:t>“两区”中原经济区新型工业化先行区；新（乡）郑（州）区域合作发展示范区</w:t>
      </w:r>
    </w:p>
    <w:p>
      <w:pPr>
        <w:spacing w:line="520" w:lineRule="exact"/>
        <w:ind w:firstLine="480" w:firstLineChars="200"/>
        <w:rPr>
          <w:color w:val="000000"/>
          <w:sz w:val="24"/>
          <w:szCs w:val="24"/>
        </w:rPr>
      </w:pPr>
      <w:r>
        <w:rPr>
          <w:rFonts w:hint="eastAsia"/>
          <w:color w:val="000000"/>
          <w:sz w:val="24"/>
          <w:szCs w:val="24"/>
        </w:rPr>
        <w:t>“三基地”国家级农副产品深加工基地、河南省重要的汽车零部件加工基地、区域性现代物流基地。</w:t>
      </w:r>
    </w:p>
    <w:p>
      <w:pPr>
        <w:spacing w:line="520" w:lineRule="exact"/>
        <w:ind w:firstLine="480" w:firstLineChars="200"/>
        <w:rPr>
          <w:color w:val="000000"/>
          <w:sz w:val="24"/>
          <w:szCs w:val="24"/>
        </w:rPr>
      </w:pPr>
      <w:r>
        <w:rPr>
          <w:rFonts w:hint="eastAsia"/>
          <w:color w:val="000000"/>
          <w:sz w:val="24"/>
          <w:szCs w:val="24"/>
        </w:rPr>
        <w:t>（4）</w:t>
      </w:r>
      <w:r>
        <w:rPr>
          <w:color w:val="000000"/>
          <w:sz w:val="24"/>
          <w:szCs w:val="24"/>
        </w:rPr>
        <w:t>总体</w:t>
      </w:r>
      <w:r>
        <w:rPr>
          <w:rFonts w:hint="eastAsia"/>
          <w:color w:val="000000"/>
          <w:sz w:val="24"/>
          <w:szCs w:val="24"/>
        </w:rPr>
        <w:t>发展</w:t>
      </w:r>
      <w:r>
        <w:rPr>
          <w:color w:val="000000"/>
          <w:sz w:val="24"/>
          <w:szCs w:val="24"/>
        </w:rPr>
        <w:t>目标</w:t>
      </w:r>
    </w:p>
    <w:p>
      <w:pPr>
        <w:spacing w:line="520" w:lineRule="exact"/>
        <w:ind w:firstLine="480" w:firstLineChars="200"/>
        <w:rPr>
          <w:sz w:val="24"/>
        </w:rPr>
      </w:pPr>
      <w:r>
        <w:rPr>
          <w:rFonts w:hint="eastAsia"/>
          <w:sz w:val="24"/>
        </w:rPr>
        <w:t>“</w:t>
      </w:r>
      <w:r>
        <w:rPr>
          <w:sz w:val="24"/>
        </w:rPr>
        <w:t>企业集中布局、产业集群发展、资源集约利用、功能集合构建</w:t>
      </w:r>
      <w:r>
        <w:rPr>
          <w:rFonts w:hint="eastAsia"/>
          <w:sz w:val="24"/>
        </w:rPr>
        <w:t>”。</w:t>
      </w:r>
      <w:r>
        <w:rPr>
          <w:sz w:val="24"/>
        </w:rPr>
        <w:t>以市场为导向、以创新为动力、以整合区域资源为出发点、以招商引资为抓手、以项目入驻为根本，大力推进</w:t>
      </w:r>
      <w:r>
        <w:rPr>
          <w:rFonts w:hint="eastAsia"/>
          <w:sz w:val="24"/>
        </w:rPr>
        <w:t>汽车零部件、农副产品深加工和现代物流</w:t>
      </w:r>
      <w:r>
        <w:rPr>
          <w:sz w:val="24"/>
        </w:rPr>
        <w:t>的发展。</w:t>
      </w:r>
      <w:r>
        <w:rPr>
          <w:rFonts w:hint="eastAsia"/>
          <w:sz w:val="24"/>
        </w:rPr>
        <w:t>集聚区</w:t>
      </w:r>
      <w:r>
        <w:rPr>
          <w:sz w:val="24"/>
        </w:rPr>
        <w:t>建成科技领先、工业发达、服务业先进、竞争力较强、具有</w:t>
      </w:r>
      <w:r>
        <w:rPr>
          <w:rFonts w:hint="eastAsia"/>
          <w:sz w:val="24"/>
        </w:rPr>
        <w:t>全国</w:t>
      </w:r>
      <w:r>
        <w:rPr>
          <w:sz w:val="24"/>
        </w:rPr>
        <w:t>知名度的</w:t>
      </w:r>
      <w:r>
        <w:rPr>
          <w:rFonts w:hint="eastAsia"/>
          <w:sz w:val="24"/>
        </w:rPr>
        <w:t>产业集聚区</w:t>
      </w:r>
      <w:r>
        <w:rPr>
          <w:sz w:val="24"/>
        </w:rPr>
        <w:t>，综合实力稳居全省前列</w:t>
      </w:r>
      <w:r>
        <w:rPr>
          <w:rFonts w:hint="eastAsia"/>
          <w:sz w:val="24"/>
        </w:rPr>
        <w:t>。</w:t>
      </w:r>
    </w:p>
    <w:p>
      <w:pPr>
        <w:spacing w:line="520" w:lineRule="exact"/>
        <w:ind w:firstLine="480" w:firstLineChars="200"/>
        <w:rPr>
          <w:color w:val="000000"/>
          <w:sz w:val="24"/>
          <w:szCs w:val="24"/>
        </w:rPr>
      </w:pPr>
      <w:r>
        <w:rPr>
          <w:color w:val="000000"/>
          <w:sz w:val="24"/>
          <w:szCs w:val="24"/>
        </w:rPr>
        <w:t>4</w:t>
      </w:r>
      <w:r>
        <w:rPr>
          <w:rFonts w:hint="eastAsia"/>
          <w:color w:val="000000"/>
          <w:sz w:val="24"/>
          <w:szCs w:val="24"/>
        </w:rPr>
        <w:t>、空间布局结构</w:t>
      </w:r>
    </w:p>
    <w:p>
      <w:pPr>
        <w:spacing w:line="520" w:lineRule="exact"/>
        <w:ind w:firstLine="480" w:firstLineChars="200"/>
        <w:rPr>
          <w:color w:val="000000"/>
          <w:sz w:val="24"/>
          <w:szCs w:val="24"/>
        </w:rPr>
      </w:pPr>
      <w:r>
        <w:rPr>
          <w:rFonts w:hint="eastAsia"/>
          <w:color w:val="000000"/>
          <w:sz w:val="24"/>
          <w:szCs w:val="24"/>
        </w:rPr>
        <w:t>原阳县产业集聚区总体空间结构为：两轴四园。</w:t>
      </w:r>
    </w:p>
    <w:p>
      <w:pPr>
        <w:spacing w:line="520" w:lineRule="exact"/>
        <w:ind w:firstLine="480" w:firstLineChars="200"/>
        <w:jc w:val="left"/>
        <w:rPr>
          <w:sz w:val="24"/>
        </w:rPr>
      </w:pPr>
      <w:r>
        <w:rPr>
          <w:rFonts w:hint="eastAsia"/>
          <w:sz w:val="24"/>
        </w:rPr>
        <w:t>“两轴”为沿太行大道的南北向综合发展轴及沿连接线的东西向发展轴。</w:t>
      </w:r>
    </w:p>
    <w:p>
      <w:pPr>
        <w:spacing w:line="520" w:lineRule="exact"/>
        <w:ind w:firstLine="480" w:firstLineChars="200"/>
        <w:jc w:val="left"/>
        <w:rPr>
          <w:sz w:val="24"/>
        </w:rPr>
      </w:pPr>
      <w:r>
        <w:rPr>
          <w:rFonts w:hint="eastAsia"/>
          <w:sz w:val="24"/>
        </w:rPr>
        <w:t>“四园”为汽车零部件制造产业园、农副产品深加工产业园、企业孵化和综合服务产业园。</w:t>
      </w:r>
    </w:p>
    <w:p>
      <w:pPr>
        <w:spacing w:line="520" w:lineRule="exact"/>
        <w:ind w:firstLine="480" w:firstLineChars="200"/>
        <w:rPr>
          <w:color w:val="000000"/>
          <w:sz w:val="24"/>
          <w:szCs w:val="24"/>
        </w:rPr>
      </w:pPr>
      <w:r>
        <w:rPr>
          <w:rFonts w:hint="eastAsia"/>
          <w:color w:val="000000"/>
          <w:sz w:val="24"/>
          <w:szCs w:val="24"/>
        </w:rPr>
        <w:t>5、功能分区</w:t>
      </w:r>
    </w:p>
    <w:p>
      <w:pPr>
        <w:spacing w:line="520" w:lineRule="exact"/>
        <w:ind w:firstLine="480" w:firstLineChars="200"/>
        <w:jc w:val="left"/>
        <w:rPr>
          <w:sz w:val="24"/>
        </w:rPr>
      </w:pPr>
      <w:r>
        <w:rPr>
          <w:rFonts w:hint="eastAsia"/>
          <w:sz w:val="24"/>
        </w:rPr>
        <w:t>以聚集区空间布局主要划分为产业发展功能区为主（三个产业区）和聚集区生产、生活服务配套功能区和生态功能区。</w:t>
      </w:r>
    </w:p>
    <w:p>
      <w:pPr>
        <w:spacing w:line="520" w:lineRule="exact"/>
        <w:ind w:firstLine="480" w:firstLineChars="200"/>
        <w:jc w:val="left"/>
        <w:rPr>
          <w:sz w:val="24"/>
        </w:rPr>
      </w:pPr>
      <w:r>
        <w:rPr>
          <w:rFonts w:hint="eastAsia"/>
          <w:sz w:val="24"/>
        </w:rPr>
        <w:t>——产业功能发展区：产业分为“四园”：为汽车零部件制造产业园、农副产品深加工产业园、企业孵化和综合服务产业园。</w:t>
      </w:r>
    </w:p>
    <w:p>
      <w:pPr>
        <w:spacing w:line="520" w:lineRule="exact"/>
        <w:ind w:firstLine="480" w:firstLineChars="200"/>
        <w:jc w:val="left"/>
        <w:rPr>
          <w:sz w:val="24"/>
        </w:rPr>
      </w:pPr>
      <w:r>
        <w:rPr>
          <w:rFonts w:hint="eastAsia"/>
          <w:sz w:val="24"/>
        </w:rPr>
        <w:t>——生产、生活服务配套功能区：包括聚集区管理服务、行政办公区、金融商业服务和医疗以及文化娱乐休闲服务区及其它生活配套服务区。</w:t>
      </w:r>
    </w:p>
    <w:p>
      <w:pPr>
        <w:spacing w:line="520" w:lineRule="exact"/>
        <w:ind w:firstLine="480" w:firstLineChars="200"/>
        <w:jc w:val="left"/>
        <w:rPr>
          <w:sz w:val="24"/>
        </w:rPr>
      </w:pPr>
      <w:r>
        <w:rPr>
          <w:rFonts w:hint="eastAsia"/>
          <w:sz w:val="24"/>
        </w:rPr>
        <w:t>——生态功能区：包括各种绿地、西关排滨河生态绿地、生产防护绿地和沿路公共绿化等。</w:t>
      </w:r>
    </w:p>
    <w:p>
      <w:pPr>
        <w:spacing w:line="520" w:lineRule="exact"/>
        <w:ind w:firstLine="480" w:firstLineChars="200"/>
        <w:jc w:val="left"/>
        <w:rPr>
          <w:sz w:val="24"/>
        </w:rPr>
      </w:pPr>
      <w:r>
        <w:rPr>
          <w:rFonts w:hint="eastAsia"/>
          <w:sz w:val="24"/>
        </w:rPr>
        <w:t>其中，居住用地规划9</w:t>
      </w:r>
      <w:r>
        <w:rPr>
          <w:sz w:val="24"/>
        </w:rPr>
        <w:t>.8</w:t>
      </w:r>
      <w:r>
        <w:rPr>
          <w:rFonts w:hint="eastAsia"/>
          <w:sz w:val="24"/>
        </w:rPr>
        <w:t>km</w:t>
      </w:r>
      <w:r>
        <w:rPr>
          <w:sz w:val="24"/>
          <w:vertAlign w:val="superscript"/>
        </w:rPr>
        <w:t>2</w:t>
      </w:r>
      <w:r>
        <w:rPr>
          <w:rFonts w:hint="eastAsia"/>
          <w:sz w:val="24"/>
        </w:rPr>
        <w:t>，工业用地规划用地1</w:t>
      </w:r>
      <w:r>
        <w:rPr>
          <w:sz w:val="24"/>
        </w:rPr>
        <w:t>118.61</w:t>
      </w:r>
      <w:r>
        <w:rPr>
          <w:rFonts w:hint="eastAsia"/>
          <w:sz w:val="24"/>
        </w:rPr>
        <w:t>km</w:t>
      </w:r>
      <w:r>
        <w:rPr>
          <w:sz w:val="24"/>
          <w:vertAlign w:val="superscript"/>
        </w:rPr>
        <w:t>2</w:t>
      </w:r>
      <w:r>
        <w:rPr>
          <w:rFonts w:hint="eastAsia"/>
          <w:sz w:val="24"/>
        </w:rPr>
        <w:t>，公共设施规划用地2</w:t>
      </w:r>
      <w:r>
        <w:rPr>
          <w:sz w:val="24"/>
        </w:rPr>
        <w:t>4.27</w:t>
      </w:r>
      <w:r>
        <w:rPr>
          <w:rFonts w:hint="eastAsia"/>
          <w:sz w:val="24"/>
        </w:rPr>
        <w:t>km</w:t>
      </w:r>
      <w:r>
        <w:rPr>
          <w:sz w:val="24"/>
          <w:vertAlign w:val="superscript"/>
        </w:rPr>
        <w:t>2</w:t>
      </w:r>
      <w:r>
        <w:rPr>
          <w:rFonts w:hint="eastAsia"/>
          <w:sz w:val="24"/>
        </w:rPr>
        <w:t>，道路广场规划用地1</w:t>
      </w:r>
      <w:r>
        <w:rPr>
          <w:sz w:val="24"/>
        </w:rPr>
        <w:t>78.41</w:t>
      </w:r>
      <w:r>
        <w:rPr>
          <w:rFonts w:hint="eastAsia"/>
          <w:sz w:val="24"/>
        </w:rPr>
        <w:t>km</w:t>
      </w:r>
      <w:r>
        <w:rPr>
          <w:sz w:val="24"/>
          <w:vertAlign w:val="superscript"/>
        </w:rPr>
        <w:t>2</w:t>
      </w:r>
      <w:r>
        <w:rPr>
          <w:rFonts w:hint="eastAsia"/>
          <w:sz w:val="24"/>
        </w:rPr>
        <w:t>，市政设施规划用地4</w:t>
      </w:r>
      <w:r>
        <w:rPr>
          <w:sz w:val="24"/>
        </w:rPr>
        <w:t>.6</w:t>
      </w:r>
      <w:r>
        <w:rPr>
          <w:rFonts w:hint="eastAsia"/>
          <w:sz w:val="24"/>
        </w:rPr>
        <w:t>km</w:t>
      </w:r>
      <w:r>
        <w:rPr>
          <w:sz w:val="24"/>
          <w:vertAlign w:val="superscript"/>
        </w:rPr>
        <w:t>2</w:t>
      </w:r>
      <w:r>
        <w:rPr>
          <w:rFonts w:hint="eastAsia"/>
          <w:sz w:val="24"/>
        </w:rPr>
        <w:t>，绿地规划用地1</w:t>
      </w:r>
      <w:r>
        <w:rPr>
          <w:sz w:val="24"/>
        </w:rPr>
        <w:t>26</w:t>
      </w:r>
      <w:r>
        <w:rPr>
          <w:rFonts w:hint="eastAsia"/>
          <w:sz w:val="24"/>
        </w:rPr>
        <w:t>km</w:t>
      </w:r>
      <w:r>
        <w:rPr>
          <w:sz w:val="24"/>
          <w:vertAlign w:val="superscript"/>
        </w:rPr>
        <w:t>2</w:t>
      </w:r>
      <w:r>
        <w:rPr>
          <w:rFonts w:hint="eastAsia"/>
          <w:sz w:val="24"/>
        </w:rPr>
        <w:t>，水域规划用地8</w:t>
      </w:r>
      <w:r>
        <w:rPr>
          <w:sz w:val="24"/>
        </w:rPr>
        <w:t>.12</w:t>
      </w:r>
      <w:r>
        <w:rPr>
          <w:rFonts w:hint="eastAsia"/>
          <w:sz w:val="24"/>
        </w:rPr>
        <w:t>km</w:t>
      </w:r>
      <w:r>
        <w:rPr>
          <w:sz w:val="24"/>
          <w:vertAlign w:val="superscript"/>
        </w:rPr>
        <w:t>2</w:t>
      </w:r>
      <w:r>
        <w:rPr>
          <w:rFonts w:hint="eastAsia"/>
          <w:sz w:val="24"/>
        </w:rPr>
        <w:t>。</w:t>
      </w:r>
    </w:p>
    <w:p>
      <w:pPr>
        <w:spacing w:line="520" w:lineRule="exact"/>
        <w:ind w:firstLine="480" w:firstLineChars="200"/>
        <w:jc w:val="left"/>
        <w:rPr>
          <w:sz w:val="24"/>
        </w:rPr>
      </w:pPr>
      <w:r>
        <w:rPr>
          <w:rFonts w:hint="eastAsia"/>
          <w:sz w:val="24"/>
        </w:rPr>
        <w:t>6、产业选择</w:t>
      </w:r>
    </w:p>
    <w:p>
      <w:pPr>
        <w:spacing w:line="520" w:lineRule="exact"/>
        <w:ind w:firstLine="480" w:firstLineChars="200"/>
        <w:jc w:val="left"/>
        <w:rPr>
          <w:sz w:val="24"/>
        </w:rPr>
      </w:pPr>
      <w:r>
        <w:rPr>
          <w:rFonts w:hint="eastAsia"/>
          <w:sz w:val="24"/>
        </w:rPr>
        <w:t>根据新乡市、原阳县社会和经济发展规划、中原城市群规划及原阳县总体规划等，充分考虑原阳县产业发展的基础和潜力，结合集聚区发展现状及原规划情况，规划确定了集聚区2大主导产业与上轮规划主导产业不变，认为汽车零部件和农副产品加工两大主导产业：</w:t>
      </w:r>
    </w:p>
    <w:p>
      <w:pPr>
        <w:spacing w:line="520" w:lineRule="exact"/>
        <w:ind w:firstLine="482" w:firstLineChars="200"/>
        <w:jc w:val="left"/>
        <w:rPr>
          <w:sz w:val="24"/>
        </w:rPr>
      </w:pPr>
      <w:r>
        <w:rPr>
          <w:rFonts w:hint="eastAsia"/>
          <w:b/>
          <w:sz w:val="24"/>
        </w:rPr>
        <w:t>汽车零部件产业</w:t>
      </w:r>
      <w:r>
        <w:rPr>
          <w:rFonts w:hint="eastAsia"/>
          <w:sz w:val="24"/>
        </w:rPr>
        <w:t>：集聚区目前已有汽车零部件企业16家，聚集区充分发挥河南万向系统制动器有限公司的行业优势，以此带动东信轮胎公司、伟航汽车零部件公司、万安制动系统有限公司、星光汽车配件厂等汽车零部件制造企业的快速发展。重点抓好河南万向系统制动器有限公司年产100万只汽车制动器系列产品项目和年产2.5万吨汽车零部件铸造项目、河南东信轮胎有限公司年产400万条丁基内胎生产线项目建设，带动伟航汽车零部件公司、万安制动系统有限公司、星光汽车配件厂的扩建改造，使原阳县汽车零部件制动业规模迅速膨胀壮大，发展成为中原地区重要的汽车零部件加工工业基地。</w:t>
      </w:r>
    </w:p>
    <w:p>
      <w:pPr>
        <w:spacing w:line="520" w:lineRule="exact"/>
        <w:ind w:firstLine="482" w:firstLineChars="200"/>
        <w:jc w:val="left"/>
        <w:rPr>
          <w:sz w:val="24"/>
        </w:rPr>
      </w:pPr>
      <w:r>
        <w:rPr>
          <w:rFonts w:hint="eastAsia"/>
          <w:b/>
          <w:sz w:val="24"/>
        </w:rPr>
        <w:t>农副产品加工区</w:t>
      </w:r>
      <w:r>
        <w:rPr>
          <w:rFonts w:hint="eastAsia"/>
          <w:sz w:val="24"/>
        </w:rPr>
        <w:t>：集聚区应充分发挥原阳县资源优势，突出实施名牌战略，拉紧拉长产业链条，逐步把农副产品加工产业做大做强。完善农业产业经营机制，高起点嫁接改造农副产品加工业，重点培育标志性的名牌产品和大型企业集团，促进生产、加工销售一体化，推动农产品的深加工和综合开发利用。</w:t>
      </w:r>
    </w:p>
    <w:p>
      <w:pPr>
        <w:spacing w:line="520" w:lineRule="exact"/>
        <w:ind w:firstLine="480" w:firstLineChars="200"/>
        <w:jc w:val="left"/>
        <w:rPr>
          <w:sz w:val="24"/>
        </w:rPr>
      </w:pPr>
      <w:r>
        <w:rPr>
          <w:rFonts w:hint="eastAsia"/>
          <w:sz w:val="24"/>
        </w:rPr>
        <w:t>集聚区以原阳县现有华兴米业公司、香源实业公司、农科所精米厂、郑州金鼎集团方欣米业公司、原阳县珍玉米厂、师寨赵府黑米醋厂等稻米加工企业为依托，研制开发稻米系列产品，拉紧拉长产业链条，提高产品档次，提升产品品位，实施名牌战略，创造名牌效应，引入中央厨房产业园项目，将国内30家知名食品企业集中招至中央厨房产业园内。集聚区发展食品企业要不断增加产品种类，扩大加工深度，形成系列化多元化生产格局，要不断提升产品质量，争创行业品牌，靠品牌优势抢占市场，提高市场占有率。</w:t>
      </w:r>
    </w:p>
    <w:p>
      <w:pPr>
        <w:spacing w:line="520" w:lineRule="exact"/>
        <w:ind w:firstLine="482" w:firstLineChars="200"/>
        <w:jc w:val="left"/>
        <w:rPr>
          <w:sz w:val="24"/>
        </w:rPr>
      </w:pPr>
      <w:r>
        <w:rPr>
          <w:rFonts w:hint="eastAsia"/>
          <w:b/>
          <w:sz w:val="24"/>
        </w:rPr>
        <w:t>企业孵化区及综合服务</w:t>
      </w:r>
      <w:r>
        <w:rPr>
          <w:rFonts w:hint="eastAsia"/>
          <w:sz w:val="24"/>
        </w:rPr>
        <w:t>：调整原综合工业区为企业孵化区，规划为一类工业用地及配套服务用地，其它无详细规划。</w:t>
      </w:r>
    </w:p>
    <w:p>
      <w:pPr>
        <w:spacing w:line="520" w:lineRule="exact"/>
        <w:ind w:firstLine="480" w:firstLineChars="200"/>
        <w:jc w:val="left"/>
        <w:rPr>
          <w:sz w:val="24"/>
        </w:rPr>
      </w:pPr>
      <w:r>
        <w:rPr>
          <w:rFonts w:hint="eastAsia"/>
          <w:sz w:val="24"/>
        </w:rPr>
        <w:t>综上，</w:t>
      </w:r>
      <w:r>
        <w:rPr>
          <w:rFonts w:hint="eastAsia"/>
          <w:bCs/>
          <w:sz w:val="24"/>
        </w:rPr>
        <w:t>本项目主要新建车间厂房和污水处理站，孵化园入驻的企业类型均主要为食品加工和预制菜生产加工企业及相关配套企业，</w:t>
      </w:r>
      <w:r>
        <w:rPr>
          <w:rFonts w:hint="eastAsia"/>
          <w:sz w:val="24"/>
        </w:rPr>
        <w:t>项目</w:t>
      </w:r>
      <w:r>
        <w:rPr>
          <w:sz w:val="24"/>
        </w:rPr>
        <w:t>厂址位于</w:t>
      </w:r>
      <w:r>
        <w:rPr>
          <w:rFonts w:hint="eastAsia"/>
          <w:sz w:val="24"/>
        </w:rPr>
        <w:t>原阳县产业聚集区永安路南侧、小庄村西侧（金祥南街建成打通后为金祥南街西侧，路东为小庄村）、小庄排河东侧</w:t>
      </w:r>
      <w:r>
        <w:rPr>
          <w:sz w:val="24"/>
        </w:rPr>
        <w:t>。根据《</w:t>
      </w:r>
      <w:r>
        <w:rPr>
          <w:rFonts w:hint="eastAsia"/>
          <w:sz w:val="24"/>
        </w:rPr>
        <w:t>原阳县</w:t>
      </w:r>
      <w:r>
        <w:rPr>
          <w:sz w:val="24"/>
        </w:rPr>
        <w:t>产业集聚区发展规划（2012-2020）》（见附图二），项目厂址用地为工业用地</w:t>
      </w:r>
      <w:r>
        <w:rPr>
          <w:rFonts w:hint="eastAsia"/>
          <w:sz w:val="24"/>
        </w:rPr>
        <w:t>，位于农副产品深加工产业区，符合原阳县产业集聚区</w:t>
      </w:r>
      <w:r>
        <w:rPr>
          <w:sz w:val="24"/>
        </w:rPr>
        <w:t>发展规</w:t>
      </w:r>
      <w:r>
        <w:rPr>
          <w:rFonts w:hint="eastAsia"/>
          <w:sz w:val="24"/>
        </w:rPr>
        <w:t>划</w:t>
      </w:r>
      <w:r>
        <w:rPr>
          <w:sz w:val="24"/>
        </w:rPr>
        <w:t>。</w:t>
      </w:r>
    </w:p>
    <w:p>
      <w:pPr>
        <w:spacing w:line="520" w:lineRule="exact"/>
        <w:ind w:firstLine="480" w:firstLineChars="200"/>
        <w:rPr>
          <w:b/>
          <w:bCs/>
          <w:color w:val="000000"/>
          <w:sz w:val="24"/>
          <w:szCs w:val="24"/>
          <w:u w:val="single"/>
        </w:rPr>
      </w:pPr>
      <w:r>
        <w:rPr>
          <w:rFonts w:hint="eastAsia"/>
          <w:color w:val="000000"/>
          <w:sz w:val="24"/>
          <w:szCs w:val="24"/>
        </w:rPr>
        <w:t>7、本项目与集聚区</w:t>
      </w:r>
      <w:r>
        <w:rPr>
          <w:color w:val="000000"/>
          <w:sz w:val="24"/>
          <w:szCs w:val="24"/>
        </w:rPr>
        <w:t>规划环评准入条件相符性分析</w:t>
      </w:r>
    </w:p>
    <w:p>
      <w:pPr>
        <w:spacing w:line="520" w:lineRule="exact"/>
        <w:ind w:firstLine="480" w:firstLineChars="200"/>
        <w:rPr>
          <w:color w:val="000000"/>
          <w:sz w:val="24"/>
          <w:szCs w:val="24"/>
        </w:rPr>
      </w:pPr>
      <w:r>
        <w:rPr>
          <w:rFonts w:hint="eastAsia"/>
          <w:color w:val="000000"/>
          <w:sz w:val="24"/>
          <w:szCs w:val="24"/>
        </w:rPr>
        <w:t>根据集聚区产业定位、区域资源承载力及环境特征，对集聚区内规划引进的工业项目，应本着“高水平、高起点”的原则，提出项目准入条件。项目与其相符性分析详见表</w:t>
      </w:r>
      <w:r>
        <w:rPr>
          <w:color w:val="000000"/>
          <w:sz w:val="24"/>
          <w:szCs w:val="24"/>
        </w:rPr>
        <w:t>2.8</w:t>
      </w:r>
      <w:r>
        <w:rPr>
          <w:rFonts w:hint="eastAsia"/>
          <w:color w:val="000000"/>
          <w:sz w:val="24"/>
          <w:szCs w:val="24"/>
        </w:rPr>
        <w:t>-</w:t>
      </w:r>
      <w:r>
        <w:rPr>
          <w:color w:val="000000"/>
          <w:sz w:val="24"/>
          <w:szCs w:val="24"/>
        </w:rPr>
        <w:t>2</w:t>
      </w:r>
      <w:r>
        <w:rPr>
          <w:rFonts w:hint="eastAsia"/>
          <w:color w:val="000000"/>
          <w:sz w:val="24"/>
          <w:szCs w:val="24"/>
        </w:rPr>
        <w:t>。</w:t>
      </w:r>
    </w:p>
    <w:p>
      <w:pPr>
        <w:spacing w:line="520" w:lineRule="exact"/>
        <w:ind w:firstLine="480" w:firstLineChars="200"/>
        <w:rPr>
          <w:color w:val="000000"/>
          <w:sz w:val="24"/>
          <w:szCs w:val="24"/>
        </w:rPr>
      </w:pPr>
    </w:p>
    <w:p>
      <w:pPr>
        <w:spacing w:line="520" w:lineRule="exact"/>
        <w:ind w:firstLine="480" w:firstLineChars="200"/>
        <w:rPr>
          <w:color w:val="000000"/>
          <w:sz w:val="24"/>
          <w:szCs w:val="24"/>
        </w:rPr>
      </w:pPr>
    </w:p>
    <w:p>
      <w:pPr>
        <w:spacing w:line="520" w:lineRule="exact"/>
        <w:ind w:firstLine="480" w:firstLineChars="200"/>
        <w:rPr>
          <w:rFonts w:eastAsia="黑体"/>
          <w:sz w:val="24"/>
        </w:rPr>
      </w:pPr>
      <w:r>
        <w:rPr>
          <w:rFonts w:eastAsia="黑体"/>
          <w:sz w:val="24"/>
        </w:rPr>
        <w:t xml:space="preserve">表2.8-2         </w:t>
      </w:r>
      <w:r>
        <w:rPr>
          <w:rFonts w:hint="eastAsia" w:eastAsia="黑体"/>
          <w:sz w:val="24"/>
        </w:rPr>
        <w:t>本项目与</w:t>
      </w:r>
      <w:r>
        <w:rPr>
          <w:rFonts w:eastAsia="黑体"/>
          <w:sz w:val="24"/>
        </w:rPr>
        <w:t>集聚区项目准入条件</w:t>
      </w:r>
      <w:r>
        <w:rPr>
          <w:rFonts w:hint="eastAsia" w:eastAsia="黑体"/>
          <w:sz w:val="24"/>
        </w:rPr>
        <w:t>相符性分析</w:t>
      </w:r>
    </w:p>
    <w:tbl>
      <w:tblPr>
        <w:tblStyle w:val="4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647"/>
        <w:gridCol w:w="3634"/>
        <w:gridCol w:w="45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47" w:type="dxa"/>
            <w:vAlign w:val="center"/>
          </w:tcPr>
          <w:p>
            <w:pPr>
              <w:jc w:val="center"/>
              <w:rPr>
                <w:b/>
                <w:szCs w:val="21"/>
              </w:rPr>
            </w:pPr>
            <w:r>
              <w:rPr>
                <w:b/>
                <w:szCs w:val="21"/>
              </w:rPr>
              <w:t>类别</w:t>
            </w:r>
          </w:p>
        </w:tc>
        <w:tc>
          <w:tcPr>
            <w:tcW w:w="3634" w:type="dxa"/>
            <w:vAlign w:val="center"/>
          </w:tcPr>
          <w:p>
            <w:pPr>
              <w:jc w:val="center"/>
              <w:rPr>
                <w:b/>
                <w:szCs w:val="21"/>
              </w:rPr>
            </w:pPr>
            <w:r>
              <w:rPr>
                <w:b/>
                <w:szCs w:val="21"/>
              </w:rPr>
              <w:t>项目准入条件</w:t>
            </w:r>
          </w:p>
        </w:tc>
        <w:tc>
          <w:tcPr>
            <w:tcW w:w="4505" w:type="dxa"/>
            <w:vAlign w:val="center"/>
          </w:tcPr>
          <w:p>
            <w:pPr>
              <w:jc w:val="center"/>
              <w:rPr>
                <w:b/>
                <w:szCs w:val="21"/>
              </w:rPr>
            </w:pPr>
            <w:r>
              <w:rPr>
                <w:rFonts w:hint="eastAsia"/>
                <w:b/>
                <w:szCs w:val="21"/>
              </w:rPr>
              <w:t>本工程相符性分析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47" w:type="dxa"/>
            <w:vAlign w:val="center"/>
          </w:tcPr>
          <w:p>
            <w:pPr>
              <w:jc w:val="center"/>
              <w:rPr>
                <w:bCs/>
                <w:szCs w:val="21"/>
              </w:rPr>
            </w:pPr>
            <w:r>
              <w:rPr>
                <w:bCs/>
                <w:szCs w:val="21"/>
              </w:rPr>
              <w:t>产业政策及布局</w:t>
            </w:r>
          </w:p>
        </w:tc>
        <w:tc>
          <w:tcPr>
            <w:tcW w:w="3634" w:type="dxa"/>
            <w:vAlign w:val="center"/>
          </w:tcPr>
          <w:p>
            <w:pPr>
              <w:rPr>
                <w:bCs/>
                <w:szCs w:val="21"/>
              </w:rPr>
            </w:pPr>
            <w:r>
              <w:rPr>
                <w:rFonts w:hint="eastAsia"/>
                <w:bCs/>
                <w:szCs w:val="21"/>
              </w:rPr>
              <w:t>（1）</w:t>
            </w:r>
            <w:r>
              <w:rPr>
                <w:bCs/>
                <w:szCs w:val="21"/>
              </w:rPr>
              <w:t>集聚区规划产业定位为农副产品深加工、汽车零部件加工区为主、以现代物流等相关配套产业为支撑，建议与集聚区产业定位相关产业链的轻污染项目优先入园。</w:t>
            </w:r>
          </w:p>
          <w:p>
            <w:pPr>
              <w:rPr>
                <w:bCs/>
                <w:szCs w:val="21"/>
              </w:rPr>
            </w:pPr>
            <w:r>
              <w:rPr>
                <w:rFonts w:hint="eastAsia"/>
                <w:bCs/>
                <w:szCs w:val="21"/>
              </w:rPr>
              <w:t>（2）</w:t>
            </w:r>
            <w:r>
              <w:rPr>
                <w:bCs/>
                <w:szCs w:val="21"/>
              </w:rPr>
              <w:t>按照国家相关产业政策，严禁高毒、高污染的淘汰和限制类工业企业入区，保留的三类用地原则上限值化工项目入区，禁止水泥生产线建设。</w:t>
            </w:r>
          </w:p>
          <w:p>
            <w:pPr>
              <w:rPr>
                <w:bCs/>
                <w:szCs w:val="21"/>
              </w:rPr>
            </w:pPr>
            <w:r>
              <w:rPr>
                <w:rFonts w:hint="eastAsia"/>
                <w:bCs/>
                <w:szCs w:val="21"/>
              </w:rPr>
              <w:t>（3）</w:t>
            </w:r>
            <w:r>
              <w:rPr>
                <w:bCs/>
                <w:szCs w:val="21"/>
              </w:rPr>
              <w:t>限制高能耗、高耗水、污染重等工业企业入区。</w:t>
            </w:r>
          </w:p>
          <w:p>
            <w:pPr>
              <w:rPr>
                <w:bCs/>
                <w:szCs w:val="21"/>
              </w:rPr>
            </w:pPr>
            <w:r>
              <w:rPr>
                <w:rFonts w:hint="eastAsia"/>
                <w:bCs/>
                <w:szCs w:val="21"/>
              </w:rPr>
              <w:t>（4）</w:t>
            </w:r>
            <w:r>
              <w:rPr>
                <w:bCs/>
                <w:szCs w:val="21"/>
              </w:rPr>
              <w:t>农副产品片区禁止新建白酒酿造行业项目入区。</w:t>
            </w:r>
          </w:p>
          <w:p>
            <w:pPr>
              <w:rPr>
                <w:bCs/>
                <w:szCs w:val="21"/>
              </w:rPr>
            </w:pPr>
            <w:r>
              <w:rPr>
                <w:rFonts w:hint="eastAsia"/>
                <w:bCs/>
                <w:szCs w:val="21"/>
              </w:rPr>
              <w:t>（5）</w:t>
            </w:r>
            <w:r>
              <w:rPr>
                <w:bCs/>
                <w:szCs w:val="21"/>
              </w:rPr>
              <w:t>农副产品加工区排放废气和粉尘企业应远离西北部食品产业集中区域。</w:t>
            </w:r>
          </w:p>
        </w:tc>
        <w:tc>
          <w:tcPr>
            <w:tcW w:w="4505" w:type="dxa"/>
            <w:vAlign w:val="center"/>
          </w:tcPr>
          <w:p>
            <w:pPr>
              <w:rPr>
                <w:bCs/>
                <w:szCs w:val="21"/>
              </w:rPr>
            </w:pPr>
            <w:r>
              <w:rPr>
                <w:rFonts w:hint="eastAsia"/>
                <w:bCs/>
                <w:szCs w:val="21"/>
              </w:rPr>
              <w:t>（1）本项目位于农副产品加工区，主要建设车间厂房及其配套设施污水处理站，建成后主要入驻企业为食品加工和预制菜生产加工企业及相关配套企业，</w:t>
            </w:r>
            <w:r>
              <w:rPr>
                <w:bCs/>
                <w:szCs w:val="21"/>
              </w:rPr>
              <w:t>属于主导行业及其关联产业，符合</w:t>
            </w:r>
            <w:r>
              <w:rPr>
                <w:rFonts w:hint="eastAsia"/>
                <w:bCs/>
                <w:szCs w:val="21"/>
              </w:rPr>
              <w:t>集聚区</w:t>
            </w:r>
            <w:r>
              <w:rPr>
                <w:bCs/>
                <w:szCs w:val="21"/>
              </w:rPr>
              <w:t>产业定位。</w:t>
            </w:r>
          </w:p>
          <w:p>
            <w:pPr>
              <w:rPr>
                <w:bCs/>
                <w:szCs w:val="21"/>
              </w:rPr>
            </w:pPr>
            <w:r>
              <w:rPr>
                <w:rFonts w:hint="eastAsia"/>
                <w:bCs/>
                <w:szCs w:val="21"/>
              </w:rPr>
              <w:t>（2）本项目</w:t>
            </w:r>
            <w:r>
              <w:rPr>
                <w:bCs/>
                <w:szCs w:val="21"/>
              </w:rPr>
              <w:t>属于</w:t>
            </w:r>
            <w:r>
              <w:rPr>
                <w:rFonts w:hint="eastAsia"/>
                <w:bCs/>
                <w:szCs w:val="21"/>
              </w:rPr>
              <w:t>房地产业、水的生产和供应业、电力，主要建设车间厂房及其配套设施污水处理站，不属于高毒、高污染的淘汰和限制类工业企业和化工项目。</w:t>
            </w:r>
          </w:p>
          <w:p>
            <w:pPr>
              <w:rPr>
                <w:bCs/>
                <w:szCs w:val="21"/>
              </w:rPr>
            </w:pPr>
            <w:r>
              <w:rPr>
                <w:rFonts w:hint="eastAsia"/>
                <w:bCs/>
                <w:szCs w:val="21"/>
              </w:rPr>
              <w:t>（3）本项目</w:t>
            </w:r>
            <w:r>
              <w:rPr>
                <w:bCs/>
                <w:szCs w:val="21"/>
              </w:rPr>
              <w:t>属于</w:t>
            </w:r>
            <w:r>
              <w:rPr>
                <w:rFonts w:hint="eastAsia"/>
                <w:bCs/>
                <w:szCs w:val="21"/>
              </w:rPr>
              <w:t>房地产业、水的生产和供应业、电力，主要建设车间厂房及其配套设施污水处理站，不属于高能耗、高耗水、污染重等工业企业。</w:t>
            </w:r>
          </w:p>
          <w:p>
            <w:pPr>
              <w:rPr>
                <w:bCs/>
                <w:szCs w:val="21"/>
              </w:rPr>
            </w:pPr>
            <w:r>
              <w:rPr>
                <w:rFonts w:hint="eastAsia"/>
                <w:bCs/>
                <w:szCs w:val="21"/>
              </w:rPr>
              <w:t>（4）本项目为新建项目，位于农副产品加工区，</w:t>
            </w:r>
            <w:r>
              <w:rPr>
                <w:bCs/>
                <w:szCs w:val="21"/>
              </w:rPr>
              <w:t>属于</w:t>
            </w:r>
            <w:r>
              <w:rPr>
                <w:rFonts w:hint="eastAsia"/>
                <w:bCs/>
                <w:szCs w:val="21"/>
              </w:rPr>
              <w:t>房地产业、水的生产和供应业，主要建设车间厂房及其配套设施污水处理站，不属于新建白酒酿造行业。</w:t>
            </w:r>
          </w:p>
          <w:p>
            <w:pPr>
              <w:rPr>
                <w:bCs/>
                <w:szCs w:val="21"/>
              </w:rPr>
            </w:pPr>
            <w:r>
              <w:rPr>
                <w:rFonts w:hint="eastAsia"/>
                <w:bCs/>
                <w:szCs w:val="21"/>
              </w:rPr>
              <w:t>（5）本项目位于农副产品加工区，污水处理站设置在厂区东侧，远离西北部食品产业集中区域。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47" w:type="dxa"/>
            <w:vAlign w:val="center"/>
          </w:tcPr>
          <w:p>
            <w:pPr>
              <w:jc w:val="center"/>
              <w:rPr>
                <w:bCs/>
                <w:szCs w:val="21"/>
              </w:rPr>
            </w:pPr>
            <w:r>
              <w:rPr>
                <w:bCs/>
                <w:szCs w:val="21"/>
              </w:rPr>
              <w:t>经济指标</w:t>
            </w:r>
          </w:p>
        </w:tc>
        <w:tc>
          <w:tcPr>
            <w:tcW w:w="3634" w:type="dxa"/>
            <w:vAlign w:val="center"/>
          </w:tcPr>
          <w:p>
            <w:pPr>
              <w:rPr>
                <w:bCs/>
                <w:szCs w:val="21"/>
              </w:rPr>
            </w:pPr>
            <w:r>
              <w:rPr>
                <w:bCs/>
                <w:szCs w:val="21"/>
              </w:rPr>
              <w:t>（1）入区项目投资强度不低于200万元/亩。</w:t>
            </w:r>
          </w:p>
        </w:tc>
        <w:tc>
          <w:tcPr>
            <w:tcW w:w="4505" w:type="dxa"/>
            <w:vAlign w:val="center"/>
          </w:tcPr>
          <w:p>
            <w:pPr>
              <w:rPr>
                <w:bCs/>
                <w:szCs w:val="21"/>
              </w:rPr>
            </w:pPr>
            <w:r>
              <w:rPr>
                <w:rFonts w:hint="eastAsia"/>
                <w:bCs/>
                <w:szCs w:val="21"/>
              </w:rPr>
              <w:t>本项目占地面积1</w:t>
            </w:r>
            <w:r>
              <w:rPr>
                <w:bCs/>
                <w:szCs w:val="21"/>
              </w:rPr>
              <w:t>14.45</w:t>
            </w:r>
            <w:r>
              <w:rPr>
                <w:rFonts w:hint="eastAsia"/>
                <w:bCs/>
                <w:szCs w:val="21"/>
              </w:rPr>
              <w:t>亩，投资3</w:t>
            </w:r>
            <w:r>
              <w:rPr>
                <w:bCs/>
                <w:szCs w:val="21"/>
              </w:rPr>
              <w:t>0000</w:t>
            </w:r>
            <w:r>
              <w:rPr>
                <w:rFonts w:hint="eastAsia"/>
                <w:bCs/>
                <w:szCs w:val="21"/>
              </w:rPr>
              <w:t>万元，则项目投资强度约为2</w:t>
            </w:r>
            <w:r>
              <w:rPr>
                <w:bCs/>
                <w:szCs w:val="21"/>
              </w:rPr>
              <w:t>62.1万元/亩。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47" w:type="dxa"/>
            <w:vAlign w:val="center"/>
          </w:tcPr>
          <w:p>
            <w:pPr>
              <w:jc w:val="center"/>
              <w:rPr>
                <w:bCs/>
                <w:szCs w:val="21"/>
              </w:rPr>
            </w:pPr>
            <w:r>
              <w:rPr>
                <w:bCs/>
                <w:szCs w:val="21"/>
              </w:rPr>
              <w:t>生产规模和工艺装备水平</w:t>
            </w:r>
          </w:p>
        </w:tc>
        <w:tc>
          <w:tcPr>
            <w:tcW w:w="3634" w:type="dxa"/>
            <w:vAlign w:val="center"/>
          </w:tcPr>
          <w:p>
            <w:pPr>
              <w:rPr>
                <w:bCs/>
                <w:szCs w:val="21"/>
              </w:rPr>
            </w:pPr>
            <w:r>
              <w:rPr>
                <w:rFonts w:hint="eastAsia"/>
                <w:bCs/>
                <w:szCs w:val="21"/>
              </w:rPr>
              <w:t>（1）</w:t>
            </w:r>
            <w:r>
              <w:rPr>
                <w:bCs/>
                <w:szCs w:val="21"/>
              </w:rPr>
              <w:t>入区企业建设规模应符合国家产业政策的最小经济规模要求。</w:t>
            </w:r>
          </w:p>
          <w:p>
            <w:pPr>
              <w:rPr>
                <w:bCs/>
                <w:szCs w:val="21"/>
              </w:rPr>
            </w:pPr>
            <w:r>
              <w:rPr>
                <w:rFonts w:hint="eastAsia"/>
                <w:bCs/>
                <w:szCs w:val="21"/>
              </w:rPr>
              <w:t>（2）</w:t>
            </w:r>
            <w:r>
              <w:rPr>
                <w:bCs/>
                <w:szCs w:val="21"/>
              </w:rPr>
              <w:t>在生产工艺技术水平上，要求入区项目达到国内行业清洁生产定量评价基准值。</w:t>
            </w:r>
          </w:p>
        </w:tc>
        <w:tc>
          <w:tcPr>
            <w:tcW w:w="4505" w:type="dxa"/>
            <w:vAlign w:val="center"/>
          </w:tcPr>
          <w:p>
            <w:pPr>
              <w:rPr>
                <w:bCs/>
                <w:szCs w:val="21"/>
              </w:rPr>
            </w:pPr>
            <w:r>
              <w:rPr>
                <w:rFonts w:hint="eastAsia"/>
                <w:bCs/>
                <w:szCs w:val="21"/>
              </w:rPr>
              <w:t>（1）本项目</w:t>
            </w:r>
            <w:r>
              <w:rPr>
                <w:bCs/>
                <w:szCs w:val="21"/>
              </w:rPr>
              <w:t>属于</w:t>
            </w:r>
            <w:r>
              <w:rPr>
                <w:rFonts w:hint="eastAsia"/>
                <w:bCs/>
                <w:szCs w:val="21"/>
              </w:rPr>
              <w:t>房地产业、水的生产和供应业</w:t>
            </w:r>
            <w:r>
              <w:rPr>
                <w:rFonts w:hint="eastAsia" w:ascii="Calibri" w:hAnsi="Calibri"/>
              </w:rPr>
              <w:t>、电力</w:t>
            </w:r>
            <w:r>
              <w:rPr>
                <w:rFonts w:hint="eastAsia"/>
                <w:bCs/>
                <w:szCs w:val="21"/>
              </w:rPr>
              <w:t>，主要建设车间厂房及其配套设施污水处理站，建设规模符合国家产业政策的最小经济规模要求。</w:t>
            </w:r>
          </w:p>
          <w:p>
            <w:pPr>
              <w:rPr>
                <w:bCs/>
                <w:szCs w:val="21"/>
              </w:rPr>
            </w:pPr>
            <w:r>
              <w:rPr>
                <w:rFonts w:hint="eastAsia"/>
                <w:bCs/>
                <w:szCs w:val="21"/>
              </w:rPr>
              <w:t>（2）本项目</w:t>
            </w:r>
            <w:r>
              <w:rPr>
                <w:bCs/>
                <w:szCs w:val="21"/>
              </w:rPr>
              <w:t>属于</w:t>
            </w:r>
            <w:r>
              <w:rPr>
                <w:rFonts w:hint="eastAsia"/>
                <w:bCs/>
                <w:szCs w:val="21"/>
              </w:rPr>
              <w:t>房地产业、水的生产和供应业</w:t>
            </w:r>
            <w:r>
              <w:rPr>
                <w:rFonts w:hint="eastAsia" w:ascii="Calibri" w:hAnsi="Calibri"/>
              </w:rPr>
              <w:t>、电力</w:t>
            </w:r>
            <w:r>
              <w:rPr>
                <w:rFonts w:hint="eastAsia"/>
                <w:bCs/>
                <w:szCs w:val="21"/>
              </w:rPr>
              <w:t>，主要建设车间厂房及其配套设施污水处理站，无行业清洁生产要求。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47" w:type="dxa"/>
            <w:vAlign w:val="center"/>
          </w:tcPr>
          <w:p>
            <w:pPr>
              <w:jc w:val="center"/>
              <w:rPr>
                <w:bCs/>
                <w:szCs w:val="21"/>
              </w:rPr>
            </w:pPr>
            <w:r>
              <w:rPr>
                <w:bCs/>
                <w:szCs w:val="21"/>
              </w:rPr>
              <w:t>清洁生产水平</w:t>
            </w:r>
          </w:p>
        </w:tc>
        <w:tc>
          <w:tcPr>
            <w:tcW w:w="3634" w:type="dxa"/>
            <w:vAlign w:val="center"/>
          </w:tcPr>
          <w:p>
            <w:pPr>
              <w:rPr>
                <w:bCs/>
                <w:szCs w:val="21"/>
              </w:rPr>
            </w:pPr>
            <w:r>
              <w:rPr>
                <w:rFonts w:hint="eastAsia"/>
                <w:bCs/>
                <w:szCs w:val="21"/>
              </w:rPr>
              <w:t>（1）</w:t>
            </w:r>
            <w:r>
              <w:rPr>
                <w:bCs/>
                <w:szCs w:val="21"/>
              </w:rPr>
              <w:t>应选择使用原料和产品为环境友好型的项目，避免集聚区大规模建设造成的不良辐射效应。</w:t>
            </w:r>
          </w:p>
          <w:p>
            <w:pPr>
              <w:rPr>
                <w:bCs/>
                <w:szCs w:val="21"/>
              </w:rPr>
            </w:pPr>
            <w:r>
              <w:rPr>
                <w:rFonts w:hint="eastAsia"/>
                <w:bCs/>
                <w:szCs w:val="21"/>
              </w:rPr>
              <w:t>（2）</w:t>
            </w:r>
            <w:r>
              <w:rPr>
                <w:bCs/>
                <w:szCs w:val="21"/>
              </w:rPr>
              <w:t>入区项目在单位产品水耗、能耗、污染物排放量等清洁生产指标应达到国内同类行业的先进水平。</w:t>
            </w:r>
          </w:p>
          <w:p>
            <w:pPr>
              <w:rPr>
                <w:bCs/>
                <w:szCs w:val="21"/>
              </w:rPr>
            </w:pPr>
            <w:r>
              <w:rPr>
                <w:rFonts w:hint="eastAsia"/>
                <w:bCs/>
                <w:szCs w:val="21"/>
              </w:rPr>
              <w:t>（3）</w:t>
            </w:r>
            <w:r>
              <w:rPr>
                <w:bCs/>
                <w:szCs w:val="21"/>
              </w:rPr>
              <w:t>应限值高耗水、高耗能的工业企业入住集聚区。</w:t>
            </w:r>
          </w:p>
        </w:tc>
        <w:tc>
          <w:tcPr>
            <w:tcW w:w="4505" w:type="dxa"/>
            <w:vAlign w:val="center"/>
          </w:tcPr>
          <w:p>
            <w:pPr>
              <w:rPr>
                <w:bCs/>
                <w:szCs w:val="21"/>
              </w:rPr>
            </w:pPr>
            <w:r>
              <w:rPr>
                <w:rFonts w:hint="eastAsia"/>
                <w:bCs/>
                <w:szCs w:val="21"/>
              </w:rPr>
              <w:t>（1）本项目主要建设车间厂房及其配套设施污水处理站，原料主要为混凝剂、絮凝剂、除磷剂、片碱、生物除臭剂，</w:t>
            </w:r>
            <w:r>
              <w:rPr>
                <w:bCs/>
                <w:szCs w:val="21"/>
              </w:rPr>
              <w:t>属于环境友好型企业。</w:t>
            </w:r>
          </w:p>
          <w:p>
            <w:pPr>
              <w:rPr>
                <w:bCs/>
                <w:szCs w:val="21"/>
              </w:rPr>
            </w:pPr>
            <w:r>
              <w:rPr>
                <w:rFonts w:hint="eastAsia"/>
                <w:bCs/>
                <w:szCs w:val="21"/>
              </w:rPr>
              <w:t>（2）本项目不涉及。</w:t>
            </w:r>
          </w:p>
          <w:p>
            <w:pPr>
              <w:rPr>
                <w:bCs/>
                <w:szCs w:val="21"/>
              </w:rPr>
            </w:pPr>
            <w:r>
              <w:rPr>
                <w:rFonts w:hint="eastAsia"/>
                <w:bCs/>
                <w:szCs w:val="21"/>
              </w:rPr>
              <w:t>（3）本项目</w:t>
            </w:r>
            <w:r>
              <w:rPr>
                <w:bCs/>
                <w:szCs w:val="21"/>
              </w:rPr>
              <w:t>属于</w:t>
            </w:r>
            <w:r>
              <w:rPr>
                <w:rFonts w:hint="eastAsia"/>
                <w:bCs/>
                <w:szCs w:val="21"/>
              </w:rPr>
              <w:t>房地产业、水的生产和供应业，主要建设车间厂房及其配套设施污水处理站，不属于高耗水、高耗能的工业企业。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47" w:type="dxa"/>
            <w:vAlign w:val="center"/>
          </w:tcPr>
          <w:p>
            <w:pPr>
              <w:jc w:val="center"/>
              <w:rPr>
                <w:bCs/>
                <w:szCs w:val="21"/>
              </w:rPr>
            </w:pPr>
            <w:r>
              <w:rPr>
                <w:bCs/>
                <w:szCs w:val="21"/>
              </w:rPr>
              <w:t>污染物排放总量控制</w:t>
            </w:r>
          </w:p>
        </w:tc>
        <w:tc>
          <w:tcPr>
            <w:tcW w:w="3634" w:type="dxa"/>
            <w:vAlign w:val="center"/>
          </w:tcPr>
          <w:p>
            <w:pPr>
              <w:rPr>
                <w:bCs/>
                <w:szCs w:val="21"/>
              </w:rPr>
            </w:pPr>
            <w:r>
              <w:rPr>
                <w:bCs/>
                <w:szCs w:val="21"/>
              </w:rPr>
              <w:t>（1）新建项目的污染物排放指标必须在区域内现有工业污染负荷削减量中调剂。</w:t>
            </w:r>
          </w:p>
          <w:p>
            <w:pPr>
              <w:rPr>
                <w:bCs/>
                <w:szCs w:val="21"/>
              </w:rPr>
            </w:pPr>
            <w:r>
              <w:rPr>
                <w:bCs/>
                <w:szCs w:val="21"/>
              </w:rPr>
              <w:t>（2）禁止发展环境污染严重、无污染治理技术或治理技术在技术经济上根本不可行的项目。</w:t>
            </w:r>
          </w:p>
        </w:tc>
        <w:tc>
          <w:tcPr>
            <w:tcW w:w="4505" w:type="dxa"/>
            <w:vAlign w:val="center"/>
          </w:tcPr>
          <w:p>
            <w:pPr>
              <w:rPr>
                <w:bCs/>
                <w:szCs w:val="21"/>
              </w:rPr>
            </w:pPr>
            <w:r>
              <w:rPr>
                <w:rFonts w:hint="eastAsia"/>
                <w:bCs/>
                <w:szCs w:val="21"/>
              </w:rPr>
              <w:t>（1）本项目为新建企业，运营过程中产生的</w:t>
            </w:r>
            <w:r>
              <w:rPr>
                <w:bCs/>
                <w:szCs w:val="21"/>
              </w:rPr>
              <w:t>废水污染排放指标在区域内现有工业污染负荷削减量中调剂。</w:t>
            </w:r>
          </w:p>
          <w:p>
            <w:pPr>
              <w:rPr>
                <w:bCs/>
                <w:szCs w:val="21"/>
              </w:rPr>
            </w:pPr>
            <w:r>
              <w:rPr>
                <w:rFonts w:hint="eastAsia"/>
                <w:bCs/>
                <w:szCs w:val="21"/>
              </w:rPr>
              <w:t>（2）</w:t>
            </w:r>
            <w:r>
              <w:rPr>
                <w:bCs/>
                <w:szCs w:val="21"/>
              </w:rPr>
              <w:t>本项目对环境污染影响较轻，污染防治措施满足环保技术要求。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47" w:type="dxa"/>
            <w:vAlign w:val="center"/>
          </w:tcPr>
          <w:p>
            <w:pPr>
              <w:jc w:val="center"/>
              <w:rPr>
                <w:bCs/>
                <w:szCs w:val="21"/>
              </w:rPr>
            </w:pPr>
            <w:r>
              <w:rPr>
                <w:bCs/>
                <w:szCs w:val="21"/>
              </w:rPr>
              <w:t>土地利用</w:t>
            </w:r>
          </w:p>
        </w:tc>
        <w:tc>
          <w:tcPr>
            <w:tcW w:w="3634" w:type="dxa"/>
            <w:vAlign w:val="center"/>
          </w:tcPr>
          <w:p>
            <w:pPr>
              <w:rPr>
                <w:bCs/>
                <w:szCs w:val="21"/>
              </w:rPr>
            </w:pPr>
            <w:r>
              <w:rPr>
                <w:bCs/>
                <w:szCs w:val="21"/>
              </w:rPr>
              <w:t>入区项目必须达到《河南省工业项目建设用地控制指标》要求。</w:t>
            </w:r>
          </w:p>
        </w:tc>
        <w:tc>
          <w:tcPr>
            <w:tcW w:w="4505" w:type="dxa"/>
            <w:vAlign w:val="center"/>
          </w:tcPr>
          <w:p>
            <w:pPr>
              <w:rPr>
                <w:bCs/>
                <w:szCs w:val="21"/>
              </w:rPr>
            </w:pPr>
            <w:r>
              <w:rPr>
                <w:bCs/>
                <w:szCs w:val="21"/>
              </w:rPr>
              <w:t>本项目可以达到《河南省工业项目建设用地控制指标》要求。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647" w:type="dxa"/>
            <w:vAlign w:val="center"/>
          </w:tcPr>
          <w:p>
            <w:pPr>
              <w:jc w:val="center"/>
              <w:rPr>
                <w:bCs/>
                <w:szCs w:val="21"/>
              </w:rPr>
            </w:pPr>
            <w:r>
              <w:rPr>
                <w:bCs/>
                <w:szCs w:val="21"/>
              </w:rPr>
              <w:t>其他</w:t>
            </w:r>
          </w:p>
        </w:tc>
        <w:tc>
          <w:tcPr>
            <w:tcW w:w="3634" w:type="dxa"/>
            <w:vAlign w:val="center"/>
          </w:tcPr>
          <w:p>
            <w:pPr>
              <w:rPr>
                <w:bCs/>
                <w:szCs w:val="21"/>
              </w:rPr>
            </w:pPr>
            <w:r>
              <w:rPr>
                <w:bCs/>
                <w:szCs w:val="21"/>
              </w:rPr>
              <w:t>（1）入区项目用地必须符合集聚区土地利用规划要求，禁止在一、二类工业用地之上建设三类项目。</w:t>
            </w:r>
          </w:p>
          <w:p>
            <w:pPr>
              <w:rPr>
                <w:bCs/>
                <w:szCs w:val="21"/>
              </w:rPr>
            </w:pPr>
            <w:r>
              <w:rPr>
                <w:bCs/>
                <w:szCs w:val="21"/>
              </w:rPr>
              <w:t>（2）项目规划保留的三类工业用地禁止新建涉及有毒有害化学危险品化工项目。</w:t>
            </w:r>
          </w:p>
          <w:p>
            <w:pPr>
              <w:rPr>
                <w:bCs/>
                <w:szCs w:val="21"/>
              </w:rPr>
            </w:pPr>
            <w:r>
              <w:rPr>
                <w:bCs/>
                <w:szCs w:val="21"/>
              </w:rPr>
              <w:t>（3）按照循环经济发展之路，评价建议与集聚区已有产业或项目能够形成良好循环经济链条的项目可优先入区。</w:t>
            </w:r>
          </w:p>
        </w:tc>
        <w:tc>
          <w:tcPr>
            <w:tcW w:w="4505" w:type="dxa"/>
            <w:vAlign w:val="center"/>
          </w:tcPr>
          <w:p>
            <w:pPr>
              <w:rPr>
                <w:bCs/>
                <w:szCs w:val="21"/>
              </w:rPr>
            </w:pPr>
            <w:r>
              <w:rPr>
                <w:rFonts w:hint="eastAsia"/>
                <w:bCs/>
                <w:szCs w:val="21"/>
              </w:rPr>
              <w:t>（1）本项目</w:t>
            </w:r>
            <w:r>
              <w:rPr>
                <w:bCs/>
                <w:szCs w:val="21"/>
              </w:rPr>
              <w:t>属于</w:t>
            </w:r>
            <w:r>
              <w:rPr>
                <w:rFonts w:hint="eastAsia"/>
                <w:bCs/>
                <w:szCs w:val="21"/>
              </w:rPr>
              <w:t>房地产业、水的生产和供应业、</w:t>
            </w:r>
            <w:r>
              <w:rPr>
                <w:rFonts w:hint="eastAsia" w:ascii="Calibri" w:hAnsi="Calibri"/>
              </w:rPr>
              <w:t>、电力</w:t>
            </w:r>
            <w:r>
              <w:rPr>
                <w:rFonts w:hint="eastAsia"/>
                <w:bCs/>
                <w:szCs w:val="21"/>
              </w:rPr>
              <w:t>，主要建设车间厂房及其配套设施污水处理站，不属于一类、二类、三类项目，建成后主要入驻企业为食品加工和预制菜生产加工企业及相关配套企业，引进的项目属于二类项目，根据《</w:t>
            </w:r>
            <w:r>
              <w:rPr>
                <w:bCs/>
                <w:szCs w:val="21"/>
              </w:rPr>
              <w:t>原阳县产业集聚区发展规划--用地规划图</w:t>
            </w:r>
            <w:r>
              <w:rPr>
                <w:rFonts w:hint="eastAsia"/>
                <w:bCs/>
                <w:szCs w:val="21"/>
              </w:rPr>
              <w:t>》，本项目占地为二类工业用地。</w:t>
            </w:r>
          </w:p>
          <w:p>
            <w:pPr>
              <w:rPr>
                <w:bCs/>
                <w:szCs w:val="21"/>
              </w:rPr>
            </w:pPr>
            <w:r>
              <w:rPr>
                <w:rFonts w:hint="eastAsia"/>
                <w:bCs/>
                <w:szCs w:val="21"/>
              </w:rPr>
              <w:t>（2）根据《</w:t>
            </w:r>
            <w:r>
              <w:rPr>
                <w:bCs/>
                <w:szCs w:val="21"/>
              </w:rPr>
              <w:t>原阳县产业集聚区发展规划--用地规划图</w:t>
            </w:r>
            <w:r>
              <w:rPr>
                <w:rFonts w:hint="eastAsia"/>
                <w:bCs/>
                <w:szCs w:val="21"/>
              </w:rPr>
              <w:t>》，本项目占地为二类工业用地。本项目</w:t>
            </w:r>
            <w:r>
              <w:rPr>
                <w:bCs/>
                <w:szCs w:val="21"/>
              </w:rPr>
              <w:t>属于</w:t>
            </w:r>
            <w:r>
              <w:rPr>
                <w:rFonts w:hint="eastAsia"/>
                <w:bCs/>
                <w:szCs w:val="21"/>
              </w:rPr>
              <w:t>房地产业、水的生产和供应业，主要建设车间厂房及其配套设施污水处理站，不属于有毒有害化学危险品化工项目。</w:t>
            </w:r>
          </w:p>
          <w:p>
            <w:pPr>
              <w:rPr>
                <w:bCs/>
                <w:szCs w:val="21"/>
              </w:rPr>
            </w:pPr>
            <w:r>
              <w:rPr>
                <w:rFonts w:hint="eastAsia"/>
                <w:bCs/>
                <w:szCs w:val="21"/>
              </w:rPr>
              <w:t>（3）本项目位于农副产品加工区，主要建设车间厂房及其配套设施污水处理站，建成后主要入驻企业为食品加工和预制菜生产加工企业及相关配套企业，</w:t>
            </w:r>
            <w:r>
              <w:rPr>
                <w:bCs/>
                <w:szCs w:val="21"/>
              </w:rPr>
              <w:t>符合集聚区产业定位及属于相关产业链的项目，具有良好循环经济链条。</w:t>
            </w:r>
          </w:p>
        </w:tc>
      </w:tr>
    </w:tbl>
    <w:p>
      <w:pPr>
        <w:spacing w:line="520" w:lineRule="exact"/>
        <w:ind w:firstLine="480" w:firstLineChars="200"/>
        <w:rPr>
          <w:color w:val="000000"/>
          <w:sz w:val="24"/>
          <w:szCs w:val="24"/>
        </w:rPr>
      </w:pPr>
      <w:r>
        <w:rPr>
          <w:color w:val="000000"/>
          <w:sz w:val="24"/>
          <w:szCs w:val="24"/>
        </w:rPr>
        <w:t>由上表可知，本项目符合新乡市原阳县产业聚集区产业规划要求，能够满足准入条件。</w:t>
      </w:r>
    </w:p>
    <w:p>
      <w:pPr>
        <w:spacing w:line="520" w:lineRule="exact"/>
        <w:ind w:firstLine="480" w:firstLineChars="200"/>
        <w:rPr>
          <w:color w:val="000000"/>
          <w:sz w:val="24"/>
          <w:szCs w:val="24"/>
        </w:rPr>
      </w:pPr>
      <w:r>
        <w:rPr>
          <w:rFonts w:hint="eastAsia"/>
          <w:color w:val="000000"/>
          <w:sz w:val="24"/>
          <w:szCs w:val="24"/>
        </w:rPr>
        <w:t>8、</w:t>
      </w:r>
      <w:r>
        <w:rPr>
          <w:color w:val="000000"/>
          <w:sz w:val="24"/>
          <w:szCs w:val="24"/>
        </w:rPr>
        <w:t>本项目与原阳县产业集聚区规划环评结论相符性分析</w:t>
      </w:r>
    </w:p>
    <w:p>
      <w:pPr>
        <w:spacing w:line="460" w:lineRule="exact"/>
        <w:ind w:firstLine="480" w:firstLineChars="200"/>
        <w:rPr>
          <w:rFonts w:eastAsia="黑体"/>
          <w:sz w:val="24"/>
          <w:lang w:val="pt-BR"/>
        </w:rPr>
      </w:pPr>
      <w:r>
        <w:rPr>
          <w:rFonts w:eastAsia="黑体"/>
          <w:sz w:val="24"/>
          <w:lang w:val="pt-BR"/>
        </w:rPr>
        <w:t>表2.8-3       与集聚区规划环评结论相符性分析一览表</w:t>
      </w:r>
    </w:p>
    <w:tbl>
      <w:tblPr>
        <w:tblStyle w:val="4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0"/>
        <w:gridCol w:w="3470"/>
        <w:gridCol w:w="3826"/>
        <w:gridCol w:w="8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39" w:type="dxa"/>
            <w:gridSpan w:val="2"/>
            <w:tcMar>
              <w:top w:w="0" w:type="dxa"/>
              <w:left w:w="28" w:type="dxa"/>
              <w:bottom w:w="0" w:type="dxa"/>
              <w:right w:w="28" w:type="dxa"/>
            </w:tcMar>
            <w:vAlign w:val="center"/>
          </w:tcPr>
          <w:p>
            <w:pPr>
              <w:adjustRightInd w:val="0"/>
              <w:snapToGrid w:val="0"/>
              <w:jc w:val="center"/>
              <w:rPr>
                <w:b/>
                <w:bCs/>
                <w:kern w:val="0"/>
                <w:szCs w:val="21"/>
              </w:rPr>
            </w:pPr>
            <w:r>
              <w:rPr>
                <w:b/>
                <w:bCs/>
                <w:kern w:val="0"/>
              </w:rPr>
              <w:t>集聚区规划环境影响评价结论</w:t>
            </w:r>
          </w:p>
        </w:tc>
        <w:tc>
          <w:tcPr>
            <w:tcW w:w="3827" w:type="dxa"/>
            <w:tcMar>
              <w:top w:w="0" w:type="dxa"/>
              <w:left w:w="28" w:type="dxa"/>
              <w:bottom w:w="0" w:type="dxa"/>
              <w:right w:w="28" w:type="dxa"/>
            </w:tcMar>
            <w:vAlign w:val="center"/>
          </w:tcPr>
          <w:p>
            <w:pPr>
              <w:adjustRightInd w:val="0"/>
              <w:snapToGrid w:val="0"/>
              <w:jc w:val="center"/>
              <w:rPr>
                <w:b/>
                <w:bCs/>
                <w:kern w:val="0"/>
              </w:rPr>
            </w:pPr>
            <w:r>
              <w:rPr>
                <w:b/>
                <w:bCs/>
                <w:kern w:val="0"/>
              </w:rPr>
              <w:t>本项目情况</w:t>
            </w:r>
          </w:p>
        </w:tc>
        <w:tc>
          <w:tcPr>
            <w:tcW w:w="820" w:type="dxa"/>
            <w:tcMar>
              <w:top w:w="0" w:type="dxa"/>
              <w:left w:w="28" w:type="dxa"/>
              <w:bottom w:w="0" w:type="dxa"/>
              <w:right w:w="28" w:type="dxa"/>
            </w:tcMar>
            <w:vAlign w:val="center"/>
          </w:tcPr>
          <w:p>
            <w:pPr>
              <w:adjustRightInd w:val="0"/>
              <w:snapToGrid w:val="0"/>
              <w:jc w:val="center"/>
              <w:rPr>
                <w:b/>
                <w:bCs/>
                <w:kern w:val="0"/>
              </w:rPr>
            </w:pPr>
            <w:r>
              <w:rPr>
                <w:b/>
                <w:bCs/>
                <w:kern w:val="0"/>
              </w:rPr>
              <w:t>相符性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dxa"/>
            <w:tcMar>
              <w:top w:w="0" w:type="dxa"/>
              <w:left w:w="28" w:type="dxa"/>
              <w:bottom w:w="0" w:type="dxa"/>
              <w:right w:w="28" w:type="dxa"/>
            </w:tcMar>
            <w:vAlign w:val="center"/>
          </w:tcPr>
          <w:p>
            <w:pPr>
              <w:adjustRightInd w:val="0"/>
              <w:snapToGrid w:val="0"/>
              <w:jc w:val="center"/>
            </w:pPr>
            <w:r>
              <w:rPr>
                <w:kern w:val="0"/>
              </w:rPr>
              <w:t>水环境保护措施</w:t>
            </w:r>
          </w:p>
        </w:tc>
        <w:tc>
          <w:tcPr>
            <w:tcW w:w="3470" w:type="dxa"/>
            <w:tcMar>
              <w:top w:w="0" w:type="dxa"/>
              <w:left w:w="28" w:type="dxa"/>
              <w:bottom w:w="0" w:type="dxa"/>
              <w:right w:w="28" w:type="dxa"/>
            </w:tcMar>
            <w:vAlign w:val="center"/>
          </w:tcPr>
          <w:p>
            <w:pPr>
              <w:snapToGrid w:val="0"/>
              <w:jc w:val="left"/>
            </w:pPr>
            <w:r>
              <w:t>从废水排放量方面来说，集聚区废水进入原阳县产业集聚区污水处理厂，原阳县产业集聚区污水处理厂应深度处理，实行中水回用，集聚区建设中水回用设施。</w:t>
            </w:r>
          </w:p>
        </w:tc>
        <w:tc>
          <w:tcPr>
            <w:tcW w:w="3827" w:type="dxa"/>
            <w:tcMar>
              <w:top w:w="0" w:type="dxa"/>
              <w:left w:w="28" w:type="dxa"/>
              <w:bottom w:w="0" w:type="dxa"/>
              <w:right w:w="28" w:type="dxa"/>
            </w:tcMar>
            <w:vAlign w:val="center"/>
          </w:tcPr>
          <w:p>
            <w:r>
              <w:t>本项目营运期引进企业产生的综合废水</w:t>
            </w:r>
            <w:r>
              <w:rPr>
                <w:rFonts w:hint="eastAsia"/>
              </w:rPr>
              <w:t>与</w:t>
            </w:r>
            <w:r>
              <w:t>经</w:t>
            </w:r>
            <w:r>
              <w:rPr>
                <w:rFonts w:hint="eastAsia"/>
              </w:rPr>
              <w:t>化粪池处理后的</w:t>
            </w:r>
            <w:r>
              <w:t>生活污水</w:t>
            </w:r>
            <w:r>
              <w:rPr>
                <w:rFonts w:hint="eastAsia"/>
              </w:rPr>
              <w:t>一同进入厂区</w:t>
            </w:r>
            <w:r>
              <w:t>污水处理站处理</w:t>
            </w:r>
            <w:r>
              <w:rPr>
                <w:rFonts w:hint="eastAsia"/>
              </w:rPr>
              <w:t>，处理后</w:t>
            </w:r>
            <w:r>
              <w:t>排入原阳县产业集聚区污水处理厂进一步处理。</w:t>
            </w:r>
          </w:p>
        </w:tc>
        <w:tc>
          <w:tcPr>
            <w:tcW w:w="820" w:type="dxa"/>
            <w:tcMar>
              <w:top w:w="0" w:type="dxa"/>
              <w:left w:w="28" w:type="dxa"/>
              <w:bottom w:w="0" w:type="dxa"/>
              <w:right w:w="28" w:type="dxa"/>
            </w:tcMar>
            <w:vAlign w:val="center"/>
          </w:tcPr>
          <w:p>
            <w:pPr>
              <w:snapToGrid w:val="0"/>
              <w:jc w:val="center"/>
            </w:pPr>
            <w:r>
              <w:rPr>
                <w:kern w:val="0"/>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dxa"/>
            <w:vMerge w:val="restart"/>
            <w:tcMar>
              <w:top w:w="0" w:type="dxa"/>
              <w:left w:w="28" w:type="dxa"/>
              <w:bottom w:w="0" w:type="dxa"/>
              <w:right w:w="28" w:type="dxa"/>
            </w:tcMar>
            <w:vAlign w:val="center"/>
          </w:tcPr>
          <w:p>
            <w:pPr>
              <w:adjustRightInd w:val="0"/>
              <w:snapToGrid w:val="0"/>
              <w:jc w:val="center"/>
            </w:pPr>
            <w:r>
              <w:t>大气环境保护对策</w:t>
            </w:r>
          </w:p>
        </w:tc>
        <w:tc>
          <w:tcPr>
            <w:tcW w:w="3470" w:type="dxa"/>
            <w:tcMar>
              <w:top w:w="0" w:type="dxa"/>
              <w:left w:w="28" w:type="dxa"/>
              <w:bottom w:w="0" w:type="dxa"/>
              <w:right w:w="28" w:type="dxa"/>
            </w:tcMar>
            <w:vAlign w:val="center"/>
          </w:tcPr>
          <w:p>
            <w:pPr>
              <w:snapToGrid w:val="0"/>
              <w:jc w:val="left"/>
            </w:pPr>
            <w:r>
              <w:t>入区企业的厂址选择，必须符合集聚区产业布局以及环境保护规划要求。针对进驻项目排放的工艺尾气情况，通过环境影响评价，合理布局和调整厂区平面布置，以便减少其对环境特别是对周边环境较为敏感的地区的大气污染影响。</w:t>
            </w:r>
          </w:p>
        </w:tc>
        <w:tc>
          <w:tcPr>
            <w:tcW w:w="3827" w:type="dxa"/>
            <w:tcMar>
              <w:top w:w="0" w:type="dxa"/>
              <w:left w:w="28" w:type="dxa"/>
              <w:bottom w:w="0" w:type="dxa"/>
              <w:right w:w="28" w:type="dxa"/>
            </w:tcMar>
            <w:vAlign w:val="center"/>
          </w:tcPr>
          <w:p>
            <w:r>
              <w:t>本项目属于</w:t>
            </w:r>
            <w:r>
              <w:rPr>
                <w:bCs/>
              </w:rPr>
              <w:t>房地产业、水的生产和供应业，主要建设车间厂房及其配套设施污水处理站，</w:t>
            </w:r>
            <w:r>
              <w:rPr>
                <w:bCs/>
                <w:szCs w:val="21"/>
              </w:rPr>
              <w:t>建成后主要入驻企业为食品加工和预制菜生产加工企业及相关配套企业，</w:t>
            </w:r>
            <w:r>
              <w:t>位于农副产品深加工产业区。本项目厂址选择符合集聚区产业布局以及环境保护规划要求。本项目通过调整厂区平面、合理布局，优化废气治理措施后大气污染物排放对周边环境影响较小。</w:t>
            </w:r>
          </w:p>
        </w:tc>
        <w:tc>
          <w:tcPr>
            <w:tcW w:w="820" w:type="dxa"/>
            <w:tcMar>
              <w:top w:w="0" w:type="dxa"/>
              <w:left w:w="28" w:type="dxa"/>
              <w:bottom w:w="0" w:type="dxa"/>
              <w:right w:w="28" w:type="dxa"/>
            </w:tcMar>
            <w:vAlign w:val="center"/>
          </w:tcPr>
          <w:p>
            <w:pPr>
              <w:snapToGrid w:val="0"/>
              <w:jc w:val="center"/>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dxa"/>
            <w:vMerge w:val="continue"/>
            <w:vAlign w:val="center"/>
          </w:tcPr>
          <w:p>
            <w:pPr>
              <w:widowControl/>
              <w:jc w:val="left"/>
              <w:rPr>
                <w:szCs w:val="21"/>
              </w:rPr>
            </w:pPr>
          </w:p>
        </w:tc>
        <w:tc>
          <w:tcPr>
            <w:tcW w:w="3470" w:type="dxa"/>
            <w:tcMar>
              <w:top w:w="0" w:type="dxa"/>
              <w:left w:w="28" w:type="dxa"/>
              <w:bottom w:w="0" w:type="dxa"/>
              <w:right w:w="28" w:type="dxa"/>
            </w:tcMar>
            <w:vAlign w:val="center"/>
          </w:tcPr>
          <w:p>
            <w:pPr>
              <w:snapToGrid w:val="0"/>
              <w:jc w:val="left"/>
            </w:pPr>
            <w:r>
              <w:t>优化产业结构，严格控制入区项目的引入条件，尤其综合工业区内对排放有毒有害气体、严重影响人体健康的项目，必须从严控制。</w:t>
            </w:r>
          </w:p>
        </w:tc>
        <w:tc>
          <w:tcPr>
            <w:tcW w:w="3827" w:type="dxa"/>
            <w:tcMar>
              <w:top w:w="0" w:type="dxa"/>
              <w:left w:w="28" w:type="dxa"/>
              <w:bottom w:w="0" w:type="dxa"/>
              <w:right w:w="28" w:type="dxa"/>
            </w:tcMar>
            <w:vAlign w:val="center"/>
          </w:tcPr>
          <w:p>
            <w:r>
              <w:t>本项目不属于排放有毒有害气体、严重影响人体健康的项目。</w:t>
            </w:r>
          </w:p>
        </w:tc>
        <w:tc>
          <w:tcPr>
            <w:tcW w:w="820" w:type="dxa"/>
            <w:tcMar>
              <w:top w:w="0" w:type="dxa"/>
              <w:left w:w="28" w:type="dxa"/>
              <w:bottom w:w="0" w:type="dxa"/>
              <w:right w:w="28" w:type="dxa"/>
            </w:tcMar>
            <w:vAlign w:val="center"/>
          </w:tcPr>
          <w:p>
            <w:pPr>
              <w:snapToGrid w:val="0"/>
              <w:jc w:val="center"/>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dxa"/>
            <w:vMerge w:val="continue"/>
            <w:vAlign w:val="center"/>
          </w:tcPr>
          <w:p>
            <w:pPr>
              <w:widowControl/>
              <w:jc w:val="left"/>
              <w:rPr>
                <w:szCs w:val="21"/>
              </w:rPr>
            </w:pPr>
          </w:p>
        </w:tc>
        <w:tc>
          <w:tcPr>
            <w:tcW w:w="3470" w:type="dxa"/>
            <w:tcMar>
              <w:top w:w="0" w:type="dxa"/>
              <w:left w:w="28" w:type="dxa"/>
              <w:bottom w:w="0" w:type="dxa"/>
              <w:right w:w="28" w:type="dxa"/>
            </w:tcMar>
            <w:vAlign w:val="center"/>
          </w:tcPr>
          <w:p>
            <w:pPr>
              <w:snapToGrid w:val="0"/>
              <w:jc w:val="left"/>
            </w:pPr>
            <w:r>
              <w:t>从入区企业方面，企业无组织排放的大气污染物，必须满足厂界浓度限值，并设置大气环境防护距离；严格执行“三同时”制度，优化工艺流程，积极推行清洁生产，对污染物排放进行全过程控制；积极探索减少厂内无组织排放的技术方法。</w:t>
            </w:r>
          </w:p>
        </w:tc>
        <w:tc>
          <w:tcPr>
            <w:tcW w:w="3827" w:type="dxa"/>
            <w:tcMar>
              <w:top w:w="0" w:type="dxa"/>
              <w:left w:w="28" w:type="dxa"/>
              <w:bottom w:w="0" w:type="dxa"/>
              <w:right w:w="28" w:type="dxa"/>
            </w:tcMar>
            <w:vAlign w:val="center"/>
          </w:tcPr>
          <w:p>
            <w:pPr>
              <w:snapToGrid w:val="0"/>
              <w:jc w:val="left"/>
            </w:pPr>
            <w:r>
              <w:t>本项目无组织排放的大气污染物为</w:t>
            </w:r>
            <w:r>
              <w:rPr>
                <w:rFonts w:hint="eastAsia"/>
              </w:rPr>
              <w:t>硫化氢、氨、臭气浓度</w:t>
            </w:r>
            <w:r>
              <w:t>，满足厂界浓度限值，本项目将严格执行“三同时”制度，优化工艺流程，积极推行清洁生产。</w:t>
            </w:r>
          </w:p>
        </w:tc>
        <w:tc>
          <w:tcPr>
            <w:tcW w:w="820" w:type="dxa"/>
            <w:tcMar>
              <w:top w:w="0" w:type="dxa"/>
              <w:left w:w="28" w:type="dxa"/>
              <w:bottom w:w="0" w:type="dxa"/>
              <w:right w:w="28" w:type="dxa"/>
            </w:tcMar>
            <w:vAlign w:val="center"/>
          </w:tcPr>
          <w:p>
            <w:pPr>
              <w:snapToGrid w:val="0"/>
              <w:jc w:val="center"/>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dxa"/>
            <w:tcMar>
              <w:top w:w="0" w:type="dxa"/>
              <w:left w:w="28" w:type="dxa"/>
              <w:bottom w:w="0" w:type="dxa"/>
              <w:right w:w="28" w:type="dxa"/>
            </w:tcMar>
            <w:vAlign w:val="center"/>
          </w:tcPr>
          <w:p>
            <w:pPr>
              <w:adjustRightInd w:val="0"/>
              <w:snapToGrid w:val="0"/>
              <w:jc w:val="center"/>
            </w:pPr>
            <w:r>
              <w:t>噪声污染控制对策</w:t>
            </w:r>
          </w:p>
        </w:tc>
        <w:tc>
          <w:tcPr>
            <w:tcW w:w="3470" w:type="dxa"/>
            <w:tcMar>
              <w:top w:w="0" w:type="dxa"/>
              <w:left w:w="28" w:type="dxa"/>
              <w:bottom w:w="0" w:type="dxa"/>
              <w:right w:w="28" w:type="dxa"/>
            </w:tcMar>
            <w:vAlign w:val="center"/>
          </w:tcPr>
          <w:p>
            <w:pPr>
              <w:snapToGrid w:val="0"/>
              <w:jc w:val="left"/>
            </w:pPr>
            <w:r>
              <w:t>工业用地特别是高噪声项目应尽量集中，对进区企业审查时，噪声高的设备远离厂界和噪声敏感点，利用距离衰减来降低噪声。入区项目必须采取相应的噪声治理措施，必须确保厂界噪声达标。</w:t>
            </w:r>
          </w:p>
        </w:tc>
        <w:tc>
          <w:tcPr>
            <w:tcW w:w="3827" w:type="dxa"/>
            <w:tcMar>
              <w:top w:w="0" w:type="dxa"/>
              <w:left w:w="28" w:type="dxa"/>
              <w:bottom w:w="0" w:type="dxa"/>
              <w:right w:w="28" w:type="dxa"/>
            </w:tcMar>
            <w:vAlign w:val="center"/>
          </w:tcPr>
          <w:p>
            <w:r>
              <w:t>距离厂界最近的环境敏感点为项目</w:t>
            </w:r>
            <w:r>
              <w:rPr>
                <w:rFonts w:hint="eastAsia"/>
              </w:rPr>
              <w:t>东</w:t>
            </w:r>
            <w:r>
              <w:t>侧30m处的</w:t>
            </w:r>
            <w:r>
              <w:rPr>
                <w:rFonts w:hint="eastAsia"/>
              </w:rPr>
              <w:t>小庄村</w:t>
            </w:r>
            <w:r>
              <w:t>，本项目高噪声</w:t>
            </w:r>
            <w:r>
              <w:rPr>
                <w:rFonts w:hint="eastAsia"/>
              </w:rPr>
              <w:t>设备主要为污水处理站使用的各种风机、</w:t>
            </w:r>
            <w:r>
              <w:rPr>
                <w:rFonts w:hint="eastAsia"/>
                <w:bCs/>
              </w:rPr>
              <w:t>超微过滤机、叠螺污泥脱水机</w:t>
            </w:r>
            <w:r>
              <w:rPr>
                <w:rFonts w:hint="eastAsia"/>
              </w:rPr>
              <w:t>、各种泵类</w:t>
            </w:r>
            <w:r>
              <w:t>等设备</w:t>
            </w:r>
            <w:r>
              <w:rPr>
                <w:rFonts w:hint="eastAsia"/>
              </w:rPr>
              <w:t>，其位于密闭间或者水下，</w:t>
            </w:r>
            <w:r>
              <w:t>预测设备噪声经基础减振、厂房隔声后厂界噪声能够达标。</w:t>
            </w:r>
          </w:p>
        </w:tc>
        <w:tc>
          <w:tcPr>
            <w:tcW w:w="820" w:type="dxa"/>
            <w:tcMar>
              <w:top w:w="0" w:type="dxa"/>
              <w:left w:w="28" w:type="dxa"/>
              <w:bottom w:w="0" w:type="dxa"/>
              <w:right w:w="28" w:type="dxa"/>
            </w:tcMar>
            <w:vAlign w:val="center"/>
          </w:tcPr>
          <w:p>
            <w:pPr>
              <w:snapToGrid w:val="0"/>
              <w:jc w:val="center"/>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dxa"/>
            <w:vMerge w:val="restart"/>
            <w:tcMar>
              <w:top w:w="0" w:type="dxa"/>
              <w:left w:w="28" w:type="dxa"/>
              <w:bottom w:w="0" w:type="dxa"/>
              <w:right w:w="28" w:type="dxa"/>
            </w:tcMar>
            <w:vAlign w:val="center"/>
          </w:tcPr>
          <w:p>
            <w:pPr>
              <w:adjustRightInd w:val="0"/>
              <w:snapToGrid w:val="0"/>
              <w:jc w:val="center"/>
            </w:pPr>
            <w:r>
              <w:t>固体废物处理处置措施</w:t>
            </w:r>
          </w:p>
        </w:tc>
        <w:tc>
          <w:tcPr>
            <w:tcW w:w="3470" w:type="dxa"/>
            <w:tcMar>
              <w:top w:w="0" w:type="dxa"/>
              <w:left w:w="28" w:type="dxa"/>
              <w:bottom w:w="0" w:type="dxa"/>
              <w:right w:w="28" w:type="dxa"/>
            </w:tcMar>
            <w:vAlign w:val="center"/>
          </w:tcPr>
          <w:p>
            <w:pPr>
              <w:snapToGrid w:val="0"/>
            </w:pPr>
            <w:r>
              <w:t>集聚区内各工业企业的一般工业固体废物临时贮存场地应按《一般工业固体废物储存、处置场污染控制标准》(GB18599-2001）中相关要求进行建设，一般工业固体废物应分类堆存，综合利用，建设防雨、防渗的规范临时贮存场。</w:t>
            </w:r>
          </w:p>
        </w:tc>
        <w:tc>
          <w:tcPr>
            <w:tcW w:w="3827" w:type="dxa"/>
            <w:tcMar>
              <w:top w:w="0" w:type="dxa"/>
              <w:left w:w="28" w:type="dxa"/>
              <w:bottom w:w="0" w:type="dxa"/>
              <w:right w:w="28" w:type="dxa"/>
            </w:tcMar>
            <w:vAlign w:val="center"/>
          </w:tcPr>
          <w:p>
            <w:r>
              <w:t>本项目新建1座一般固废暂存间，按照《一般工业固体废物贮存和填埋污染控制标准》（GB18599-2020）中相关要求进行建设。本项目一般工业固体废物将分类堆存，综合利用，建设防雨、防渗的规范化临时贮存场。</w:t>
            </w:r>
          </w:p>
        </w:tc>
        <w:tc>
          <w:tcPr>
            <w:tcW w:w="820" w:type="dxa"/>
            <w:tcMar>
              <w:top w:w="0" w:type="dxa"/>
              <w:left w:w="28" w:type="dxa"/>
              <w:bottom w:w="0" w:type="dxa"/>
              <w:right w:w="28" w:type="dxa"/>
            </w:tcMar>
            <w:vAlign w:val="center"/>
          </w:tcPr>
          <w:p>
            <w:pPr>
              <w:snapToGrid w:val="0"/>
              <w:jc w:val="center"/>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dxa"/>
            <w:vMerge w:val="continue"/>
            <w:vAlign w:val="center"/>
          </w:tcPr>
          <w:p>
            <w:pPr>
              <w:widowControl/>
              <w:jc w:val="left"/>
              <w:rPr>
                <w:szCs w:val="21"/>
              </w:rPr>
            </w:pPr>
          </w:p>
        </w:tc>
        <w:tc>
          <w:tcPr>
            <w:tcW w:w="3470" w:type="dxa"/>
            <w:tcMar>
              <w:top w:w="0" w:type="dxa"/>
              <w:left w:w="28" w:type="dxa"/>
              <w:bottom w:w="0" w:type="dxa"/>
              <w:right w:w="28" w:type="dxa"/>
            </w:tcMar>
            <w:vAlign w:val="center"/>
          </w:tcPr>
          <w:p>
            <w:pPr>
              <w:snapToGrid w:val="0"/>
              <w:jc w:val="left"/>
            </w:pPr>
            <w:r>
              <w:t>对危险固体废物的产生和管理将按照《河南省危险废物管理暂行办法》、河南省环境保护局颁发的《危险废物转移联单管理办法》等有关规定文件的要求，危险废物的控制应遵循全过程管理，分类收集、强制处置和集中处理的原则，对危险固体废物应尽量通过焚烧或化学处理方法转化为无害化后再处理。</w:t>
            </w:r>
          </w:p>
        </w:tc>
        <w:tc>
          <w:tcPr>
            <w:tcW w:w="3827" w:type="dxa"/>
            <w:tcMar>
              <w:top w:w="0" w:type="dxa"/>
              <w:left w:w="28" w:type="dxa"/>
              <w:bottom w:w="0" w:type="dxa"/>
              <w:right w:w="28" w:type="dxa"/>
            </w:tcMar>
            <w:vAlign w:val="center"/>
          </w:tcPr>
          <w:p>
            <w:pPr>
              <w:jc w:val="center"/>
            </w:pPr>
            <w:r>
              <w:t>本项目</w:t>
            </w:r>
            <w:r>
              <w:rPr>
                <w:rFonts w:hint="eastAsia"/>
              </w:rPr>
              <w:t>不产生危险固体废物。</w:t>
            </w:r>
          </w:p>
        </w:tc>
        <w:tc>
          <w:tcPr>
            <w:tcW w:w="820" w:type="dxa"/>
            <w:tcMar>
              <w:top w:w="0" w:type="dxa"/>
              <w:left w:w="28" w:type="dxa"/>
              <w:bottom w:w="0" w:type="dxa"/>
              <w:right w:w="28" w:type="dxa"/>
            </w:tcMar>
            <w:vAlign w:val="center"/>
          </w:tcPr>
          <w:p>
            <w:pPr>
              <w:snapToGrid w:val="0"/>
              <w:jc w:val="center"/>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9" w:type="dxa"/>
            <w:tcMar>
              <w:top w:w="0" w:type="dxa"/>
              <w:left w:w="28" w:type="dxa"/>
              <w:bottom w:w="0" w:type="dxa"/>
              <w:right w:w="28" w:type="dxa"/>
            </w:tcMar>
            <w:vAlign w:val="center"/>
          </w:tcPr>
          <w:p>
            <w:pPr>
              <w:adjustRightInd w:val="0"/>
              <w:snapToGrid w:val="0"/>
              <w:jc w:val="center"/>
            </w:pPr>
            <w:r>
              <w:t>清洁生产与循环经济措施</w:t>
            </w:r>
          </w:p>
        </w:tc>
        <w:tc>
          <w:tcPr>
            <w:tcW w:w="3470" w:type="dxa"/>
            <w:tcMar>
              <w:top w:w="0" w:type="dxa"/>
              <w:left w:w="28" w:type="dxa"/>
              <w:bottom w:w="0" w:type="dxa"/>
              <w:right w:w="28" w:type="dxa"/>
            </w:tcMar>
            <w:vAlign w:val="center"/>
          </w:tcPr>
          <w:p>
            <w:pPr>
              <w:snapToGrid w:val="0"/>
              <w:jc w:val="left"/>
            </w:pPr>
            <w:r>
              <w:t>入区项目首先应满足现行环境保护政策法规以及产业政策的要求，满足总量控制及污染物排放标准，禁止生产淘汰类产品或采用要求淘汰的设备、生产工艺，在此基础上对企业清洁生产水平达到国内清洁生产先进企业方可进驻集聚区。同时加强企业内、企业间、区域经济产业链条，促进区域循环经济协调发展。</w:t>
            </w:r>
          </w:p>
        </w:tc>
        <w:tc>
          <w:tcPr>
            <w:tcW w:w="3827" w:type="dxa"/>
            <w:tcMar>
              <w:top w:w="0" w:type="dxa"/>
              <w:left w:w="28" w:type="dxa"/>
              <w:bottom w:w="0" w:type="dxa"/>
              <w:right w:w="28" w:type="dxa"/>
            </w:tcMar>
            <w:vAlign w:val="center"/>
          </w:tcPr>
          <w:p>
            <w:r>
              <w:t>本项目满足现行环境保护政策法规以及产业政策的要求，满足总量控制及污染物排放标准。</w:t>
            </w:r>
          </w:p>
          <w:p>
            <w:pPr>
              <w:rPr>
                <w:bCs/>
              </w:rPr>
            </w:pPr>
            <w:r>
              <w:t>本项目属于</w:t>
            </w:r>
            <w:r>
              <w:rPr>
                <w:rFonts w:hint="eastAsia"/>
                <w:bCs/>
              </w:rPr>
              <w:t>房地产业、水的生产和供应业，主要建设车间厂房及其配套设施污水处理站，不采用</w:t>
            </w:r>
            <w:r>
              <w:rPr>
                <w:bCs/>
              </w:rPr>
              <w:t>淘汰的设备、生产工艺</w:t>
            </w:r>
            <w:r>
              <w:rPr>
                <w:rFonts w:hint="eastAsia"/>
                <w:bCs/>
              </w:rPr>
              <w:t>。</w:t>
            </w:r>
          </w:p>
          <w:p>
            <w:pPr>
              <w:rPr>
                <w:bCs/>
              </w:rPr>
            </w:pPr>
            <w:r>
              <w:rPr>
                <w:rFonts w:hint="eastAsia"/>
                <w:bCs/>
              </w:rPr>
              <w:t>本项目无清洁生产要求。</w:t>
            </w:r>
          </w:p>
          <w:p>
            <w:r>
              <w:rPr>
                <w:rFonts w:hint="eastAsia"/>
                <w:bCs/>
              </w:rPr>
              <w:t>本项目建成后主要入驻企业为食品加工和预制菜生产加工企业及相关配套企业，</w:t>
            </w:r>
            <w:r>
              <w:t>位于农副产品深加工产业区。符合集聚区产业定位及属于相关产业链的项目，具有良好循环经济链条。</w:t>
            </w:r>
          </w:p>
        </w:tc>
        <w:tc>
          <w:tcPr>
            <w:tcW w:w="820" w:type="dxa"/>
            <w:tcMar>
              <w:top w:w="0" w:type="dxa"/>
              <w:left w:w="28" w:type="dxa"/>
              <w:bottom w:w="0" w:type="dxa"/>
              <w:right w:w="28" w:type="dxa"/>
            </w:tcMar>
            <w:vAlign w:val="center"/>
          </w:tcPr>
          <w:p>
            <w:pPr>
              <w:snapToGrid w:val="0"/>
              <w:jc w:val="center"/>
            </w:pPr>
            <w:r>
              <w:t>符合</w:t>
            </w:r>
          </w:p>
        </w:tc>
      </w:tr>
    </w:tbl>
    <w:p>
      <w:pPr>
        <w:snapToGrid w:val="0"/>
        <w:spacing w:line="460" w:lineRule="exact"/>
        <w:ind w:firstLine="480" w:firstLineChars="200"/>
        <w:rPr>
          <w:sz w:val="24"/>
        </w:rPr>
      </w:pPr>
      <w:r>
        <w:rPr>
          <w:rFonts w:ascii="Calibri" w:hAnsi="Calibri"/>
          <w:sz w:val="24"/>
        </w:rPr>
        <w:t>由上表可知，本项目符合原阳县产业集聚区规划环评的结论。</w:t>
      </w:r>
    </w:p>
    <w:p>
      <w:pPr>
        <w:snapToGrid w:val="0"/>
        <w:spacing w:line="460" w:lineRule="exact"/>
        <w:ind w:firstLine="480" w:firstLineChars="200"/>
        <w:rPr>
          <w:bCs/>
          <w:sz w:val="24"/>
        </w:rPr>
      </w:pPr>
      <w:r>
        <w:rPr>
          <w:bCs/>
          <w:sz w:val="24"/>
        </w:rPr>
        <w:t>9、本项目与原阳县产业集聚区规划环评审查意见相符性分析</w:t>
      </w:r>
    </w:p>
    <w:p>
      <w:pPr>
        <w:spacing w:line="460" w:lineRule="exact"/>
        <w:ind w:firstLine="480" w:firstLineChars="200"/>
        <w:rPr>
          <w:rFonts w:eastAsia="黑体"/>
          <w:sz w:val="24"/>
          <w:lang w:val="pt-BR"/>
        </w:rPr>
      </w:pPr>
      <w:r>
        <w:rPr>
          <w:rFonts w:eastAsia="黑体"/>
          <w:sz w:val="24"/>
          <w:lang w:val="pt-BR"/>
        </w:rPr>
        <w:t>表</w:t>
      </w:r>
      <w:r>
        <w:rPr>
          <w:rFonts w:hint="eastAsia" w:eastAsia="黑体"/>
          <w:sz w:val="24"/>
          <w:lang w:val="pt-BR"/>
        </w:rPr>
        <w:t>2</w:t>
      </w:r>
      <w:r>
        <w:rPr>
          <w:rFonts w:eastAsia="黑体"/>
          <w:sz w:val="24"/>
          <w:lang w:val="pt-BR"/>
        </w:rPr>
        <w:t>.8-4      与集聚区规划环评审查意见相符性分析一览表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98"/>
        <w:gridCol w:w="3968"/>
        <w:gridCol w:w="8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7" w:type="dxa"/>
            <w:tcMar>
              <w:top w:w="0" w:type="dxa"/>
              <w:left w:w="28" w:type="dxa"/>
              <w:bottom w:w="0" w:type="dxa"/>
              <w:right w:w="28" w:type="dxa"/>
            </w:tcMar>
            <w:vAlign w:val="center"/>
          </w:tcPr>
          <w:p>
            <w:pPr>
              <w:adjustRightInd w:val="0"/>
              <w:snapToGrid w:val="0"/>
              <w:jc w:val="center"/>
              <w:rPr>
                <w:b/>
                <w:bCs/>
                <w:kern w:val="0"/>
                <w:szCs w:val="21"/>
              </w:rPr>
            </w:pPr>
            <w:r>
              <w:rPr>
                <w:b/>
                <w:bCs/>
                <w:kern w:val="0"/>
              </w:rPr>
              <w:t>集聚区规划环评审查意见</w:t>
            </w:r>
          </w:p>
        </w:tc>
        <w:tc>
          <w:tcPr>
            <w:tcW w:w="3969" w:type="dxa"/>
            <w:tcMar>
              <w:top w:w="0" w:type="dxa"/>
              <w:left w:w="28" w:type="dxa"/>
              <w:bottom w:w="0" w:type="dxa"/>
              <w:right w:w="28" w:type="dxa"/>
            </w:tcMar>
            <w:vAlign w:val="center"/>
          </w:tcPr>
          <w:p>
            <w:pPr>
              <w:adjustRightInd w:val="0"/>
              <w:snapToGrid w:val="0"/>
              <w:jc w:val="center"/>
              <w:rPr>
                <w:b/>
                <w:bCs/>
                <w:kern w:val="0"/>
              </w:rPr>
            </w:pPr>
            <w:r>
              <w:rPr>
                <w:b/>
                <w:bCs/>
                <w:kern w:val="0"/>
              </w:rPr>
              <w:t>本项目情况</w:t>
            </w:r>
          </w:p>
        </w:tc>
        <w:tc>
          <w:tcPr>
            <w:tcW w:w="820" w:type="dxa"/>
            <w:tcMar>
              <w:top w:w="0" w:type="dxa"/>
              <w:left w:w="28" w:type="dxa"/>
              <w:bottom w:w="0" w:type="dxa"/>
              <w:right w:w="28" w:type="dxa"/>
            </w:tcMar>
            <w:vAlign w:val="center"/>
          </w:tcPr>
          <w:p>
            <w:pPr>
              <w:adjustRightInd w:val="0"/>
              <w:snapToGrid w:val="0"/>
              <w:jc w:val="center"/>
              <w:rPr>
                <w:b/>
                <w:bCs/>
                <w:kern w:val="0"/>
              </w:rPr>
            </w:pPr>
            <w:r>
              <w:rPr>
                <w:b/>
                <w:bCs/>
                <w:kern w:val="0"/>
              </w:rPr>
              <w:t>相符性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7" w:type="dxa"/>
            <w:tcMar>
              <w:top w:w="0" w:type="dxa"/>
              <w:left w:w="28" w:type="dxa"/>
              <w:bottom w:w="0" w:type="dxa"/>
              <w:right w:w="28" w:type="dxa"/>
            </w:tcMar>
            <w:vAlign w:val="center"/>
          </w:tcPr>
          <w:p>
            <w:r>
              <w:t>进一步加强规划与城市总体规划、土地利用总体规划的衔接，确保原阳县产业集聚区用地布局符合上位规划。通过土地用途调整、搬迁等途径进一步优化原阳县产业集聚区空间布局，尽量避免区内部分工业、居住混杂布局的问题，减轻工业发展对居住环境的不利影响。</w:t>
            </w:r>
          </w:p>
        </w:tc>
        <w:tc>
          <w:tcPr>
            <w:tcW w:w="3969" w:type="dxa"/>
            <w:tcMar>
              <w:top w:w="0" w:type="dxa"/>
              <w:left w:w="28" w:type="dxa"/>
              <w:bottom w:w="0" w:type="dxa"/>
              <w:right w:w="28" w:type="dxa"/>
            </w:tcMar>
            <w:vAlign w:val="center"/>
          </w:tcPr>
          <w:p>
            <w:r>
              <w:t>本项目位于原阳县产业集聚区</w:t>
            </w:r>
            <w:r>
              <w:rPr>
                <w:rFonts w:hint="eastAsia"/>
              </w:rPr>
              <w:t>永安路南侧、金祥南街西侧、小庄排河东侧</w:t>
            </w:r>
            <w:r>
              <w:t>，根据《原阳县产业集聚区发展规划（2012-2020）》，项目所占用地为工业用地，符合集聚区用地规划要求；根据《原阳县产业集聚区发展规划-功能布局规划图（2012-2020）》，项目位于农副产品深加工产业区，符合集聚区功能布局规划要求。</w:t>
            </w:r>
          </w:p>
        </w:tc>
        <w:tc>
          <w:tcPr>
            <w:tcW w:w="820" w:type="dxa"/>
            <w:tcMar>
              <w:top w:w="0" w:type="dxa"/>
              <w:left w:w="28" w:type="dxa"/>
              <w:bottom w:w="0" w:type="dxa"/>
              <w:right w:w="28" w:type="dxa"/>
            </w:tcMar>
            <w:vAlign w:val="center"/>
          </w:tcPr>
          <w:p>
            <w:pPr>
              <w:snapToGrid w:val="0"/>
              <w:jc w:val="center"/>
            </w:pPr>
            <w:r>
              <w:rPr>
                <w:kern w:val="0"/>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7" w:type="dxa"/>
            <w:tcMar>
              <w:top w:w="0" w:type="dxa"/>
              <w:left w:w="28" w:type="dxa"/>
              <w:bottom w:w="0" w:type="dxa"/>
              <w:right w:w="28" w:type="dxa"/>
            </w:tcMar>
            <w:vAlign w:val="center"/>
          </w:tcPr>
          <w:p>
            <w:r>
              <w:t>严格产业的环境准入，引进项目的生产工艺、设备、污染治理技术，以及单位产品能耗、物耗、污染物排放和资源利用率均需达到同行业国内先进水平，积极推进产业的技术进步和园区循环化改造。</w:t>
            </w:r>
          </w:p>
        </w:tc>
        <w:tc>
          <w:tcPr>
            <w:tcW w:w="3969" w:type="dxa"/>
            <w:tcMar>
              <w:top w:w="0" w:type="dxa"/>
              <w:left w:w="28" w:type="dxa"/>
              <w:bottom w:w="0" w:type="dxa"/>
              <w:right w:w="28" w:type="dxa"/>
            </w:tcMar>
            <w:vAlign w:val="center"/>
          </w:tcPr>
          <w:p>
            <w:r>
              <w:t>本项目产生的</w:t>
            </w:r>
            <w:r>
              <w:rPr>
                <w:rFonts w:hint="eastAsia"/>
              </w:rPr>
              <w:t>恶臭气体、硫化氢、氨</w:t>
            </w:r>
            <w:r>
              <w:t>采用</w:t>
            </w:r>
            <w:r>
              <w:rPr>
                <w:rFonts w:hint="eastAsia"/>
                <w:bCs/>
              </w:rPr>
              <w:t>洗涤除臭装置（化学洗涤+生物洗涤）处理措施，本项目无生产产品，</w:t>
            </w:r>
            <w:r>
              <w:t>生产工艺、设备、污染治理技术均能达到同行业国内先进水平。</w:t>
            </w:r>
          </w:p>
        </w:tc>
        <w:tc>
          <w:tcPr>
            <w:tcW w:w="820" w:type="dxa"/>
            <w:tcMar>
              <w:top w:w="0" w:type="dxa"/>
              <w:left w:w="28" w:type="dxa"/>
              <w:bottom w:w="0" w:type="dxa"/>
              <w:right w:w="28" w:type="dxa"/>
            </w:tcMar>
            <w:vAlign w:val="center"/>
          </w:tcPr>
          <w:p>
            <w:pPr>
              <w:snapToGrid w:val="0"/>
              <w:jc w:val="center"/>
            </w:pPr>
            <w: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7" w:type="dxa"/>
            <w:tcMar>
              <w:top w:w="0" w:type="dxa"/>
              <w:left w:w="28" w:type="dxa"/>
              <w:bottom w:w="0" w:type="dxa"/>
              <w:right w:w="28" w:type="dxa"/>
            </w:tcMar>
            <w:vAlign w:val="center"/>
          </w:tcPr>
          <w:p>
            <w:r>
              <w:t>禁止发展环境污染严重、无污染治理技术或治理技术在技术经济上根本不可行的项目。</w:t>
            </w:r>
          </w:p>
        </w:tc>
        <w:tc>
          <w:tcPr>
            <w:tcW w:w="3969" w:type="dxa"/>
            <w:tcMar>
              <w:top w:w="0" w:type="dxa"/>
              <w:left w:w="28" w:type="dxa"/>
              <w:bottom w:w="0" w:type="dxa"/>
              <w:right w:w="28" w:type="dxa"/>
            </w:tcMar>
            <w:vAlign w:val="center"/>
          </w:tcPr>
          <w:p>
            <w:pPr>
              <w:autoSpaceDE w:val="0"/>
              <w:autoSpaceDN w:val="0"/>
            </w:pPr>
            <w:r>
              <w:t>本项目不属于严重污染环境项目，本项目采用的污染治理技术在技术经济上可行。</w:t>
            </w:r>
          </w:p>
        </w:tc>
        <w:tc>
          <w:tcPr>
            <w:tcW w:w="820" w:type="dxa"/>
            <w:tcMar>
              <w:top w:w="0" w:type="dxa"/>
              <w:left w:w="28" w:type="dxa"/>
              <w:bottom w:w="0" w:type="dxa"/>
              <w:right w:w="28" w:type="dxa"/>
            </w:tcMar>
            <w:vAlign w:val="center"/>
          </w:tcPr>
          <w:p>
            <w:pPr>
              <w:snapToGrid w:val="0"/>
              <w:jc w:val="center"/>
            </w:pPr>
            <w:r>
              <w:t>符合</w:t>
            </w:r>
          </w:p>
        </w:tc>
      </w:tr>
    </w:tbl>
    <w:p>
      <w:pPr>
        <w:spacing w:line="520" w:lineRule="exact"/>
        <w:ind w:firstLine="480" w:firstLineChars="200"/>
        <w:rPr>
          <w:color w:val="000000"/>
          <w:sz w:val="24"/>
          <w:szCs w:val="24"/>
        </w:rPr>
      </w:pPr>
      <w:r>
        <w:rPr>
          <w:color w:val="000000"/>
          <w:sz w:val="24"/>
          <w:szCs w:val="24"/>
        </w:rPr>
        <w:t>由上表可知，本项目符合原阳县产业集聚区规划环评的审查意见。</w:t>
      </w:r>
    </w:p>
    <w:p>
      <w:pPr>
        <w:spacing w:line="520" w:lineRule="exact"/>
        <w:ind w:firstLine="480" w:firstLineChars="200"/>
        <w:outlineLvl w:val="3"/>
        <w:rPr>
          <w:sz w:val="24"/>
        </w:rPr>
      </w:pPr>
      <w:r>
        <w:rPr>
          <w:rFonts w:hint="eastAsia"/>
          <w:sz w:val="24"/>
        </w:rPr>
        <w:t>2</w:t>
      </w:r>
      <w:r>
        <w:rPr>
          <w:sz w:val="24"/>
        </w:rPr>
        <w:t xml:space="preserve">.8.2.4 </w:t>
      </w:r>
      <w:r>
        <w:rPr>
          <w:rFonts w:hint="eastAsia"/>
          <w:sz w:val="24"/>
        </w:rPr>
        <w:t>项目与原阳县产业集聚区规划相符性分析</w:t>
      </w:r>
    </w:p>
    <w:p>
      <w:pPr>
        <w:spacing w:line="520" w:lineRule="exact"/>
        <w:ind w:firstLine="480" w:firstLineChars="200"/>
        <w:rPr>
          <w:b/>
          <w:bCs/>
          <w:sz w:val="24"/>
          <w:highlight w:val="yellow"/>
          <w:u w:val="single"/>
        </w:rPr>
      </w:pPr>
      <w:r>
        <w:rPr>
          <w:sz w:val="24"/>
        </w:rPr>
        <w:t>本项目</w:t>
      </w:r>
      <w:r>
        <w:rPr>
          <w:rFonts w:hint="eastAsia"/>
          <w:sz w:val="24"/>
        </w:rPr>
        <w:t>位于农副产品加工区，主要建设车间厂房及其配套设施污水处理站，项目建成后主要入驻企业为食品加工和预制菜生产加工企业及相关配套企业，</w:t>
      </w:r>
      <w:r>
        <w:rPr>
          <w:sz w:val="24"/>
        </w:rPr>
        <w:t>属于主导行业及其关联产业，符合</w:t>
      </w:r>
      <w:r>
        <w:rPr>
          <w:rFonts w:hint="eastAsia"/>
          <w:sz w:val="24"/>
        </w:rPr>
        <w:t>集聚区</w:t>
      </w:r>
      <w:r>
        <w:rPr>
          <w:sz w:val="24"/>
        </w:rPr>
        <w:t>产业定位。根据《</w:t>
      </w:r>
      <w:r>
        <w:rPr>
          <w:rFonts w:hint="eastAsia"/>
          <w:sz w:val="24"/>
        </w:rPr>
        <w:t>原阳县</w:t>
      </w:r>
      <w:r>
        <w:rPr>
          <w:sz w:val="24"/>
        </w:rPr>
        <w:t>产业集聚区发展规划（2012-2020）-用地规划图》（见附图二 1），项目所在地为工业用地；根据《</w:t>
      </w:r>
      <w:r>
        <w:rPr>
          <w:rFonts w:hint="eastAsia"/>
          <w:sz w:val="24"/>
        </w:rPr>
        <w:t>原阳县</w:t>
      </w:r>
      <w:r>
        <w:rPr>
          <w:sz w:val="24"/>
        </w:rPr>
        <w:t>产业集聚区发展规划（2012-2020）-产业布局规划图》（见附图二 2），项目位于</w:t>
      </w:r>
      <w:r>
        <w:rPr>
          <w:rFonts w:hint="eastAsia"/>
          <w:sz w:val="24"/>
        </w:rPr>
        <w:t>农副产品加工区，符合集聚区用地规划和产业布局规划。</w:t>
      </w:r>
    </w:p>
    <w:p>
      <w:pPr>
        <w:keepNext/>
        <w:keepLines/>
        <w:spacing w:line="520" w:lineRule="exact"/>
        <w:outlineLvl w:val="2"/>
        <w:rPr>
          <w:rFonts w:eastAsia="黑体"/>
          <w:bCs/>
          <w:sz w:val="28"/>
          <w:szCs w:val="28"/>
        </w:rPr>
      </w:pPr>
      <w:r>
        <w:rPr>
          <w:rFonts w:eastAsia="黑体"/>
          <w:bCs/>
          <w:sz w:val="28"/>
          <w:szCs w:val="28"/>
        </w:rPr>
        <w:t>2.8.3 与《新乡市人民政府办公室关于推动工业高质量发展专业园区建设的指导意见》（新政办〔2022〕27号）的相符性</w:t>
      </w:r>
    </w:p>
    <w:p>
      <w:pPr>
        <w:spacing w:line="520" w:lineRule="exact"/>
        <w:ind w:firstLine="480" w:firstLineChars="200"/>
        <w:jc w:val="left"/>
        <w:rPr>
          <w:sz w:val="24"/>
        </w:rPr>
      </w:pPr>
      <w:r>
        <w:rPr>
          <w:sz w:val="24"/>
        </w:rPr>
        <w:t>根据《新乡市人民政府办公室关于推动工业高质量发展专业园区建设的指导意见》（新政办〔2022〕27号）可知：</w:t>
      </w:r>
    </w:p>
    <w:p>
      <w:pPr>
        <w:spacing w:line="520" w:lineRule="exact"/>
        <w:ind w:firstLine="480" w:firstLineChars="200"/>
        <w:jc w:val="left"/>
        <w:rPr>
          <w:sz w:val="24"/>
        </w:rPr>
      </w:pPr>
      <w:r>
        <w:rPr>
          <w:sz w:val="24"/>
        </w:rPr>
        <w:t>三、发展重点</w:t>
      </w:r>
    </w:p>
    <w:p>
      <w:pPr>
        <w:spacing w:line="520" w:lineRule="exact"/>
        <w:ind w:firstLine="480" w:firstLineChars="200"/>
        <w:jc w:val="left"/>
        <w:rPr>
          <w:sz w:val="24"/>
        </w:rPr>
      </w:pPr>
      <w:r>
        <w:rPr>
          <w:sz w:val="24"/>
        </w:rPr>
        <w:t>建立专业园区分级管理、梯度培育机制，市级重点抓好10个左右以先进制造业为主的专业园区，县级负责本辖区其他专业园区的培育。</w:t>
      </w:r>
    </w:p>
    <w:p>
      <w:pPr>
        <w:spacing w:line="520" w:lineRule="exact"/>
        <w:ind w:firstLine="480" w:firstLineChars="200"/>
        <w:jc w:val="left"/>
        <w:rPr>
          <w:sz w:val="24"/>
        </w:rPr>
      </w:pPr>
      <w:r>
        <w:rPr>
          <w:rFonts w:hint="eastAsia"/>
          <w:sz w:val="24"/>
        </w:rPr>
        <w:t>（二）县级培育专业园区</w:t>
      </w:r>
    </w:p>
    <w:p>
      <w:pPr>
        <w:spacing w:line="520" w:lineRule="exact"/>
        <w:ind w:firstLine="482" w:firstLineChars="200"/>
        <w:jc w:val="left"/>
        <w:rPr>
          <w:sz w:val="24"/>
        </w:rPr>
      </w:pPr>
      <w:r>
        <w:rPr>
          <w:rFonts w:hint="eastAsia"/>
          <w:b/>
          <w:bCs/>
          <w:sz w:val="24"/>
        </w:rPr>
        <w:t>原阳县：</w:t>
      </w:r>
      <w:r>
        <w:rPr>
          <w:rFonts w:hint="eastAsia"/>
          <w:sz w:val="24"/>
        </w:rPr>
        <w:t>建设绿色食品专业园区。实施提品质、增品种、创品牌行动，以中央厨房产业园为龙头，完善集群式入驻、标准化生产、制度化检测的园区发展模式，尽快补齐产业发展的保障要素，加快省食品质量检验检测中心建设，提升食品质量安全检测和追溯能力，扩大品牌影响力，建设享誉省内外的“食品谷”，打造国内首家预制菜全产业链工业园和中国（原阳）预制菜产业基地。</w:t>
      </w:r>
    </w:p>
    <w:p>
      <w:pPr>
        <w:spacing w:line="520" w:lineRule="exact"/>
        <w:ind w:firstLine="480" w:firstLineChars="200"/>
        <w:jc w:val="left"/>
        <w:rPr>
          <w:sz w:val="24"/>
          <w:highlight w:val="yellow"/>
        </w:rPr>
      </w:pPr>
      <w:r>
        <w:rPr>
          <w:rFonts w:hint="eastAsia"/>
          <w:sz w:val="24"/>
        </w:rPr>
        <w:t>本项目属于</w:t>
      </w:r>
      <w:r>
        <w:rPr>
          <w:sz w:val="24"/>
        </w:rPr>
        <w:t>属于</w:t>
      </w:r>
      <w:r>
        <w:rPr>
          <w:rFonts w:hint="eastAsia"/>
          <w:bCs/>
          <w:sz w:val="24"/>
        </w:rPr>
        <w:t>房地产业、水的生产和供应业，主要建设车间厂房及其配套设施污水处理站，园区建成后主要入驻企业为食品加工和预制菜生产加工企业及相关配套企业，</w:t>
      </w:r>
      <w:r>
        <w:rPr>
          <w:sz w:val="24"/>
        </w:rPr>
        <w:t>符合《新乡市人民政府办公室关于推动工业高质量发展专业园区建设的指导意见》（新政办〔2022〕27号）要求。</w:t>
      </w:r>
    </w:p>
    <w:p>
      <w:pPr>
        <w:keepNext/>
        <w:keepLines/>
        <w:spacing w:line="520" w:lineRule="exact"/>
        <w:outlineLvl w:val="2"/>
        <w:rPr>
          <w:rFonts w:eastAsia="黑体"/>
          <w:bCs/>
          <w:sz w:val="28"/>
          <w:szCs w:val="28"/>
        </w:rPr>
      </w:pPr>
      <w:r>
        <w:rPr>
          <w:rFonts w:eastAsia="黑体"/>
          <w:bCs/>
          <w:sz w:val="28"/>
          <w:szCs w:val="28"/>
        </w:rPr>
        <w:t>2.8.4 与饮用水源保护规划的相符性</w:t>
      </w:r>
    </w:p>
    <w:p>
      <w:pPr>
        <w:spacing w:line="520" w:lineRule="exact"/>
        <w:jc w:val="left"/>
        <w:outlineLvl w:val="3"/>
        <w:rPr>
          <w:sz w:val="24"/>
        </w:rPr>
      </w:pPr>
      <w:r>
        <w:rPr>
          <w:sz w:val="24"/>
        </w:rPr>
        <w:t>2.8.4.1 新乡市城市饮用水源保护规划</w:t>
      </w:r>
    </w:p>
    <w:p>
      <w:pPr>
        <w:spacing w:line="520" w:lineRule="exact"/>
        <w:ind w:firstLine="480" w:firstLineChars="200"/>
        <w:jc w:val="left"/>
        <w:rPr>
          <w:sz w:val="24"/>
        </w:rPr>
      </w:pPr>
      <w:r>
        <w:rPr>
          <w:sz w:val="24"/>
        </w:rPr>
        <w:t>《新乡市城市饮用水水源地保护区划分报告》（2007.5）已由河南省人民政府以豫政办[2007]125号文批复，具体划分结果如下表。</w:t>
      </w:r>
    </w:p>
    <w:p>
      <w:pPr>
        <w:spacing w:line="460" w:lineRule="exact"/>
        <w:ind w:firstLine="480" w:firstLineChars="200"/>
        <w:rPr>
          <w:rFonts w:eastAsia="黑体"/>
          <w:sz w:val="24"/>
          <w:lang w:val="pt-BR"/>
        </w:rPr>
      </w:pPr>
      <w:r>
        <w:rPr>
          <w:rFonts w:eastAsia="黑体"/>
          <w:sz w:val="24"/>
          <w:lang w:val="pt-BR"/>
        </w:rPr>
        <w:t>表</w:t>
      </w:r>
      <w:r>
        <w:rPr>
          <w:rFonts w:hint="eastAsia" w:eastAsia="黑体"/>
          <w:sz w:val="24"/>
          <w:lang w:val="pt-BR"/>
        </w:rPr>
        <w:t>2</w:t>
      </w:r>
      <w:r>
        <w:rPr>
          <w:rFonts w:eastAsia="黑体"/>
          <w:sz w:val="24"/>
          <w:lang w:val="pt-BR"/>
        </w:rPr>
        <w:t xml:space="preserve">.8-5           </w:t>
      </w:r>
      <w:r>
        <w:rPr>
          <w:rFonts w:hint="eastAsia" w:eastAsia="黑体"/>
          <w:sz w:val="24"/>
          <w:lang w:val="pt-BR"/>
        </w:rPr>
        <w:t xml:space="preserve">   </w:t>
      </w:r>
      <w:r>
        <w:rPr>
          <w:rFonts w:eastAsia="黑体"/>
          <w:sz w:val="24"/>
          <w:lang w:val="pt-BR"/>
        </w:rPr>
        <w:t>新乡市城市集中饮用水源地</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2068"/>
        <w:gridCol w:w="3272"/>
        <w:gridCol w:w="28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04" w:type="pct"/>
            <w:vAlign w:val="center"/>
          </w:tcPr>
          <w:p>
            <w:pPr>
              <w:jc w:val="center"/>
              <w:rPr>
                <w:rFonts w:cs="宋体"/>
                <w:b/>
                <w:color w:val="000000"/>
                <w:szCs w:val="20"/>
              </w:rPr>
            </w:pPr>
            <w:r>
              <w:rPr>
                <w:rFonts w:cs="宋体"/>
                <w:b/>
                <w:color w:val="000000"/>
                <w:szCs w:val="20"/>
              </w:rPr>
              <w:t>序号</w:t>
            </w:r>
          </w:p>
        </w:tc>
        <w:tc>
          <w:tcPr>
            <w:tcW w:w="1156" w:type="pct"/>
            <w:vAlign w:val="center"/>
          </w:tcPr>
          <w:p>
            <w:pPr>
              <w:jc w:val="center"/>
              <w:rPr>
                <w:rFonts w:cs="宋体"/>
                <w:b/>
                <w:color w:val="000000"/>
                <w:szCs w:val="20"/>
              </w:rPr>
            </w:pPr>
            <w:r>
              <w:rPr>
                <w:rFonts w:cs="宋体"/>
                <w:b/>
                <w:color w:val="000000"/>
                <w:szCs w:val="20"/>
              </w:rPr>
              <w:t>水源地名称</w:t>
            </w:r>
          </w:p>
        </w:tc>
        <w:tc>
          <w:tcPr>
            <w:tcW w:w="1829" w:type="pct"/>
            <w:vAlign w:val="center"/>
          </w:tcPr>
          <w:p>
            <w:pPr>
              <w:jc w:val="center"/>
              <w:rPr>
                <w:rFonts w:cs="宋体"/>
                <w:b/>
                <w:color w:val="000000"/>
                <w:szCs w:val="20"/>
              </w:rPr>
            </w:pPr>
            <w:r>
              <w:rPr>
                <w:rFonts w:cs="宋体"/>
                <w:b/>
                <w:color w:val="000000"/>
                <w:szCs w:val="20"/>
              </w:rPr>
              <w:t>一级保护区</w:t>
            </w:r>
          </w:p>
        </w:tc>
        <w:tc>
          <w:tcPr>
            <w:tcW w:w="1612" w:type="pct"/>
            <w:vAlign w:val="center"/>
          </w:tcPr>
          <w:p>
            <w:pPr>
              <w:jc w:val="center"/>
              <w:rPr>
                <w:rFonts w:cs="宋体"/>
                <w:b/>
                <w:color w:val="000000"/>
                <w:szCs w:val="20"/>
              </w:rPr>
            </w:pPr>
            <w:r>
              <w:rPr>
                <w:rFonts w:cs="宋体"/>
                <w:b/>
                <w:color w:val="000000"/>
                <w:szCs w:val="20"/>
              </w:rPr>
              <w:t>二级保护区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pPr>
              <w:contextualSpacing/>
              <w:jc w:val="center"/>
              <w:textAlignment w:val="baseline"/>
              <w:rPr>
                <w:color w:val="000000"/>
                <w:kern w:val="0"/>
                <w:szCs w:val="21"/>
              </w:rPr>
            </w:pPr>
            <w:r>
              <w:rPr>
                <w:color w:val="000000"/>
                <w:kern w:val="0"/>
                <w:szCs w:val="21"/>
              </w:rPr>
              <w:t>1</w:t>
            </w:r>
          </w:p>
        </w:tc>
        <w:tc>
          <w:tcPr>
            <w:tcW w:w="1156" w:type="pct"/>
            <w:vAlign w:val="center"/>
          </w:tcPr>
          <w:p>
            <w:pPr>
              <w:contextualSpacing/>
              <w:jc w:val="center"/>
              <w:textAlignment w:val="baseline"/>
              <w:rPr>
                <w:color w:val="000000"/>
                <w:kern w:val="0"/>
                <w:szCs w:val="21"/>
              </w:rPr>
            </w:pPr>
            <w:r>
              <w:rPr>
                <w:color w:val="000000"/>
                <w:kern w:val="0"/>
                <w:szCs w:val="21"/>
              </w:rPr>
              <w:t>黄河贾太湖地表水饮用水源保护区</w:t>
            </w:r>
          </w:p>
        </w:tc>
        <w:tc>
          <w:tcPr>
            <w:tcW w:w="3441" w:type="pct"/>
            <w:gridSpan w:val="2"/>
            <w:vAlign w:val="center"/>
          </w:tcPr>
          <w:p>
            <w:pPr>
              <w:contextualSpacing/>
              <w:jc w:val="center"/>
              <w:textAlignment w:val="baseline"/>
              <w:rPr>
                <w:color w:val="000000"/>
                <w:kern w:val="0"/>
                <w:szCs w:val="21"/>
              </w:rPr>
            </w:pPr>
            <w:r>
              <w:rPr>
                <w:rFonts w:hint="eastAsia"/>
                <w:color w:val="000000"/>
                <w:kern w:val="0"/>
                <w:szCs w:val="21"/>
              </w:rPr>
              <w:t>豫政文[2018]114号文将其取消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pPr>
              <w:contextualSpacing/>
              <w:jc w:val="center"/>
              <w:textAlignment w:val="baseline"/>
              <w:rPr>
                <w:color w:val="000000"/>
                <w:kern w:val="0"/>
                <w:szCs w:val="21"/>
              </w:rPr>
            </w:pPr>
            <w:r>
              <w:rPr>
                <w:color w:val="000000"/>
                <w:kern w:val="0"/>
                <w:szCs w:val="21"/>
              </w:rPr>
              <w:t>2</w:t>
            </w:r>
          </w:p>
        </w:tc>
        <w:tc>
          <w:tcPr>
            <w:tcW w:w="1156" w:type="pct"/>
            <w:vAlign w:val="center"/>
          </w:tcPr>
          <w:p>
            <w:pPr>
              <w:contextualSpacing/>
              <w:jc w:val="center"/>
              <w:textAlignment w:val="baseline"/>
              <w:rPr>
                <w:color w:val="000000"/>
                <w:kern w:val="0"/>
                <w:szCs w:val="21"/>
              </w:rPr>
            </w:pPr>
            <w:r>
              <w:rPr>
                <w:color w:val="000000"/>
                <w:kern w:val="0"/>
                <w:szCs w:val="21"/>
              </w:rPr>
              <w:t>黄河原阳中岳地表水饮用水源保护区</w:t>
            </w:r>
          </w:p>
        </w:tc>
        <w:tc>
          <w:tcPr>
            <w:tcW w:w="3441" w:type="pct"/>
            <w:gridSpan w:val="2"/>
            <w:vAlign w:val="center"/>
          </w:tcPr>
          <w:p>
            <w:pPr>
              <w:contextualSpacing/>
              <w:jc w:val="center"/>
              <w:textAlignment w:val="baseline"/>
              <w:rPr>
                <w:color w:val="000000"/>
                <w:kern w:val="0"/>
                <w:szCs w:val="21"/>
              </w:rPr>
            </w:pPr>
            <w:r>
              <w:rPr>
                <w:rFonts w:hint="eastAsia"/>
                <w:color w:val="000000"/>
                <w:kern w:val="0"/>
                <w:szCs w:val="21"/>
              </w:rPr>
              <w:t>豫政文[2018]114号文将其取消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pPr>
              <w:contextualSpacing/>
              <w:jc w:val="center"/>
              <w:textAlignment w:val="baseline"/>
              <w:rPr>
                <w:color w:val="000000"/>
                <w:kern w:val="0"/>
                <w:szCs w:val="21"/>
              </w:rPr>
            </w:pPr>
            <w:r>
              <w:rPr>
                <w:color w:val="000000"/>
                <w:kern w:val="0"/>
                <w:szCs w:val="21"/>
              </w:rPr>
              <w:t>3</w:t>
            </w:r>
          </w:p>
        </w:tc>
        <w:tc>
          <w:tcPr>
            <w:tcW w:w="1156" w:type="pct"/>
            <w:vAlign w:val="center"/>
          </w:tcPr>
          <w:p>
            <w:pPr>
              <w:contextualSpacing/>
              <w:jc w:val="center"/>
              <w:textAlignment w:val="baseline"/>
              <w:rPr>
                <w:color w:val="000000"/>
                <w:kern w:val="0"/>
                <w:szCs w:val="21"/>
              </w:rPr>
            </w:pPr>
            <w:r>
              <w:rPr>
                <w:color w:val="000000"/>
                <w:kern w:val="0"/>
                <w:szCs w:val="21"/>
              </w:rPr>
              <w:t>三水厂地下水饮用水源保护区</w:t>
            </w:r>
          </w:p>
        </w:tc>
        <w:tc>
          <w:tcPr>
            <w:tcW w:w="3441" w:type="pct"/>
            <w:gridSpan w:val="2"/>
            <w:vAlign w:val="center"/>
          </w:tcPr>
          <w:p>
            <w:pPr>
              <w:contextualSpacing/>
              <w:jc w:val="center"/>
              <w:textAlignment w:val="baseline"/>
              <w:rPr>
                <w:color w:val="000000"/>
                <w:kern w:val="0"/>
                <w:szCs w:val="21"/>
              </w:rPr>
            </w:pPr>
            <w:r>
              <w:rPr>
                <w:rFonts w:hint="eastAsia"/>
                <w:color w:val="000000"/>
                <w:kern w:val="0"/>
                <w:szCs w:val="21"/>
              </w:rPr>
              <w:t>豫政文[2018]114号文将其取消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pPr>
              <w:contextualSpacing/>
              <w:jc w:val="center"/>
              <w:textAlignment w:val="baseline"/>
              <w:rPr>
                <w:color w:val="000000"/>
                <w:kern w:val="0"/>
                <w:szCs w:val="21"/>
              </w:rPr>
            </w:pPr>
            <w:r>
              <w:rPr>
                <w:color w:val="000000"/>
                <w:kern w:val="0"/>
                <w:szCs w:val="21"/>
              </w:rPr>
              <w:t>4</w:t>
            </w:r>
          </w:p>
        </w:tc>
        <w:tc>
          <w:tcPr>
            <w:tcW w:w="1156" w:type="pct"/>
            <w:vAlign w:val="center"/>
          </w:tcPr>
          <w:p>
            <w:pPr>
              <w:contextualSpacing/>
              <w:jc w:val="center"/>
              <w:textAlignment w:val="baseline"/>
              <w:rPr>
                <w:color w:val="000000"/>
                <w:kern w:val="0"/>
                <w:szCs w:val="21"/>
              </w:rPr>
            </w:pPr>
            <w:r>
              <w:rPr>
                <w:color w:val="000000"/>
                <w:kern w:val="0"/>
                <w:szCs w:val="21"/>
              </w:rPr>
              <w:t>四水厂地下水饮用水源保护区</w:t>
            </w:r>
          </w:p>
        </w:tc>
        <w:tc>
          <w:tcPr>
            <w:tcW w:w="3441" w:type="pct"/>
            <w:gridSpan w:val="2"/>
            <w:vAlign w:val="center"/>
          </w:tcPr>
          <w:p>
            <w:pPr>
              <w:contextualSpacing/>
              <w:jc w:val="center"/>
              <w:textAlignment w:val="baseline"/>
              <w:rPr>
                <w:color w:val="000000"/>
                <w:kern w:val="0"/>
                <w:szCs w:val="21"/>
              </w:rPr>
            </w:pPr>
            <w:r>
              <w:rPr>
                <w:rFonts w:hint="eastAsia"/>
                <w:color w:val="000000"/>
                <w:kern w:val="0"/>
                <w:szCs w:val="21"/>
              </w:rPr>
              <w:t>豫政文[2021]72号文将其取消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pPr>
              <w:contextualSpacing/>
              <w:jc w:val="center"/>
              <w:textAlignment w:val="baseline"/>
              <w:rPr>
                <w:color w:val="000000"/>
                <w:kern w:val="0"/>
                <w:szCs w:val="21"/>
              </w:rPr>
            </w:pPr>
            <w:r>
              <w:rPr>
                <w:color w:val="000000"/>
                <w:kern w:val="0"/>
                <w:szCs w:val="21"/>
              </w:rPr>
              <w:t>5</w:t>
            </w:r>
          </w:p>
        </w:tc>
        <w:tc>
          <w:tcPr>
            <w:tcW w:w="1156" w:type="pct"/>
            <w:vAlign w:val="center"/>
          </w:tcPr>
          <w:p>
            <w:pPr>
              <w:contextualSpacing/>
              <w:jc w:val="center"/>
              <w:textAlignment w:val="baseline"/>
              <w:rPr>
                <w:color w:val="000000"/>
                <w:kern w:val="0"/>
                <w:szCs w:val="21"/>
              </w:rPr>
            </w:pPr>
            <w:r>
              <w:rPr>
                <w:color w:val="000000"/>
                <w:kern w:val="0"/>
                <w:szCs w:val="21"/>
              </w:rPr>
              <w:t>凤泉水厂地下水饮用水源保护区</w:t>
            </w:r>
          </w:p>
        </w:tc>
        <w:tc>
          <w:tcPr>
            <w:tcW w:w="1829" w:type="pct"/>
            <w:vAlign w:val="center"/>
          </w:tcPr>
          <w:p>
            <w:pPr>
              <w:contextualSpacing/>
              <w:jc w:val="center"/>
              <w:textAlignment w:val="baseline"/>
              <w:rPr>
                <w:color w:val="000000"/>
                <w:kern w:val="0"/>
                <w:szCs w:val="21"/>
              </w:rPr>
            </w:pPr>
            <w:r>
              <w:rPr>
                <w:color w:val="000000"/>
                <w:kern w:val="0"/>
                <w:szCs w:val="21"/>
              </w:rPr>
              <w:t>以水厂东、西两院的院墙为界向外10米以及输水管线两侧10米的区域。</w:t>
            </w:r>
          </w:p>
        </w:tc>
        <w:tc>
          <w:tcPr>
            <w:tcW w:w="1612" w:type="pct"/>
            <w:vAlign w:val="center"/>
          </w:tcPr>
          <w:p>
            <w:pPr>
              <w:contextualSpacing/>
              <w:jc w:val="center"/>
              <w:textAlignment w:val="baseline"/>
              <w:rPr>
                <w:color w:val="000000"/>
                <w:kern w:val="0"/>
                <w:szCs w:val="21"/>
              </w:rPr>
            </w:pPr>
            <w:r>
              <w:rPr>
                <w:color w:val="000000"/>
                <w:kern w:val="0"/>
                <w:szCs w:val="21"/>
              </w:rPr>
              <w:t>东以团结路为界，其他三面以水厂院墙为界，向外100米的区域。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pPr>
              <w:contextualSpacing/>
              <w:jc w:val="center"/>
              <w:textAlignment w:val="baseline"/>
              <w:rPr>
                <w:color w:val="000000"/>
                <w:kern w:val="0"/>
                <w:szCs w:val="21"/>
              </w:rPr>
            </w:pPr>
            <w:r>
              <w:rPr>
                <w:color w:val="000000"/>
                <w:kern w:val="0"/>
                <w:szCs w:val="21"/>
              </w:rPr>
              <w:t>6</w:t>
            </w:r>
          </w:p>
        </w:tc>
        <w:tc>
          <w:tcPr>
            <w:tcW w:w="1156" w:type="pct"/>
            <w:vAlign w:val="center"/>
          </w:tcPr>
          <w:p>
            <w:pPr>
              <w:contextualSpacing/>
              <w:jc w:val="center"/>
              <w:textAlignment w:val="baseline"/>
              <w:rPr>
                <w:color w:val="000000"/>
                <w:kern w:val="0"/>
                <w:szCs w:val="21"/>
              </w:rPr>
            </w:pPr>
            <w:r>
              <w:rPr>
                <w:color w:val="000000"/>
                <w:kern w:val="0"/>
                <w:szCs w:val="21"/>
              </w:rPr>
              <w:t>卫辉市塔岗水库地表水饮用水源保护区</w:t>
            </w:r>
          </w:p>
        </w:tc>
        <w:tc>
          <w:tcPr>
            <w:tcW w:w="1829" w:type="pct"/>
            <w:vAlign w:val="center"/>
          </w:tcPr>
          <w:p>
            <w:pPr>
              <w:contextualSpacing/>
              <w:jc w:val="center"/>
              <w:textAlignment w:val="baseline"/>
              <w:rPr>
                <w:color w:val="000000"/>
                <w:kern w:val="0"/>
                <w:szCs w:val="21"/>
              </w:rPr>
            </w:pPr>
            <w:r>
              <w:rPr>
                <w:color w:val="000000"/>
                <w:kern w:val="0"/>
                <w:szCs w:val="21"/>
              </w:rPr>
              <w:t>取水口外围300米的水域、正常水位线取水口一侧200米的陆域及输水管道两侧10米的陆域。</w:t>
            </w:r>
          </w:p>
        </w:tc>
        <w:tc>
          <w:tcPr>
            <w:tcW w:w="1612" w:type="pct"/>
            <w:vAlign w:val="center"/>
          </w:tcPr>
          <w:p>
            <w:pPr>
              <w:contextualSpacing/>
              <w:jc w:val="center"/>
              <w:textAlignment w:val="baseline"/>
              <w:rPr>
                <w:color w:val="000000"/>
                <w:kern w:val="0"/>
                <w:szCs w:val="21"/>
              </w:rPr>
            </w:pPr>
            <w:r>
              <w:rPr>
                <w:color w:val="000000"/>
                <w:kern w:val="0"/>
                <w:szCs w:val="21"/>
              </w:rPr>
              <w:t>一级保护区外的水域及山脊线内、入库河流上游3000米的陆域。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pPr>
              <w:contextualSpacing/>
              <w:jc w:val="center"/>
              <w:textAlignment w:val="baseline"/>
              <w:rPr>
                <w:color w:val="000000"/>
                <w:kern w:val="0"/>
                <w:szCs w:val="21"/>
              </w:rPr>
            </w:pPr>
            <w:r>
              <w:rPr>
                <w:color w:val="000000"/>
                <w:kern w:val="0"/>
                <w:szCs w:val="21"/>
              </w:rPr>
              <w:t>7</w:t>
            </w:r>
          </w:p>
        </w:tc>
        <w:tc>
          <w:tcPr>
            <w:tcW w:w="1156" w:type="pct"/>
            <w:vAlign w:val="center"/>
          </w:tcPr>
          <w:p>
            <w:pPr>
              <w:contextualSpacing/>
              <w:jc w:val="center"/>
              <w:textAlignment w:val="baseline"/>
              <w:rPr>
                <w:color w:val="000000"/>
                <w:kern w:val="0"/>
                <w:szCs w:val="21"/>
              </w:rPr>
            </w:pPr>
            <w:r>
              <w:rPr>
                <w:color w:val="000000"/>
                <w:kern w:val="0"/>
                <w:szCs w:val="21"/>
              </w:rPr>
              <w:t>辉县市段屯地下水饮用水源保护区</w:t>
            </w:r>
          </w:p>
        </w:tc>
        <w:tc>
          <w:tcPr>
            <w:tcW w:w="1829" w:type="pct"/>
            <w:vAlign w:val="center"/>
          </w:tcPr>
          <w:p>
            <w:pPr>
              <w:contextualSpacing/>
              <w:jc w:val="center"/>
              <w:textAlignment w:val="baseline"/>
              <w:rPr>
                <w:color w:val="000000"/>
                <w:kern w:val="0"/>
                <w:szCs w:val="21"/>
              </w:rPr>
            </w:pPr>
            <w:r>
              <w:rPr>
                <w:color w:val="000000"/>
                <w:kern w:val="0"/>
                <w:szCs w:val="21"/>
              </w:rPr>
              <w:t>井群外围线以外30米的区域及输水管道两侧10米的陆域。</w:t>
            </w:r>
          </w:p>
        </w:tc>
        <w:tc>
          <w:tcPr>
            <w:tcW w:w="1612" w:type="pct"/>
            <w:vAlign w:val="center"/>
          </w:tcPr>
          <w:p>
            <w:pPr>
              <w:contextualSpacing/>
              <w:jc w:val="center"/>
              <w:textAlignment w:val="baseline"/>
              <w:rPr>
                <w:color w:val="000000"/>
                <w:kern w:val="0"/>
                <w:szCs w:val="21"/>
              </w:rPr>
            </w:pPr>
            <w:r>
              <w:rPr>
                <w:color w:val="000000"/>
                <w:kern w:val="0"/>
                <w:szCs w:val="21"/>
              </w:rPr>
              <w:t>卫柿路以北，东外环路以东，井群外围线外300米以西和以南的区域。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4" w:type="pct"/>
            <w:vAlign w:val="center"/>
          </w:tcPr>
          <w:p>
            <w:pPr>
              <w:contextualSpacing/>
              <w:jc w:val="center"/>
              <w:textAlignment w:val="baseline"/>
              <w:rPr>
                <w:color w:val="000000"/>
                <w:kern w:val="0"/>
                <w:szCs w:val="21"/>
              </w:rPr>
            </w:pPr>
            <w:r>
              <w:rPr>
                <w:rFonts w:hint="eastAsia"/>
                <w:color w:val="000000"/>
                <w:kern w:val="0"/>
                <w:szCs w:val="21"/>
              </w:rPr>
              <w:t>8</w:t>
            </w:r>
          </w:p>
        </w:tc>
        <w:tc>
          <w:tcPr>
            <w:tcW w:w="1156" w:type="pct"/>
            <w:vAlign w:val="center"/>
          </w:tcPr>
          <w:p>
            <w:pPr>
              <w:contextualSpacing/>
              <w:jc w:val="center"/>
              <w:textAlignment w:val="baseline"/>
              <w:rPr>
                <w:color w:val="000000"/>
                <w:kern w:val="0"/>
                <w:szCs w:val="21"/>
              </w:rPr>
            </w:pPr>
            <w:r>
              <w:rPr>
                <w:rFonts w:hint="eastAsia"/>
                <w:color w:val="000000"/>
                <w:kern w:val="0"/>
                <w:szCs w:val="21"/>
              </w:rPr>
              <w:t>七里营引黄水源地</w:t>
            </w:r>
            <w:r>
              <w:rPr>
                <w:color w:val="000000"/>
                <w:kern w:val="0"/>
                <w:szCs w:val="21"/>
              </w:rPr>
              <w:t>保护区</w:t>
            </w:r>
          </w:p>
        </w:tc>
        <w:tc>
          <w:tcPr>
            <w:tcW w:w="1829" w:type="pct"/>
            <w:vAlign w:val="center"/>
          </w:tcPr>
          <w:p>
            <w:pPr>
              <w:contextualSpacing/>
              <w:jc w:val="center"/>
              <w:textAlignment w:val="baseline"/>
              <w:rPr>
                <w:color w:val="000000"/>
                <w:kern w:val="0"/>
                <w:szCs w:val="21"/>
              </w:rPr>
            </w:pPr>
            <w:r>
              <w:rPr>
                <w:color w:val="000000"/>
                <w:kern w:val="0"/>
                <w:szCs w:val="21"/>
              </w:rPr>
              <w:t>人民胜利渠新乡市界至本源水厂东厂界的30m明渠水域及渠道两侧20m的工程管理陆域范围</w:t>
            </w:r>
            <w:r>
              <w:rPr>
                <w:rFonts w:hint="eastAsia"/>
                <w:color w:val="000000"/>
                <w:kern w:val="0"/>
                <w:szCs w:val="21"/>
              </w:rPr>
              <w:t>。</w:t>
            </w:r>
          </w:p>
        </w:tc>
        <w:tc>
          <w:tcPr>
            <w:tcW w:w="1612" w:type="pct"/>
            <w:vAlign w:val="center"/>
          </w:tcPr>
          <w:p>
            <w:pPr>
              <w:contextualSpacing/>
              <w:jc w:val="center"/>
              <w:textAlignment w:val="baseline"/>
              <w:rPr>
                <w:color w:val="000000"/>
                <w:kern w:val="0"/>
                <w:szCs w:val="21"/>
              </w:rPr>
            </w:pPr>
            <w:r>
              <w:rPr>
                <w:rFonts w:hint="eastAsia"/>
                <w:color w:val="000000"/>
                <w:kern w:val="0"/>
                <w:szCs w:val="21"/>
              </w:rPr>
              <w:t>/</w:t>
            </w:r>
          </w:p>
        </w:tc>
      </w:tr>
    </w:tbl>
    <w:p>
      <w:pPr>
        <w:spacing w:line="520" w:lineRule="exact"/>
        <w:ind w:firstLine="480" w:firstLineChars="200"/>
        <w:jc w:val="left"/>
        <w:rPr>
          <w:sz w:val="24"/>
        </w:rPr>
      </w:pPr>
      <w:r>
        <w:rPr>
          <w:sz w:val="24"/>
        </w:rPr>
        <w:t>距本项目最近的保护区为七里营引黄水源地保护区，</w:t>
      </w:r>
      <w:r>
        <w:rPr>
          <w:rFonts w:hint="eastAsia"/>
          <w:sz w:val="24"/>
        </w:rPr>
        <w:t>本项目</w:t>
      </w:r>
      <w:r>
        <w:rPr>
          <w:sz w:val="24"/>
        </w:rPr>
        <w:t>距离</w:t>
      </w:r>
      <w:r>
        <w:rPr>
          <w:rFonts w:hint="eastAsia"/>
          <w:sz w:val="24"/>
        </w:rPr>
        <w:t>其二级保护区边界</w:t>
      </w:r>
      <w:r>
        <w:rPr>
          <w:sz w:val="24"/>
        </w:rPr>
        <w:t>约为19.2km</w:t>
      </w:r>
      <w:r>
        <w:rPr>
          <w:rFonts w:hint="eastAsia"/>
          <w:sz w:val="24"/>
        </w:rPr>
        <w:t>，不在其保护区范围内，具体相对位置如下图：</w:t>
      </w:r>
    </w:p>
    <w:p>
      <w:pPr>
        <w:spacing w:line="360" w:lineRule="auto"/>
        <w:jc w:val="center"/>
        <w:rPr>
          <w:sz w:val="24"/>
        </w:rPr>
      </w:pPr>
      <w:r>
        <w:rPr>
          <w:rFonts w:ascii="Calibri" w:hAnsi="Calibri"/>
        </w:rPr>
        <w:drawing>
          <wp:inline distT="0" distB="0" distL="0" distR="0">
            <wp:extent cx="4880610" cy="3571875"/>
            <wp:effectExtent l="0" t="0" r="15240" b="9525"/>
            <wp:docPr id="1055813240" name="图片 1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13240" name="图片 11" descr="地图&#10;&#10;描述已自动生成"/>
                    <pic:cNvPicPr>
                      <a:picLocks noChangeAspect="1" noChangeArrowheads="1"/>
                    </pic:cNvPicPr>
                  </pic:nvPicPr>
                  <pic:blipFill>
                    <a:blip r:embed="rId38"/>
                    <a:srcRect/>
                    <a:stretch>
                      <a:fillRect/>
                    </a:stretch>
                  </pic:blipFill>
                  <pic:spPr>
                    <a:xfrm>
                      <a:off x="0" y="0"/>
                      <a:ext cx="4880610" cy="3571875"/>
                    </a:xfrm>
                    <a:prstGeom prst="rect">
                      <a:avLst/>
                    </a:prstGeom>
                    <a:noFill/>
                    <a:ln>
                      <a:noFill/>
                    </a:ln>
                  </pic:spPr>
                </pic:pic>
              </a:graphicData>
            </a:graphic>
          </wp:inline>
        </w:drawing>
      </w:r>
    </w:p>
    <w:p>
      <w:pPr>
        <w:spacing w:line="460" w:lineRule="exact"/>
        <w:jc w:val="center"/>
        <w:rPr>
          <w:rFonts w:eastAsia="黑体"/>
          <w:sz w:val="24"/>
          <w:lang w:val="pt-BR"/>
        </w:rPr>
      </w:pPr>
      <w:r>
        <w:rPr>
          <w:rFonts w:eastAsia="黑体"/>
          <w:sz w:val="24"/>
          <w:lang w:val="pt-BR"/>
        </w:rPr>
        <w:t>图2.8-1   本项目选址与新乡市</w:t>
      </w:r>
      <w:r>
        <w:rPr>
          <w:rFonts w:hint="eastAsia" w:eastAsia="黑体"/>
          <w:sz w:val="24"/>
          <w:lang w:val="pt-BR"/>
        </w:rPr>
        <w:t>城市</w:t>
      </w:r>
      <w:r>
        <w:rPr>
          <w:rFonts w:eastAsia="黑体"/>
          <w:sz w:val="24"/>
          <w:lang w:val="pt-BR"/>
        </w:rPr>
        <w:t>集中式饮用水水源地相对位置图</w:t>
      </w:r>
    </w:p>
    <w:p>
      <w:pPr>
        <w:spacing w:line="520" w:lineRule="exact"/>
        <w:ind w:firstLine="480" w:firstLineChars="200"/>
        <w:jc w:val="left"/>
        <w:rPr>
          <w:sz w:val="24"/>
        </w:rPr>
      </w:pPr>
      <w:r>
        <w:rPr>
          <w:rFonts w:hint="eastAsia"/>
          <w:sz w:val="24"/>
        </w:rPr>
        <w:t>由上图可知，本项目不在</w:t>
      </w:r>
      <w:r>
        <w:rPr>
          <w:sz w:val="24"/>
        </w:rPr>
        <w:t>凤泉水厂地下水饮用水源保护区</w:t>
      </w:r>
      <w:r>
        <w:rPr>
          <w:rFonts w:hint="eastAsia"/>
          <w:sz w:val="24"/>
        </w:rPr>
        <w:t>范围内，不会对其产生影响。</w:t>
      </w:r>
    </w:p>
    <w:p>
      <w:pPr>
        <w:spacing w:line="520" w:lineRule="exact"/>
        <w:jc w:val="left"/>
        <w:outlineLvl w:val="3"/>
        <w:rPr>
          <w:sz w:val="24"/>
        </w:rPr>
      </w:pPr>
      <w:r>
        <w:rPr>
          <w:sz w:val="24"/>
        </w:rPr>
        <w:t xml:space="preserve">2.8.4.2 </w:t>
      </w:r>
      <w:r>
        <w:rPr>
          <w:rFonts w:hint="eastAsia"/>
          <w:sz w:val="24"/>
        </w:rPr>
        <w:t>新乡市县级</w:t>
      </w:r>
      <w:r>
        <w:rPr>
          <w:sz w:val="24"/>
        </w:rPr>
        <w:t>集中式饮用水水源保护区划</w:t>
      </w:r>
    </w:p>
    <w:p>
      <w:pPr>
        <w:spacing w:line="520" w:lineRule="exact"/>
        <w:ind w:firstLine="480" w:firstLineChars="200"/>
        <w:jc w:val="left"/>
        <w:rPr>
          <w:sz w:val="24"/>
        </w:rPr>
      </w:pPr>
      <w:r>
        <w:rPr>
          <w:sz w:val="24"/>
        </w:rPr>
        <w:t>根据《河南省人民政府办公厅关于印发河南省</w:t>
      </w:r>
      <w:r>
        <w:rPr>
          <w:rFonts w:hint="eastAsia"/>
          <w:sz w:val="24"/>
        </w:rPr>
        <w:t>县级</w:t>
      </w:r>
      <w:r>
        <w:rPr>
          <w:sz w:val="24"/>
        </w:rPr>
        <w:t>集中式饮用水水源保护区划的通知》（豫政办〔2013〕107号），距本项目最近的饮用水源保护区为：</w:t>
      </w:r>
    </w:p>
    <w:p>
      <w:pPr>
        <w:spacing w:line="520" w:lineRule="exact"/>
        <w:ind w:firstLine="480" w:firstLineChars="200"/>
        <w:jc w:val="left"/>
        <w:rPr>
          <w:sz w:val="24"/>
        </w:rPr>
      </w:pPr>
      <w:r>
        <w:rPr>
          <w:rFonts w:hint="eastAsia"/>
          <w:sz w:val="24"/>
        </w:rPr>
        <w:t>原阳县水厂地下水井群（共6眼井）：</w:t>
      </w:r>
    </w:p>
    <w:p>
      <w:pPr>
        <w:spacing w:line="520" w:lineRule="exact"/>
        <w:ind w:firstLine="480" w:firstLineChars="200"/>
        <w:jc w:val="left"/>
        <w:rPr>
          <w:sz w:val="24"/>
        </w:rPr>
      </w:pPr>
      <w:r>
        <w:rPr>
          <w:rFonts w:hint="eastAsia"/>
          <w:sz w:val="24"/>
        </w:rPr>
        <w:t>一级保护区范围：水厂厂区及外围30米、南至311省道、西至农行大道的区域(1～3号取水井)，4号、5号取水井外围50米的区域，,6号取水井外围50米至农行大道的区域。</w:t>
      </w:r>
    </w:p>
    <w:p>
      <w:pPr>
        <w:spacing w:line="520" w:lineRule="exact"/>
        <w:ind w:firstLine="480" w:firstLineChars="200"/>
        <w:jc w:val="left"/>
        <w:rPr>
          <w:sz w:val="24"/>
        </w:rPr>
      </w:pPr>
      <w:r>
        <w:rPr>
          <w:rFonts w:hint="eastAsia"/>
          <w:sz w:val="24"/>
        </w:rPr>
        <w:t>二级保护区范围：1～3号、4～6号各组取水井一级保护区外围500米的区域。</w:t>
      </w:r>
    </w:p>
    <w:p>
      <w:pPr>
        <w:spacing w:line="520" w:lineRule="exact"/>
        <w:ind w:firstLine="480" w:firstLineChars="200"/>
        <w:jc w:val="left"/>
        <w:rPr>
          <w:sz w:val="24"/>
        </w:rPr>
      </w:pPr>
      <w:r>
        <w:rPr>
          <w:rFonts w:hint="eastAsia"/>
          <w:sz w:val="24"/>
        </w:rPr>
        <w:t>本项目</w:t>
      </w:r>
      <w:r>
        <w:rPr>
          <w:sz w:val="24"/>
        </w:rPr>
        <w:t>距离</w:t>
      </w:r>
      <w:r>
        <w:rPr>
          <w:rFonts w:hint="eastAsia"/>
          <w:sz w:val="24"/>
        </w:rPr>
        <w:t>原阳县水厂地下水井群二级保护区边界</w:t>
      </w:r>
      <w:r>
        <w:rPr>
          <w:sz w:val="24"/>
        </w:rPr>
        <w:t>约为460km</w:t>
      </w:r>
      <w:r>
        <w:rPr>
          <w:rFonts w:hint="eastAsia"/>
          <w:sz w:val="24"/>
        </w:rPr>
        <w:t>，不在其保护区范围内，具体相对位置如下图：</w:t>
      </w:r>
    </w:p>
    <w:p>
      <w:pPr>
        <w:spacing w:line="360" w:lineRule="auto"/>
        <w:jc w:val="center"/>
        <w:rPr>
          <w:sz w:val="24"/>
        </w:rPr>
      </w:pPr>
      <w:r>
        <w:rPr>
          <w:rFonts w:ascii="Calibri" w:hAnsi="Calibri"/>
        </w:rPr>
        <w:drawing>
          <wp:inline distT="0" distB="0" distL="0" distR="0">
            <wp:extent cx="5543550" cy="3838575"/>
            <wp:effectExtent l="0" t="0" r="0" b="9525"/>
            <wp:docPr id="1203389843" name="图片 10"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89843" name="图片 10" descr="地图&#10;&#10;描述已自动生成"/>
                    <pic:cNvPicPr>
                      <a:picLocks noChangeAspect="1" noChangeArrowheads="1"/>
                    </pic:cNvPicPr>
                  </pic:nvPicPr>
                  <pic:blipFill>
                    <a:blip r:embed="rId39"/>
                    <a:srcRect/>
                    <a:stretch>
                      <a:fillRect/>
                    </a:stretch>
                  </pic:blipFill>
                  <pic:spPr>
                    <a:xfrm>
                      <a:off x="0" y="0"/>
                      <a:ext cx="5543550" cy="3838575"/>
                    </a:xfrm>
                    <a:prstGeom prst="rect">
                      <a:avLst/>
                    </a:prstGeom>
                    <a:noFill/>
                    <a:ln>
                      <a:noFill/>
                    </a:ln>
                  </pic:spPr>
                </pic:pic>
              </a:graphicData>
            </a:graphic>
          </wp:inline>
        </w:drawing>
      </w:r>
    </w:p>
    <w:p>
      <w:pPr>
        <w:spacing w:line="460" w:lineRule="exact"/>
        <w:jc w:val="center"/>
        <w:rPr>
          <w:rFonts w:eastAsia="黑体"/>
          <w:sz w:val="24"/>
          <w:lang w:val="pt-BR"/>
        </w:rPr>
      </w:pPr>
      <w:r>
        <w:rPr>
          <w:rFonts w:eastAsia="黑体"/>
          <w:sz w:val="24"/>
          <w:lang w:val="pt-BR"/>
        </w:rPr>
        <w:t>图2.8-2   本项目选址与</w:t>
      </w:r>
      <w:r>
        <w:rPr>
          <w:rFonts w:hint="eastAsia" w:eastAsia="黑体"/>
          <w:sz w:val="24"/>
          <w:lang w:val="pt-BR"/>
        </w:rPr>
        <w:t>原阳县县级</w:t>
      </w:r>
      <w:r>
        <w:rPr>
          <w:rFonts w:eastAsia="黑体"/>
          <w:sz w:val="24"/>
          <w:lang w:val="pt-BR"/>
        </w:rPr>
        <w:t>集中式饮用水水源地相对位置图</w:t>
      </w:r>
    </w:p>
    <w:p>
      <w:pPr>
        <w:spacing w:line="520" w:lineRule="exact"/>
        <w:ind w:firstLine="480" w:firstLineChars="200"/>
        <w:jc w:val="left"/>
        <w:rPr>
          <w:sz w:val="24"/>
        </w:rPr>
      </w:pPr>
      <w:r>
        <w:rPr>
          <w:rFonts w:hint="eastAsia"/>
          <w:sz w:val="24"/>
        </w:rPr>
        <w:t>由上图可知，本项目不在原阳县水厂地下水井群</w:t>
      </w:r>
      <w:r>
        <w:rPr>
          <w:sz w:val="24"/>
        </w:rPr>
        <w:t>水源保护区</w:t>
      </w:r>
      <w:r>
        <w:rPr>
          <w:rFonts w:hint="eastAsia"/>
          <w:sz w:val="24"/>
        </w:rPr>
        <w:t>范围内，不会对其产生影响。</w:t>
      </w:r>
    </w:p>
    <w:p>
      <w:pPr>
        <w:spacing w:line="520" w:lineRule="exact"/>
        <w:jc w:val="left"/>
        <w:outlineLvl w:val="3"/>
        <w:rPr>
          <w:sz w:val="24"/>
        </w:rPr>
      </w:pPr>
      <w:r>
        <w:rPr>
          <w:sz w:val="24"/>
        </w:rPr>
        <w:t xml:space="preserve">2.8.4.3 </w:t>
      </w:r>
      <w:r>
        <w:rPr>
          <w:rFonts w:hint="eastAsia"/>
          <w:sz w:val="24"/>
        </w:rPr>
        <w:t>新乡市</w:t>
      </w:r>
      <w:r>
        <w:rPr>
          <w:sz w:val="24"/>
        </w:rPr>
        <w:t>乡镇集中式饮用水水源保护区划</w:t>
      </w:r>
    </w:p>
    <w:p>
      <w:pPr>
        <w:spacing w:line="520" w:lineRule="exact"/>
        <w:ind w:firstLine="480" w:firstLineChars="200"/>
        <w:jc w:val="left"/>
        <w:rPr>
          <w:sz w:val="24"/>
        </w:rPr>
      </w:pPr>
      <w:r>
        <w:rPr>
          <w:sz w:val="24"/>
        </w:rPr>
        <w:t>根据《河南省人民政府办公厅关于印发河南省乡镇集中式饮用水水源保护区划的通知》（豫政办〔2016〕23号），距本项目最近的饮用水源保护区为：</w:t>
      </w:r>
    </w:p>
    <w:p>
      <w:pPr>
        <w:spacing w:line="520" w:lineRule="exact"/>
        <w:ind w:firstLine="480" w:firstLineChars="200"/>
        <w:jc w:val="left"/>
        <w:rPr>
          <w:sz w:val="24"/>
        </w:rPr>
      </w:pPr>
      <w:r>
        <w:rPr>
          <w:sz w:val="24"/>
        </w:rPr>
        <w:t>（1）</w:t>
      </w:r>
      <w:r>
        <w:rPr>
          <w:rFonts w:hint="eastAsia"/>
          <w:sz w:val="24"/>
        </w:rPr>
        <w:t>原阳县师寨镇师寨水厂地下水井群（共3眼井）</w:t>
      </w:r>
    </w:p>
    <w:p>
      <w:pPr>
        <w:spacing w:line="520" w:lineRule="exact"/>
        <w:ind w:firstLine="480" w:firstLineChars="200"/>
        <w:jc w:val="left"/>
        <w:rPr>
          <w:sz w:val="24"/>
        </w:rPr>
      </w:pPr>
      <w:r>
        <w:rPr>
          <w:sz w:val="24"/>
        </w:rPr>
        <w:t>一级保护区范围</w:t>
      </w:r>
      <w:r>
        <w:rPr>
          <w:rFonts w:hint="eastAsia"/>
          <w:sz w:val="24"/>
        </w:rPr>
        <w:t>：</w:t>
      </w:r>
      <w:r>
        <w:rPr>
          <w:sz w:val="24"/>
        </w:rPr>
        <w:t>水厂厂区及外围东</w:t>
      </w:r>
      <w:r>
        <w:rPr>
          <w:rFonts w:hint="eastAsia"/>
          <w:sz w:val="24"/>
        </w:rPr>
        <w:t>25米、西45米、南45米、北至老郑滑线的区域</w:t>
      </w:r>
      <w:r>
        <w:rPr>
          <w:sz w:val="24"/>
        </w:rPr>
        <w:t>。</w:t>
      </w:r>
    </w:p>
    <w:p>
      <w:pPr>
        <w:spacing w:line="520" w:lineRule="exact"/>
        <w:ind w:firstLine="480" w:firstLineChars="200"/>
        <w:jc w:val="left"/>
        <w:rPr>
          <w:sz w:val="24"/>
        </w:rPr>
      </w:pPr>
      <w:r>
        <w:rPr>
          <w:sz w:val="24"/>
        </w:rPr>
        <w:t>（2）</w:t>
      </w:r>
      <w:r>
        <w:rPr>
          <w:rFonts w:hint="eastAsia"/>
          <w:sz w:val="24"/>
        </w:rPr>
        <w:t>原阳县靳堂乡靳堂水厂地下水井群（</w:t>
      </w:r>
      <w:r>
        <w:rPr>
          <w:sz w:val="24"/>
        </w:rPr>
        <w:t>共3眼井</w:t>
      </w:r>
      <w:r>
        <w:rPr>
          <w:rFonts w:hint="eastAsia"/>
          <w:sz w:val="24"/>
        </w:rPr>
        <w:t>）</w:t>
      </w:r>
    </w:p>
    <w:p>
      <w:pPr>
        <w:spacing w:line="520" w:lineRule="exact"/>
        <w:ind w:firstLine="480" w:firstLineChars="200"/>
        <w:jc w:val="left"/>
        <w:rPr>
          <w:sz w:val="24"/>
        </w:rPr>
      </w:pPr>
      <w:r>
        <w:rPr>
          <w:sz w:val="24"/>
        </w:rPr>
        <w:t>一级保护区范围</w:t>
      </w:r>
      <w:r>
        <w:rPr>
          <w:rFonts w:hint="eastAsia"/>
          <w:sz w:val="24"/>
        </w:rPr>
        <w:t>：水厂厂区及外围东40米、西25米、南40米、北至311省道的区域。</w:t>
      </w:r>
    </w:p>
    <w:p>
      <w:pPr>
        <w:spacing w:line="520" w:lineRule="exact"/>
        <w:ind w:firstLine="480" w:firstLineChars="200"/>
        <w:jc w:val="left"/>
        <w:rPr>
          <w:sz w:val="24"/>
        </w:rPr>
      </w:pPr>
      <w:r>
        <w:rPr>
          <w:sz w:val="24"/>
        </w:rPr>
        <w:t>根据调查，本项目距最近的乡镇集中式饮用水水源</w:t>
      </w:r>
      <w:bookmarkStart w:id="42" w:name="_Hlk131068955"/>
      <w:r>
        <w:rPr>
          <w:sz w:val="24"/>
        </w:rPr>
        <w:t>保护区为</w:t>
      </w:r>
      <w:bookmarkEnd w:id="42"/>
      <w:r>
        <w:rPr>
          <w:rFonts w:hint="eastAsia"/>
          <w:sz w:val="24"/>
        </w:rPr>
        <w:t>原阳县师寨镇师寨水厂地下水井群</w:t>
      </w:r>
      <w:r>
        <w:rPr>
          <w:sz w:val="24"/>
        </w:rPr>
        <w:t>和</w:t>
      </w:r>
      <w:r>
        <w:rPr>
          <w:rFonts w:hint="eastAsia"/>
          <w:sz w:val="24"/>
        </w:rPr>
        <w:t>原阳县靳堂乡靳堂水厂地下水井群</w:t>
      </w:r>
      <w:r>
        <w:rPr>
          <w:sz w:val="24"/>
        </w:rPr>
        <w:t>。本项目距</w:t>
      </w:r>
      <w:r>
        <w:rPr>
          <w:rFonts w:hint="eastAsia"/>
          <w:sz w:val="24"/>
        </w:rPr>
        <w:t>原阳县师寨镇师寨水厂地下水井群</w:t>
      </w:r>
      <w:r>
        <w:rPr>
          <w:sz w:val="24"/>
        </w:rPr>
        <w:t>约为7.28km，该水源保护区位于项目地下水上游区域；距</w:t>
      </w:r>
      <w:r>
        <w:rPr>
          <w:rFonts w:hint="eastAsia"/>
          <w:sz w:val="24"/>
        </w:rPr>
        <w:t>原阳县靳堂乡靳堂水厂地下水井群</w:t>
      </w:r>
      <w:r>
        <w:rPr>
          <w:sz w:val="24"/>
        </w:rPr>
        <w:t>约为8.96km</w:t>
      </w:r>
      <w:r>
        <w:rPr>
          <w:rFonts w:hint="eastAsia"/>
          <w:sz w:val="24"/>
        </w:rPr>
        <w:t>，具体相对位置如下图。</w:t>
      </w:r>
    </w:p>
    <w:p>
      <w:pPr>
        <w:spacing w:line="360" w:lineRule="auto"/>
        <w:jc w:val="center"/>
        <w:rPr>
          <w:sz w:val="24"/>
        </w:rPr>
      </w:pPr>
      <w:r>
        <w:rPr>
          <w:rFonts w:ascii="Calibri" w:hAnsi="Calibri"/>
        </w:rPr>
        <w:drawing>
          <wp:inline distT="0" distB="0" distL="0" distR="0">
            <wp:extent cx="5515610" cy="3242945"/>
            <wp:effectExtent l="0" t="0" r="8890" b="14605"/>
            <wp:docPr id="2060551762" name="图片 9"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51762" name="图片 9" descr="地图&#10;&#10;描述已自动生成"/>
                    <pic:cNvPicPr>
                      <a:picLocks noChangeAspect="1" noChangeArrowheads="1"/>
                    </pic:cNvPicPr>
                  </pic:nvPicPr>
                  <pic:blipFill>
                    <a:blip r:embed="rId40"/>
                    <a:srcRect/>
                    <a:stretch>
                      <a:fillRect/>
                    </a:stretch>
                  </pic:blipFill>
                  <pic:spPr>
                    <a:xfrm>
                      <a:off x="0" y="0"/>
                      <a:ext cx="5515610" cy="3242945"/>
                    </a:xfrm>
                    <a:prstGeom prst="rect">
                      <a:avLst/>
                    </a:prstGeom>
                    <a:noFill/>
                    <a:ln>
                      <a:noFill/>
                    </a:ln>
                  </pic:spPr>
                </pic:pic>
              </a:graphicData>
            </a:graphic>
          </wp:inline>
        </w:drawing>
      </w:r>
    </w:p>
    <w:p>
      <w:pPr>
        <w:spacing w:line="460" w:lineRule="exact"/>
        <w:jc w:val="center"/>
        <w:rPr>
          <w:rFonts w:eastAsia="黑体"/>
          <w:sz w:val="24"/>
          <w:lang w:val="pt-BR"/>
        </w:rPr>
      </w:pPr>
      <w:r>
        <w:rPr>
          <w:rFonts w:eastAsia="黑体"/>
          <w:sz w:val="24"/>
          <w:lang w:val="pt-BR"/>
        </w:rPr>
        <w:t>图2.8-3   本项目选址与</w:t>
      </w:r>
      <w:r>
        <w:rPr>
          <w:rFonts w:hint="eastAsia" w:eastAsia="黑体"/>
          <w:sz w:val="24"/>
          <w:lang w:val="pt-BR"/>
        </w:rPr>
        <w:t>原阳县乡镇级</w:t>
      </w:r>
      <w:r>
        <w:rPr>
          <w:rFonts w:eastAsia="黑体"/>
          <w:sz w:val="24"/>
          <w:lang w:val="pt-BR"/>
        </w:rPr>
        <w:t>集中式饮用水水源地相对位置图</w:t>
      </w:r>
    </w:p>
    <w:p>
      <w:pPr>
        <w:spacing w:line="520" w:lineRule="exact"/>
        <w:ind w:firstLine="480" w:firstLineChars="200"/>
        <w:jc w:val="left"/>
        <w:rPr>
          <w:sz w:val="24"/>
          <w:highlight w:val="yellow"/>
        </w:rPr>
      </w:pPr>
      <w:r>
        <w:rPr>
          <w:rFonts w:hint="eastAsia"/>
          <w:sz w:val="24"/>
        </w:rPr>
        <w:t>由上图可知，本项目不在原阳县师寨镇师寨水厂地下水井群</w:t>
      </w:r>
      <w:r>
        <w:rPr>
          <w:sz w:val="24"/>
        </w:rPr>
        <w:t>和</w:t>
      </w:r>
      <w:r>
        <w:rPr>
          <w:rFonts w:hint="eastAsia"/>
          <w:sz w:val="24"/>
        </w:rPr>
        <w:t>原阳县靳堂乡靳堂水厂地下水井群</w:t>
      </w:r>
      <w:r>
        <w:rPr>
          <w:sz w:val="24"/>
        </w:rPr>
        <w:t>水源保护区</w:t>
      </w:r>
      <w:r>
        <w:rPr>
          <w:rFonts w:hint="eastAsia"/>
          <w:sz w:val="24"/>
        </w:rPr>
        <w:t>范围内，不会对其产生影响。</w:t>
      </w:r>
    </w:p>
    <w:p>
      <w:pPr>
        <w:keepNext/>
        <w:keepLines/>
        <w:spacing w:line="520" w:lineRule="exact"/>
        <w:outlineLvl w:val="2"/>
        <w:rPr>
          <w:rFonts w:eastAsia="黑体"/>
          <w:bCs/>
          <w:sz w:val="28"/>
          <w:szCs w:val="28"/>
        </w:rPr>
      </w:pPr>
      <w:r>
        <w:rPr>
          <w:rFonts w:eastAsia="黑体"/>
          <w:bCs/>
          <w:sz w:val="28"/>
          <w:szCs w:val="28"/>
        </w:rPr>
        <w:t>2.8.5 区域</w:t>
      </w:r>
      <w:r>
        <w:rPr>
          <w:rFonts w:hint="eastAsia" w:eastAsia="黑体"/>
          <w:bCs/>
          <w:sz w:val="28"/>
          <w:szCs w:val="28"/>
        </w:rPr>
        <w:t>“</w:t>
      </w:r>
      <w:r>
        <w:rPr>
          <w:rFonts w:eastAsia="黑体"/>
          <w:bCs/>
          <w:sz w:val="28"/>
          <w:szCs w:val="28"/>
        </w:rPr>
        <w:t>三线一单</w:t>
      </w:r>
      <w:r>
        <w:rPr>
          <w:rFonts w:hint="eastAsia" w:eastAsia="黑体"/>
          <w:bCs/>
          <w:sz w:val="28"/>
          <w:szCs w:val="28"/>
        </w:rPr>
        <w:t>”</w:t>
      </w:r>
      <w:r>
        <w:rPr>
          <w:rFonts w:eastAsia="黑体"/>
          <w:bCs/>
          <w:sz w:val="28"/>
          <w:szCs w:val="28"/>
        </w:rPr>
        <w:t>相符性分析</w:t>
      </w:r>
    </w:p>
    <w:p>
      <w:pPr>
        <w:spacing w:line="520" w:lineRule="exact"/>
        <w:ind w:firstLine="480" w:firstLineChars="200"/>
        <w:jc w:val="left"/>
        <w:rPr>
          <w:sz w:val="24"/>
        </w:rPr>
      </w:pPr>
      <w:r>
        <w:rPr>
          <w:sz w:val="24"/>
        </w:rPr>
        <w:t>《</w:t>
      </w:r>
      <w:r>
        <w:rPr>
          <w:rFonts w:hint="eastAsia"/>
          <w:sz w:val="24"/>
        </w:rPr>
        <w:t>“</w:t>
      </w:r>
      <w:r>
        <w:rPr>
          <w:sz w:val="24"/>
        </w:rPr>
        <w:t>十三五</w:t>
      </w:r>
      <w:r>
        <w:rPr>
          <w:rFonts w:hint="eastAsia"/>
          <w:sz w:val="24"/>
        </w:rPr>
        <w:t>”</w:t>
      </w:r>
      <w:r>
        <w:rPr>
          <w:sz w:val="24"/>
        </w:rPr>
        <w:t>环境影响评价改革实施方案》要求以</w:t>
      </w:r>
      <w:r>
        <w:rPr>
          <w:rFonts w:hint="eastAsia"/>
          <w:sz w:val="24"/>
        </w:rPr>
        <w:t>“</w:t>
      </w:r>
      <w:r>
        <w:rPr>
          <w:sz w:val="24"/>
        </w:rPr>
        <w:t>生态保护红线、环境质量底线、资源利用上线和环境准入负面清单（以下简称</w:t>
      </w:r>
      <w:r>
        <w:rPr>
          <w:rFonts w:hint="eastAsia"/>
          <w:sz w:val="24"/>
        </w:rPr>
        <w:t>“</w:t>
      </w:r>
      <w:r>
        <w:rPr>
          <w:sz w:val="24"/>
        </w:rPr>
        <w:t>三线一单</w:t>
      </w:r>
      <w:r>
        <w:rPr>
          <w:rFonts w:hint="eastAsia"/>
          <w:sz w:val="24"/>
        </w:rPr>
        <w:t>”</w:t>
      </w:r>
      <w:r>
        <w:rPr>
          <w:sz w:val="24"/>
        </w:rPr>
        <w:t>）</w:t>
      </w:r>
      <w:r>
        <w:rPr>
          <w:rFonts w:hint="eastAsia"/>
          <w:sz w:val="24"/>
        </w:rPr>
        <w:t>”</w:t>
      </w:r>
      <w:r>
        <w:rPr>
          <w:sz w:val="24"/>
        </w:rPr>
        <w:t>手段，将生态保护红线作为空间管制要求，将环境质量底线和资源利用上线作为容量管控和环境准入要求。</w:t>
      </w:r>
    </w:p>
    <w:p>
      <w:pPr>
        <w:spacing w:line="520" w:lineRule="exact"/>
        <w:jc w:val="left"/>
        <w:outlineLvl w:val="3"/>
        <w:rPr>
          <w:sz w:val="24"/>
        </w:rPr>
      </w:pPr>
      <w:r>
        <w:rPr>
          <w:sz w:val="24"/>
        </w:rPr>
        <w:t>2.8.5.1 生态保护红线</w:t>
      </w:r>
    </w:p>
    <w:p>
      <w:pPr>
        <w:spacing w:line="520" w:lineRule="exact"/>
        <w:ind w:firstLine="480" w:firstLineChars="200"/>
        <w:jc w:val="left"/>
        <w:rPr>
          <w:sz w:val="24"/>
        </w:rPr>
      </w:pPr>
      <w:r>
        <w:rPr>
          <w:sz w:val="24"/>
        </w:rPr>
        <w:t>本项目位于</w:t>
      </w:r>
      <w:r>
        <w:rPr>
          <w:rFonts w:hint="eastAsia"/>
          <w:sz w:val="24"/>
        </w:rPr>
        <w:t>原阳县产业聚集区永安路南侧、金祥南街西侧、小庄排河东侧</w:t>
      </w:r>
      <w:r>
        <w:rPr>
          <w:sz w:val="24"/>
        </w:rPr>
        <w:t>，不在当地饮用水源、风景区、自然保护区等生态保护区内，根据新乡市生态保护红线划定结果，本项目选址范围不涉及生态保护红线，本项目的实施与生态保护红线不冲突。</w:t>
      </w:r>
    </w:p>
    <w:p>
      <w:pPr>
        <w:spacing w:line="520" w:lineRule="exact"/>
        <w:jc w:val="left"/>
        <w:outlineLvl w:val="3"/>
        <w:rPr>
          <w:sz w:val="24"/>
        </w:rPr>
      </w:pPr>
      <w:r>
        <w:rPr>
          <w:sz w:val="24"/>
        </w:rPr>
        <w:t>2.8.5.2 环境质量底线</w:t>
      </w:r>
    </w:p>
    <w:p>
      <w:pPr>
        <w:spacing w:line="520" w:lineRule="exact"/>
        <w:ind w:firstLine="480" w:firstLineChars="200"/>
        <w:jc w:val="left"/>
        <w:rPr>
          <w:sz w:val="24"/>
        </w:rPr>
      </w:pPr>
      <w:r>
        <w:rPr>
          <w:sz w:val="24"/>
        </w:rPr>
        <w:t>根据项目所在地环境质量现状调查和污染排放工程分析可知，本项目废水、废气、噪声排放对周边环境影响较小，不会导致区域环境产生明显变化。项目对周边大气环境、地表水环境、地下水环境、声环境、土壤环境影响均可接受。</w:t>
      </w:r>
    </w:p>
    <w:p>
      <w:pPr>
        <w:spacing w:line="520" w:lineRule="exact"/>
        <w:jc w:val="left"/>
        <w:outlineLvl w:val="3"/>
        <w:rPr>
          <w:sz w:val="24"/>
        </w:rPr>
      </w:pPr>
      <w:r>
        <w:rPr>
          <w:sz w:val="24"/>
        </w:rPr>
        <w:t>2.8.5.3 资源利用上线</w:t>
      </w:r>
    </w:p>
    <w:p>
      <w:pPr>
        <w:spacing w:line="520" w:lineRule="exact"/>
        <w:ind w:firstLine="480" w:firstLineChars="200"/>
        <w:jc w:val="left"/>
        <w:rPr>
          <w:sz w:val="24"/>
          <w:highlight w:val="yellow"/>
        </w:rPr>
      </w:pPr>
      <w:r>
        <w:rPr>
          <w:sz w:val="24"/>
        </w:rPr>
        <w:t>本项目用水量较少，由园区供水管网供应；能源主要为电，由园区统一供应。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pPr>
        <w:spacing w:line="520" w:lineRule="exact"/>
        <w:jc w:val="left"/>
        <w:outlineLvl w:val="3"/>
        <w:rPr>
          <w:sz w:val="24"/>
        </w:rPr>
      </w:pPr>
      <w:r>
        <w:rPr>
          <w:sz w:val="24"/>
        </w:rPr>
        <w:t>2.8.5.4 与《河南省生态环境分区管控总体要求（</w:t>
      </w:r>
      <w:r>
        <w:rPr>
          <w:rFonts w:hint="eastAsia"/>
          <w:sz w:val="24"/>
        </w:rPr>
        <w:t>2</w:t>
      </w:r>
      <w:r>
        <w:rPr>
          <w:sz w:val="24"/>
        </w:rPr>
        <w:t>023</w:t>
      </w:r>
      <w:r>
        <w:rPr>
          <w:rFonts w:hint="eastAsia"/>
          <w:sz w:val="24"/>
        </w:rPr>
        <w:t>年版</w:t>
      </w:r>
      <w:r>
        <w:rPr>
          <w:sz w:val="24"/>
        </w:rPr>
        <w:t>）》中的相关内容对比一致性分析</w:t>
      </w:r>
    </w:p>
    <w:p>
      <w:pPr>
        <w:spacing w:line="520" w:lineRule="exact"/>
        <w:ind w:firstLine="480" w:firstLineChars="200"/>
        <w:jc w:val="left"/>
        <w:rPr>
          <w:sz w:val="24"/>
          <w:highlight w:val="yellow"/>
        </w:rPr>
      </w:pPr>
    </w:p>
    <w:p>
      <w:pPr>
        <w:spacing w:line="520" w:lineRule="exact"/>
        <w:ind w:firstLine="480" w:firstLineChars="200"/>
        <w:jc w:val="left"/>
        <w:rPr>
          <w:sz w:val="24"/>
          <w:highlight w:val="yellow"/>
        </w:rPr>
      </w:pPr>
    </w:p>
    <w:p>
      <w:pPr>
        <w:spacing w:line="520" w:lineRule="exact"/>
        <w:jc w:val="center"/>
        <w:rPr>
          <w:rFonts w:eastAsia="黑体"/>
          <w:kern w:val="0"/>
          <w:sz w:val="24"/>
          <w:highlight w:val="yellow"/>
          <w:lang w:val="zh-CN"/>
        </w:rPr>
        <w:sectPr>
          <w:headerReference r:id="rId12" w:type="default"/>
          <w:footerReference r:id="rId13" w:type="default"/>
          <w:pgSz w:w="11906" w:h="16838"/>
          <w:pgMar w:top="1701" w:right="1588" w:bottom="1701" w:left="1588" w:header="851" w:footer="992" w:gutter="0"/>
          <w:pgNumType w:start="1"/>
          <w:cols w:space="425" w:num="1"/>
          <w:docGrid w:linePitch="312" w:charSpace="0"/>
        </w:sectPr>
      </w:pPr>
    </w:p>
    <w:p>
      <w:pPr>
        <w:spacing w:line="520" w:lineRule="exact"/>
        <w:ind w:firstLine="480" w:firstLineChars="200"/>
        <w:rPr>
          <w:rFonts w:eastAsia="黑体"/>
          <w:sz w:val="24"/>
        </w:rPr>
      </w:pPr>
      <w:r>
        <w:rPr>
          <w:rFonts w:eastAsia="黑体"/>
          <w:kern w:val="0"/>
          <w:sz w:val="24"/>
          <w:lang w:val="zh-CN"/>
        </w:rPr>
        <w:t>表2.8-6           本项目与</w:t>
      </w:r>
      <w:bookmarkStart w:id="43" w:name="_Toc38962883"/>
      <w:bookmarkStart w:id="44" w:name="_Toc39654269"/>
      <w:bookmarkStart w:id="45" w:name="_Toc38960363"/>
      <w:r>
        <w:rPr>
          <w:rFonts w:eastAsia="黑体"/>
          <w:kern w:val="0"/>
          <w:sz w:val="24"/>
        </w:rPr>
        <w:t>《河南省生态环境分区管控总体要求（</w:t>
      </w:r>
      <w:r>
        <w:rPr>
          <w:rFonts w:hint="eastAsia" w:eastAsia="黑体"/>
          <w:kern w:val="0"/>
          <w:sz w:val="24"/>
        </w:rPr>
        <w:t>2</w:t>
      </w:r>
      <w:r>
        <w:rPr>
          <w:rFonts w:eastAsia="黑体"/>
          <w:kern w:val="0"/>
          <w:sz w:val="24"/>
        </w:rPr>
        <w:t>023年版）》</w:t>
      </w:r>
      <w:r>
        <w:rPr>
          <w:rFonts w:eastAsia="黑体"/>
          <w:kern w:val="0"/>
          <w:sz w:val="24"/>
          <w:lang w:val="zh-CN"/>
        </w:rPr>
        <w:t>要求</w:t>
      </w:r>
      <w:bookmarkEnd w:id="43"/>
      <w:bookmarkEnd w:id="44"/>
      <w:bookmarkEnd w:id="45"/>
      <w:r>
        <w:rPr>
          <w:rFonts w:eastAsia="黑体"/>
          <w:kern w:val="0"/>
          <w:sz w:val="24"/>
          <w:lang w:val="zh-CN"/>
        </w:rPr>
        <w:t>相符性</w:t>
      </w:r>
      <w:r>
        <w:rPr>
          <w:rFonts w:eastAsia="黑体"/>
          <w:sz w:val="24"/>
        </w:rPr>
        <w:t>分析</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20"/>
        <w:gridCol w:w="993"/>
        <w:gridCol w:w="7653"/>
        <w:gridCol w:w="3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4"/>
            <w:vAlign w:val="center"/>
          </w:tcPr>
          <w:p>
            <w:pPr>
              <w:adjustRightInd w:val="0"/>
              <w:snapToGrid w:val="0"/>
              <w:jc w:val="center"/>
              <w:rPr>
                <w:b/>
                <w:bCs/>
                <w:szCs w:val="21"/>
              </w:rPr>
            </w:pPr>
            <w:r>
              <w:rPr>
                <w:rFonts w:hint="eastAsia"/>
                <w:b/>
                <w:bCs/>
                <w:szCs w:val="21"/>
              </w:rPr>
              <w:t>一、全省生态环境总体准入要求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Align w:val="center"/>
          </w:tcPr>
          <w:p>
            <w:pPr>
              <w:widowControl/>
              <w:jc w:val="center"/>
              <w:textAlignment w:val="center"/>
              <w:rPr>
                <w:b/>
                <w:bCs/>
                <w:szCs w:val="21"/>
              </w:rPr>
            </w:pPr>
            <w:r>
              <w:rPr>
                <w:rFonts w:hint="eastAsia"/>
                <w:b/>
                <w:bCs/>
                <w:szCs w:val="21"/>
              </w:rPr>
              <w:t>环境</w:t>
            </w:r>
            <w:r>
              <w:rPr>
                <w:b/>
                <w:bCs/>
                <w:szCs w:val="21"/>
              </w:rPr>
              <w:t>管控</w:t>
            </w:r>
            <w:r>
              <w:rPr>
                <w:rFonts w:hint="eastAsia"/>
                <w:b/>
                <w:bCs/>
                <w:szCs w:val="21"/>
              </w:rPr>
              <w:t>单元分区</w:t>
            </w:r>
          </w:p>
        </w:tc>
        <w:tc>
          <w:tcPr>
            <w:tcW w:w="368" w:type="pct"/>
            <w:vAlign w:val="center"/>
          </w:tcPr>
          <w:p>
            <w:pPr>
              <w:widowControl/>
              <w:jc w:val="center"/>
              <w:textAlignment w:val="center"/>
              <w:rPr>
                <w:b/>
                <w:bCs/>
                <w:szCs w:val="21"/>
              </w:rPr>
            </w:pPr>
            <w:r>
              <w:rPr>
                <w:rFonts w:hint="eastAsia"/>
                <w:b/>
                <w:bCs/>
                <w:szCs w:val="21"/>
              </w:rPr>
              <w:t>管控类别</w:t>
            </w:r>
          </w:p>
        </w:tc>
        <w:tc>
          <w:tcPr>
            <w:tcW w:w="2836" w:type="pct"/>
            <w:vAlign w:val="center"/>
          </w:tcPr>
          <w:p>
            <w:pPr>
              <w:adjustRightInd w:val="0"/>
              <w:snapToGrid w:val="0"/>
              <w:jc w:val="center"/>
              <w:rPr>
                <w:b/>
                <w:bCs/>
                <w:snapToGrid w:val="0"/>
                <w:szCs w:val="21"/>
              </w:rPr>
            </w:pPr>
            <w:r>
              <w:rPr>
                <w:rFonts w:hint="eastAsia"/>
                <w:b/>
                <w:bCs/>
                <w:snapToGrid w:val="0"/>
                <w:szCs w:val="21"/>
              </w:rPr>
              <w:t>准入</w:t>
            </w:r>
            <w:r>
              <w:rPr>
                <w:b/>
                <w:bCs/>
                <w:snapToGrid w:val="0"/>
                <w:szCs w:val="21"/>
              </w:rPr>
              <w:t>要求</w:t>
            </w:r>
          </w:p>
        </w:tc>
        <w:tc>
          <w:tcPr>
            <w:tcW w:w="1418" w:type="pct"/>
            <w:vAlign w:val="center"/>
          </w:tcPr>
          <w:p>
            <w:pPr>
              <w:adjustRightInd w:val="0"/>
              <w:snapToGrid w:val="0"/>
              <w:jc w:val="center"/>
              <w:rPr>
                <w:b/>
                <w:bCs/>
                <w:szCs w:val="21"/>
              </w:rPr>
            </w:pPr>
            <w:r>
              <w:rPr>
                <w:b/>
                <w:bCs/>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restart"/>
            <w:vAlign w:val="center"/>
          </w:tcPr>
          <w:p>
            <w:pPr>
              <w:widowControl/>
              <w:jc w:val="center"/>
              <w:textAlignment w:val="center"/>
              <w:rPr>
                <w:szCs w:val="21"/>
              </w:rPr>
            </w:pPr>
            <w:r>
              <w:rPr>
                <w:rFonts w:hint="eastAsia"/>
                <w:szCs w:val="21"/>
              </w:rPr>
              <w:t>优先保护单元</w:t>
            </w:r>
          </w:p>
        </w:tc>
        <w:tc>
          <w:tcPr>
            <w:tcW w:w="368" w:type="pct"/>
            <w:vMerge w:val="restart"/>
            <w:vAlign w:val="center"/>
          </w:tcPr>
          <w:p>
            <w:pPr>
              <w:widowControl/>
              <w:jc w:val="center"/>
              <w:textAlignment w:val="center"/>
              <w:rPr>
                <w:szCs w:val="21"/>
              </w:rPr>
            </w:pPr>
            <w:r>
              <w:rPr>
                <w:rFonts w:hint="eastAsia"/>
                <w:szCs w:val="21"/>
              </w:rPr>
              <w:t>空间布局约束</w:t>
            </w:r>
          </w:p>
        </w:tc>
        <w:tc>
          <w:tcPr>
            <w:tcW w:w="2836" w:type="pct"/>
            <w:vAlign w:val="center"/>
          </w:tcPr>
          <w:p>
            <w:r>
              <w:rPr>
                <w:rFonts w:hint="eastAsia"/>
              </w:rPr>
              <w:t>1.生态保护红线：</w:t>
            </w:r>
          </w:p>
          <w:p>
            <w:r>
              <w:rPr>
                <w:rFonts w:hint="eastAsia"/>
              </w:rPr>
              <w:t>生态保护红线内自然保护地核心保护区外，禁止开发性、生产性建设活动，在符合法律法规的前提下，仅允许以下对生态功能不造成破坏的有限人为活动。生态保护红线内自然保护区、风景名胜区、饮用水水源保护区等区域，依照相关法律法规执行。</w:t>
            </w:r>
          </w:p>
          <w:p>
            <w:r>
              <w:rPr>
                <w:rFonts w:hint="eastAsia"/>
              </w:rPr>
              <w:t>（1）管护巡护、保护执法、科学研究、调查监测、测绘导航、防灾减灾救灾、军事国防、疫情防控等活动及相关的必要设施修筑。</w:t>
            </w:r>
          </w:p>
          <w:p>
            <w:r>
              <w:rPr>
                <w:rFonts w:hint="eastAsia"/>
              </w:rPr>
              <w:t>（2）原住居民和其他合法权益主体，允许在不扩大现有建设用地、耕地、水产养殖规模和放牧强度（符合草畜平衡管理规定）的前提下，开展种植、放牧、捕捞、养殖等活动，修筑生产生活设施。</w:t>
            </w:r>
          </w:p>
          <w:p>
            <w:r>
              <w:rPr>
                <w:rFonts w:hint="eastAsia"/>
              </w:rPr>
              <w:t>（3）经依法批准的考古调查发掘、古生物化石调查发掘、标本采集和文物保护活动。</w:t>
            </w:r>
          </w:p>
          <w:p>
            <w:r>
              <w:rPr>
                <w:rFonts w:hint="eastAsia"/>
              </w:rPr>
              <w:t>（4）按规定对人工商品林进行抚育采伐，以提升森林质量、优化栖息地、建设生物防火隔离带等为目的的树种更新，和依法开展的竹林采伐经营。</w:t>
            </w:r>
          </w:p>
          <w:p>
            <w:r>
              <w:rPr>
                <w:rFonts w:hint="eastAsia"/>
              </w:rPr>
              <w:t>（5）不破坏生态功能的适度参观旅游、科普宣教及符合相关规划的配套性服务设施和相关的必要公共设施建设及维护。</w:t>
            </w:r>
          </w:p>
          <w:p>
            <w:r>
              <w:rPr>
                <w:rFonts w:hint="eastAsia"/>
              </w:rPr>
              <w:t>（6）必须且无法避让、符合县级以上国土空间规划的线性基础设施、通讯和防洪、供水设施建设和船舶航行、航道疏浚清淤等活动;已有的合法水利、交通运输等设施运行维护改造。</w:t>
            </w:r>
          </w:p>
          <w:p>
            <w:r>
              <w:rPr>
                <w:rFonts w:hint="eastAsia"/>
              </w:rPr>
              <w:t>（7）地质调查与矿产资源勘查开采。</w:t>
            </w:r>
          </w:p>
          <w:p>
            <w:r>
              <w:rPr>
                <w:rFonts w:hint="eastAsia"/>
              </w:rPr>
              <w:t>（8）依据县级以上国土空间规划和生态保护修复专项规划开展的生态修复。</w:t>
            </w:r>
          </w:p>
          <w:p>
            <w:pPr>
              <w:rPr>
                <w:highlight w:val="yellow"/>
              </w:rPr>
            </w:pPr>
            <w:r>
              <w:rPr>
                <w:rFonts w:hint="eastAsia"/>
              </w:rPr>
              <w:t>（9）法律法规规定允许的其他人为活动。</w:t>
            </w:r>
          </w:p>
        </w:tc>
        <w:tc>
          <w:tcPr>
            <w:tcW w:w="1418" w:type="pct"/>
            <w:vAlign w:val="center"/>
          </w:tcPr>
          <w:p>
            <w:pPr>
              <w:adjustRightInd w:val="0"/>
              <w:snapToGrid w:val="0"/>
              <w:jc w:val="left"/>
              <w:rPr>
                <w:bCs/>
                <w:snapToGrid w:val="0"/>
                <w:szCs w:val="21"/>
                <w:highlight w:val="yellow"/>
              </w:rPr>
            </w:pPr>
            <w:r>
              <w:rPr>
                <w:rFonts w:hint="eastAsia"/>
                <w:bCs/>
                <w:snapToGrid w:val="0"/>
                <w:szCs w:val="21"/>
              </w:rPr>
              <w:t>本项目位于原阳县产业聚集区永安路南侧、金祥南街西侧、小庄排河东侧，不在生态保护红线内。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vAlign w:val="center"/>
          </w:tcPr>
          <w:p>
            <w:pPr>
              <w:widowControl/>
              <w:jc w:val="center"/>
              <w:textAlignment w:val="center"/>
              <w:rPr>
                <w:szCs w:val="21"/>
              </w:rPr>
            </w:pPr>
          </w:p>
        </w:tc>
        <w:tc>
          <w:tcPr>
            <w:tcW w:w="368" w:type="pct"/>
            <w:vMerge w:val="continue"/>
            <w:vAlign w:val="center"/>
          </w:tcPr>
          <w:p>
            <w:pPr>
              <w:widowControl/>
              <w:jc w:val="center"/>
              <w:textAlignment w:val="center"/>
              <w:rPr>
                <w:szCs w:val="21"/>
              </w:rPr>
            </w:pPr>
          </w:p>
        </w:tc>
        <w:tc>
          <w:tcPr>
            <w:tcW w:w="2836" w:type="pct"/>
            <w:vAlign w:val="center"/>
          </w:tcPr>
          <w:p>
            <w:r>
              <w:rPr>
                <w:rFonts w:hint="eastAsia"/>
              </w:rPr>
              <w:t>2.一般生态空间:</w:t>
            </w:r>
          </w:p>
          <w:p>
            <w:r>
              <w:rPr>
                <w:rFonts w:hint="eastAsia"/>
              </w:rPr>
              <w:t>（1）以保护各类生态空间的主导生态功能为目标，原则上按限制开发区域要求进行管理。严禁有损主导生态功能的开发建设活动，不得随意占用和调整。依据国家和河南省相关法律法规、管理条例和管理办法，对功能属性单一、管控要求明确的生态空间，按照生态功能属性的既有要求管理；对功能属性交叉、且均有既有管理要求的生态空间按照管控要求的严格程度，从严管理；</w:t>
            </w:r>
          </w:p>
          <w:p>
            <w:r>
              <w:rPr>
                <w:rFonts w:hint="eastAsia"/>
              </w:rPr>
              <w:t>（2）自然保护区、风景名胜区、饮用水水源保护区等区域，依照相关法律法规执行。</w:t>
            </w:r>
          </w:p>
          <w:p>
            <w:r>
              <w:rPr>
                <w:rFonts w:hint="eastAsia"/>
              </w:rPr>
              <w:t>（3）严格控制在优先保护类耕地集中区域新建有色金属冶炼、石油加工、化工、焦化、电镀、制革等行业企业，不予审批可能造成耕地土壤污染的建设项目。</w:t>
            </w:r>
          </w:p>
        </w:tc>
        <w:tc>
          <w:tcPr>
            <w:tcW w:w="1418" w:type="pct"/>
            <w:vAlign w:val="center"/>
          </w:tcPr>
          <w:p>
            <w:pPr>
              <w:adjustRightInd w:val="0"/>
              <w:snapToGrid w:val="0"/>
              <w:jc w:val="left"/>
              <w:rPr>
                <w:bCs/>
                <w:snapToGrid w:val="0"/>
                <w:szCs w:val="21"/>
              </w:rPr>
            </w:pPr>
            <w:r>
              <w:rPr>
                <w:rFonts w:hint="eastAsia"/>
                <w:bCs/>
                <w:snapToGrid w:val="0"/>
                <w:szCs w:val="21"/>
              </w:rPr>
              <w:t>本项目位于原阳县产业聚集区永安路南侧、金祥南街西侧、小庄排河东侧，不在优先保护类耕地集中区域；项目</w:t>
            </w:r>
            <w:r>
              <w:rPr>
                <w:bCs/>
                <w:color w:val="000000"/>
                <w:szCs w:val="21"/>
              </w:rPr>
              <w:t>属于房地产业、水的生产和供应业，</w:t>
            </w:r>
            <w:r>
              <w:rPr>
                <w:rFonts w:hint="eastAsia"/>
                <w:bCs/>
                <w:color w:val="000000"/>
                <w:szCs w:val="21"/>
              </w:rPr>
              <w:t>不属于有色金属冶炼、石油加工、化工、焦化、电镀、制革等行业企业。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restart"/>
            <w:vAlign w:val="center"/>
          </w:tcPr>
          <w:p>
            <w:pPr>
              <w:widowControl/>
              <w:jc w:val="center"/>
              <w:textAlignment w:val="center"/>
              <w:rPr>
                <w:szCs w:val="21"/>
              </w:rPr>
            </w:pPr>
            <w:r>
              <w:rPr>
                <w:rFonts w:hint="eastAsia"/>
                <w:szCs w:val="21"/>
              </w:rPr>
              <w:t>重点管控单元</w:t>
            </w:r>
          </w:p>
        </w:tc>
        <w:tc>
          <w:tcPr>
            <w:tcW w:w="368" w:type="pct"/>
            <w:vAlign w:val="center"/>
          </w:tcPr>
          <w:p>
            <w:pPr>
              <w:widowControl/>
              <w:jc w:val="center"/>
              <w:textAlignment w:val="center"/>
              <w:rPr>
                <w:szCs w:val="21"/>
              </w:rPr>
            </w:pPr>
            <w:r>
              <w:rPr>
                <w:rFonts w:hint="eastAsia"/>
                <w:szCs w:val="21"/>
              </w:rPr>
              <w:t>污染物排放管控</w:t>
            </w:r>
          </w:p>
        </w:tc>
        <w:tc>
          <w:tcPr>
            <w:tcW w:w="2836" w:type="pct"/>
            <w:vAlign w:val="center"/>
          </w:tcPr>
          <w:p>
            <w:r>
              <w:t>1.重点行业建设项目应满足区域、流域控制单元环境质量改善目标管理要求。</w:t>
            </w:r>
          </w:p>
          <w:p>
            <w:r>
              <w:t>2.强化项目环评及“三同时”管理。新建、扩建“两高”项目应采用先进的工艺技术和装备，单位产品污染物排放强度应达到清洁生产先进水平，其中，国家、省绩效分级重点行业新建、扩建项目达到A级水平，改建项目达到B级以上水平。</w:t>
            </w:r>
          </w:p>
          <w:p>
            <w:r>
              <w:t>3.以钢铁、焦化、铸造、建材、有色、石化、化工、工业涂装、包装印刷、电镀、制革、石油开采、造纸、纺织印染、农副食品加工等行业为重点，开展全流程清洁化、循环化、低碳化改造；加快推进钢铁、水泥、焦化行业超低排放改造。</w:t>
            </w:r>
          </w:p>
          <w:p>
            <w:r>
              <w:t>4.深入推进低挥发性有机物含量原辅材料源头替代，全面推广使用低挥发性有机物含量的涂料、油墨、胶粘剂、清洗剂等新兴原辅材料。</w:t>
            </w:r>
          </w:p>
          <w:p>
            <w:r>
              <w:t>5.采矿项目矿井涌水应尽可能回用生产或综合利用，外排矿井涌水应满足受纳水体水功能区划和控制断面水质要求；选厂的生产废水及初期雨水、矿石及废石场的淋溶水、尾矿库澄清水及渗滤水应收集回用，不外排。</w:t>
            </w:r>
          </w:p>
          <w:p>
            <w:r>
              <w:t>6.新建、扩建开发区、工业园区同步规划建设污水收集和集中处理设施，强化工业废水处理设施运行管理，确保稳定达标排放；按照“减量化、稳定化、无害化、资源化”要求，加快城镇污水处理厂污泥处理设施建设，新建污水处理厂必须有明确的污泥处置途径；依法查处取缔非法污泥堆放点，禁止重金属等污染物不达标的污泥进行土地利用。</w:t>
            </w:r>
          </w:p>
          <w:p>
            <w:r>
              <w:t>7.鼓励企业采用先进治理技术，打造行业噪声污染治理示范典型。排放噪声的工业企业应切实采取减振降噪措施，加强厂区内固定设备、运输工具、货物装卸等噪声源管理,同时避免突发噪声扰民。</w:t>
            </w:r>
          </w:p>
        </w:tc>
        <w:tc>
          <w:tcPr>
            <w:tcW w:w="1418" w:type="pct"/>
            <w:vAlign w:val="center"/>
          </w:tcPr>
          <w:p>
            <w:pPr>
              <w:adjustRightInd w:val="0"/>
              <w:snapToGrid w:val="0"/>
              <w:jc w:val="left"/>
              <w:rPr>
                <w:bCs/>
                <w:color w:val="000000"/>
                <w:szCs w:val="21"/>
              </w:rPr>
            </w:pPr>
            <w:r>
              <w:rPr>
                <w:bCs/>
                <w:snapToGrid w:val="0"/>
                <w:szCs w:val="21"/>
              </w:rPr>
              <w:t>1.</w:t>
            </w:r>
            <w:r>
              <w:rPr>
                <w:bCs/>
                <w:color w:val="000000"/>
                <w:szCs w:val="21"/>
              </w:rPr>
              <w:t>项目不属于重点行业企业。</w:t>
            </w:r>
            <w:r>
              <w:rPr>
                <w:bCs/>
                <w:snapToGrid w:val="0"/>
                <w:szCs w:val="21"/>
              </w:rPr>
              <w:t>按照</w:t>
            </w:r>
            <w:r>
              <w:rPr>
                <w:bCs/>
                <w:color w:val="000000"/>
                <w:szCs w:val="21"/>
              </w:rPr>
              <w:t>区域、流域控制单元环境质量改善目标管理要求进行建设。</w:t>
            </w:r>
          </w:p>
          <w:p>
            <w:pPr>
              <w:adjustRightInd w:val="0"/>
              <w:snapToGrid w:val="0"/>
              <w:jc w:val="left"/>
              <w:rPr>
                <w:bCs/>
                <w:color w:val="000000"/>
                <w:szCs w:val="21"/>
              </w:rPr>
            </w:pPr>
            <w:r>
              <w:rPr>
                <w:bCs/>
                <w:color w:val="000000"/>
                <w:szCs w:val="21"/>
              </w:rPr>
              <w:t>2.项目不属于重点行业企业。</w:t>
            </w:r>
          </w:p>
          <w:p>
            <w:pPr>
              <w:adjustRightInd w:val="0"/>
              <w:snapToGrid w:val="0"/>
              <w:jc w:val="left"/>
              <w:rPr>
                <w:bCs/>
                <w:color w:val="000000"/>
                <w:szCs w:val="21"/>
              </w:rPr>
            </w:pPr>
            <w:r>
              <w:rPr>
                <w:bCs/>
                <w:color w:val="000000"/>
                <w:szCs w:val="21"/>
              </w:rPr>
              <w:t>3.不涉及。</w:t>
            </w:r>
          </w:p>
          <w:p>
            <w:pPr>
              <w:adjustRightInd w:val="0"/>
              <w:snapToGrid w:val="0"/>
              <w:jc w:val="left"/>
              <w:rPr>
                <w:bCs/>
                <w:color w:val="000000"/>
                <w:szCs w:val="21"/>
              </w:rPr>
            </w:pPr>
            <w:r>
              <w:rPr>
                <w:bCs/>
                <w:color w:val="000000"/>
                <w:szCs w:val="21"/>
              </w:rPr>
              <w:t>4.不涉及。</w:t>
            </w:r>
          </w:p>
          <w:p>
            <w:pPr>
              <w:adjustRightInd w:val="0"/>
              <w:snapToGrid w:val="0"/>
              <w:jc w:val="left"/>
              <w:rPr>
                <w:rFonts w:ascii="Calibri" w:hAnsi="Calibri"/>
                <w:bCs/>
                <w:snapToGrid w:val="0"/>
                <w:color w:val="000000"/>
                <w:szCs w:val="21"/>
              </w:rPr>
            </w:pPr>
            <w:r>
              <w:rPr>
                <w:rFonts w:hint="eastAsia"/>
                <w:bCs/>
                <w:snapToGrid w:val="0"/>
                <w:szCs w:val="21"/>
              </w:rPr>
              <w:t>5.</w:t>
            </w:r>
            <w:r>
              <w:rPr>
                <w:rFonts w:ascii="Calibri" w:hAnsi="Calibri"/>
                <w:bCs/>
                <w:snapToGrid w:val="0"/>
                <w:color w:val="000000"/>
                <w:szCs w:val="21"/>
              </w:rPr>
              <w:t>项目属于</w:t>
            </w:r>
            <w:r>
              <w:rPr>
                <w:rFonts w:hint="eastAsia" w:ascii="Calibri" w:hAnsi="Calibri"/>
                <w:bCs/>
                <w:snapToGrid w:val="0"/>
                <w:color w:val="000000"/>
                <w:szCs w:val="21"/>
              </w:rPr>
              <w:t>房地产业、水的生产和供应业。</w:t>
            </w:r>
          </w:p>
          <w:p>
            <w:pPr>
              <w:adjustRightInd w:val="0"/>
              <w:snapToGrid w:val="0"/>
              <w:jc w:val="left"/>
              <w:rPr>
                <w:bCs/>
                <w:color w:val="000000"/>
                <w:szCs w:val="21"/>
              </w:rPr>
            </w:pPr>
            <w:r>
              <w:rPr>
                <w:bCs/>
                <w:color w:val="000000"/>
                <w:szCs w:val="21"/>
              </w:rPr>
              <w:t>6.不涉及。</w:t>
            </w:r>
          </w:p>
          <w:p>
            <w:pPr>
              <w:adjustRightInd w:val="0"/>
              <w:snapToGrid w:val="0"/>
              <w:jc w:val="left"/>
              <w:rPr>
                <w:bCs/>
                <w:snapToGrid w:val="0"/>
                <w:szCs w:val="21"/>
              </w:rPr>
            </w:pPr>
            <w:r>
              <w:rPr>
                <w:bCs/>
                <w:color w:val="000000"/>
                <w:szCs w:val="21"/>
              </w:rPr>
              <w:t>7.不涉及。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vAlign w:val="center"/>
          </w:tcPr>
          <w:p>
            <w:pPr>
              <w:widowControl/>
              <w:jc w:val="center"/>
              <w:textAlignment w:val="center"/>
              <w:rPr>
                <w:szCs w:val="21"/>
              </w:rPr>
            </w:pPr>
          </w:p>
        </w:tc>
        <w:tc>
          <w:tcPr>
            <w:tcW w:w="368" w:type="pct"/>
            <w:vAlign w:val="center"/>
          </w:tcPr>
          <w:p>
            <w:pPr>
              <w:widowControl/>
              <w:jc w:val="center"/>
              <w:textAlignment w:val="center"/>
              <w:rPr>
                <w:szCs w:val="21"/>
              </w:rPr>
            </w:pPr>
            <w:r>
              <w:rPr>
                <w:rFonts w:hint="eastAsia"/>
                <w:szCs w:val="21"/>
              </w:rPr>
              <w:t>资源利用效率</w:t>
            </w:r>
          </w:p>
        </w:tc>
        <w:tc>
          <w:tcPr>
            <w:tcW w:w="2836" w:type="pct"/>
            <w:vAlign w:val="center"/>
          </w:tcPr>
          <w:p>
            <w:r>
              <w:rPr>
                <w:rFonts w:hint="eastAsia"/>
              </w:rPr>
              <w:t>1.“十四五”时期，规模以上工业单位增加值能耗下降18%，万元工业增加值用水量下降10%。</w:t>
            </w:r>
          </w:p>
          <w:p>
            <w:r>
              <w:rPr>
                <w:rFonts w:hint="eastAsia"/>
              </w:rPr>
              <w:t>2.新建、扩建“两高”项目单位产品物耗、能耗、水耗等达到清洁生产先进水平。</w:t>
            </w:r>
          </w:p>
          <w:p>
            <w:r>
              <w:rPr>
                <w:rFonts w:hint="eastAsia"/>
              </w:rPr>
              <w:t>3.实施重点领域节能降碳改造，到2025年钢铁、电解铝、水泥、炼油、乙烯、焦化等重点行业产能达到能效标杆水平的比例超过30%，行业整体能效水平明显提升，碳排放强度明显下降，绿色低碳发展能力显著增强。</w:t>
            </w:r>
          </w:p>
          <w:p>
            <w:r>
              <w:rPr>
                <w:rFonts w:hint="eastAsia"/>
              </w:rPr>
              <w:t>4.对以煤、石油焦、渣油、重油等为燃料的锅炉和工业炉窑，加快使用工业余热、电热力、清洁能源等进行替代。</w:t>
            </w:r>
          </w:p>
          <w:p>
            <w:r>
              <w:rPr>
                <w:rFonts w:hint="eastAsia"/>
              </w:rPr>
              <w:t>5</w:t>
            </w:r>
            <w:r>
              <w:t>.</w:t>
            </w:r>
            <w:r>
              <w:rPr>
                <w:rFonts w:hint="eastAsia"/>
              </w:rPr>
              <w:t>除应急取(排)水、地下水监测外，在地下水禁采区内，禁止取用地下水；在地下水限采区内，禁止开凿新的取水井或者增加地下水取水量。</w:t>
            </w:r>
          </w:p>
        </w:tc>
        <w:tc>
          <w:tcPr>
            <w:tcW w:w="1418" w:type="pct"/>
            <w:vAlign w:val="center"/>
          </w:tcPr>
          <w:p>
            <w:pPr>
              <w:adjustRightInd w:val="0"/>
              <w:snapToGrid w:val="0"/>
              <w:jc w:val="left"/>
              <w:rPr>
                <w:bCs/>
                <w:color w:val="000000"/>
                <w:szCs w:val="21"/>
              </w:rPr>
            </w:pPr>
            <w:r>
              <w:rPr>
                <w:bCs/>
                <w:color w:val="000000"/>
                <w:szCs w:val="21"/>
              </w:rPr>
              <w:t>1.不涉及。</w:t>
            </w:r>
          </w:p>
          <w:p>
            <w:pPr>
              <w:adjustRightInd w:val="0"/>
              <w:snapToGrid w:val="0"/>
              <w:jc w:val="left"/>
              <w:rPr>
                <w:bCs/>
                <w:color w:val="000000"/>
                <w:szCs w:val="21"/>
              </w:rPr>
            </w:pPr>
            <w:r>
              <w:rPr>
                <w:bCs/>
                <w:color w:val="000000"/>
                <w:szCs w:val="21"/>
              </w:rPr>
              <w:t>2.</w:t>
            </w:r>
            <w:r>
              <w:rPr>
                <w:rFonts w:hint="eastAsia"/>
                <w:bCs/>
                <w:color w:val="000000"/>
                <w:szCs w:val="21"/>
              </w:rPr>
              <w:t>本项目属于新建项目，不属于“两高”项目</w:t>
            </w:r>
            <w:r>
              <w:rPr>
                <w:bCs/>
                <w:color w:val="000000"/>
                <w:szCs w:val="21"/>
              </w:rPr>
              <w:t>。</w:t>
            </w:r>
          </w:p>
          <w:p>
            <w:pPr>
              <w:adjustRightInd w:val="0"/>
              <w:snapToGrid w:val="0"/>
              <w:jc w:val="left"/>
              <w:rPr>
                <w:bCs/>
                <w:color w:val="000000"/>
                <w:szCs w:val="21"/>
              </w:rPr>
            </w:pPr>
            <w:r>
              <w:rPr>
                <w:bCs/>
                <w:color w:val="000000"/>
                <w:szCs w:val="21"/>
              </w:rPr>
              <w:t>3.不涉及。</w:t>
            </w:r>
          </w:p>
          <w:p>
            <w:pPr>
              <w:adjustRightInd w:val="0"/>
              <w:snapToGrid w:val="0"/>
              <w:jc w:val="left"/>
              <w:rPr>
                <w:bCs/>
                <w:color w:val="000000"/>
                <w:szCs w:val="21"/>
              </w:rPr>
            </w:pPr>
            <w:r>
              <w:rPr>
                <w:bCs/>
                <w:color w:val="000000"/>
                <w:szCs w:val="21"/>
              </w:rPr>
              <w:t>4.不涉及。</w:t>
            </w:r>
          </w:p>
          <w:p>
            <w:pPr>
              <w:adjustRightInd w:val="0"/>
              <w:snapToGrid w:val="0"/>
              <w:jc w:val="left"/>
              <w:rPr>
                <w:bCs/>
                <w:snapToGrid w:val="0"/>
                <w:szCs w:val="21"/>
              </w:rPr>
            </w:pPr>
            <w:r>
              <w:rPr>
                <w:rFonts w:hint="eastAsia"/>
                <w:bCs/>
                <w:snapToGrid w:val="0"/>
                <w:szCs w:val="21"/>
              </w:rPr>
              <w:t>5</w:t>
            </w:r>
            <w:r>
              <w:rPr>
                <w:bCs/>
                <w:snapToGrid w:val="0"/>
                <w:szCs w:val="21"/>
              </w:rPr>
              <w:t>.</w:t>
            </w:r>
            <w:r>
              <w:rPr>
                <w:rFonts w:hint="eastAsia"/>
                <w:bCs/>
                <w:snapToGrid w:val="0"/>
                <w:szCs w:val="21"/>
              </w:rPr>
              <w:t>本项目位于原阳县产业聚集区永安路南侧、金祥南街西侧、小庄排河东侧，不在</w:t>
            </w:r>
            <w:r>
              <w:rPr>
                <w:rFonts w:hint="eastAsia"/>
                <w:bCs/>
                <w:color w:val="000000"/>
                <w:szCs w:val="21"/>
              </w:rPr>
              <w:t>地下水禁采区和限采区内，不取用地下水。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restart"/>
            <w:vAlign w:val="center"/>
          </w:tcPr>
          <w:p>
            <w:pPr>
              <w:widowControl/>
              <w:jc w:val="center"/>
              <w:textAlignment w:val="center"/>
              <w:rPr>
                <w:szCs w:val="21"/>
              </w:rPr>
            </w:pPr>
            <w:r>
              <w:rPr>
                <w:rFonts w:hint="eastAsia"/>
                <w:szCs w:val="21"/>
              </w:rPr>
              <w:t>一般管控单元</w:t>
            </w:r>
          </w:p>
        </w:tc>
        <w:tc>
          <w:tcPr>
            <w:tcW w:w="368" w:type="pct"/>
            <w:vAlign w:val="center"/>
          </w:tcPr>
          <w:p>
            <w:pPr>
              <w:widowControl/>
              <w:jc w:val="center"/>
              <w:textAlignment w:val="center"/>
              <w:rPr>
                <w:szCs w:val="21"/>
              </w:rPr>
            </w:pPr>
            <w:r>
              <w:rPr>
                <w:rFonts w:hint="eastAsia"/>
                <w:szCs w:val="21"/>
              </w:rPr>
              <w:t>空间布局约束</w:t>
            </w:r>
          </w:p>
        </w:tc>
        <w:tc>
          <w:tcPr>
            <w:tcW w:w="2836" w:type="pct"/>
            <w:vAlign w:val="center"/>
          </w:tcPr>
          <w:p>
            <w:r>
              <w:rPr>
                <w:rFonts w:hint="eastAsia"/>
              </w:rPr>
              <w:t>1.严格执行国家、河南省法律法规及产业政策要求，不得引进淘汰类、限制类及产能过剩的产品。</w:t>
            </w:r>
          </w:p>
          <w:p>
            <w:r>
              <w:rPr>
                <w:rFonts w:hint="eastAsia"/>
              </w:rPr>
              <w:t>2.在永久基本农田集中区域，不得新建可能造成土壤污染的建设项目；已经建成的应当限期关闭拆除。</w:t>
            </w:r>
          </w:p>
        </w:tc>
        <w:tc>
          <w:tcPr>
            <w:tcW w:w="1418" w:type="pct"/>
            <w:vAlign w:val="center"/>
          </w:tcPr>
          <w:p>
            <w:pPr>
              <w:adjustRightInd w:val="0"/>
              <w:snapToGrid w:val="0"/>
              <w:jc w:val="left"/>
              <w:rPr>
                <w:bCs/>
                <w:szCs w:val="21"/>
              </w:rPr>
            </w:pPr>
            <w:r>
              <w:rPr>
                <w:rFonts w:hint="eastAsia"/>
                <w:bCs/>
                <w:snapToGrid w:val="0"/>
                <w:szCs w:val="21"/>
              </w:rPr>
              <w:t>1</w:t>
            </w:r>
            <w:r>
              <w:rPr>
                <w:bCs/>
                <w:snapToGrid w:val="0"/>
                <w:szCs w:val="21"/>
              </w:rPr>
              <w:t>.项目</w:t>
            </w:r>
            <w:r>
              <w:rPr>
                <w:rFonts w:hint="eastAsia"/>
                <w:bCs/>
                <w:color w:val="000000"/>
                <w:szCs w:val="21"/>
              </w:rPr>
              <w:t>严格执行国家、河南省法律法规及产业政策要求，</w:t>
            </w:r>
            <w:r>
              <w:rPr>
                <w:bCs/>
                <w:snapToGrid w:val="0"/>
                <w:szCs w:val="21"/>
              </w:rPr>
              <w:t>不属于</w:t>
            </w:r>
            <w:r>
              <w:rPr>
                <w:bCs/>
                <w:szCs w:val="21"/>
              </w:rPr>
              <w:t>《产业结构调整指导目录（2024年本）》文件中的淘汰类</w:t>
            </w:r>
            <w:r>
              <w:rPr>
                <w:rFonts w:hint="eastAsia"/>
                <w:bCs/>
                <w:szCs w:val="21"/>
              </w:rPr>
              <w:t>、限制类</w:t>
            </w:r>
            <w:r>
              <w:rPr>
                <w:bCs/>
                <w:szCs w:val="21"/>
              </w:rPr>
              <w:t>项目，</w:t>
            </w:r>
            <w:r>
              <w:rPr>
                <w:rFonts w:hint="eastAsia"/>
                <w:bCs/>
                <w:szCs w:val="21"/>
              </w:rPr>
              <w:t>不生产产能过剩产品。</w:t>
            </w:r>
          </w:p>
          <w:p>
            <w:pPr>
              <w:adjustRightInd w:val="0"/>
              <w:snapToGrid w:val="0"/>
              <w:jc w:val="left"/>
              <w:rPr>
                <w:bCs/>
                <w:snapToGrid w:val="0"/>
                <w:szCs w:val="21"/>
              </w:rPr>
            </w:pPr>
            <w:r>
              <w:rPr>
                <w:rFonts w:hint="eastAsia"/>
                <w:bCs/>
                <w:szCs w:val="21"/>
              </w:rPr>
              <w:t>2</w:t>
            </w:r>
            <w:r>
              <w:rPr>
                <w:bCs/>
                <w:szCs w:val="21"/>
              </w:rPr>
              <w:t>.</w:t>
            </w:r>
            <w:r>
              <w:rPr>
                <w:rFonts w:hint="eastAsia"/>
                <w:bCs/>
                <w:snapToGrid w:val="0"/>
                <w:szCs w:val="21"/>
              </w:rPr>
              <w:t>本项目位于原阳县产业聚集区永安路南侧、金祥南街西侧、小庄排河东侧，</w:t>
            </w:r>
            <w:r>
              <w:rPr>
                <w:bCs/>
                <w:color w:val="000000"/>
                <w:szCs w:val="21"/>
              </w:rPr>
              <w:t>根据</w:t>
            </w:r>
            <w:r>
              <w:rPr>
                <w:rFonts w:hint="eastAsia"/>
                <w:bCs/>
                <w:color w:val="000000"/>
                <w:szCs w:val="21"/>
              </w:rPr>
              <w:t>《</w:t>
            </w:r>
            <w:r>
              <w:rPr>
                <w:bCs/>
                <w:color w:val="000000"/>
                <w:szCs w:val="21"/>
              </w:rPr>
              <w:t>原阳县产业集聚区发展规划--用地规划图</w:t>
            </w:r>
            <w:r>
              <w:rPr>
                <w:rFonts w:hint="eastAsia"/>
                <w:bCs/>
                <w:color w:val="000000"/>
                <w:szCs w:val="21"/>
              </w:rPr>
              <w:t>》，本项目占地为二类工业用地，</w:t>
            </w:r>
            <w:r>
              <w:rPr>
                <w:rFonts w:hint="eastAsia"/>
                <w:bCs/>
                <w:snapToGrid w:val="0"/>
                <w:szCs w:val="21"/>
              </w:rPr>
              <w:t>不在</w:t>
            </w:r>
            <w:r>
              <w:rPr>
                <w:rFonts w:hint="eastAsia"/>
                <w:bCs/>
                <w:color w:val="000000"/>
                <w:szCs w:val="21"/>
              </w:rPr>
              <w:t>永久基本农田集中区域。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vAlign w:val="center"/>
          </w:tcPr>
          <w:p>
            <w:pPr>
              <w:widowControl/>
              <w:jc w:val="center"/>
              <w:textAlignment w:val="center"/>
              <w:rPr>
                <w:szCs w:val="21"/>
              </w:rPr>
            </w:pPr>
          </w:p>
        </w:tc>
        <w:tc>
          <w:tcPr>
            <w:tcW w:w="368" w:type="pct"/>
            <w:vAlign w:val="center"/>
          </w:tcPr>
          <w:p>
            <w:pPr>
              <w:widowControl/>
              <w:jc w:val="center"/>
              <w:textAlignment w:val="center"/>
              <w:rPr>
                <w:szCs w:val="21"/>
              </w:rPr>
            </w:pPr>
            <w:r>
              <w:rPr>
                <w:rFonts w:hint="eastAsia"/>
                <w:szCs w:val="21"/>
              </w:rPr>
              <w:t>污染物排放管控</w:t>
            </w:r>
          </w:p>
        </w:tc>
        <w:tc>
          <w:tcPr>
            <w:tcW w:w="2836" w:type="pct"/>
            <w:vAlign w:val="center"/>
          </w:tcPr>
          <w:p>
            <w:r>
              <w:t>重点行业建设项目应满足区域、流域控制单元环境质量改善目标管理要求。</w:t>
            </w:r>
          </w:p>
        </w:tc>
        <w:tc>
          <w:tcPr>
            <w:tcW w:w="1418" w:type="pct"/>
            <w:vAlign w:val="center"/>
          </w:tcPr>
          <w:p>
            <w:pPr>
              <w:adjustRightInd w:val="0"/>
              <w:snapToGrid w:val="0"/>
              <w:jc w:val="left"/>
              <w:rPr>
                <w:bCs/>
                <w:snapToGrid w:val="0"/>
                <w:szCs w:val="21"/>
              </w:rPr>
            </w:pPr>
            <w:r>
              <w:rPr>
                <w:bCs/>
                <w:color w:val="000000"/>
                <w:szCs w:val="21"/>
              </w:rPr>
              <w:t>项目不属于重点行业企业。</w:t>
            </w:r>
            <w:r>
              <w:rPr>
                <w:bCs/>
                <w:snapToGrid w:val="0"/>
                <w:szCs w:val="21"/>
              </w:rPr>
              <w:t>按照</w:t>
            </w:r>
            <w:r>
              <w:rPr>
                <w:bCs/>
                <w:color w:val="000000"/>
                <w:szCs w:val="21"/>
              </w:rPr>
              <w:t>区域、流域控制单元环境质量改善目标管理要求进行建设。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4"/>
            <w:vAlign w:val="center"/>
          </w:tcPr>
          <w:p>
            <w:pPr>
              <w:adjustRightInd w:val="0"/>
              <w:snapToGrid w:val="0"/>
              <w:jc w:val="center"/>
              <w:rPr>
                <w:b/>
                <w:snapToGrid w:val="0"/>
                <w:szCs w:val="21"/>
              </w:rPr>
            </w:pPr>
            <w:r>
              <w:rPr>
                <w:rFonts w:hint="eastAsia"/>
                <w:b/>
                <w:snapToGrid w:val="0"/>
                <w:szCs w:val="21"/>
              </w:rPr>
              <w:t>二、重点区域生态环境管控要求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Align w:val="center"/>
          </w:tcPr>
          <w:p>
            <w:pPr>
              <w:widowControl/>
              <w:jc w:val="center"/>
              <w:textAlignment w:val="center"/>
              <w:rPr>
                <w:b/>
                <w:szCs w:val="21"/>
              </w:rPr>
            </w:pPr>
            <w:r>
              <w:rPr>
                <w:rFonts w:hint="eastAsia"/>
                <w:b/>
                <w:szCs w:val="21"/>
              </w:rPr>
              <w:t>区域</w:t>
            </w:r>
          </w:p>
        </w:tc>
        <w:tc>
          <w:tcPr>
            <w:tcW w:w="368" w:type="pct"/>
            <w:vAlign w:val="center"/>
          </w:tcPr>
          <w:p>
            <w:pPr>
              <w:widowControl/>
              <w:jc w:val="center"/>
              <w:textAlignment w:val="center"/>
              <w:rPr>
                <w:b/>
                <w:szCs w:val="21"/>
              </w:rPr>
            </w:pPr>
            <w:r>
              <w:rPr>
                <w:rFonts w:hint="eastAsia"/>
                <w:b/>
                <w:szCs w:val="21"/>
              </w:rPr>
              <w:t>管控类别</w:t>
            </w:r>
          </w:p>
        </w:tc>
        <w:tc>
          <w:tcPr>
            <w:tcW w:w="2836" w:type="pct"/>
            <w:vAlign w:val="center"/>
          </w:tcPr>
          <w:p>
            <w:pPr>
              <w:jc w:val="center"/>
              <w:rPr>
                <w:b/>
              </w:rPr>
            </w:pPr>
            <w:r>
              <w:rPr>
                <w:rFonts w:hint="eastAsia"/>
                <w:b/>
              </w:rPr>
              <w:t>管控要求</w:t>
            </w:r>
          </w:p>
        </w:tc>
        <w:tc>
          <w:tcPr>
            <w:tcW w:w="1418" w:type="pct"/>
            <w:vAlign w:val="center"/>
          </w:tcPr>
          <w:p>
            <w:pPr>
              <w:adjustRightInd w:val="0"/>
              <w:snapToGrid w:val="0"/>
              <w:jc w:val="center"/>
              <w:rPr>
                <w:b/>
                <w:snapToGrid w:val="0"/>
                <w:szCs w:val="21"/>
              </w:rPr>
            </w:pPr>
            <w:r>
              <w:rPr>
                <w:b/>
                <w:bCs/>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restart"/>
            <w:vAlign w:val="center"/>
          </w:tcPr>
          <w:p>
            <w:pPr>
              <w:widowControl/>
              <w:jc w:val="center"/>
              <w:textAlignment w:val="center"/>
              <w:rPr>
                <w:szCs w:val="21"/>
              </w:rPr>
            </w:pPr>
            <w:r>
              <w:rPr>
                <w:rFonts w:hint="eastAsia"/>
                <w:szCs w:val="21"/>
              </w:rPr>
              <w:t>京津冀及周边地区(郑州、开封、洛阳、平顶山、安阳、鹤壁、新乡、焦作、濮阳、</w:t>
            </w:r>
          </w:p>
          <w:p>
            <w:pPr>
              <w:widowControl/>
              <w:jc w:val="center"/>
              <w:textAlignment w:val="center"/>
              <w:rPr>
                <w:szCs w:val="21"/>
              </w:rPr>
            </w:pPr>
            <w:r>
              <w:rPr>
                <w:rFonts w:hint="eastAsia"/>
                <w:szCs w:val="21"/>
              </w:rPr>
              <w:t>许昌、漯河、三门峡、商丘、周口市以及济源示范区)</w:t>
            </w:r>
          </w:p>
        </w:tc>
        <w:tc>
          <w:tcPr>
            <w:tcW w:w="368" w:type="pct"/>
            <w:vAlign w:val="center"/>
          </w:tcPr>
          <w:p>
            <w:pPr>
              <w:widowControl/>
              <w:jc w:val="center"/>
              <w:textAlignment w:val="center"/>
              <w:rPr>
                <w:szCs w:val="21"/>
              </w:rPr>
            </w:pPr>
            <w:r>
              <w:rPr>
                <w:rFonts w:hint="eastAsia"/>
                <w:szCs w:val="21"/>
              </w:rPr>
              <w:t>空间布局约束</w:t>
            </w:r>
          </w:p>
        </w:tc>
        <w:tc>
          <w:tcPr>
            <w:tcW w:w="2836" w:type="pct"/>
            <w:vAlign w:val="center"/>
          </w:tcPr>
          <w:p>
            <w:r>
              <w:rPr>
                <w:rFonts w:hint="eastAsia"/>
              </w:rPr>
              <w:t>1.坚决遏制“两高”项目盲目发展，落实《中共河南省委河南省人民政府 关于深入打好污染防治攻坚战的实施意见》中关于空间布局约束的相关要求。</w:t>
            </w:r>
          </w:p>
          <w:p>
            <w:r>
              <w:rPr>
                <w:rFonts w:hint="eastAsia"/>
              </w:rPr>
              <w:t>2.严控磷铵、电石、黄磷等行业新增产能，禁止新建用汞的(聚)氯乙烯产能，加快低效落后产能退出。</w:t>
            </w:r>
          </w:p>
          <w:p>
            <w:r>
              <w:rPr>
                <w:rFonts w:hint="eastAsia"/>
              </w:rPr>
              <w:t>3.原则上禁止新建企业自备燃煤机组，有序关停整合30万千瓦以上热电联产机组供热合理半径范围内的落后燃煤小热电机组(含自备电厂)。</w:t>
            </w:r>
          </w:p>
          <w:p>
            <w:r>
              <w:rPr>
                <w:rFonts w:hint="eastAsia"/>
              </w:rPr>
              <w:t>4.优化危险化学品生产布局，禁止在化工园区外新建、扩建危险化学品生产项目。新建危险化学品生产项目必须进入通过认定的一般或较低安全风险的化工园区(与其他行业生产装置配套建设的项目除外)。</w:t>
            </w:r>
          </w:p>
          <w:p>
            <w:r>
              <w:rPr>
                <w:rFonts w:hint="eastAsia"/>
              </w:rPr>
              <w:t>5.新建、扩建石化项目不得位于黄河干支流岸线管控范围内等法律法规明令禁止的区域，尽可能远离居民集中区、医院、学校等环境敏感区。</w:t>
            </w:r>
          </w:p>
          <w:p>
            <w:r>
              <w:rPr>
                <w:rFonts w:hint="eastAsia"/>
              </w:rPr>
              <w:t>6.严格采矿权准入管理，新建露天矿山项目原则上必须位于省级矿产资源规划划定的重点开采区内，鼓励集中连片规模化开发。</w:t>
            </w:r>
          </w:p>
        </w:tc>
        <w:tc>
          <w:tcPr>
            <w:tcW w:w="1418" w:type="pct"/>
            <w:vAlign w:val="center"/>
          </w:tcPr>
          <w:p>
            <w:pPr>
              <w:adjustRightInd w:val="0"/>
              <w:snapToGrid w:val="0"/>
              <w:jc w:val="left"/>
              <w:rPr>
                <w:bCs/>
                <w:color w:val="000000"/>
                <w:szCs w:val="21"/>
              </w:rPr>
            </w:pPr>
            <w:r>
              <w:rPr>
                <w:bCs/>
                <w:color w:val="000000"/>
                <w:szCs w:val="21"/>
              </w:rPr>
              <w:t>1.</w:t>
            </w:r>
            <w:r>
              <w:rPr>
                <w:rFonts w:hint="eastAsia"/>
                <w:bCs/>
                <w:color w:val="000000"/>
                <w:szCs w:val="21"/>
              </w:rPr>
              <w:t>本项目不属于“两高”项目</w:t>
            </w:r>
            <w:r>
              <w:rPr>
                <w:bCs/>
                <w:color w:val="000000"/>
                <w:szCs w:val="21"/>
              </w:rPr>
              <w:t>。</w:t>
            </w:r>
          </w:p>
          <w:p>
            <w:pPr>
              <w:adjustRightInd w:val="0"/>
              <w:snapToGrid w:val="0"/>
              <w:jc w:val="left"/>
              <w:rPr>
                <w:bCs/>
                <w:color w:val="000000"/>
                <w:szCs w:val="21"/>
              </w:rPr>
            </w:pPr>
            <w:r>
              <w:rPr>
                <w:bCs/>
                <w:snapToGrid w:val="0"/>
                <w:szCs w:val="21"/>
              </w:rPr>
              <w:t>2</w:t>
            </w:r>
            <w:r>
              <w:rPr>
                <w:rFonts w:hint="eastAsia"/>
                <w:bCs/>
                <w:snapToGrid w:val="0"/>
                <w:szCs w:val="21"/>
              </w:rPr>
              <w:t>.</w:t>
            </w:r>
            <w:r>
              <w:rPr>
                <w:rFonts w:hint="eastAsia" w:ascii="Calibri" w:hAnsi="Calibri"/>
                <w:bCs/>
                <w:snapToGrid w:val="0"/>
                <w:color w:val="000000"/>
                <w:szCs w:val="21"/>
              </w:rPr>
              <w:t>本</w:t>
            </w:r>
            <w:r>
              <w:rPr>
                <w:rFonts w:ascii="Calibri" w:hAnsi="Calibri"/>
                <w:bCs/>
                <w:snapToGrid w:val="0"/>
                <w:color w:val="000000"/>
                <w:szCs w:val="21"/>
              </w:rPr>
              <w:t>项目属于</w:t>
            </w:r>
            <w:r>
              <w:rPr>
                <w:rFonts w:hint="eastAsia" w:ascii="Calibri" w:hAnsi="Calibri"/>
                <w:bCs/>
                <w:snapToGrid w:val="0"/>
                <w:color w:val="000000"/>
                <w:szCs w:val="21"/>
              </w:rPr>
              <w:t>房地产业、水的生产和供应业，不属于</w:t>
            </w:r>
            <w:r>
              <w:rPr>
                <w:rFonts w:hint="eastAsia"/>
                <w:bCs/>
                <w:color w:val="000000"/>
                <w:szCs w:val="21"/>
              </w:rPr>
              <w:t>磷铵、电石、黄磷等行业，项目生产过程不涉及汞。</w:t>
            </w:r>
          </w:p>
          <w:p>
            <w:pPr>
              <w:adjustRightInd w:val="0"/>
              <w:snapToGrid w:val="0"/>
              <w:jc w:val="left"/>
              <w:rPr>
                <w:bCs/>
                <w:color w:val="000000"/>
                <w:szCs w:val="21"/>
              </w:rPr>
            </w:pPr>
            <w:r>
              <w:rPr>
                <w:rFonts w:hint="eastAsia"/>
                <w:bCs/>
                <w:color w:val="000000"/>
                <w:szCs w:val="21"/>
              </w:rPr>
              <w:t>3</w:t>
            </w:r>
            <w:r>
              <w:rPr>
                <w:bCs/>
                <w:color w:val="000000"/>
                <w:szCs w:val="21"/>
              </w:rPr>
              <w:t>.</w:t>
            </w:r>
            <w:r>
              <w:rPr>
                <w:rFonts w:hint="eastAsia"/>
                <w:bCs/>
                <w:color w:val="000000"/>
                <w:szCs w:val="21"/>
              </w:rPr>
              <w:t>本项目属于新建项目，不自备燃煤机组。</w:t>
            </w:r>
          </w:p>
          <w:p>
            <w:pPr>
              <w:adjustRightInd w:val="0"/>
              <w:snapToGrid w:val="0"/>
              <w:jc w:val="left"/>
              <w:rPr>
                <w:bCs/>
                <w:color w:val="000000"/>
                <w:szCs w:val="21"/>
              </w:rPr>
            </w:pPr>
            <w:r>
              <w:rPr>
                <w:rFonts w:hint="eastAsia"/>
                <w:bCs/>
                <w:color w:val="000000"/>
                <w:szCs w:val="21"/>
              </w:rPr>
              <w:t>4</w:t>
            </w:r>
            <w:r>
              <w:rPr>
                <w:bCs/>
                <w:color w:val="000000"/>
                <w:szCs w:val="21"/>
              </w:rPr>
              <w:t>.</w:t>
            </w:r>
            <w:r>
              <w:rPr>
                <w:rFonts w:hint="eastAsia"/>
                <w:bCs/>
                <w:color w:val="000000"/>
                <w:szCs w:val="21"/>
              </w:rPr>
              <w:t>不涉及。</w:t>
            </w:r>
          </w:p>
          <w:p>
            <w:pPr>
              <w:adjustRightInd w:val="0"/>
              <w:snapToGrid w:val="0"/>
              <w:jc w:val="left"/>
              <w:rPr>
                <w:bCs/>
                <w:color w:val="000000"/>
                <w:szCs w:val="21"/>
              </w:rPr>
            </w:pPr>
            <w:r>
              <w:rPr>
                <w:rFonts w:hint="eastAsia"/>
                <w:bCs/>
                <w:color w:val="000000"/>
                <w:szCs w:val="21"/>
              </w:rPr>
              <w:t>5.本项目属于新建项目，</w:t>
            </w:r>
            <w:r>
              <w:rPr>
                <w:rFonts w:ascii="Calibri" w:hAnsi="Calibri"/>
                <w:bCs/>
                <w:snapToGrid w:val="0"/>
                <w:color w:val="000000"/>
                <w:szCs w:val="21"/>
              </w:rPr>
              <w:t>属于</w:t>
            </w:r>
            <w:r>
              <w:rPr>
                <w:rFonts w:hint="eastAsia" w:ascii="Calibri" w:hAnsi="Calibri"/>
                <w:bCs/>
                <w:snapToGrid w:val="0"/>
                <w:color w:val="000000"/>
                <w:szCs w:val="21"/>
              </w:rPr>
              <w:t>房地产业、水的生产和供应业，不属于</w:t>
            </w:r>
            <w:r>
              <w:rPr>
                <w:rFonts w:hint="eastAsia"/>
                <w:bCs/>
                <w:color w:val="000000"/>
                <w:szCs w:val="21"/>
              </w:rPr>
              <w:t>石化项目。</w:t>
            </w:r>
          </w:p>
          <w:p>
            <w:pPr>
              <w:adjustRightInd w:val="0"/>
              <w:snapToGrid w:val="0"/>
              <w:jc w:val="left"/>
              <w:rPr>
                <w:bCs/>
                <w:snapToGrid w:val="0"/>
                <w:szCs w:val="21"/>
              </w:rPr>
            </w:pPr>
            <w:r>
              <w:rPr>
                <w:rFonts w:hint="eastAsia"/>
                <w:bCs/>
                <w:color w:val="000000"/>
                <w:szCs w:val="21"/>
              </w:rPr>
              <w:t>6</w:t>
            </w:r>
            <w:r>
              <w:rPr>
                <w:bCs/>
                <w:color w:val="000000"/>
                <w:szCs w:val="21"/>
              </w:rPr>
              <w:t>.</w:t>
            </w:r>
            <w:r>
              <w:rPr>
                <w:rFonts w:hint="eastAsia"/>
                <w:bCs/>
                <w:color w:val="000000"/>
                <w:szCs w:val="21"/>
              </w:rPr>
              <w:t>本项目属于新建项目，</w:t>
            </w:r>
            <w:r>
              <w:rPr>
                <w:rFonts w:ascii="Calibri" w:hAnsi="Calibri"/>
                <w:bCs/>
                <w:snapToGrid w:val="0"/>
                <w:color w:val="000000"/>
                <w:szCs w:val="21"/>
              </w:rPr>
              <w:t>属于</w:t>
            </w:r>
            <w:r>
              <w:rPr>
                <w:rFonts w:hint="eastAsia" w:ascii="Calibri" w:hAnsi="Calibri"/>
                <w:bCs/>
                <w:snapToGrid w:val="0"/>
                <w:color w:val="000000"/>
                <w:szCs w:val="21"/>
              </w:rPr>
              <w:t>房地产业、水的生产和供应业，不属于</w:t>
            </w:r>
            <w:r>
              <w:rPr>
                <w:rFonts w:hint="eastAsia"/>
                <w:bCs/>
                <w:color w:val="000000"/>
                <w:szCs w:val="21"/>
              </w:rPr>
              <w:t>新建露天矿山项目。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vAlign w:val="center"/>
          </w:tcPr>
          <w:p>
            <w:pPr>
              <w:widowControl/>
              <w:jc w:val="center"/>
              <w:textAlignment w:val="center"/>
              <w:rPr>
                <w:szCs w:val="21"/>
              </w:rPr>
            </w:pPr>
          </w:p>
        </w:tc>
        <w:tc>
          <w:tcPr>
            <w:tcW w:w="368" w:type="pct"/>
            <w:vAlign w:val="center"/>
          </w:tcPr>
          <w:p>
            <w:pPr>
              <w:widowControl/>
              <w:jc w:val="center"/>
              <w:textAlignment w:val="center"/>
              <w:rPr>
                <w:szCs w:val="21"/>
              </w:rPr>
            </w:pPr>
            <w:r>
              <w:rPr>
                <w:rFonts w:hint="eastAsia"/>
                <w:szCs w:val="21"/>
              </w:rPr>
              <w:t>污染物排放管控</w:t>
            </w:r>
          </w:p>
        </w:tc>
        <w:tc>
          <w:tcPr>
            <w:tcW w:w="2836" w:type="pct"/>
            <w:vAlign w:val="center"/>
          </w:tcPr>
          <w:p>
            <w:r>
              <w:rPr>
                <w:rFonts w:hint="eastAsia"/>
              </w:rPr>
              <w:t>1.落实超低排放要求、无组织排放特别控制要求。</w:t>
            </w:r>
          </w:p>
          <w:p>
            <w:r>
              <w:rPr>
                <w:rFonts w:hint="eastAsia"/>
              </w:rPr>
              <w:t>2.聚焦夏秋季臭氧污染，推进挥发性有机物和氮氧化物协同减排。以石化、化工、涂装、医药、包装印刷、油品储运销等行业领域为重点，推进挥发性有机物综合治理，实施原辅材料和产品源头替代工程。</w:t>
            </w:r>
          </w:p>
          <w:p>
            <w:r>
              <w:rPr>
                <w:rFonts w:hint="eastAsia"/>
              </w:rPr>
              <w:t>3.全面淘汰国三及以下排放标准营运中重型柴油货车；推进大宗货物“公转铁”“公转水”。</w:t>
            </w:r>
          </w:p>
          <w:p>
            <w:r>
              <w:rPr>
                <w:rFonts w:hint="eastAsia"/>
              </w:rPr>
              <w:t>4.全面推广绿色化工制造技术，实现化工原料和反应介质、生产工艺和制造过程绿色化，从源头上控制和减少污染。</w:t>
            </w:r>
          </w:p>
          <w:p>
            <w:r>
              <w:rPr>
                <w:rFonts w:hint="eastAsia"/>
              </w:rPr>
              <w:t>5.推行农业绿色生产方式，协同推进种植业、养殖业节能减排与污染治理；推广生物质能、太阳能等绿色用能模式，加快农业及农产品加工设施等可再生能源替代。</w:t>
            </w:r>
          </w:p>
        </w:tc>
        <w:tc>
          <w:tcPr>
            <w:tcW w:w="1418" w:type="pct"/>
            <w:vAlign w:val="center"/>
          </w:tcPr>
          <w:p>
            <w:pPr>
              <w:adjustRightInd w:val="0"/>
              <w:snapToGrid w:val="0"/>
              <w:spacing w:line="360" w:lineRule="exact"/>
              <w:jc w:val="left"/>
              <w:rPr>
                <w:bCs/>
                <w:snapToGrid w:val="0"/>
                <w:color w:val="000000"/>
                <w:szCs w:val="21"/>
              </w:rPr>
            </w:pPr>
            <w:r>
              <w:rPr>
                <w:rFonts w:hint="eastAsia"/>
                <w:bCs/>
                <w:snapToGrid w:val="0"/>
                <w:szCs w:val="21"/>
              </w:rPr>
              <w:t>1</w:t>
            </w:r>
            <w:r>
              <w:rPr>
                <w:bCs/>
                <w:snapToGrid w:val="0"/>
                <w:szCs w:val="21"/>
              </w:rPr>
              <w:t>.</w:t>
            </w:r>
            <w:r>
              <w:rPr>
                <w:rFonts w:hint="eastAsia"/>
                <w:bCs/>
                <w:snapToGrid w:val="0"/>
                <w:szCs w:val="21"/>
              </w:rPr>
              <w:t>本项目废气执行</w:t>
            </w:r>
            <w:r>
              <w:rPr>
                <w:bCs/>
                <w:snapToGrid w:val="0"/>
                <w:color w:val="000000"/>
                <w:szCs w:val="21"/>
              </w:rPr>
              <w:t>《恶臭污染物排放标准》</w:t>
            </w:r>
          </w:p>
          <w:p>
            <w:pPr>
              <w:adjustRightInd w:val="0"/>
              <w:snapToGrid w:val="0"/>
              <w:jc w:val="left"/>
              <w:rPr>
                <w:bCs/>
                <w:snapToGrid w:val="0"/>
                <w:szCs w:val="21"/>
              </w:rPr>
            </w:pPr>
            <w:r>
              <w:rPr>
                <w:bCs/>
                <w:snapToGrid w:val="0"/>
                <w:szCs w:val="21"/>
              </w:rPr>
              <w:t>（GB14554-93）</w:t>
            </w:r>
            <w:r>
              <w:rPr>
                <w:rFonts w:hint="eastAsia"/>
                <w:bCs/>
                <w:snapToGrid w:val="0"/>
                <w:szCs w:val="21"/>
              </w:rPr>
              <w:t>。</w:t>
            </w:r>
          </w:p>
          <w:p>
            <w:pPr>
              <w:adjustRightInd w:val="0"/>
              <w:snapToGrid w:val="0"/>
              <w:jc w:val="left"/>
              <w:rPr>
                <w:bCs/>
                <w:snapToGrid w:val="0"/>
                <w:szCs w:val="21"/>
              </w:rPr>
            </w:pPr>
            <w:r>
              <w:rPr>
                <w:rFonts w:hint="eastAsia"/>
                <w:bCs/>
                <w:snapToGrid w:val="0"/>
                <w:szCs w:val="21"/>
              </w:rPr>
              <w:t>2</w:t>
            </w:r>
            <w:r>
              <w:rPr>
                <w:bCs/>
                <w:snapToGrid w:val="0"/>
                <w:szCs w:val="21"/>
              </w:rPr>
              <w:t>.</w:t>
            </w:r>
            <w:r>
              <w:rPr>
                <w:rFonts w:hint="eastAsia"/>
                <w:bCs/>
                <w:snapToGrid w:val="0"/>
                <w:szCs w:val="21"/>
              </w:rPr>
              <w:t>不涉及。</w:t>
            </w:r>
          </w:p>
          <w:p>
            <w:pPr>
              <w:adjustRightInd w:val="0"/>
              <w:snapToGrid w:val="0"/>
              <w:jc w:val="left"/>
              <w:rPr>
                <w:bCs/>
                <w:snapToGrid w:val="0"/>
                <w:szCs w:val="21"/>
              </w:rPr>
            </w:pPr>
            <w:r>
              <w:rPr>
                <w:rFonts w:hint="eastAsia"/>
                <w:bCs/>
                <w:snapToGrid w:val="0"/>
                <w:szCs w:val="21"/>
              </w:rPr>
              <w:t>3.不涉及。</w:t>
            </w:r>
          </w:p>
          <w:p>
            <w:pPr>
              <w:adjustRightInd w:val="0"/>
              <w:snapToGrid w:val="0"/>
              <w:jc w:val="left"/>
              <w:rPr>
                <w:bCs/>
                <w:snapToGrid w:val="0"/>
                <w:szCs w:val="21"/>
              </w:rPr>
            </w:pPr>
            <w:r>
              <w:rPr>
                <w:rFonts w:hint="eastAsia"/>
                <w:bCs/>
                <w:snapToGrid w:val="0"/>
                <w:szCs w:val="21"/>
              </w:rPr>
              <w:t>4</w:t>
            </w:r>
            <w:r>
              <w:rPr>
                <w:bCs/>
                <w:snapToGrid w:val="0"/>
                <w:szCs w:val="21"/>
              </w:rPr>
              <w:t>.</w:t>
            </w:r>
            <w:r>
              <w:rPr>
                <w:rFonts w:hint="eastAsia"/>
                <w:bCs/>
                <w:snapToGrid w:val="0"/>
                <w:szCs w:val="21"/>
              </w:rPr>
              <w:t>不涉及。</w:t>
            </w:r>
          </w:p>
          <w:p>
            <w:pPr>
              <w:adjustRightInd w:val="0"/>
              <w:snapToGrid w:val="0"/>
              <w:jc w:val="left"/>
              <w:rPr>
                <w:bCs/>
                <w:snapToGrid w:val="0"/>
                <w:szCs w:val="21"/>
              </w:rPr>
            </w:pPr>
            <w:r>
              <w:rPr>
                <w:rFonts w:hint="eastAsia"/>
                <w:bCs/>
                <w:snapToGrid w:val="0"/>
                <w:szCs w:val="21"/>
              </w:rPr>
              <w:t>5</w:t>
            </w:r>
            <w:r>
              <w:rPr>
                <w:bCs/>
                <w:snapToGrid w:val="0"/>
                <w:szCs w:val="21"/>
              </w:rPr>
              <w:t>.</w:t>
            </w:r>
            <w:r>
              <w:rPr>
                <w:rFonts w:hint="eastAsia"/>
                <w:bCs/>
                <w:snapToGrid w:val="0"/>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4"/>
            <w:vAlign w:val="center"/>
          </w:tcPr>
          <w:p>
            <w:pPr>
              <w:adjustRightInd w:val="0"/>
              <w:snapToGrid w:val="0"/>
              <w:jc w:val="center"/>
              <w:rPr>
                <w:b/>
                <w:snapToGrid w:val="0"/>
                <w:szCs w:val="21"/>
              </w:rPr>
            </w:pPr>
            <w:r>
              <w:rPr>
                <w:rFonts w:hint="eastAsia"/>
                <w:b/>
                <w:snapToGrid w:val="0"/>
                <w:szCs w:val="21"/>
              </w:rPr>
              <w:t>三、重点流域生态环境管控要求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Align w:val="center"/>
          </w:tcPr>
          <w:p>
            <w:pPr>
              <w:widowControl/>
              <w:jc w:val="center"/>
              <w:textAlignment w:val="center"/>
              <w:rPr>
                <w:szCs w:val="21"/>
              </w:rPr>
            </w:pPr>
            <w:r>
              <w:rPr>
                <w:rFonts w:hint="eastAsia"/>
                <w:szCs w:val="21"/>
              </w:rPr>
              <w:t>流域</w:t>
            </w:r>
          </w:p>
        </w:tc>
        <w:tc>
          <w:tcPr>
            <w:tcW w:w="368" w:type="pct"/>
            <w:vAlign w:val="center"/>
          </w:tcPr>
          <w:p>
            <w:pPr>
              <w:widowControl/>
              <w:jc w:val="center"/>
              <w:textAlignment w:val="center"/>
              <w:rPr>
                <w:szCs w:val="21"/>
              </w:rPr>
            </w:pPr>
            <w:r>
              <w:rPr>
                <w:rFonts w:hint="eastAsia"/>
                <w:szCs w:val="21"/>
              </w:rPr>
              <w:t>管控类别</w:t>
            </w:r>
          </w:p>
        </w:tc>
        <w:tc>
          <w:tcPr>
            <w:tcW w:w="2836" w:type="pct"/>
            <w:vAlign w:val="center"/>
          </w:tcPr>
          <w:p>
            <w:pPr>
              <w:jc w:val="center"/>
            </w:pPr>
            <w:r>
              <w:rPr>
                <w:rFonts w:hint="eastAsia"/>
              </w:rPr>
              <w:t>管控要求</w:t>
            </w:r>
          </w:p>
        </w:tc>
        <w:tc>
          <w:tcPr>
            <w:tcW w:w="1418" w:type="pct"/>
            <w:vAlign w:val="center"/>
          </w:tcPr>
          <w:p>
            <w:pPr>
              <w:adjustRightInd w:val="0"/>
              <w:snapToGrid w:val="0"/>
              <w:jc w:val="center"/>
              <w:rPr>
                <w:bCs/>
                <w:snapToGrid w:val="0"/>
                <w:szCs w:val="21"/>
              </w:rPr>
            </w:pPr>
            <w:r>
              <w:rPr>
                <w:b/>
                <w:bCs/>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restart"/>
            <w:vAlign w:val="center"/>
          </w:tcPr>
          <w:p>
            <w:pPr>
              <w:widowControl/>
              <w:jc w:val="center"/>
              <w:textAlignment w:val="center"/>
              <w:rPr>
                <w:szCs w:val="21"/>
              </w:rPr>
            </w:pPr>
            <w:r>
              <w:rPr>
                <w:rFonts w:hint="eastAsia"/>
                <w:szCs w:val="21"/>
              </w:rPr>
              <w:t>省辖黄河流域</w:t>
            </w:r>
          </w:p>
        </w:tc>
        <w:tc>
          <w:tcPr>
            <w:tcW w:w="368" w:type="pct"/>
            <w:vAlign w:val="center"/>
          </w:tcPr>
          <w:p>
            <w:pPr>
              <w:widowControl/>
              <w:jc w:val="center"/>
              <w:textAlignment w:val="center"/>
              <w:rPr>
                <w:szCs w:val="21"/>
              </w:rPr>
            </w:pPr>
            <w:r>
              <w:t>空间布局约束</w:t>
            </w:r>
          </w:p>
        </w:tc>
        <w:tc>
          <w:tcPr>
            <w:tcW w:w="2836" w:type="pct"/>
            <w:vAlign w:val="center"/>
          </w:tcPr>
          <w:p>
            <w:r>
              <w:rPr>
                <w:rFonts w:hint="eastAsia"/>
              </w:rPr>
              <w:t>1.牢牢把握共同抓好大保护、协同推进大治理的战略导向，对省域范围内需要重点保护的岸线、河段和区域实行严格管控，严控高污染、高耗能、高耗水项目，属于落后产能的项目坚决淘汰;不符合产业政策、生态环境分区管控方案、规划环评以及能耗、水耗等有关要求的工业项目一律不得批准或备案，推动黄河流域高质量发展。2.有序规范水电开发；加强水电站下泄生态水量监督，保障重要断面生态需水。</w:t>
            </w:r>
          </w:p>
          <w:p>
            <w:r>
              <w:rPr>
                <w:rFonts w:hint="eastAsia"/>
              </w:rPr>
              <w:t>3.实施滩区国土空间差别化用途管制，严格限制自发修建生产堤等无序活动，依法打击非法采土、盗挖河砂、私搭乱建等行为。</w:t>
            </w:r>
          </w:p>
          <w:p>
            <w:r>
              <w:rPr>
                <w:rFonts w:hint="eastAsia"/>
              </w:rPr>
              <w:t>4.推进沿黄重点地区拟建工业项目按要求进入合规工业园区。对不符合安全、环保、用地、取水等规定或手续不齐全的园区，要按相关规定限期整改，整改到位前不得再落地新的工业项目。</w:t>
            </w:r>
          </w:p>
          <w:p>
            <w:r>
              <w:rPr>
                <w:rFonts w:hint="eastAsia"/>
              </w:rPr>
              <w:t>5.禁止将黄河湿地保护区域规划为城市建设用地、商业用地、基本农田；禁止在黄河湿地保护区域内建设居民点、厂房、仓库、餐饮娱乐等设施；禁止其他非防洪防汛和湿地保护的建设活动。</w:t>
            </w:r>
          </w:p>
          <w:p>
            <w:r>
              <w:rPr>
                <w:rFonts w:hint="eastAsia"/>
              </w:rPr>
              <w:t>6.禁止在黄河干支流岸线管控范围内新建、扩建化工园区和化工项目；禁止在黄河干流岸线和重要支流岸线的管控范围内新建、改建、扩建尾矿库，但是以提升安全水平、生态环境保护水平为目的的改建除外。</w:t>
            </w:r>
          </w:p>
          <w:p>
            <w:r>
              <w:rPr>
                <w:rFonts w:hint="eastAsia"/>
              </w:rPr>
              <w:t>7.严格落实南水北调干渠水源地保护的有关规定，避免水体受到污染。</w:t>
            </w:r>
          </w:p>
        </w:tc>
        <w:tc>
          <w:tcPr>
            <w:tcW w:w="1418" w:type="pct"/>
            <w:vAlign w:val="center"/>
          </w:tcPr>
          <w:p>
            <w:pPr>
              <w:adjustRightInd w:val="0"/>
              <w:snapToGrid w:val="0"/>
              <w:jc w:val="left"/>
              <w:rPr>
                <w:bCs/>
                <w:snapToGrid w:val="0"/>
                <w:szCs w:val="21"/>
              </w:rPr>
            </w:pPr>
            <w:r>
              <w:rPr>
                <w:rFonts w:hint="eastAsia"/>
                <w:bCs/>
                <w:snapToGrid w:val="0"/>
                <w:szCs w:val="21"/>
              </w:rPr>
              <w:t>1</w:t>
            </w:r>
            <w:r>
              <w:rPr>
                <w:bCs/>
                <w:snapToGrid w:val="0"/>
                <w:szCs w:val="21"/>
              </w:rPr>
              <w:t>.</w:t>
            </w:r>
            <w:r>
              <w:rPr>
                <w:rFonts w:hint="eastAsia"/>
                <w:bCs/>
                <w:snapToGrid w:val="0"/>
                <w:szCs w:val="21"/>
              </w:rPr>
              <w:t>不涉及。</w:t>
            </w:r>
          </w:p>
          <w:p>
            <w:pPr>
              <w:adjustRightInd w:val="0"/>
              <w:snapToGrid w:val="0"/>
              <w:jc w:val="left"/>
              <w:rPr>
                <w:bCs/>
                <w:snapToGrid w:val="0"/>
                <w:szCs w:val="21"/>
              </w:rPr>
            </w:pPr>
            <w:r>
              <w:rPr>
                <w:rFonts w:hint="eastAsia"/>
                <w:bCs/>
                <w:snapToGrid w:val="0"/>
                <w:szCs w:val="21"/>
              </w:rPr>
              <w:t>2</w:t>
            </w:r>
            <w:r>
              <w:rPr>
                <w:bCs/>
                <w:snapToGrid w:val="0"/>
                <w:szCs w:val="21"/>
              </w:rPr>
              <w:t>.</w:t>
            </w:r>
            <w:r>
              <w:rPr>
                <w:rFonts w:hint="eastAsia"/>
                <w:bCs/>
                <w:snapToGrid w:val="0"/>
                <w:szCs w:val="21"/>
              </w:rPr>
              <w:t>不涉及。</w:t>
            </w:r>
          </w:p>
          <w:p>
            <w:pPr>
              <w:adjustRightInd w:val="0"/>
              <w:snapToGrid w:val="0"/>
              <w:jc w:val="left"/>
              <w:rPr>
                <w:bCs/>
                <w:snapToGrid w:val="0"/>
                <w:szCs w:val="21"/>
              </w:rPr>
            </w:pPr>
            <w:r>
              <w:rPr>
                <w:rFonts w:hint="eastAsia"/>
                <w:bCs/>
                <w:snapToGrid w:val="0"/>
                <w:szCs w:val="21"/>
              </w:rPr>
              <w:t>3.不涉及。</w:t>
            </w:r>
          </w:p>
          <w:p>
            <w:pPr>
              <w:adjustRightInd w:val="0"/>
              <w:snapToGrid w:val="0"/>
              <w:jc w:val="left"/>
              <w:rPr>
                <w:bCs/>
                <w:snapToGrid w:val="0"/>
                <w:szCs w:val="21"/>
              </w:rPr>
            </w:pPr>
            <w:r>
              <w:rPr>
                <w:rFonts w:hint="eastAsia"/>
                <w:bCs/>
                <w:snapToGrid w:val="0"/>
                <w:szCs w:val="21"/>
              </w:rPr>
              <w:t>4</w:t>
            </w:r>
            <w:r>
              <w:rPr>
                <w:bCs/>
                <w:snapToGrid w:val="0"/>
                <w:szCs w:val="21"/>
              </w:rPr>
              <w:t>.</w:t>
            </w:r>
            <w:r>
              <w:rPr>
                <w:rFonts w:hint="eastAsia"/>
                <w:bCs/>
                <w:snapToGrid w:val="0"/>
                <w:szCs w:val="21"/>
              </w:rPr>
              <w:t>不涉及。</w:t>
            </w:r>
          </w:p>
          <w:p>
            <w:pPr>
              <w:adjustRightInd w:val="0"/>
              <w:snapToGrid w:val="0"/>
              <w:jc w:val="left"/>
              <w:rPr>
                <w:bCs/>
                <w:snapToGrid w:val="0"/>
                <w:szCs w:val="21"/>
              </w:rPr>
            </w:pPr>
            <w:r>
              <w:rPr>
                <w:rFonts w:hint="eastAsia"/>
                <w:bCs/>
                <w:snapToGrid w:val="0"/>
                <w:szCs w:val="21"/>
              </w:rPr>
              <w:t>5</w:t>
            </w:r>
            <w:r>
              <w:rPr>
                <w:bCs/>
                <w:snapToGrid w:val="0"/>
                <w:szCs w:val="21"/>
              </w:rPr>
              <w:t>.</w:t>
            </w:r>
            <w:r>
              <w:rPr>
                <w:rFonts w:hint="eastAsia"/>
                <w:bCs/>
                <w:snapToGrid w:val="0"/>
                <w:szCs w:val="21"/>
              </w:rPr>
              <w:t>本项目位于原阳县产业聚集区永安路南侧、金祥南街西侧、小庄排河东侧，</w:t>
            </w:r>
            <w:r>
              <w:rPr>
                <w:bCs/>
                <w:color w:val="000000"/>
                <w:szCs w:val="21"/>
              </w:rPr>
              <w:t>根据</w:t>
            </w:r>
            <w:r>
              <w:rPr>
                <w:rFonts w:hint="eastAsia"/>
                <w:bCs/>
                <w:color w:val="000000"/>
                <w:szCs w:val="21"/>
              </w:rPr>
              <w:t>《</w:t>
            </w:r>
            <w:r>
              <w:rPr>
                <w:bCs/>
                <w:color w:val="000000"/>
                <w:szCs w:val="21"/>
              </w:rPr>
              <w:t>原阳县产业集聚区发展规划--用地规划图</w:t>
            </w:r>
            <w:r>
              <w:rPr>
                <w:rFonts w:hint="eastAsia"/>
                <w:bCs/>
                <w:color w:val="000000"/>
                <w:szCs w:val="21"/>
              </w:rPr>
              <w:t>》，本项目占地为二类工业用地，</w:t>
            </w:r>
            <w:r>
              <w:rPr>
                <w:rFonts w:hint="eastAsia"/>
                <w:bCs/>
                <w:snapToGrid w:val="0"/>
                <w:szCs w:val="21"/>
              </w:rPr>
              <w:t>不在</w:t>
            </w:r>
            <w:r>
              <w:rPr>
                <w:rFonts w:hint="eastAsia"/>
                <w:bCs/>
                <w:color w:val="000000"/>
                <w:szCs w:val="21"/>
              </w:rPr>
              <w:t>黄河湿地保护区域内</w:t>
            </w:r>
            <w:r>
              <w:rPr>
                <w:rFonts w:hint="eastAsia"/>
                <w:bCs/>
                <w:snapToGrid w:val="0"/>
                <w:szCs w:val="21"/>
              </w:rPr>
              <w:t>。</w:t>
            </w:r>
          </w:p>
          <w:p>
            <w:pPr>
              <w:adjustRightInd w:val="0"/>
              <w:snapToGrid w:val="0"/>
              <w:jc w:val="left"/>
              <w:rPr>
                <w:bCs/>
                <w:snapToGrid w:val="0"/>
                <w:szCs w:val="21"/>
              </w:rPr>
            </w:pPr>
            <w:r>
              <w:rPr>
                <w:rFonts w:hint="eastAsia"/>
                <w:bCs/>
                <w:snapToGrid w:val="0"/>
                <w:szCs w:val="21"/>
              </w:rPr>
              <w:t>6</w:t>
            </w:r>
            <w:r>
              <w:rPr>
                <w:bCs/>
                <w:snapToGrid w:val="0"/>
                <w:szCs w:val="21"/>
              </w:rPr>
              <w:t>.</w:t>
            </w:r>
            <w:r>
              <w:rPr>
                <w:rFonts w:hint="eastAsia"/>
                <w:bCs/>
                <w:color w:val="000000"/>
                <w:szCs w:val="21"/>
              </w:rPr>
              <w:t>本项目属于新建项目，</w:t>
            </w:r>
            <w:r>
              <w:rPr>
                <w:rFonts w:ascii="Calibri" w:hAnsi="Calibri"/>
                <w:bCs/>
                <w:snapToGrid w:val="0"/>
                <w:color w:val="000000"/>
                <w:szCs w:val="21"/>
              </w:rPr>
              <w:t>属于</w:t>
            </w:r>
            <w:r>
              <w:rPr>
                <w:rFonts w:hint="eastAsia" w:ascii="Calibri" w:hAnsi="Calibri"/>
                <w:bCs/>
                <w:snapToGrid w:val="0"/>
                <w:color w:val="000000"/>
                <w:szCs w:val="21"/>
              </w:rPr>
              <w:t>房地产业、水的生产和供应业，不属于</w:t>
            </w:r>
            <w:r>
              <w:rPr>
                <w:rFonts w:hint="eastAsia"/>
                <w:bCs/>
                <w:color w:val="000000"/>
                <w:szCs w:val="21"/>
              </w:rPr>
              <w:t>化工项目、尾矿库。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78" w:type="pct"/>
            <w:vMerge w:val="continue"/>
            <w:vAlign w:val="center"/>
          </w:tcPr>
          <w:p>
            <w:pPr>
              <w:widowControl/>
              <w:jc w:val="center"/>
              <w:textAlignment w:val="center"/>
              <w:rPr>
                <w:szCs w:val="21"/>
              </w:rPr>
            </w:pPr>
          </w:p>
        </w:tc>
        <w:tc>
          <w:tcPr>
            <w:tcW w:w="368" w:type="pct"/>
            <w:vAlign w:val="center"/>
          </w:tcPr>
          <w:p>
            <w:pPr>
              <w:widowControl/>
              <w:jc w:val="center"/>
              <w:textAlignment w:val="center"/>
            </w:pPr>
            <w:r>
              <w:rPr>
                <w:rFonts w:hint="eastAsia"/>
              </w:rPr>
              <w:t>污染物排放管控</w:t>
            </w:r>
          </w:p>
        </w:tc>
        <w:tc>
          <w:tcPr>
            <w:tcW w:w="2836" w:type="pct"/>
            <w:vAlign w:val="center"/>
          </w:tcPr>
          <w:p>
            <w:r>
              <w:rPr>
                <w:rFonts w:hint="eastAsia"/>
              </w:rPr>
              <w:t>1.严格执行《河南省黄河流域水污染物排放标准》(DB41/2087-2021)。</w:t>
            </w:r>
          </w:p>
          <w:p>
            <w:r>
              <w:rPr>
                <w:rFonts w:hint="eastAsia"/>
              </w:rPr>
              <w:t>2.因地制宜开展黄河滩区农村生活污水治理，做好农村垃圾污染防治工作；实施大中型灌区农田退水污染治理；提升畜禽养殖粪污资源化利用水平；统筹推进农业面源污染工业污染、城乡生活污染防治和矿区生态环境综合整治。</w:t>
            </w:r>
          </w:p>
        </w:tc>
        <w:tc>
          <w:tcPr>
            <w:tcW w:w="1418" w:type="pct"/>
            <w:vAlign w:val="center"/>
          </w:tcPr>
          <w:p>
            <w:pPr>
              <w:adjustRightInd w:val="0"/>
              <w:snapToGrid w:val="0"/>
              <w:jc w:val="left"/>
              <w:rPr>
                <w:bCs/>
                <w:snapToGrid w:val="0"/>
                <w:szCs w:val="21"/>
              </w:rPr>
            </w:pPr>
            <w:r>
              <w:rPr>
                <w:rFonts w:hint="eastAsia"/>
                <w:bCs/>
                <w:snapToGrid w:val="0"/>
                <w:szCs w:val="21"/>
              </w:rPr>
              <w:t>1</w:t>
            </w:r>
            <w:r>
              <w:rPr>
                <w:bCs/>
                <w:snapToGrid w:val="0"/>
                <w:szCs w:val="21"/>
              </w:rPr>
              <w:t>.</w:t>
            </w:r>
          </w:p>
          <w:p>
            <w:pPr>
              <w:adjustRightInd w:val="0"/>
              <w:snapToGrid w:val="0"/>
              <w:jc w:val="left"/>
              <w:rPr>
                <w:bCs/>
                <w:snapToGrid w:val="0"/>
                <w:szCs w:val="21"/>
              </w:rPr>
            </w:pPr>
            <w:r>
              <w:rPr>
                <w:rFonts w:hint="eastAsia"/>
                <w:bCs/>
                <w:snapToGrid w:val="0"/>
                <w:szCs w:val="21"/>
              </w:rPr>
              <w:t>2</w:t>
            </w:r>
            <w:r>
              <w:rPr>
                <w:bCs/>
                <w:snapToGrid w:val="0"/>
                <w:szCs w:val="21"/>
              </w:rPr>
              <w:t>.</w:t>
            </w:r>
            <w:r>
              <w:rPr>
                <w:rFonts w:hint="eastAsia"/>
                <w:bCs/>
                <w:snapToGrid w:val="0"/>
                <w:szCs w:val="21"/>
              </w:rPr>
              <w:t>不涉及。</w:t>
            </w:r>
          </w:p>
        </w:tc>
      </w:tr>
    </w:tbl>
    <w:p>
      <w:pPr>
        <w:spacing w:line="520" w:lineRule="exact"/>
        <w:ind w:firstLine="480" w:firstLineChars="200"/>
        <w:jc w:val="left"/>
        <w:rPr>
          <w:sz w:val="24"/>
        </w:rPr>
      </w:pPr>
      <w:r>
        <w:rPr>
          <w:sz w:val="24"/>
        </w:rPr>
        <w:t>根据上表可知，本项目与《&lt;河南省生态环境分区管控总体要求（</w:t>
      </w:r>
      <w:r>
        <w:rPr>
          <w:rFonts w:hint="eastAsia"/>
          <w:sz w:val="24"/>
        </w:rPr>
        <w:t>2</w:t>
      </w:r>
      <w:r>
        <w:rPr>
          <w:sz w:val="24"/>
        </w:rPr>
        <w:t>023</w:t>
      </w:r>
      <w:r>
        <w:rPr>
          <w:rFonts w:hint="eastAsia"/>
          <w:sz w:val="24"/>
        </w:rPr>
        <w:t>年版</w:t>
      </w:r>
      <w:r>
        <w:rPr>
          <w:sz w:val="24"/>
        </w:rPr>
        <w:t>）》相符。</w:t>
      </w:r>
    </w:p>
    <w:p>
      <w:pPr>
        <w:spacing w:line="520" w:lineRule="exact"/>
        <w:ind w:firstLine="480" w:firstLineChars="200"/>
        <w:jc w:val="left"/>
        <w:rPr>
          <w:sz w:val="24"/>
          <w:highlight w:val="yellow"/>
        </w:rPr>
        <w:sectPr>
          <w:pgSz w:w="16838" w:h="11906" w:orient="landscape"/>
          <w:pgMar w:top="1588" w:right="1701" w:bottom="1588" w:left="1701" w:header="851" w:footer="992" w:gutter="0"/>
          <w:cols w:space="425" w:num="1"/>
          <w:docGrid w:linePitch="312" w:charSpace="0"/>
        </w:sectPr>
      </w:pPr>
    </w:p>
    <w:p>
      <w:pPr>
        <w:spacing w:line="520" w:lineRule="exact"/>
        <w:jc w:val="left"/>
        <w:outlineLvl w:val="3"/>
        <w:rPr>
          <w:sz w:val="24"/>
        </w:rPr>
      </w:pPr>
      <w:r>
        <w:rPr>
          <w:sz w:val="24"/>
        </w:rPr>
        <w:t>2.8.5.5 与《新乡市“三线一单”生态环境准入清单（</w:t>
      </w:r>
      <w:r>
        <w:rPr>
          <w:rFonts w:hint="eastAsia"/>
          <w:sz w:val="24"/>
        </w:rPr>
        <w:t>2</w:t>
      </w:r>
      <w:r>
        <w:rPr>
          <w:sz w:val="24"/>
        </w:rPr>
        <w:t>023</w:t>
      </w:r>
      <w:r>
        <w:rPr>
          <w:rFonts w:hint="eastAsia"/>
          <w:sz w:val="24"/>
        </w:rPr>
        <w:t>年版</w:t>
      </w:r>
      <w:r>
        <w:rPr>
          <w:sz w:val="24"/>
        </w:rPr>
        <w:t>）》中的相关内容对比一致性分析</w:t>
      </w:r>
    </w:p>
    <w:p>
      <w:pPr>
        <w:spacing w:line="520" w:lineRule="exact"/>
        <w:ind w:firstLine="480" w:firstLineChars="200"/>
        <w:jc w:val="left"/>
        <w:rPr>
          <w:sz w:val="24"/>
        </w:rPr>
      </w:pPr>
      <w:r>
        <w:rPr>
          <w:sz w:val="24"/>
        </w:rPr>
        <w:t>本项目厂址位于</w:t>
      </w:r>
      <w:r>
        <w:rPr>
          <w:rFonts w:hint="eastAsia"/>
          <w:sz w:val="24"/>
        </w:rPr>
        <w:t>原阳县</w:t>
      </w:r>
      <w:r>
        <w:rPr>
          <w:sz w:val="24"/>
        </w:rPr>
        <w:t>产业集聚区，根据《新乡市环境管控单元图》，本项目位于重点管控区，详见图2.8-4。</w:t>
      </w:r>
    </w:p>
    <w:p>
      <w:pPr>
        <w:jc w:val="center"/>
        <w:rPr>
          <w:sz w:val="24"/>
          <w:highlight w:val="yellow"/>
        </w:rPr>
      </w:pPr>
      <w:r>
        <w:rPr>
          <w:rFonts w:ascii="Calibri" w:hAnsi="Calibri"/>
        </w:rPr>
        <mc:AlternateContent>
          <mc:Choice Requires="wps">
            <w:drawing>
              <wp:anchor distT="0" distB="0" distL="114300" distR="114300" simplePos="0" relativeHeight="251743232" behindDoc="0" locked="0" layoutInCell="1" allowOverlap="1">
                <wp:simplePos x="0" y="0"/>
                <wp:positionH relativeFrom="column">
                  <wp:posOffset>3041015</wp:posOffset>
                </wp:positionH>
                <wp:positionV relativeFrom="paragraph">
                  <wp:posOffset>1198245</wp:posOffset>
                </wp:positionV>
                <wp:extent cx="678815" cy="262890"/>
                <wp:effectExtent l="10795" t="8255" r="5715" b="738505"/>
                <wp:wrapNone/>
                <wp:docPr id="287853542" name="对话气泡: 圆角矩形 12"/>
                <wp:cNvGraphicFramePr/>
                <a:graphic xmlns:a="http://schemas.openxmlformats.org/drawingml/2006/main">
                  <a:graphicData uri="http://schemas.microsoft.com/office/word/2010/wordprocessingShape">
                    <wps:wsp>
                      <wps:cNvSpPr>
                        <a:spLocks noChangeArrowheads="1"/>
                      </wps:cNvSpPr>
                      <wps:spPr bwMode="auto">
                        <a:xfrm>
                          <a:off x="0" y="0"/>
                          <a:ext cx="678815" cy="262890"/>
                        </a:xfrm>
                        <a:prstGeom prst="wedgeRoundRectCallout">
                          <a:avLst>
                            <a:gd name="adj1" fmla="val -47472"/>
                            <a:gd name="adj2" fmla="val 313042"/>
                            <a:gd name="adj3" fmla="val 16667"/>
                          </a:avLst>
                        </a:prstGeom>
                        <a:solidFill>
                          <a:srgbClr val="FFFFFF"/>
                        </a:solidFill>
                        <a:ln w="9525">
                          <a:solidFill>
                            <a:srgbClr val="000000"/>
                          </a:solidFill>
                          <a:miter lim="800000"/>
                        </a:ln>
                      </wps:spPr>
                      <wps:txbx>
                        <w:txbxContent>
                          <w:p>
                            <w:pPr>
                              <w:spacing w:line="240" w:lineRule="exact"/>
                            </w:pPr>
                            <w:r>
                              <w:rPr>
                                <w:rFonts w:hint="eastAsia"/>
                              </w:rPr>
                              <w:t>本项目</w:t>
                            </w:r>
                          </w:p>
                        </w:txbxContent>
                      </wps:txbx>
                      <wps:bodyPr rot="0" vert="horz" wrap="square" lIns="91440" tIns="45720" rIns="91440" bIns="45720" anchor="t" anchorCtr="0" upright="1">
                        <a:noAutofit/>
                      </wps:bodyPr>
                    </wps:wsp>
                  </a:graphicData>
                </a:graphic>
              </wp:anchor>
            </w:drawing>
          </mc:Choice>
          <mc:Fallback>
            <w:pict>
              <v:shape id="对话气泡: 圆角矩形 12" o:spid="_x0000_s1026" o:spt="62" type="#_x0000_t62" style="position:absolute;left:0pt;margin-left:239.45pt;margin-top:94.35pt;height:20.7pt;width:53.45pt;z-index:251743232;mso-width-relative:page;mso-height-relative:page;" fillcolor="#FFFFFF" filled="t" stroked="t" coordsize="21600,21600" o:gfxdata="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OepaEfcAAAACwEAAA8AAAAAAAAAAQAgAAAAIgAAAGRycy9kb3ducmV2LnhtbFBL&#10;AQIUABQAAAAIAIdO4kB1Z+qBnQIAAB4FAAAOAAAAAAAAAAEAIAAAACsBAABkcnMvZTJvRG9jLnht&#10;bFBLBQYAAAAABgAGAFkBAAA6BgAAAAA=&#10;" adj="546,78417,14400">
                <v:fill on="t" focussize="0,0"/>
                <v:stroke color="#000000" miterlimit="8" joinstyle="miter"/>
                <v:imagedata o:title=""/>
                <o:lock v:ext="edit" aspectratio="f"/>
                <v:textbox>
                  <w:txbxContent>
                    <w:p>
                      <w:pPr>
                        <w:spacing w:line="240" w:lineRule="exact"/>
                      </w:pPr>
                      <w:r>
                        <w:rPr>
                          <w:rFonts w:hint="eastAsia"/>
                        </w:rPr>
                        <w:t>本项目</w:t>
                      </w:r>
                    </w:p>
                  </w:txbxContent>
                </v:textbox>
              </v:shape>
            </w:pict>
          </mc:Fallback>
        </mc:AlternateContent>
      </w:r>
      <w:r>
        <w:rPr>
          <w:rFonts w:ascii="Calibri" w:hAnsi="Calibri"/>
        </w:rPr>
        <w:drawing>
          <wp:inline distT="0" distB="0" distL="0" distR="0">
            <wp:extent cx="5553075" cy="4168140"/>
            <wp:effectExtent l="0" t="0" r="9525" b="3810"/>
            <wp:docPr id="2125051799" name="图片 8"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51799" name="图片 8" descr="图片包含 地图&#10;&#10;描述已自动生成"/>
                    <pic:cNvPicPr>
                      <a:picLocks noChangeAspect="1" noChangeArrowheads="1"/>
                    </pic:cNvPicPr>
                  </pic:nvPicPr>
                  <pic:blipFill>
                    <a:blip r:embed="rId41"/>
                    <a:srcRect/>
                    <a:stretch>
                      <a:fillRect/>
                    </a:stretch>
                  </pic:blipFill>
                  <pic:spPr>
                    <a:xfrm>
                      <a:off x="0" y="0"/>
                      <a:ext cx="5553075" cy="4168140"/>
                    </a:xfrm>
                    <a:prstGeom prst="rect">
                      <a:avLst/>
                    </a:prstGeom>
                    <a:noFill/>
                    <a:ln>
                      <a:noFill/>
                    </a:ln>
                  </pic:spPr>
                </pic:pic>
              </a:graphicData>
            </a:graphic>
          </wp:inline>
        </w:drawing>
      </w:r>
    </w:p>
    <w:p>
      <w:pPr>
        <w:spacing w:line="520" w:lineRule="atLeast"/>
        <w:jc w:val="center"/>
        <w:rPr>
          <w:rFonts w:eastAsia="黑体"/>
          <w:sz w:val="24"/>
          <w:szCs w:val="28"/>
        </w:rPr>
      </w:pPr>
      <w:r>
        <w:rPr>
          <w:rFonts w:eastAsia="黑体"/>
          <w:sz w:val="24"/>
          <w:szCs w:val="28"/>
        </w:rPr>
        <w:t>图2.8-4  新乡市环境管控单元图</w:t>
      </w:r>
    </w:p>
    <w:p>
      <w:pPr>
        <w:spacing w:line="520" w:lineRule="exact"/>
        <w:ind w:firstLine="480" w:firstLineChars="200"/>
        <w:jc w:val="left"/>
        <w:rPr>
          <w:sz w:val="24"/>
        </w:rPr>
        <w:sectPr>
          <w:pgSz w:w="11906" w:h="16838"/>
          <w:pgMar w:top="1701" w:right="1588" w:bottom="1701" w:left="1588" w:header="851" w:footer="992" w:gutter="0"/>
          <w:cols w:space="425" w:num="1"/>
          <w:docGrid w:linePitch="312" w:charSpace="0"/>
        </w:sectPr>
      </w:pPr>
      <w:r>
        <w:rPr>
          <w:sz w:val="24"/>
        </w:rPr>
        <w:t>本项目与</w:t>
      </w:r>
      <w:r>
        <w:rPr>
          <w:rFonts w:hint="eastAsia"/>
          <w:sz w:val="24"/>
        </w:rPr>
        <w:t>新乡市生态环境局关于发布《新乡市“三线一单”生态环境准入清单（2</w:t>
      </w:r>
      <w:r>
        <w:rPr>
          <w:sz w:val="24"/>
        </w:rPr>
        <w:t>023</w:t>
      </w:r>
      <w:r>
        <w:rPr>
          <w:rFonts w:hint="eastAsia"/>
          <w:sz w:val="24"/>
        </w:rPr>
        <w:t>年版）》</w:t>
      </w:r>
      <w:r>
        <w:rPr>
          <w:sz w:val="24"/>
        </w:rPr>
        <w:t>（以下简称《清单》）对比一致性分析见下表。</w:t>
      </w:r>
    </w:p>
    <w:p>
      <w:pPr>
        <w:spacing w:before="120" w:beforeLines="50" w:line="360" w:lineRule="auto"/>
        <w:ind w:firstLine="480" w:firstLineChars="200"/>
        <w:rPr>
          <w:rFonts w:eastAsia="黑体"/>
          <w:sz w:val="24"/>
          <w:szCs w:val="24"/>
        </w:rPr>
      </w:pPr>
      <w:r>
        <w:rPr>
          <w:rFonts w:eastAsia="黑体"/>
          <w:sz w:val="24"/>
          <w:szCs w:val="24"/>
        </w:rPr>
        <w:t>表2.8-7                              本项目与《清单》对比分析一览表</w:t>
      </w:r>
    </w:p>
    <w:tbl>
      <w:tblPr>
        <w:tblStyle w:val="49"/>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24"/>
        <w:gridCol w:w="891"/>
        <w:gridCol w:w="772"/>
        <w:gridCol w:w="488"/>
        <w:gridCol w:w="522"/>
        <w:gridCol w:w="603"/>
        <w:gridCol w:w="5188"/>
        <w:gridCol w:w="3140"/>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3492" w:type="dxa"/>
            <w:gridSpan w:val="9"/>
            <w:vAlign w:val="center"/>
          </w:tcPr>
          <w:p>
            <w:pPr>
              <w:jc w:val="center"/>
              <w:rPr>
                <w:b/>
                <w:snapToGrid w:val="0"/>
                <w:szCs w:val="21"/>
              </w:rPr>
            </w:pPr>
            <w:r>
              <w:rPr>
                <w:b/>
                <w:sz w:val="24"/>
                <w:szCs w:val="24"/>
              </w:rPr>
              <w:t>新乡市生态环境总体准入要求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Align w:val="center"/>
          </w:tcPr>
          <w:p>
            <w:pPr>
              <w:jc w:val="center"/>
              <w:rPr>
                <w:b/>
                <w:snapToGrid w:val="0"/>
                <w:szCs w:val="21"/>
              </w:rPr>
            </w:pPr>
            <w:r>
              <w:rPr>
                <w:b/>
                <w:snapToGrid w:val="0"/>
                <w:szCs w:val="21"/>
              </w:rPr>
              <w:t>维度</w:t>
            </w:r>
          </w:p>
        </w:tc>
        <w:tc>
          <w:tcPr>
            <w:tcW w:w="5791" w:type="dxa"/>
            <w:gridSpan w:val="2"/>
            <w:vAlign w:val="center"/>
          </w:tcPr>
          <w:p>
            <w:pPr>
              <w:jc w:val="center"/>
              <w:rPr>
                <w:b/>
                <w:snapToGrid w:val="0"/>
                <w:szCs w:val="21"/>
              </w:rPr>
            </w:pPr>
            <w:r>
              <w:rPr>
                <w:b/>
                <w:snapToGrid w:val="0"/>
                <w:szCs w:val="21"/>
              </w:rPr>
              <w:t>管控要求</w:t>
            </w:r>
          </w:p>
        </w:tc>
        <w:tc>
          <w:tcPr>
            <w:tcW w:w="3140" w:type="dxa"/>
            <w:vAlign w:val="center"/>
          </w:tcPr>
          <w:p>
            <w:pPr>
              <w:jc w:val="center"/>
              <w:rPr>
                <w:b/>
                <w:snapToGrid w:val="0"/>
                <w:szCs w:val="21"/>
              </w:rPr>
            </w:pPr>
            <w:r>
              <w:rPr>
                <w:b/>
                <w:snapToGrid w:val="0"/>
                <w:szCs w:val="21"/>
              </w:rPr>
              <w:t>本项目情况</w:t>
            </w:r>
          </w:p>
        </w:tc>
        <w:tc>
          <w:tcPr>
            <w:tcW w:w="564" w:type="dxa"/>
            <w:vAlign w:val="center"/>
          </w:tcPr>
          <w:p>
            <w:pPr>
              <w:jc w:val="center"/>
              <w:rPr>
                <w:b/>
                <w:snapToGrid w:val="0"/>
                <w:szCs w:val="21"/>
              </w:rPr>
            </w:pPr>
            <w:r>
              <w:rPr>
                <w:b/>
                <w:snapToGrid w:val="0"/>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restart"/>
            <w:vAlign w:val="center"/>
          </w:tcPr>
          <w:p>
            <w:pPr>
              <w:contextualSpacing/>
              <w:jc w:val="center"/>
              <w:textAlignment w:val="baseline"/>
              <w:rPr>
                <w:kern w:val="0"/>
                <w:szCs w:val="21"/>
                <w:highlight w:val="yellow"/>
              </w:rPr>
            </w:pPr>
            <w:r>
              <w:rPr>
                <w:kern w:val="0"/>
                <w:szCs w:val="21"/>
              </w:rPr>
              <w:t>空间布局约束</w:t>
            </w:r>
          </w:p>
        </w:tc>
        <w:tc>
          <w:tcPr>
            <w:tcW w:w="5791" w:type="dxa"/>
            <w:gridSpan w:val="2"/>
            <w:vAlign w:val="center"/>
          </w:tcPr>
          <w:p>
            <w:pPr>
              <w:widowControl/>
              <w:textAlignment w:val="center"/>
              <w:rPr>
                <w:szCs w:val="21"/>
              </w:rPr>
            </w:pPr>
            <w:r>
              <w:rPr>
                <w:szCs w:val="21"/>
              </w:rPr>
              <w:t>1-4：自然保护区、风景名胜区、饮用水源保护区、南水北调保护区的相关管控要求。</w:t>
            </w:r>
          </w:p>
        </w:tc>
        <w:tc>
          <w:tcPr>
            <w:tcW w:w="3140" w:type="dxa"/>
            <w:vAlign w:val="center"/>
          </w:tcPr>
          <w:p>
            <w:pPr>
              <w:widowControl/>
              <w:textAlignment w:val="center"/>
              <w:rPr>
                <w:szCs w:val="21"/>
              </w:rPr>
            </w:pPr>
            <w:r>
              <w:rPr>
                <w:snapToGrid w:val="0"/>
                <w:szCs w:val="21"/>
              </w:rPr>
              <w:t>项目</w:t>
            </w:r>
            <w:r>
              <w:rPr>
                <w:szCs w:val="21"/>
              </w:rPr>
              <w:t>不</w:t>
            </w:r>
            <w:r>
              <w:rPr>
                <w:rFonts w:hint="eastAsia"/>
                <w:szCs w:val="21"/>
              </w:rPr>
              <w:t>在</w:t>
            </w:r>
            <w:r>
              <w:rPr>
                <w:szCs w:val="21"/>
              </w:rPr>
              <w:t>自然保护区、风景名胜区、饮用水源保护区和南水北调保护区等优先保护单元。</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jc w:val="center"/>
              <w:textAlignment w:val="baseline"/>
              <w:rPr>
                <w:kern w:val="0"/>
                <w:szCs w:val="21"/>
                <w:highlight w:val="yellow"/>
              </w:rPr>
            </w:pPr>
          </w:p>
        </w:tc>
        <w:tc>
          <w:tcPr>
            <w:tcW w:w="5791" w:type="dxa"/>
            <w:gridSpan w:val="2"/>
            <w:vAlign w:val="center"/>
          </w:tcPr>
          <w:p>
            <w:pPr>
              <w:widowControl/>
              <w:textAlignment w:val="center"/>
              <w:rPr>
                <w:szCs w:val="21"/>
              </w:rPr>
            </w:pPr>
            <w:r>
              <w:rPr>
                <w:szCs w:val="21"/>
              </w:rPr>
              <w:t>5、</w:t>
            </w:r>
            <w:r>
              <w:rPr>
                <w:rFonts w:hint="eastAsia"/>
                <w:szCs w:val="21"/>
              </w:rPr>
              <w:t>河湖湿地、森林公园</w:t>
            </w:r>
            <w:r>
              <w:rPr>
                <w:szCs w:val="21"/>
              </w:rPr>
              <w:t>内的珍贵景物和风景名胜区核心景区、自然保护区的核心区和缓冲区、土地利用总体规划所确定的永久基本农田保护区、地质遗迹一级保护区、饮用水水源一级保护区、水工程保护范围、地质灾害危险区、矿产资源密集地区的禁止开采区、工程建设不适宜区、大于25%的陡坡地、行洪通道、防洪工程设施保护范围、高压输电线路走廊、天然气输送管线及其防护区、成品油输送管线及其防护区、区域性调水工程管线及其防护区和生态保护红线属于规划的禁止建设区。</w:t>
            </w:r>
          </w:p>
        </w:tc>
        <w:tc>
          <w:tcPr>
            <w:tcW w:w="3140" w:type="dxa"/>
            <w:vAlign w:val="center"/>
          </w:tcPr>
          <w:p>
            <w:pPr>
              <w:widowControl/>
              <w:textAlignment w:val="center"/>
              <w:rPr>
                <w:snapToGrid w:val="0"/>
                <w:szCs w:val="21"/>
              </w:rPr>
            </w:pPr>
            <w:r>
              <w:rPr>
                <w:snapToGrid w:val="0"/>
                <w:szCs w:val="21"/>
              </w:rPr>
              <w:t>项目选址位于</w:t>
            </w:r>
            <w:r>
              <w:rPr>
                <w:rFonts w:hint="eastAsia"/>
                <w:snapToGrid w:val="0"/>
                <w:szCs w:val="21"/>
              </w:rPr>
              <w:t>原阳县</w:t>
            </w:r>
            <w:r>
              <w:rPr>
                <w:snapToGrid w:val="0"/>
                <w:szCs w:val="21"/>
              </w:rPr>
              <w:t>产业集聚区，根据</w:t>
            </w:r>
            <w:r>
              <w:rPr>
                <w:rFonts w:hint="eastAsia"/>
                <w:bCs/>
                <w:snapToGrid w:val="0"/>
                <w:szCs w:val="21"/>
              </w:rPr>
              <w:t>《</w:t>
            </w:r>
            <w:r>
              <w:rPr>
                <w:bCs/>
                <w:snapToGrid w:val="0"/>
                <w:szCs w:val="21"/>
              </w:rPr>
              <w:t>原阳县产业集聚区发展规划--用地规划图</w:t>
            </w:r>
            <w:r>
              <w:rPr>
                <w:rFonts w:hint="eastAsia"/>
                <w:bCs/>
                <w:snapToGrid w:val="0"/>
                <w:szCs w:val="21"/>
              </w:rPr>
              <w:t>》，本项目占地为工业用地。</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jc w:val="center"/>
              <w:textAlignment w:val="baseline"/>
              <w:rPr>
                <w:kern w:val="0"/>
                <w:szCs w:val="21"/>
                <w:highlight w:val="yellow"/>
              </w:rPr>
            </w:pPr>
          </w:p>
        </w:tc>
        <w:tc>
          <w:tcPr>
            <w:tcW w:w="5791" w:type="dxa"/>
            <w:gridSpan w:val="2"/>
            <w:vAlign w:val="center"/>
          </w:tcPr>
          <w:p>
            <w:pPr>
              <w:widowControl/>
              <w:textAlignment w:val="center"/>
              <w:rPr>
                <w:szCs w:val="21"/>
              </w:rPr>
            </w:pPr>
            <w:r>
              <w:rPr>
                <w:szCs w:val="21"/>
              </w:rPr>
              <w:t>6、禁止在水产种质资源保护区内从事围湖造田、围海造地或围填海工程。禁止在水产种质资源保护区内新建排污口。在水产种质资源保护区附近新建、改建、扩建排污口，应当保证保护区水体不受污染。</w:t>
            </w:r>
          </w:p>
        </w:tc>
        <w:tc>
          <w:tcPr>
            <w:tcW w:w="3140" w:type="dxa"/>
            <w:vAlign w:val="center"/>
          </w:tcPr>
          <w:p>
            <w:pPr>
              <w:widowControl/>
              <w:jc w:val="center"/>
              <w:textAlignment w:val="center"/>
              <w:rPr>
                <w:szCs w:val="21"/>
              </w:rPr>
            </w:pPr>
            <w:r>
              <w:rPr>
                <w:szCs w:val="21"/>
              </w:rPr>
              <w:t>不涉及</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jc w:val="center"/>
              <w:textAlignment w:val="baseline"/>
              <w:rPr>
                <w:kern w:val="0"/>
                <w:szCs w:val="21"/>
                <w:highlight w:val="yellow"/>
              </w:rPr>
            </w:pPr>
          </w:p>
        </w:tc>
        <w:tc>
          <w:tcPr>
            <w:tcW w:w="5791" w:type="dxa"/>
            <w:gridSpan w:val="2"/>
            <w:vAlign w:val="center"/>
          </w:tcPr>
          <w:p>
            <w:pPr>
              <w:widowControl/>
              <w:textAlignment w:val="center"/>
              <w:rPr>
                <w:szCs w:val="21"/>
              </w:rPr>
            </w:pPr>
            <w:r>
              <w:rPr>
                <w:szCs w:val="21"/>
              </w:rPr>
              <w:t>7、</w:t>
            </w:r>
            <w:r>
              <w:rPr>
                <w:rFonts w:hint="eastAsia"/>
                <w:szCs w:val="21"/>
              </w:rPr>
              <w:t>共产主义渠、卫河、天然文岩渠等主要河道除涝标准达到3年一遇，防洪标准达到10-20年一遇，重点河段达到50-100年一遇设置堤防。</w:t>
            </w:r>
          </w:p>
        </w:tc>
        <w:tc>
          <w:tcPr>
            <w:tcW w:w="3140" w:type="dxa"/>
            <w:vAlign w:val="center"/>
          </w:tcPr>
          <w:p>
            <w:pPr>
              <w:widowControl/>
              <w:jc w:val="center"/>
              <w:textAlignment w:val="center"/>
              <w:rPr>
                <w:szCs w:val="21"/>
              </w:rPr>
            </w:pPr>
            <w:r>
              <w:rPr>
                <w:szCs w:val="21"/>
              </w:rPr>
              <w:t>不涉及</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jc w:val="center"/>
              <w:textAlignment w:val="baseline"/>
              <w:rPr>
                <w:kern w:val="0"/>
                <w:szCs w:val="21"/>
                <w:highlight w:val="yellow"/>
              </w:rPr>
            </w:pPr>
          </w:p>
        </w:tc>
        <w:tc>
          <w:tcPr>
            <w:tcW w:w="5791" w:type="dxa"/>
            <w:gridSpan w:val="2"/>
            <w:vAlign w:val="center"/>
          </w:tcPr>
          <w:p>
            <w:pPr>
              <w:widowControl/>
              <w:textAlignment w:val="center"/>
              <w:rPr>
                <w:szCs w:val="21"/>
              </w:rPr>
            </w:pPr>
            <w:r>
              <w:rPr>
                <w:szCs w:val="21"/>
              </w:rPr>
              <w:t>8、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VOCs的项目，应从源头加强控制，使用低（无）VOCs含量的原辅材料，配套安装高效收集、治理设施，其中新建涉VOCs排放的工业企业要入园区，实行区域内VOCs排放总量倍量消减替代。禁止生产、销售不符合标准的机动车船、非道路移动机械用燃料；禁止向汽车和摩托车销售普通柴油以及其他非机动车用燃料；禁止向非道路移动机械销售渣油、重油和不符合规定的燃用油。</w:t>
            </w:r>
          </w:p>
        </w:tc>
        <w:tc>
          <w:tcPr>
            <w:tcW w:w="3140" w:type="dxa"/>
            <w:vAlign w:val="center"/>
          </w:tcPr>
          <w:p>
            <w:pPr>
              <w:widowControl/>
              <w:textAlignment w:val="center"/>
              <w:rPr>
                <w:szCs w:val="21"/>
              </w:rPr>
            </w:pPr>
            <w:r>
              <w:rPr>
                <w:snapToGrid w:val="0"/>
                <w:szCs w:val="21"/>
              </w:rPr>
              <w:t>项目选址位于</w:t>
            </w:r>
            <w:r>
              <w:rPr>
                <w:rFonts w:hint="eastAsia"/>
                <w:snapToGrid w:val="0"/>
                <w:szCs w:val="21"/>
              </w:rPr>
              <w:t>原阳县</w:t>
            </w:r>
            <w:r>
              <w:rPr>
                <w:snapToGrid w:val="0"/>
                <w:szCs w:val="21"/>
              </w:rPr>
              <w:t>产业集聚区。本项目属于新建项目，</w:t>
            </w:r>
            <w:r>
              <w:rPr>
                <w:rFonts w:hint="eastAsia"/>
                <w:snapToGrid w:val="0"/>
                <w:szCs w:val="21"/>
              </w:rPr>
              <w:t>不排放</w:t>
            </w:r>
            <w:r>
              <w:rPr>
                <w:snapToGrid w:val="0"/>
                <w:szCs w:val="21"/>
              </w:rPr>
              <w:t>VOCs</w:t>
            </w:r>
            <w:r>
              <w:rPr>
                <w:szCs w:val="21"/>
              </w:rPr>
              <w:t>。</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jc w:val="center"/>
              <w:textAlignment w:val="baseline"/>
              <w:rPr>
                <w:kern w:val="0"/>
                <w:szCs w:val="21"/>
                <w:highlight w:val="yellow"/>
              </w:rPr>
            </w:pPr>
          </w:p>
        </w:tc>
        <w:tc>
          <w:tcPr>
            <w:tcW w:w="5791" w:type="dxa"/>
            <w:gridSpan w:val="2"/>
            <w:vAlign w:val="center"/>
          </w:tcPr>
          <w:p>
            <w:pPr>
              <w:widowControl/>
              <w:textAlignment w:val="center"/>
              <w:rPr>
                <w:szCs w:val="21"/>
              </w:rPr>
            </w:pPr>
            <w:r>
              <w:rPr>
                <w:szCs w:val="21"/>
              </w:rPr>
              <w:t>9、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w:t>
            </w:r>
            <w:r>
              <w:rPr>
                <w:rFonts w:hint="eastAsia"/>
                <w:szCs w:val="21"/>
              </w:rPr>
              <w:t>新建“两高”项目应按照《生态环境部办公厅关于加强重点行业建设项目区域削减措施监督管理的通知》(环办环评(2020)36号)要求，制定配套区域污染物削减方案，环境质量超标区域实行重点污染物排放倍量削减，环境质量达标区域原则上实施等量削减。新建耗煤项目还应严格按规定采取煤炭消费减量替代措施，不得使用高污染燃料作为煤炭减量替代措施。原则上禁止新增钢铁、电解铝、水泥、平板玻璃、传统煤化工(甲醇、合成氨)、焦化、铝用炭素、砖瓦密、耐火材料、铅锌冶炼(含再生铅)等行业产能。</w:t>
            </w:r>
          </w:p>
        </w:tc>
        <w:tc>
          <w:tcPr>
            <w:tcW w:w="3140" w:type="dxa"/>
            <w:vAlign w:val="center"/>
          </w:tcPr>
          <w:p>
            <w:pPr>
              <w:widowControl/>
              <w:textAlignment w:val="center"/>
              <w:rPr>
                <w:szCs w:val="21"/>
              </w:rPr>
            </w:pPr>
            <w:r>
              <w:rPr>
                <w:snapToGrid w:val="0"/>
                <w:szCs w:val="21"/>
              </w:rPr>
              <w:t>本项目属于</w:t>
            </w:r>
            <w:r>
              <w:rPr>
                <w:rFonts w:hint="eastAsia"/>
                <w:bCs/>
                <w:snapToGrid w:val="0"/>
                <w:szCs w:val="21"/>
              </w:rPr>
              <w:t>房地产业、水的生产和供应业</w:t>
            </w:r>
            <w:r>
              <w:rPr>
                <w:snapToGrid w:val="0"/>
                <w:szCs w:val="21"/>
              </w:rPr>
              <w:t>，位于</w:t>
            </w:r>
            <w:r>
              <w:rPr>
                <w:rFonts w:hint="eastAsia"/>
                <w:snapToGrid w:val="0"/>
                <w:szCs w:val="21"/>
              </w:rPr>
              <w:t>原阳县</w:t>
            </w:r>
            <w:r>
              <w:rPr>
                <w:snapToGrid w:val="0"/>
                <w:szCs w:val="21"/>
              </w:rPr>
              <w:t>产业集聚区</w:t>
            </w:r>
            <w:r>
              <w:rPr>
                <w:rFonts w:hint="eastAsia"/>
                <w:snapToGrid w:val="0"/>
                <w:szCs w:val="21"/>
              </w:rPr>
              <w:t>，</w:t>
            </w:r>
            <w:r>
              <w:rPr>
                <w:rFonts w:hint="eastAsia"/>
                <w:bCs/>
                <w:snapToGrid w:val="0"/>
                <w:szCs w:val="21"/>
              </w:rPr>
              <w:t>主要建设车间厂房及其配套设施污水处理站，</w:t>
            </w:r>
            <w:r>
              <w:rPr>
                <w:snapToGrid w:val="0"/>
                <w:szCs w:val="21"/>
              </w:rPr>
              <w:t>不属于“两高”项目。</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jc w:val="center"/>
              <w:textAlignment w:val="baseline"/>
              <w:rPr>
                <w:kern w:val="0"/>
                <w:szCs w:val="21"/>
                <w:highlight w:val="yellow"/>
              </w:rPr>
            </w:pPr>
          </w:p>
        </w:tc>
        <w:tc>
          <w:tcPr>
            <w:tcW w:w="5791" w:type="dxa"/>
            <w:gridSpan w:val="2"/>
            <w:vAlign w:val="center"/>
          </w:tcPr>
          <w:p>
            <w:pPr>
              <w:widowControl/>
              <w:textAlignment w:val="center"/>
              <w:rPr>
                <w:szCs w:val="21"/>
              </w:rPr>
            </w:pPr>
            <w:r>
              <w:rPr>
                <w:szCs w:val="21"/>
              </w:rPr>
              <w:t>10、</w:t>
            </w:r>
            <w:r>
              <w:rPr>
                <w:rFonts w:hint="eastAsia"/>
                <w:szCs w:val="21"/>
              </w:rPr>
              <w:t>按照各园区建设发展规划，培育和建设关联企业高度集中的产业基地，积极推行区域、规划环境影响评价，对搬迁升级改造石化、化工、建材、有色等项目的环境影响评价，应满足区域、规划环评要求。鼓励支持水泥等重点行业进行产能置换、装备大型改造、重组整合。</w:t>
            </w:r>
          </w:p>
        </w:tc>
        <w:tc>
          <w:tcPr>
            <w:tcW w:w="3140" w:type="dxa"/>
            <w:vAlign w:val="center"/>
          </w:tcPr>
          <w:p>
            <w:pPr>
              <w:widowControl/>
              <w:textAlignment w:val="center"/>
              <w:rPr>
                <w:snapToGrid w:val="0"/>
                <w:szCs w:val="21"/>
              </w:rPr>
            </w:pPr>
            <w:r>
              <w:rPr>
                <w:snapToGrid w:val="0"/>
                <w:szCs w:val="21"/>
              </w:rPr>
              <w:t>本项目属于</w:t>
            </w:r>
            <w:r>
              <w:rPr>
                <w:rFonts w:hint="eastAsia"/>
                <w:bCs/>
                <w:snapToGrid w:val="0"/>
                <w:szCs w:val="21"/>
              </w:rPr>
              <w:t>房地产业、水的生产和供应业</w:t>
            </w:r>
            <w:r>
              <w:rPr>
                <w:snapToGrid w:val="0"/>
                <w:szCs w:val="21"/>
              </w:rPr>
              <w:t>，为新建项目，不属于本地产能过剩行业。</w:t>
            </w:r>
          </w:p>
        </w:tc>
        <w:tc>
          <w:tcPr>
            <w:tcW w:w="564" w:type="dxa"/>
            <w:vAlign w:val="center"/>
          </w:tcPr>
          <w:p>
            <w:pPr>
              <w:contextualSpacing/>
              <w:jc w:val="center"/>
              <w:textAlignment w:val="baseline"/>
              <w:rPr>
                <w:snapToGrid w:val="0"/>
                <w:szCs w:val="21"/>
              </w:rPr>
            </w:pPr>
            <w:r>
              <w:rPr>
                <w:rFonts w:hint="eastAsia"/>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jc w:val="center"/>
              <w:textAlignment w:val="baseline"/>
              <w:rPr>
                <w:kern w:val="0"/>
                <w:szCs w:val="21"/>
                <w:highlight w:val="yellow"/>
              </w:rPr>
            </w:pPr>
          </w:p>
        </w:tc>
        <w:tc>
          <w:tcPr>
            <w:tcW w:w="5791" w:type="dxa"/>
            <w:gridSpan w:val="2"/>
            <w:vAlign w:val="center"/>
          </w:tcPr>
          <w:p>
            <w:pPr>
              <w:widowControl/>
              <w:textAlignment w:val="center"/>
              <w:rPr>
                <w:szCs w:val="21"/>
              </w:rPr>
            </w:pPr>
            <w:r>
              <w:rPr>
                <w:rFonts w:hint="eastAsia"/>
                <w:szCs w:val="21"/>
              </w:rPr>
              <w:t>11、化工园区选址布局应符合有关法律法规、政策规定、相关规划和行业管理或技术规范，满足国土空间规划和生态环境保护。</w:t>
            </w:r>
          </w:p>
          <w:p>
            <w:pPr>
              <w:widowControl/>
              <w:textAlignment w:val="center"/>
              <w:rPr>
                <w:szCs w:val="21"/>
              </w:rPr>
            </w:pPr>
            <w:r>
              <w:rPr>
                <w:rFonts w:hint="eastAsia"/>
                <w:szCs w:val="21"/>
              </w:rPr>
              <w:t>安全生产、应急救援、资源利用、综合防灾减灾、交通运输等相关要求，原则上不再设立新的化工园区。</w:t>
            </w:r>
          </w:p>
        </w:tc>
        <w:tc>
          <w:tcPr>
            <w:tcW w:w="3140" w:type="dxa"/>
            <w:vAlign w:val="center"/>
          </w:tcPr>
          <w:p>
            <w:pPr>
              <w:widowControl/>
              <w:jc w:val="center"/>
              <w:textAlignment w:val="center"/>
              <w:rPr>
                <w:snapToGrid w:val="0"/>
                <w:szCs w:val="21"/>
              </w:rPr>
            </w:pPr>
            <w:r>
              <w:rPr>
                <w:rFonts w:hint="eastAsia"/>
                <w:snapToGrid w:val="0"/>
                <w:szCs w:val="21"/>
              </w:rPr>
              <w:t>不涉及</w:t>
            </w:r>
          </w:p>
        </w:tc>
        <w:tc>
          <w:tcPr>
            <w:tcW w:w="564" w:type="dxa"/>
            <w:vAlign w:val="center"/>
          </w:tcPr>
          <w:p>
            <w:pPr>
              <w:contextualSpacing/>
              <w:jc w:val="center"/>
              <w:textAlignment w:val="baseline"/>
              <w:rPr>
                <w:snapToGrid w:val="0"/>
                <w:szCs w:val="21"/>
              </w:rPr>
            </w:pPr>
            <w:r>
              <w:rPr>
                <w:rFonts w:hint="eastAsia"/>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jc w:val="center"/>
              <w:textAlignment w:val="baseline"/>
              <w:rPr>
                <w:kern w:val="0"/>
                <w:szCs w:val="21"/>
                <w:highlight w:val="yellow"/>
              </w:rPr>
            </w:pPr>
          </w:p>
        </w:tc>
        <w:tc>
          <w:tcPr>
            <w:tcW w:w="5791" w:type="dxa"/>
            <w:gridSpan w:val="2"/>
            <w:vAlign w:val="center"/>
          </w:tcPr>
          <w:p>
            <w:pPr>
              <w:widowControl/>
              <w:textAlignment w:val="center"/>
              <w:rPr>
                <w:szCs w:val="21"/>
              </w:rPr>
            </w:pPr>
            <w:r>
              <w:rPr>
                <w:rFonts w:hint="eastAsia"/>
                <w:szCs w:val="21"/>
              </w:rPr>
              <w:t>12、推动我市沿黄重点地区拟建工业项目转入合规工业园区，严格控制高污染、高耗水、高耗能项目。</w:t>
            </w:r>
          </w:p>
        </w:tc>
        <w:tc>
          <w:tcPr>
            <w:tcW w:w="3140" w:type="dxa"/>
            <w:vAlign w:val="center"/>
          </w:tcPr>
          <w:p>
            <w:pPr>
              <w:widowControl/>
              <w:textAlignment w:val="center"/>
              <w:rPr>
                <w:szCs w:val="21"/>
              </w:rPr>
            </w:pPr>
            <w:r>
              <w:rPr>
                <w:rFonts w:hint="eastAsia"/>
                <w:szCs w:val="21"/>
              </w:rPr>
              <w:t>本项目</w:t>
            </w:r>
            <w:r>
              <w:rPr>
                <w:snapToGrid w:val="0"/>
                <w:szCs w:val="21"/>
              </w:rPr>
              <w:t>属于</w:t>
            </w:r>
            <w:r>
              <w:rPr>
                <w:rFonts w:hint="eastAsia"/>
                <w:bCs/>
                <w:snapToGrid w:val="0"/>
                <w:szCs w:val="21"/>
              </w:rPr>
              <w:t>房地产业、水的生产和供应业</w:t>
            </w:r>
            <w:r>
              <w:rPr>
                <w:snapToGrid w:val="0"/>
                <w:szCs w:val="21"/>
              </w:rPr>
              <w:t>，</w:t>
            </w:r>
            <w:r>
              <w:rPr>
                <w:rFonts w:hint="eastAsia"/>
                <w:snapToGrid w:val="0"/>
                <w:szCs w:val="21"/>
              </w:rPr>
              <w:t>不属于</w:t>
            </w:r>
            <w:r>
              <w:rPr>
                <w:rFonts w:hint="eastAsia"/>
                <w:szCs w:val="21"/>
              </w:rPr>
              <w:t>高污染、高耗水、高耗能项目。</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restart"/>
            <w:vAlign w:val="center"/>
          </w:tcPr>
          <w:p>
            <w:pPr>
              <w:contextualSpacing/>
              <w:jc w:val="center"/>
              <w:textAlignment w:val="baseline"/>
              <w:rPr>
                <w:kern w:val="0"/>
                <w:szCs w:val="21"/>
              </w:rPr>
            </w:pPr>
            <w:r>
              <w:rPr>
                <w:kern w:val="0"/>
                <w:szCs w:val="21"/>
              </w:rPr>
              <w:t>污染物排放管控</w:t>
            </w:r>
          </w:p>
        </w:tc>
        <w:tc>
          <w:tcPr>
            <w:tcW w:w="5791" w:type="dxa"/>
            <w:gridSpan w:val="2"/>
            <w:vAlign w:val="center"/>
          </w:tcPr>
          <w:p>
            <w:pPr>
              <w:widowControl/>
              <w:textAlignment w:val="center"/>
              <w:rPr>
                <w:szCs w:val="21"/>
              </w:rPr>
            </w:pPr>
            <w:r>
              <w:rPr>
                <w:szCs w:val="21"/>
              </w:rPr>
              <w:t>1、新、改、扩建项目主要污染物排放要求满足当地总量减排要求。</w:t>
            </w:r>
          </w:p>
        </w:tc>
        <w:tc>
          <w:tcPr>
            <w:tcW w:w="3140" w:type="dxa"/>
            <w:vAlign w:val="center"/>
          </w:tcPr>
          <w:p>
            <w:pPr>
              <w:widowControl/>
              <w:textAlignment w:val="center"/>
              <w:rPr>
                <w:szCs w:val="21"/>
              </w:rPr>
            </w:pPr>
            <w:r>
              <w:rPr>
                <w:rFonts w:hint="eastAsia"/>
                <w:snapToGrid w:val="0"/>
                <w:szCs w:val="21"/>
              </w:rPr>
              <w:t>本</w:t>
            </w:r>
            <w:r>
              <w:rPr>
                <w:snapToGrid w:val="0"/>
                <w:szCs w:val="21"/>
              </w:rPr>
              <w:t>项目</w:t>
            </w:r>
            <w:r>
              <w:rPr>
                <w:rFonts w:hint="eastAsia"/>
                <w:snapToGrid w:val="0"/>
                <w:szCs w:val="21"/>
              </w:rPr>
              <w:t>为新建项目，</w:t>
            </w:r>
            <w:r>
              <w:rPr>
                <w:snapToGrid w:val="0"/>
                <w:szCs w:val="21"/>
              </w:rPr>
              <w:t>新增总量污染物将根据要求从</w:t>
            </w:r>
            <w:r>
              <w:rPr>
                <w:rFonts w:hint="eastAsia"/>
                <w:snapToGrid w:val="0"/>
                <w:szCs w:val="21"/>
              </w:rPr>
              <w:t>原阳县</w:t>
            </w:r>
            <w:r>
              <w:rPr>
                <w:snapToGrid w:val="0"/>
                <w:szCs w:val="21"/>
              </w:rPr>
              <w:t>区域总量内进行双倍替代，区域内</w:t>
            </w:r>
            <w:r>
              <w:rPr>
                <w:rFonts w:hint="eastAsia"/>
                <w:snapToGrid w:val="0"/>
                <w:szCs w:val="21"/>
              </w:rPr>
              <w:t>C</w:t>
            </w:r>
            <w:r>
              <w:rPr>
                <w:snapToGrid w:val="0"/>
                <w:szCs w:val="21"/>
              </w:rPr>
              <w:t>OD、</w:t>
            </w:r>
            <w:r>
              <w:rPr>
                <w:rFonts w:hint="eastAsia"/>
                <w:snapToGrid w:val="0"/>
                <w:szCs w:val="21"/>
              </w:rPr>
              <w:t>氨氮物</w:t>
            </w:r>
            <w:r>
              <w:rPr>
                <w:snapToGrid w:val="0"/>
                <w:szCs w:val="21"/>
              </w:rPr>
              <w:t>做到进一步削减。</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rPr>
            </w:pPr>
          </w:p>
        </w:tc>
        <w:tc>
          <w:tcPr>
            <w:tcW w:w="5791" w:type="dxa"/>
            <w:gridSpan w:val="2"/>
            <w:vAlign w:val="center"/>
          </w:tcPr>
          <w:p>
            <w:pPr>
              <w:widowControl/>
              <w:textAlignment w:val="center"/>
              <w:rPr>
                <w:szCs w:val="21"/>
              </w:rPr>
            </w:pPr>
            <w:r>
              <w:rPr>
                <w:szCs w:val="21"/>
              </w:rPr>
              <w:t>2、</w:t>
            </w:r>
            <w:r>
              <w:rPr>
                <w:rFonts w:hint="eastAsia"/>
                <w:szCs w:val="21"/>
              </w:rPr>
              <w:t>十四五末，共产主义渠、西柳青河达到I类指标，卫河、文岩渠、天然渠、天然文岩渠、黄庄河达到川类指标:城市集中式饮用水水源地取水水质达标率达到100%；地下水质量考核点位水质级别保持稳定；确保完成国家水质考核目标。全市建成区全面消除黑臭水体，县(市)建成区基本完成黑臭水体整治任务。重点治理市域内卫河、共产主义渠、东孟姜女河等海河流域河流，以及西柳青河、天然渠、文岩渠等黄河流域河流，全面开展清河行动、实施河道清淤、规范入河排污口管理，统筹推进水污染综合整治及水生态保护修复，提升河流自净能力，建立生态调水长效机制，保障河流水质稳定达标。禁止以任何方式直接向水功能区要求为Ⅱ类的水体和地表水型集中式生活饮用水水源保护区内的水体排放污水；污水排入黄河干流、黄河一级支流和涉及Ш类水功能区要求的其它水体时，执行一级标准；污水排入除上述水体以外的其它河流、湖泊、水库、运河、渠道、湿地、坑塘、蓄滞洪区等地表水体时，执行二级标准。</w:t>
            </w:r>
          </w:p>
        </w:tc>
        <w:tc>
          <w:tcPr>
            <w:tcW w:w="3140" w:type="dxa"/>
            <w:vAlign w:val="center"/>
          </w:tcPr>
          <w:p>
            <w:pPr>
              <w:widowControl/>
              <w:textAlignment w:val="center"/>
              <w:rPr>
                <w:szCs w:val="21"/>
              </w:rPr>
            </w:pPr>
            <w:r>
              <w:rPr>
                <w:snapToGrid w:val="0"/>
                <w:szCs w:val="21"/>
              </w:rPr>
              <w:t>项目位于</w:t>
            </w:r>
            <w:r>
              <w:rPr>
                <w:rFonts w:hint="eastAsia"/>
                <w:snapToGrid w:val="0"/>
                <w:szCs w:val="21"/>
              </w:rPr>
              <w:t>原阳县</w:t>
            </w:r>
            <w:r>
              <w:rPr>
                <w:snapToGrid w:val="0"/>
                <w:szCs w:val="21"/>
              </w:rPr>
              <w:t>产业集聚区。废水</w:t>
            </w:r>
            <w:r>
              <w:rPr>
                <w:rFonts w:hint="eastAsia"/>
                <w:snapToGrid w:val="0"/>
                <w:szCs w:val="21"/>
              </w:rPr>
              <w:t>经污水处理站处理后</w:t>
            </w:r>
            <w:r>
              <w:rPr>
                <w:snapToGrid w:val="0"/>
                <w:szCs w:val="21"/>
              </w:rPr>
              <w:t>排入</w:t>
            </w:r>
            <w:r>
              <w:rPr>
                <w:rFonts w:hint="eastAsia"/>
              </w:rPr>
              <w:t>原阳县产业集聚区</w:t>
            </w:r>
            <w:r>
              <w:t>污水处理厂，处理后排入</w:t>
            </w:r>
            <w:r>
              <w:rPr>
                <w:rFonts w:hint="eastAsia" w:ascii="Calibri" w:hAnsi="Calibri"/>
                <w:bCs/>
              </w:rPr>
              <w:t>东关排渠，汇入文岩干渠</w:t>
            </w:r>
            <w:r>
              <w:t>。</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szCs w:val="21"/>
              </w:rPr>
              <w:t>3、全面推进城镇（产业集聚区）污水处理厂Ⅴ类水提标改造工程建设，市、县（市、区）污水处理率、城市污泥无害化处置率达到政府目标任务。</w:t>
            </w:r>
            <w:r>
              <w:rPr>
                <w:rFonts w:hint="eastAsia"/>
                <w:szCs w:val="21"/>
              </w:rPr>
              <w:t>到2025年，黄河流域内现有污水处理厂完成提质增效改造，确保出水稳定达到《河南省黄河流域水污染物排放标准》（DB41/2087-2021）。</w:t>
            </w:r>
          </w:p>
        </w:tc>
        <w:tc>
          <w:tcPr>
            <w:tcW w:w="3140" w:type="dxa"/>
            <w:vAlign w:val="center"/>
          </w:tcPr>
          <w:p>
            <w:pPr>
              <w:widowControl/>
              <w:jc w:val="center"/>
              <w:textAlignment w:val="center"/>
              <w:rPr>
                <w:szCs w:val="21"/>
              </w:rPr>
            </w:pPr>
            <w:r>
              <w:rPr>
                <w:szCs w:val="21"/>
              </w:rPr>
              <w:t>不涉及</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szCs w:val="21"/>
              </w:rPr>
              <w:t>4、</w:t>
            </w:r>
            <w:r>
              <w:rPr>
                <w:rFonts w:hint="eastAsia"/>
                <w:szCs w:val="21"/>
              </w:rPr>
              <w:t>严控新增重金属污染物排放量，在重有色金属冶炼业（铜、铅锌、镍、钴、锡、锑和汞冶炼等）、铅蓄电池制造业、皮革及其制品业（皮革鞣制加工等）、化学原料及化学制品制造业（电石法聚氯乙烯行业、铬盐行业等）、电镀行业等重点行业实施重点重金属减量替代。新、改、扩建涉重金属重点行业建设项目应遵循重点重金属污染物排放“减量替代”原则，应符合《新乡市“十四五”重金属污染防控工作方案》相关要求。</w:t>
            </w:r>
          </w:p>
        </w:tc>
        <w:tc>
          <w:tcPr>
            <w:tcW w:w="3140" w:type="dxa"/>
            <w:vAlign w:val="center"/>
          </w:tcPr>
          <w:p>
            <w:pPr>
              <w:widowControl/>
              <w:textAlignment w:val="center"/>
              <w:rPr>
                <w:szCs w:val="21"/>
                <w:highlight w:val="yellow"/>
              </w:rPr>
            </w:pPr>
            <w:r>
              <w:rPr>
                <w:szCs w:val="21"/>
              </w:rPr>
              <w:t>本项目属于</w:t>
            </w:r>
            <w:r>
              <w:rPr>
                <w:rFonts w:hint="eastAsia"/>
                <w:bCs/>
                <w:szCs w:val="21"/>
              </w:rPr>
              <w:t>房地产业、水的生产和供应业</w:t>
            </w:r>
            <w:r>
              <w:rPr>
                <w:szCs w:val="21"/>
              </w:rPr>
              <w:t>，</w:t>
            </w:r>
            <w:r>
              <w:rPr>
                <w:snapToGrid w:val="0"/>
                <w:szCs w:val="21"/>
              </w:rPr>
              <w:t>生产原辅料中不涉及重金属物质，项目生产不涉及重金属排放。</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szCs w:val="21"/>
              </w:rPr>
              <w:t>5、全面推进企业清洁生产，完善省级产业集聚区污水处理设施水平。加强造纸、氮肥、农副食品加工、毛皮制革、印染、有色金属、原料药制造、电镀等水污染物排放行业重点企业强制性清洁生产审核，全面推进其清洁生产改造或清洁化改造。省级产业集聚区建成区域必须实现管网全配套，污水集中处理设施必须做到稳定达标运行，同时安装自动在线监控装置。</w:t>
            </w:r>
          </w:p>
        </w:tc>
        <w:tc>
          <w:tcPr>
            <w:tcW w:w="3140" w:type="dxa"/>
            <w:vAlign w:val="center"/>
          </w:tcPr>
          <w:p>
            <w:pPr>
              <w:widowControl/>
              <w:textAlignment w:val="center"/>
              <w:rPr>
                <w:szCs w:val="21"/>
                <w:highlight w:val="yellow"/>
              </w:rPr>
            </w:pPr>
            <w:r>
              <w:rPr>
                <w:snapToGrid w:val="0"/>
                <w:szCs w:val="21"/>
              </w:rPr>
              <w:t>本项目属于</w:t>
            </w:r>
            <w:r>
              <w:rPr>
                <w:rFonts w:hint="eastAsia"/>
                <w:bCs/>
                <w:snapToGrid w:val="0"/>
                <w:szCs w:val="21"/>
              </w:rPr>
              <w:t>房地产业、水的生产和供应业</w:t>
            </w:r>
            <w:r>
              <w:rPr>
                <w:snapToGrid w:val="0"/>
                <w:szCs w:val="21"/>
              </w:rPr>
              <w:t>，</w:t>
            </w:r>
            <w:r>
              <w:rPr>
                <w:rFonts w:hint="eastAsia"/>
                <w:bCs/>
                <w:snapToGrid w:val="0"/>
                <w:szCs w:val="21"/>
              </w:rPr>
              <w:t>主要建设车间厂房及其配套设施污水处理站，无行业清洁生产要求</w:t>
            </w:r>
            <w:r>
              <w:t>。项目污水进入</w:t>
            </w:r>
            <w:r>
              <w:rPr>
                <w:rFonts w:hint="eastAsia"/>
              </w:rPr>
              <w:t>原阳县产业集聚区</w:t>
            </w:r>
            <w:r>
              <w:t>污水处理厂进行处理，能做到</w:t>
            </w:r>
            <w:r>
              <w:rPr>
                <w:szCs w:val="21"/>
              </w:rPr>
              <w:t>稳定达标运行。</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szCs w:val="21"/>
              </w:rPr>
              <w:t>6、测土配方施肥技术推广覆盖率、绿色防控覆盖率达到政府目标任务，实现化肥农药施用量零增长。</w:t>
            </w:r>
          </w:p>
        </w:tc>
        <w:tc>
          <w:tcPr>
            <w:tcW w:w="3140" w:type="dxa"/>
            <w:vAlign w:val="center"/>
          </w:tcPr>
          <w:p>
            <w:pPr>
              <w:widowControl/>
              <w:jc w:val="center"/>
              <w:textAlignment w:val="center"/>
              <w:rPr>
                <w:snapToGrid w:val="0"/>
                <w:szCs w:val="21"/>
              </w:rPr>
            </w:pPr>
            <w:r>
              <w:rPr>
                <w:szCs w:val="21"/>
              </w:rPr>
              <w:t>不涉及</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rFonts w:hint="eastAsia"/>
                <w:szCs w:val="21"/>
              </w:rPr>
              <w:t>7、实施节能降碳增效行动，提高能源利用效率，推动电力、钢铁、有色金属、建材、石化化工等行业绿色转型发展。</w:t>
            </w:r>
          </w:p>
        </w:tc>
        <w:tc>
          <w:tcPr>
            <w:tcW w:w="3140" w:type="dxa"/>
            <w:vAlign w:val="center"/>
          </w:tcPr>
          <w:p>
            <w:pPr>
              <w:widowControl/>
              <w:textAlignment w:val="center"/>
              <w:rPr>
                <w:snapToGrid w:val="0"/>
                <w:szCs w:val="21"/>
              </w:rPr>
            </w:pPr>
            <w:r>
              <w:rPr>
                <w:snapToGrid w:val="0"/>
                <w:szCs w:val="21"/>
              </w:rPr>
              <w:t>本项目属于</w:t>
            </w:r>
            <w:r>
              <w:rPr>
                <w:rFonts w:hint="eastAsia"/>
                <w:bCs/>
                <w:snapToGrid w:val="0"/>
                <w:szCs w:val="21"/>
              </w:rPr>
              <w:t>房地产业、水的生产和供应业</w:t>
            </w:r>
            <w:r>
              <w:rPr>
                <w:snapToGrid w:val="0"/>
                <w:szCs w:val="21"/>
              </w:rPr>
              <w:t>，</w:t>
            </w:r>
            <w:r>
              <w:rPr>
                <w:rFonts w:hint="eastAsia"/>
                <w:snapToGrid w:val="0"/>
                <w:szCs w:val="21"/>
              </w:rPr>
              <w:t>不属于</w:t>
            </w:r>
            <w:r>
              <w:rPr>
                <w:rFonts w:hint="eastAsia"/>
                <w:szCs w:val="21"/>
              </w:rPr>
              <w:t>电力、钢铁、有色金属、建材、石化化工等行业。</w:t>
            </w:r>
          </w:p>
        </w:tc>
        <w:tc>
          <w:tcPr>
            <w:tcW w:w="564" w:type="dxa"/>
            <w:vAlign w:val="center"/>
          </w:tcPr>
          <w:p>
            <w:pPr>
              <w:contextualSpacing/>
              <w:jc w:val="center"/>
              <w:textAlignment w:val="baseline"/>
              <w:rPr>
                <w:snapToGrid w:val="0"/>
                <w:szCs w:val="21"/>
              </w:rPr>
            </w:pPr>
            <w:r>
              <w:rPr>
                <w:rFonts w:hint="eastAsia"/>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rFonts w:hint="eastAsia"/>
                <w:szCs w:val="21"/>
              </w:rPr>
              <w:t>8、国家、省绩效分级重点行业以及涉及锅炉炉窑的其他行业，新建、扩建项目污染物排放限值、污染治理措施、无组织排放控制水平、运输方式等达到A级绩效水平，改建项目污染物排放限值、污染治理措施、无组织排放控制水平、运输方式等达到B级以上绩效水平。</w:t>
            </w:r>
          </w:p>
        </w:tc>
        <w:tc>
          <w:tcPr>
            <w:tcW w:w="3140" w:type="dxa"/>
            <w:vAlign w:val="center"/>
          </w:tcPr>
          <w:p>
            <w:pPr>
              <w:widowControl/>
              <w:textAlignment w:val="center"/>
              <w:rPr>
                <w:snapToGrid w:val="0"/>
                <w:szCs w:val="21"/>
              </w:rPr>
            </w:pPr>
            <w:r>
              <w:rPr>
                <w:rFonts w:hint="eastAsia"/>
                <w:snapToGrid w:val="0"/>
                <w:szCs w:val="21"/>
              </w:rPr>
              <w:t>经查阅国家39个重点行业和省级12个重点行业，本项目均不属于其中的重点行业，且不涉及锅炉炉窑。</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restart"/>
            <w:vAlign w:val="center"/>
          </w:tcPr>
          <w:p>
            <w:pPr>
              <w:contextualSpacing/>
              <w:jc w:val="center"/>
              <w:textAlignment w:val="baseline"/>
              <w:rPr>
                <w:kern w:val="0"/>
                <w:szCs w:val="21"/>
              </w:rPr>
            </w:pPr>
            <w:r>
              <w:rPr>
                <w:kern w:val="0"/>
                <w:szCs w:val="21"/>
              </w:rPr>
              <w:t>环境风险防控</w:t>
            </w:r>
          </w:p>
        </w:tc>
        <w:tc>
          <w:tcPr>
            <w:tcW w:w="5791" w:type="dxa"/>
            <w:gridSpan w:val="2"/>
            <w:vAlign w:val="center"/>
          </w:tcPr>
          <w:p>
            <w:pPr>
              <w:widowControl/>
              <w:textAlignment w:val="center"/>
              <w:rPr>
                <w:szCs w:val="21"/>
              </w:rPr>
            </w:pPr>
            <w:r>
              <w:rPr>
                <w:szCs w:val="21"/>
              </w:rPr>
              <w:t>1、地下水漏斗区、重金属污染区、生态严重退化区等区域：探索开展耕地轮作休耕试点；实行休耕补贴，引导农民自愿将重度污染耕地退出农业生产。</w:t>
            </w:r>
          </w:p>
        </w:tc>
        <w:tc>
          <w:tcPr>
            <w:tcW w:w="3140" w:type="dxa"/>
            <w:vAlign w:val="center"/>
          </w:tcPr>
          <w:p>
            <w:pPr>
              <w:widowControl/>
              <w:textAlignment w:val="center"/>
              <w:rPr>
                <w:szCs w:val="21"/>
                <w:highlight w:val="yellow"/>
              </w:rPr>
            </w:pPr>
            <w:r>
              <w:rPr>
                <w:szCs w:val="21"/>
              </w:rPr>
              <w:t>项目位于</w:t>
            </w:r>
            <w:r>
              <w:rPr>
                <w:rFonts w:hint="eastAsia"/>
                <w:snapToGrid w:val="0"/>
                <w:szCs w:val="21"/>
              </w:rPr>
              <w:t>原阳县</w:t>
            </w:r>
            <w:r>
              <w:rPr>
                <w:snapToGrid w:val="0"/>
                <w:szCs w:val="21"/>
              </w:rPr>
              <w:t>产业集聚区，</w:t>
            </w:r>
            <w:r>
              <w:rPr>
                <w:szCs w:val="21"/>
              </w:rPr>
              <w:t>不属于地下水漏斗区、重金属污染区、生态严重退化区等区域。</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rPr>
            </w:pPr>
          </w:p>
        </w:tc>
        <w:tc>
          <w:tcPr>
            <w:tcW w:w="5791" w:type="dxa"/>
            <w:gridSpan w:val="2"/>
            <w:vAlign w:val="center"/>
          </w:tcPr>
          <w:p>
            <w:pPr>
              <w:widowControl/>
              <w:textAlignment w:val="center"/>
              <w:rPr>
                <w:szCs w:val="21"/>
              </w:rPr>
            </w:pPr>
            <w:r>
              <w:rPr>
                <w:szCs w:val="21"/>
              </w:rPr>
              <w:t>2、具备饮用水水源保护区及影响范围内风险源名录和风险防控方案、饮用水水源地突发环境事件应急处置技术方案及应急专家库、应急监测能力。定期或不定期开展饮用水水源地周边环境安全隐患排查及饮用水水源地环境风险评估。饮用水水源地有专项应急预案，做到“一源一案”，按照环境保护主管部门要求备案并定演练和修订预案。饮用水水源地周边高风险区域设有应急物资（装备）储备库及事故应急池等应急防护工程，上游连接水体设有节制闸、拦污坝、导流渠、调水沟渠等防护工程设施。</w:t>
            </w:r>
          </w:p>
        </w:tc>
        <w:tc>
          <w:tcPr>
            <w:tcW w:w="3140" w:type="dxa"/>
            <w:vAlign w:val="center"/>
          </w:tcPr>
          <w:p>
            <w:pPr>
              <w:widowControl/>
              <w:textAlignment w:val="center"/>
              <w:rPr>
                <w:szCs w:val="21"/>
              </w:rPr>
            </w:pPr>
            <w:r>
              <w:rPr>
                <w:szCs w:val="21"/>
              </w:rPr>
              <w:t>项目位于</w:t>
            </w:r>
            <w:r>
              <w:rPr>
                <w:rFonts w:hint="eastAsia"/>
                <w:snapToGrid w:val="0"/>
                <w:szCs w:val="21"/>
              </w:rPr>
              <w:t>原阳县</w:t>
            </w:r>
            <w:r>
              <w:rPr>
                <w:snapToGrid w:val="0"/>
                <w:szCs w:val="21"/>
              </w:rPr>
              <w:t>产业集聚区，</w:t>
            </w:r>
            <w:r>
              <w:rPr>
                <w:szCs w:val="21"/>
              </w:rPr>
              <w:t>不在饮用水水源保护区及影响范围内。</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restart"/>
            <w:vAlign w:val="center"/>
          </w:tcPr>
          <w:p>
            <w:pPr>
              <w:contextualSpacing/>
              <w:jc w:val="center"/>
              <w:textAlignment w:val="baseline"/>
              <w:rPr>
                <w:kern w:val="0"/>
                <w:szCs w:val="21"/>
              </w:rPr>
            </w:pPr>
            <w:r>
              <w:rPr>
                <w:kern w:val="0"/>
                <w:szCs w:val="21"/>
              </w:rPr>
              <w:t>资源开发效率要求</w:t>
            </w:r>
          </w:p>
        </w:tc>
        <w:tc>
          <w:tcPr>
            <w:tcW w:w="5791" w:type="dxa"/>
            <w:gridSpan w:val="2"/>
            <w:vAlign w:val="center"/>
          </w:tcPr>
          <w:p>
            <w:pPr>
              <w:widowControl/>
              <w:textAlignment w:val="center"/>
              <w:rPr>
                <w:szCs w:val="21"/>
              </w:rPr>
            </w:pPr>
            <w:r>
              <w:rPr>
                <w:szCs w:val="21"/>
              </w:rPr>
              <w:t>1、“十四五”期间按照政府目标控制能耗增量指标。</w:t>
            </w:r>
            <w:r>
              <w:rPr>
                <w:rFonts w:hint="eastAsia"/>
                <w:szCs w:val="21"/>
              </w:rPr>
              <w:t>严控新增耗煤项目，新、改、扩建项目实施煤炭减量替代，重点削减非电力用煤。鼓励使用清洁燃料，重点区域建设项目原则上不新建燃煤自备锅炉。2023年底，全面淘汰35蒸吨/小时及以下的燃煤锅炉，鼓励淘汰4蒸吨/小时以下生物质锅炉，保留现有生物质锅炉应采用专用炉具，禁止掺烧煤炭、垃圾、工业固体废物等其他物料。</w:t>
            </w:r>
          </w:p>
        </w:tc>
        <w:tc>
          <w:tcPr>
            <w:tcW w:w="3140" w:type="dxa"/>
            <w:vAlign w:val="center"/>
          </w:tcPr>
          <w:p>
            <w:pPr>
              <w:widowControl/>
              <w:jc w:val="center"/>
              <w:textAlignment w:val="center"/>
              <w:rPr>
                <w:szCs w:val="21"/>
              </w:rPr>
            </w:pPr>
            <w:r>
              <w:rPr>
                <w:szCs w:val="21"/>
              </w:rPr>
              <w:t>项目</w:t>
            </w:r>
            <w:r>
              <w:rPr>
                <w:rFonts w:hint="eastAsia"/>
                <w:szCs w:val="21"/>
              </w:rPr>
              <w:t>不涉及锅炉。</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szCs w:val="21"/>
              </w:rPr>
              <w:t>2、重点推进南水北调受水区地下水压采工作，加快公共供水管网建设，促进供水管网覆盖范围以外的自备井封闭工作。</w:t>
            </w:r>
          </w:p>
        </w:tc>
        <w:tc>
          <w:tcPr>
            <w:tcW w:w="3140" w:type="dxa"/>
            <w:vAlign w:val="center"/>
          </w:tcPr>
          <w:p>
            <w:pPr>
              <w:widowControl/>
              <w:textAlignment w:val="center"/>
              <w:rPr>
                <w:szCs w:val="21"/>
              </w:rPr>
            </w:pPr>
            <w:r>
              <w:rPr>
                <w:szCs w:val="21"/>
              </w:rPr>
              <w:t>项目位于</w:t>
            </w:r>
            <w:r>
              <w:rPr>
                <w:rFonts w:hint="eastAsia"/>
                <w:snapToGrid w:val="0"/>
                <w:szCs w:val="21"/>
              </w:rPr>
              <w:t>原阳县</w:t>
            </w:r>
            <w:r>
              <w:rPr>
                <w:snapToGrid w:val="0"/>
                <w:szCs w:val="21"/>
              </w:rPr>
              <w:t>产业集聚区，不涉及</w:t>
            </w:r>
            <w:r>
              <w:rPr>
                <w:szCs w:val="21"/>
              </w:rPr>
              <w:t>南水北调受水区地下水压采工作</w:t>
            </w:r>
            <w:r>
              <w:rPr>
                <w:rFonts w:hint="eastAsia"/>
                <w:szCs w:val="21"/>
              </w:rPr>
              <w:t>。</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szCs w:val="21"/>
              </w:rPr>
              <w:t>3、开展高耗水工业行业节水技术改造，大力推广工业水循环利用，推进节水型企业、节水型工业园区建设。</w:t>
            </w:r>
          </w:p>
        </w:tc>
        <w:tc>
          <w:tcPr>
            <w:tcW w:w="3140" w:type="dxa"/>
            <w:vAlign w:val="center"/>
          </w:tcPr>
          <w:p>
            <w:pPr>
              <w:widowControl/>
              <w:textAlignment w:val="center"/>
              <w:rPr>
                <w:szCs w:val="21"/>
              </w:rPr>
            </w:pPr>
            <w:r>
              <w:rPr>
                <w:szCs w:val="21"/>
              </w:rPr>
              <w:t>项目为新建项目，不属于高耗水行业。项目建成后加强水循环利用，减少废水排放</w:t>
            </w:r>
            <w:r>
              <w:rPr>
                <w:rFonts w:hint="eastAsia"/>
                <w:szCs w:val="21"/>
              </w:rPr>
              <w:t>。</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szCs w:val="21"/>
              </w:rPr>
              <w:t>4、按照合理有序使用地表水、控制使用地下水、积极利用非常规水源的要求，做好区域水资源统筹调配，逐步降低区域内的水资源开发利用强度，退减被挤占的生态用水，2030年全市浅层地下水开采控制在57390万立方米。</w:t>
            </w:r>
          </w:p>
        </w:tc>
        <w:tc>
          <w:tcPr>
            <w:tcW w:w="3140" w:type="dxa"/>
            <w:vAlign w:val="center"/>
          </w:tcPr>
          <w:p>
            <w:pPr>
              <w:widowControl/>
              <w:textAlignment w:val="center"/>
              <w:rPr>
                <w:szCs w:val="21"/>
              </w:rPr>
            </w:pPr>
            <w:r>
              <w:rPr>
                <w:szCs w:val="21"/>
              </w:rPr>
              <w:t>本项目由园区供水管网供水，用水量较少，</w:t>
            </w:r>
            <w:r>
              <w:rPr>
                <w:rFonts w:hint="eastAsia"/>
                <w:szCs w:val="21"/>
              </w:rPr>
              <w:t>满足本项目所需。本项目不开采地下水，</w:t>
            </w:r>
            <w:r>
              <w:rPr>
                <w:szCs w:val="21"/>
              </w:rPr>
              <w:t>对区域水资源影响较小。</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szCs w:val="21"/>
              </w:rPr>
              <w:t>5、到2025年，</w:t>
            </w:r>
            <w:r>
              <w:rPr>
                <w:rFonts w:hint="eastAsia"/>
                <w:szCs w:val="21"/>
              </w:rPr>
              <w:t>全市用水总量为20.838亿m</w:t>
            </w:r>
            <w:r>
              <w:rPr>
                <w:rFonts w:hint="eastAsia"/>
                <w:szCs w:val="21"/>
                <w:vertAlign w:val="superscript"/>
              </w:rPr>
              <w:t>3</w:t>
            </w:r>
            <w:r>
              <w:rPr>
                <w:rFonts w:hint="eastAsia"/>
                <w:szCs w:val="21"/>
              </w:rPr>
              <w:t>，万元GDP用水量下降比例达到16%，全省市级缺水城市再生水利用率达到 25%以上</w:t>
            </w:r>
            <w:r>
              <w:rPr>
                <w:szCs w:val="21"/>
              </w:rPr>
              <w:t>。</w:t>
            </w:r>
          </w:p>
        </w:tc>
        <w:tc>
          <w:tcPr>
            <w:tcW w:w="3140" w:type="dxa"/>
            <w:vAlign w:val="center"/>
          </w:tcPr>
          <w:p>
            <w:pPr>
              <w:widowControl/>
              <w:jc w:val="center"/>
              <w:textAlignment w:val="center"/>
              <w:rPr>
                <w:szCs w:val="21"/>
              </w:rPr>
            </w:pPr>
            <w:r>
              <w:rPr>
                <w:szCs w:val="21"/>
              </w:rPr>
              <w:t>不涉及</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szCs w:val="21"/>
              </w:rPr>
              <w:t>6、二级国家级公益林在不影响整体森林生态系统功能发挥的前提下，可以按照相关技术规程的规定开展抚育和更新性质的采伐。在不破坏森林植被的前提下，可以合理利用其林地资源，适度开展林下种植养殖和森林游憩等非木质资源开发与利用，科学发展林下经济。国有二级国家级公益林除执行上述规定外，需要开展抚育和更新采伐或者非木质资源培育利用的，还应当符合森林经营方案的规划，并编制采伐或非木质资源培育利用作业设计，经县级以上林业主管部门依法批准后实施。</w:t>
            </w:r>
          </w:p>
        </w:tc>
        <w:tc>
          <w:tcPr>
            <w:tcW w:w="3140" w:type="dxa"/>
            <w:vAlign w:val="center"/>
          </w:tcPr>
          <w:p>
            <w:pPr>
              <w:widowControl/>
              <w:textAlignment w:val="center"/>
              <w:rPr>
                <w:szCs w:val="21"/>
              </w:rPr>
            </w:pPr>
            <w:r>
              <w:rPr>
                <w:szCs w:val="21"/>
              </w:rPr>
              <w:t>不涉及国家级公益林，不涉及林地资源等</w:t>
            </w:r>
            <w:r>
              <w:rPr>
                <w:rFonts w:hint="eastAsia"/>
                <w:szCs w:val="21"/>
              </w:rPr>
              <w:t>。</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rFonts w:hint="eastAsia"/>
                <w:szCs w:val="21"/>
              </w:rPr>
              <w:t>7、禁燃区内禁止新建、扩建燃用高污染燃料的锅炉、炉窑、炉灶等燃烧设施，已建成的应当由所在辖区限期责令拆除或改用清洁能源；禁止加工、销售各类高污染燃料。</w:t>
            </w:r>
          </w:p>
        </w:tc>
        <w:tc>
          <w:tcPr>
            <w:tcW w:w="3140" w:type="dxa"/>
            <w:vAlign w:val="center"/>
          </w:tcPr>
          <w:p>
            <w:pPr>
              <w:widowControl/>
              <w:textAlignment w:val="center"/>
              <w:rPr>
                <w:szCs w:val="21"/>
              </w:rPr>
            </w:pPr>
            <w:r>
              <w:rPr>
                <w:rFonts w:hint="eastAsia"/>
                <w:szCs w:val="21"/>
              </w:rPr>
              <w:t>本项目属于新建项目，不使用锅炉、炉窑、炉灶等燃烧设施；不加工、销售各类高污染燃料。</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rFonts w:hint="eastAsia"/>
                <w:szCs w:val="21"/>
              </w:rPr>
              <w:t>8、到2025年，煤炭消费占比降至60%以下，非化石能源消费占比提高到16%以上。单位GDP（生产总值）能耗下降15%以上，煤电机组平均供电煤耗降至285克标准煤/千瓦时。</w:t>
            </w:r>
          </w:p>
        </w:tc>
        <w:tc>
          <w:tcPr>
            <w:tcW w:w="3140" w:type="dxa"/>
            <w:vAlign w:val="center"/>
          </w:tcPr>
          <w:p>
            <w:pPr>
              <w:widowControl/>
              <w:jc w:val="center"/>
              <w:textAlignment w:val="center"/>
              <w:rPr>
                <w:szCs w:val="21"/>
              </w:rPr>
            </w:pPr>
            <w:r>
              <w:rPr>
                <w:szCs w:val="21"/>
              </w:rPr>
              <w:t>不涉及</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rFonts w:hint="eastAsia"/>
                <w:szCs w:val="21"/>
              </w:rPr>
              <w:t>9、到2025年，单位GDP二氧化碳排放降低比例达20%。</w:t>
            </w:r>
          </w:p>
        </w:tc>
        <w:tc>
          <w:tcPr>
            <w:tcW w:w="3140" w:type="dxa"/>
            <w:vAlign w:val="center"/>
          </w:tcPr>
          <w:p>
            <w:pPr>
              <w:widowControl/>
              <w:jc w:val="center"/>
              <w:textAlignment w:val="center"/>
              <w:rPr>
                <w:szCs w:val="21"/>
              </w:rPr>
            </w:pPr>
            <w:r>
              <w:rPr>
                <w:szCs w:val="21"/>
              </w:rPr>
              <w:t>不涉及</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997" w:type="dxa"/>
            <w:gridSpan w:val="5"/>
            <w:vMerge w:val="continue"/>
            <w:vAlign w:val="center"/>
          </w:tcPr>
          <w:p>
            <w:pPr>
              <w:contextualSpacing/>
              <w:textAlignment w:val="baseline"/>
              <w:rPr>
                <w:kern w:val="0"/>
                <w:szCs w:val="21"/>
                <w:highlight w:val="yellow"/>
              </w:rPr>
            </w:pPr>
          </w:p>
        </w:tc>
        <w:tc>
          <w:tcPr>
            <w:tcW w:w="5791" w:type="dxa"/>
            <w:gridSpan w:val="2"/>
            <w:vAlign w:val="center"/>
          </w:tcPr>
          <w:p>
            <w:pPr>
              <w:widowControl/>
              <w:textAlignment w:val="center"/>
              <w:rPr>
                <w:szCs w:val="21"/>
              </w:rPr>
            </w:pPr>
            <w:r>
              <w:rPr>
                <w:rFonts w:hint="eastAsia"/>
                <w:szCs w:val="21"/>
              </w:rPr>
              <w:t>10、到2025年，全市河湖生态缓冲带修复长度达到总体要求，逐步恢复河流沿线生态廊道功能。海河流域内涉及被挤占的河湖生态用水逐步得到退还，黄河流域内天然文岩渠生态流量得到保障。</w:t>
            </w:r>
          </w:p>
        </w:tc>
        <w:tc>
          <w:tcPr>
            <w:tcW w:w="3140" w:type="dxa"/>
            <w:vAlign w:val="center"/>
          </w:tcPr>
          <w:p>
            <w:pPr>
              <w:widowControl/>
              <w:jc w:val="center"/>
              <w:textAlignment w:val="center"/>
              <w:rPr>
                <w:szCs w:val="21"/>
              </w:rPr>
            </w:pPr>
            <w:r>
              <w:rPr>
                <w:szCs w:val="21"/>
              </w:rPr>
              <w:t>不涉及</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3492" w:type="dxa"/>
            <w:gridSpan w:val="9"/>
            <w:vAlign w:val="center"/>
          </w:tcPr>
          <w:p>
            <w:pPr>
              <w:widowControl/>
              <w:jc w:val="center"/>
              <w:textAlignment w:val="center"/>
              <w:rPr>
                <w:b/>
                <w:bCs/>
                <w:snapToGrid w:val="0"/>
              </w:rPr>
            </w:pPr>
            <w:r>
              <w:rPr>
                <w:b/>
                <w:bCs/>
                <w:szCs w:val="21"/>
              </w:rPr>
              <w:t>新乡市各县区分区管控单元生态环境准入清单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324" w:type="dxa"/>
            <w:vMerge w:val="restart"/>
            <w:vAlign w:val="center"/>
          </w:tcPr>
          <w:p>
            <w:pPr>
              <w:contextualSpacing/>
              <w:jc w:val="center"/>
              <w:textAlignment w:val="baseline"/>
              <w:rPr>
                <w:rFonts w:ascii="宋体" w:hAnsi="宋体"/>
                <w:snapToGrid w:val="0"/>
                <w:szCs w:val="21"/>
              </w:rPr>
            </w:pPr>
            <w:r>
              <w:rPr>
                <w:rFonts w:ascii="宋体" w:hAnsi="宋体"/>
                <w:b/>
                <w:bCs/>
                <w:kern w:val="0"/>
                <w:szCs w:val="21"/>
                <w:lang w:bidi="ar"/>
              </w:rPr>
              <w:t>环境管控单元编码</w:t>
            </w:r>
          </w:p>
        </w:tc>
        <w:tc>
          <w:tcPr>
            <w:tcW w:w="891" w:type="dxa"/>
            <w:vMerge w:val="restart"/>
            <w:vAlign w:val="center"/>
          </w:tcPr>
          <w:p>
            <w:pPr>
              <w:contextualSpacing/>
              <w:jc w:val="center"/>
              <w:textAlignment w:val="baseline"/>
              <w:rPr>
                <w:rFonts w:ascii="宋体" w:hAnsi="宋体"/>
                <w:snapToGrid w:val="0"/>
                <w:szCs w:val="21"/>
              </w:rPr>
            </w:pPr>
            <w:r>
              <w:rPr>
                <w:rFonts w:ascii="宋体" w:hAnsi="宋体"/>
                <w:b/>
                <w:bCs/>
                <w:kern w:val="0"/>
                <w:szCs w:val="21"/>
                <w:lang w:bidi="ar"/>
              </w:rPr>
              <w:t>管控单元分类</w:t>
            </w:r>
          </w:p>
        </w:tc>
        <w:tc>
          <w:tcPr>
            <w:tcW w:w="772" w:type="dxa"/>
            <w:vMerge w:val="restart"/>
            <w:vAlign w:val="center"/>
          </w:tcPr>
          <w:p>
            <w:pPr>
              <w:contextualSpacing/>
              <w:jc w:val="center"/>
              <w:textAlignment w:val="baseline"/>
              <w:rPr>
                <w:rFonts w:ascii="宋体" w:hAnsi="宋体"/>
                <w:snapToGrid w:val="0"/>
                <w:szCs w:val="21"/>
              </w:rPr>
            </w:pPr>
            <w:r>
              <w:rPr>
                <w:rFonts w:ascii="宋体" w:hAnsi="宋体"/>
                <w:b/>
                <w:bCs/>
                <w:kern w:val="0"/>
                <w:szCs w:val="21"/>
                <w:lang w:bidi="ar"/>
              </w:rPr>
              <w:t>环境管控单元名称</w:t>
            </w:r>
          </w:p>
        </w:tc>
        <w:tc>
          <w:tcPr>
            <w:tcW w:w="1010" w:type="dxa"/>
            <w:gridSpan w:val="2"/>
            <w:vAlign w:val="center"/>
          </w:tcPr>
          <w:p>
            <w:pPr>
              <w:contextualSpacing/>
              <w:jc w:val="center"/>
              <w:textAlignment w:val="baseline"/>
              <w:rPr>
                <w:rFonts w:ascii="宋体" w:hAnsi="宋体"/>
                <w:snapToGrid w:val="0"/>
                <w:szCs w:val="21"/>
              </w:rPr>
            </w:pPr>
            <w:r>
              <w:rPr>
                <w:rFonts w:ascii="宋体" w:hAnsi="宋体"/>
                <w:b/>
                <w:bCs/>
                <w:kern w:val="0"/>
                <w:szCs w:val="21"/>
                <w:lang w:bidi="ar"/>
              </w:rPr>
              <w:t>行政区划</w:t>
            </w:r>
          </w:p>
        </w:tc>
        <w:tc>
          <w:tcPr>
            <w:tcW w:w="5791" w:type="dxa"/>
            <w:gridSpan w:val="2"/>
            <w:vMerge w:val="restart"/>
            <w:vAlign w:val="center"/>
          </w:tcPr>
          <w:p>
            <w:pPr>
              <w:widowControl/>
              <w:jc w:val="center"/>
              <w:textAlignment w:val="center"/>
              <w:rPr>
                <w:rFonts w:ascii="宋体" w:hAnsi="宋体"/>
                <w:b/>
                <w:bCs/>
                <w:szCs w:val="21"/>
              </w:rPr>
            </w:pPr>
            <w:r>
              <w:rPr>
                <w:rFonts w:ascii="宋体" w:hAnsi="宋体"/>
                <w:b/>
                <w:bCs/>
                <w:kern w:val="0"/>
                <w:szCs w:val="21"/>
                <w:lang w:bidi="ar"/>
              </w:rPr>
              <w:t>管控要求</w:t>
            </w:r>
          </w:p>
        </w:tc>
        <w:tc>
          <w:tcPr>
            <w:tcW w:w="3140" w:type="dxa"/>
            <w:vMerge w:val="restart"/>
            <w:vAlign w:val="center"/>
          </w:tcPr>
          <w:p>
            <w:pPr>
              <w:widowControl/>
              <w:jc w:val="center"/>
              <w:textAlignment w:val="center"/>
              <w:rPr>
                <w:rFonts w:ascii="宋体" w:hAnsi="宋体"/>
                <w:b/>
                <w:bCs/>
                <w:szCs w:val="21"/>
              </w:rPr>
            </w:pPr>
            <w:r>
              <w:rPr>
                <w:rFonts w:ascii="宋体" w:hAnsi="宋体"/>
                <w:b/>
                <w:bCs/>
                <w:snapToGrid w:val="0"/>
                <w:szCs w:val="21"/>
              </w:rPr>
              <w:t>本项目情况</w:t>
            </w:r>
          </w:p>
        </w:tc>
        <w:tc>
          <w:tcPr>
            <w:tcW w:w="564" w:type="dxa"/>
            <w:vMerge w:val="restart"/>
            <w:vAlign w:val="center"/>
          </w:tcPr>
          <w:p>
            <w:pPr>
              <w:contextualSpacing/>
              <w:jc w:val="center"/>
              <w:textAlignment w:val="baseline"/>
              <w:rPr>
                <w:rFonts w:ascii="宋体" w:hAnsi="宋体"/>
                <w:b/>
                <w:bCs/>
                <w:snapToGrid w:val="0"/>
                <w:szCs w:val="21"/>
              </w:rPr>
            </w:pPr>
            <w:r>
              <w:rPr>
                <w:rFonts w:ascii="宋体" w:hAnsi="宋体"/>
                <w:b/>
                <w:bCs/>
                <w:snapToGrid w:val="0"/>
                <w:kern w:val="0"/>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324" w:type="dxa"/>
            <w:vMerge w:val="continue"/>
            <w:vAlign w:val="center"/>
          </w:tcPr>
          <w:p>
            <w:pPr>
              <w:contextualSpacing/>
              <w:jc w:val="center"/>
              <w:textAlignment w:val="baseline"/>
              <w:rPr>
                <w:rFonts w:eastAsia="仿宋"/>
                <w:b/>
                <w:bCs/>
                <w:kern w:val="0"/>
                <w:szCs w:val="21"/>
                <w:lang w:bidi="ar"/>
              </w:rPr>
            </w:pPr>
          </w:p>
        </w:tc>
        <w:tc>
          <w:tcPr>
            <w:tcW w:w="891" w:type="dxa"/>
            <w:vMerge w:val="continue"/>
            <w:vAlign w:val="center"/>
          </w:tcPr>
          <w:p>
            <w:pPr>
              <w:contextualSpacing/>
              <w:jc w:val="center"/>
              <w:textAlignment w:val="baseline"/>
              <w:rPr>
                <w:rFonts w:eastAsia="仿宋"/>
                <w:b/>
                <w:bCs/>
                <w:kern w:val="0"/>
                <w:szCs w:val="21"/>
                <w:lang w:bidi="ar"/>
              </w:rPr>
            </w:pPr>
          </w:p>
        </w:tc>
        <w:tc>
          <w:tcPr>
            <w:tcW w:w="772" w:type="dxa"/>
            <w:vMerge w:val="continue"/>
            <w:vAlign w:val="center"/>
          </w:tcPr>
          <w:p>
            <w:pPr>
              <w:contextualSpacing/>
              <w:jc w:val="center"/>
              <w:textAlignment w:val="baseline"/>
              <w:rPr>
                <w:rFonts w:eastAsia="仿宋"/>
                <w:b/>
                <w:bCs/>
                <w:kern w:val="0"/>
                <w:szCs w:val="21"/>
                <w:lang w:bidi="ar"/>
              </w:rPr>
            </w:pPr>
          </w:p>
        </w:tc>
        <w:tc>
          <w:tcPr>
            <w:tcW w:w="488" w:type="dxa"/>
            <w:vAlign w:val="center"/>
          </w:tcPr>
          <w:p>
            <w:pPr>
              <w:contextualSpacing/>
              <w:jc w:val="center"/>
              <w:textAlignment w:val="baseline"/>
              <w:rPr>
                <w:rFonts w:ascii="宋体" w:hAnsi="宋体"/>
                <w:b/>
                <w:bCs/>
                <w:kern w:val="0"/>
                <w:szCs w:val="21"/>
                <w:lang w:bidi="ar"/>
              </w:rPr>
            </w:pPr>
            <w:r>
              <w:rPr>
                <w:rFonts w:ascii="宋体" w:hAnsi="宋体"/>
                <w:b/>
                <w:bCs/>
                <w:kern w:val="0"/>
                <w:szCs w:val="21"/>
                <w:lang w:bidi="ar"/>
              </w:rPr>
              <w:t>区县</w:t>
            </w:r>
          </w:p>
        </w:tc>
        <w:tc>
          <w:tcPr>
            <w:tcW w:w="522" w:type="dxa"/>
            <w:vAlign w:val="center"/>
          </w:tcPr>
          <w:p>
            <w:pPr>
              <w:contextualSpacing/>
              <w:jc w:val="center"/>
              <w:textAlignment w:val="baseline"/>
              <w:rPr>
                <w:rFonts w:ascii="宋体" w:hAnsi="宋体"/>
                <w:b/>
                <w:bCs/>
                <w:kern w:val="0"/>
                <w:szCs w:val="21"/>
                <w:lang w:bidi="ar"/>
              </w:rPr>
            </w:pPr>
            <w:r>
              <w:rPr>
                <w:rFonts w:ascii="宋体" w:hAnsi="宋体"/>
                <w:b/>
                <w:bCs/>
                <w:kern w:val="0"/>
                <w:szCs w:val="21"/>
                <w:lang w:bidi="ar"/>
              </w:rPr>
              <w:t>乡镇</w:t>
            </w:r>
          </w:p>
        </w:tc>
        <w:tc>
          <w:tcPr>
            <w:tcW w:w="5791" w:type="dxa"/>
            <w:gridSpan w:val="2"/>
            <w:vMerge w:val="continue"/>
            <w:vAlign w:val="center"/>
          </w:tcPr>
          <w:p>
            <w:pPr>
              <w:widowControl/>
              <w:textAlignment w:val="center"/>
              <w:rPr>
                <w:szCs w:val="21"/>
                <w:highlight w:val="yellow"/>
              </w:rPr>
            </w:pPr>
          </w:p>
        </w:tc>
        <w:tc>
          <w:tcPr>
            <w:tcW w:w="3140" w:type="dxa"/>
            <w:vMerge w:val="continue"/>
            <w:vAlign w:val="center"/>
          </w:tcPr>
          <w:p>
            <w:pPr>
              <w:widowControl/>
              <w:textAlignment w:val="center"/>
              <w:rPr>
                <w:szCs w:val="21"/>
                <w:highlight w:val="yellow"/>
              </w:rPr>
            </w:pPr>
          </w:p>
        </w:tc>
        <w:tc>
          <w:tcPr>
            <w:tcW w:w="564" w:type="dxa"/>
            <w:vMerge w:val="continue"/>
            <w:vAlign w:val="center"/>
          </w:tcPr>
          <w:p>
            <w:pPr>
              <w:contextualSpacing/>
              <w:jc w:val="center"/>
              <w:textAlignment w:val="baseline"/>
              <w:rPr>
                <w:snapToGrid w:val="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324" w:type="dxa"/>
            <w:vMerge w:val="restart"/>
            <w:vAlign w:val="center"/>
          </w:tcPr>
          <w:p>
            <w:pPr>
              <w:widowControl/>
              <w:jc w:val="center"/>
              <w:textAlignment w:val="center"/>
              <w:rPr>
                <w:szCs w:val="21"/>
              </w:rPr>
            </w:pPr>
            <w:r>
              <w:rPr>
                <w:szCs w:val="21"/>
              </w:rPr>
              <w:t>ZH</w:t>
            </w:r>
          </w:p>
          <w:p>
            <w:pPr>
              <w:widowControl/>
              <w:jc w:val="center"/>
              <w:textAlignment w:val="center"/>
              <w:rPr>
                <w:szCs w:val="21"/>
              </w:rPr>
            </w:pPr>
            <w:r>
              <w:rPr>
                <w:szCs w:val="21"/>
              </w:rPr>
              <w:t>41072520001</w:t>
            </w:r>
          </w:p>
        </w:tc>
        <w:tc>
          <w:tcPr>
            <w:tcW w:w="891" w:type="dxa"/>
            <w:vMerge w:val="restart"/>
            <w:vAlign w:val="center"/>
          </w:tcPr>
          <w:p>
            <w:pPr>
              <w:widowControl/>
              <w:jc w:val="center"/>
              <w:textAlignment w:val="center"/>
              <w:rPr>
                <w:szCs w:val="21"/>
              </w:rPr>
            </w:pPr>
            <w:r>
              <w:rPr>
                <w:szCs w:val="21"/>
              </w:rPr>
              <w:t>重点管控单元1</w:t>
            </w:r>
          </w:p>
        </w:tc>
        <w:tc>
          <w:tcPr>
            <w:tcW w:w="772" w:type="dxa"/>
            <w:vMerge w:val="restart"/>
            <w:vAlign w:val="center"/>
          </w:tcPr>
          <w:p>
            <w:pPr>
              <w:widowControl/>
              <w:jc w:val="center"/>
              <w:textAlignment w:val="center"/>
              <w:rPr>
                <w:szCs w:val="21"/>
              </w:rPr>
            </w:pPr>
            <w:r>
              <w:rPr>
                <w:rFonts w:hint="eastAsia"/>
                <w:szCs w:val="21"/>
              </w:rPr>
              <w:t>原阳县先进制造业开发区</w:t>
            </w:r>
          </w:p>
        </w:tc>
        <w:tc>
          <w:tcPr>
            <w:tcW w:w="488" w:type="dxa"/>
            <w:vMerge w:val="restart"/>
            <w:vAlign w:val="center"/>
          </w:tcPr>
          <w:p>
            <w:pPr>
              <w:widowControl/>
              <w:jc w:val="center"/>
              <w:textAlignment w:val="center"/>
              <w:rPr>
                <w:szCs w:val="21"/>
              </w:rPr>
            </w:pPr>
            <w:r>
              <w:rPr>
                <w:rFonts w:hint="eastAsia"/>
                <w:szCs w:val="21"/>
              </w:rPr>
              <w:t>原阳县</w:t>
            </w:r>
          </w:p>
        </w:tc>
        <w:tc>
          <w:tcPr>
            <w:tcW w:w="522" w:type="dxa"/>
            <w:vMerge w:val="restart"/>
            <w:vAlign w:val="center"/>
          </w:tcPr>
          <w:p>
            <w:pPr>
              <w:widowControl/>
              <w:jc w:val="center"/>
              <w:textAlignment w:val="center"/>
              <w:rPr>
                <w:szCs w:val="21"/>
              </w:rPr>
            </w:pPr>
            <w:r>
              <w:rPr>
                <w:szCs w:val="21"/>
              </w:rPr>
              <w:t>/</w:t>
            </w:r>
          </w:p>
        </w:tc>
        <w:tc>
          <w:tcPr>
            <w:tcW w:w="603" w:type="dxa"/>
            <w:vAlign w:val="center"/>
          </w:tcPr>
          <w:p>
            <w:pPr>
              <w:widowControl/>
              <w:jc w:val="center"/>
              <w:textAlignment w:val="center"/>
              <w:rPr>
                <w:szCs w:val="21"/>
              </w:rPr>
            </w:pPr>
            <w:r>
              <w:rPr>
                <w:szCs w:val="21"/>
              </w:rPr>
              <w:t>空间布局约束</w:t>
            </w:r>
          </w:p>
        </w:tc>
        <w:tc>
          <w:tcPr>
            <w:tcW w:w="5188" w:type="dxa"/>
            <w:vAlign w:val="center"/>
          </w:tcPr>
          <w:p>
            <w:pPr>
              <w:widowControl/>
              <w:textAlignment w:val="center"/>
              <w:rPr>
                <w:szCs w:val="21"/>
              </w:rPr>
            </w:pPr>
            <w:r>
              <w:rPr>
                <w:rFonts w:hint="eastAsia"/>
                <w:szCs w:val="21"/>
              </w:rPr>
              <w:t>1、园区规划主导产业为食品加工、装备制造，鼓励与主导产业配套的项目入驻。</w:t>
            </w:r>
          </w:p>
          <w:p>
            <w:pPr>
              <w:widowControl/>
              <w:textAlignment w:val="center"/>
              <w:rPr>
                <w:szCs w:val="21"/>
              </w:rPr>
            </w:pPr>
            <w:r>
              <w:rPr>
                <w:rFonts w:hint="eastAsia"/>
                <w:szCs w:val="21"/>
              </w:rPr>
              <w:t>2、入驻项目应符合园区规划或规划环评的要求。</w:t>
            </w:r>
          </w:p>
          <w:p>
            <w:pPr>
              <w:widowControl/>
              <w:textAlignment w:val="center"/>
              <w:rPr>
                <w:szCs w:val="21"/>
              </w:rPr>
            </w:pPr>
            <w:r>
              <w:rPr>
                <w:rFonts w:hint="eastAsia"/>
                <w:szCs w:val="21"/>
              </w:rPr>
              <w:t>3、严格控制新、改、扩建“两高”项目建设。</w:t>
            </w:r>
          </w:p>
          <w:p>
            <w:pPr>
              <w:widowControl/>
              <w:textAlignment w:val="center"/>
              <w:rPr>
                <w:szCs w:val="21"/>
              </w:rPr>
            </w:pPr>
            <w:r>
              <w:rPr>
                <w:rFonts w:hint="eastAsia"/>
                <w:szCs w:val="21"/>
              </w:rPr>
              <w:t>4、严控新增重点防控的重金属污染物排放量，新、改、扩建重点行业建设项目实施重点重金属减量替代，应符合《新乡市“十四五”重金属污染防控工作方案》相关要求。</w:t>
            </w:r>
          </w:p>
        </w:tc>
        <w:tc>
          <w:tcPr>
            <w:tcW w:w="3140" w:type="dxa"/>
            <w:vAlign w:val="center"/>
          </w:tcPr>
          <w:p>
            <w:pPr>
              <w:widowControl/>
              <w:textAlignment w:val="center"/>
              <w:rPr>
                <w:szCs w:val="21"/>
              </w:rPr>
            </w:pPr>
            <w:r>
              <w:rPr>
                <w:szCs w:val="21"/>
              </w:rPr>
              <w:t>1、项目属于</w:t>
            </w:r>
            <w:r>
              <w:rPr>
                <w:rFonts w:hint="eastAsia"/>
                <w:bCs/>
                <w:szCs w:val="21"/>
              </w:rPr>
              <w:t>房地产业、水的生产和供应业，主要建设车间厂房及其配套设施污水处理站，主要入驻企业为食品加工及配套企业，属于与</w:t>
            </w:r>
            <w:r>
              <w:rPr>
                <w:rFonts w:hint="eastAsia"/>
                <w:szCs w:val="21"/>
              </w:rPr>
              <w:t>主导产业配套的项目。</w:t>
            </w:r>
          </w:p>
          <w:p>
            <w:pPr>
              <w:widowControl/>
              <w:textAlignment w:val="center"/>
              <w:rPr>
                <w:bCs/>
                <w:szCs w:val="21"/>
              </w:rPr>
            </w:pPr>
            <w:r>
              <w:rPr>
                <w:szCs w:val="21"/>
              </w:rPr>
              <w:t>2、项目属于</w:t>
            </w:r>
            <w:r>
              <w:rPr>
                <w:rFonts w:hint="eastAsia"/>
                <w:bCs/>
                <w:szCs w:val="21"/>
              </w:rPr>
              <w:t>房地产业、水的生产和供应业，主要建设车间厂房及其配套设施污水处理站</w:t>
            </w:r>
            <w:r>
              <w:rPr>
                <w:rFonts w:hint="eastAsia"/>
                <w:szCs w:val="21"/>
              </w:rPr>
              <w:t>。</w:t>
            </w:r>
            <w:r>
              <w:rPr>
                <w:szCs w:val="21"/>
              </w:rPr>
              <w:t>根据</w:t>
            </w:r>
            <w:r>
              <w:rPr>
                <w:rFonts w:hint="eastAsia"/>
                <w:bCs/>
                <w:szCs w:val="21"/>
              </w:rPr>
              <w:t>《</w:t>
            </w:r>
            <w:r>
              <w:rPr>
                <w:bCs/>
                <w:szCs w:val="21"/>
              </w:rPr>
              <w:t>原阳县产业集聚区发展规划--用地规划图</w:t>
            </w:r>
            <w:r>
              <w:rPr>
                <w:rFonts w:hint="eastAsia"/>
                <w:bCs/>
                <w:szCs w:val="21"/>
              </w:rPr>
              <w:t>》，本项目占地为二类工业用地。根据《</w:t>
            </w:r>
            <w:r>
              <w:rPr>
                <w:bCs/>
                <w:szCs w:val="21"/>
              </w:rPr>
              <w:t>原阳县产业集聚区发展规划—</w:t>
            </w:r>
            <w:r>
              <w:rPr>
                <w:rFonts w:hint="eastAsia"/>
                <w:bCs/>
                <w:szCs w:val="21"/>
              </w:rPr>
              <w:t>功能布局</w:t>
            </w:r>
            <w:r>
              <w:rPr>
                <w:bCs/>
                <w:szCs w:val="21"/>
              </w:rPr>
              <w:t>图</w:t>
            </w:r>
            <w:r>
              <w:rPr>
                <w:rFonts w:hint="eastAsia"/>
                <w:bCs/>
                <w:szCs w:val="21"/>
              </w:rPr>
              <w:t>》，本项目位于农副产品深加工产业区，符合园区规划</w:t>
            </w:r>
            <w:r>
              <w:rPr>
                <w:rFonts w:hint="eastAsia"/>
                <w:szCs w:val="21"/>
              </w:rPr>
              <w:t>和规划环评的要求</w:t>
            </w:r>
            <w:r>
              <w:rPr>
                <w:rFonts w:hint="eastAsia"/>
                <w:bCs/>
                <w:szCs w:val="21"/>
              </w:rPr>
              <w:t>。</w:t>
            </w:r>
          </w:p>
          <w:p>
            <w:pPr>
              <w:widowControl/>
              <w:textAlignment w:val="center"/>
              <w:rPr>
                <w:szCs w:val="21"/>
              </w:rPr>
            </w:pPr>
            <w:r>
              <w:rPr>
                <w:szCs w:val="21"/>
              </w:rPr>
              <w:t>3、项目</w:t>
            </w:r>
            <w:r>
              <w:rPr>
                <w:rFonts w:hint="eastAsia"/>
                <w:szCs w:val="21"/>
              </w:rPr>
              <w:t>为新建项目，</w:t>
            </w:r>
            <w:r>
              <w:rPr>
                <w:szCs w:val="21"/>
              </w:rPr>
              <w:t>不属于“两高”项目。</w:t>
            </w:r>
          </w:p>
          <w:p>
            <w:pPr>
              <w:widowControl/>
              <w:textAlignment w:val="center"/>
              <w:rPr>
                <w:szCs w:val="21"/>
                <w:highlight w:val="yellow"/>
              </w:rPr>
            </w:pPr>
            <w:r>
              <w:rPr>
                <w:rFonts w:hint="eastAsia"/>
                <w:szCs w:val="21"/>
              </w:rPr>
              <w:t>4、本项目不涉及中间数的排放。</w:t>
            </w:r>
          </w:p>
        </w:tc>
        <w:tc>
          <w:tcPr>
            <w:tcW w:w="564" w:type="dxa"/>
            <w:vAlign w:val="center"/>
          </w:tcPr>
          <w:p>
            <w:pPr>
              <w:contextualSpacing/>
              <w:jc w:val="center"/>
              <w:textAlignment w:val="baseline"/>
              <w:rPr>
                <w:snapToGrid w:val="0"/>
                <w:szCs w:val="21"/>
                <w:highlight w:val="yellow"/>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324" w:type="dxa"/>
            <w:vMerge w:val="continue"/>
            <w:vAlign w:val="center"/>
          </w:tcPr>
          <w:p>
            <w:pPr>
              <w:contextualSpacing/>
              <w:jc w:val="center"/>
              <w:textAlignment w:val="baseline"/>
              <w:rPr>
                <w:rFonts w:eastAsia="仿宋"/>
                <w:b/>
                <w:bCs/>
                <w:kern w:val="0"/>
                <w:szCs w:val="21"/>
                <w:highlight w:val="yellow"/>
                <w:lang w:bidi="ar"/>
              </w:rPr>
            </w:pPr>
          </w:p>
        </w:tc>
        <w:tc>
          <w:tcPr>
            <w:tcW w:w="891" w:type="dxa"/>
            <w:vMerge w:val="continue"/>
            <w:vAlign w:val="center"/>
          </w:tcPr>
          <w:p>
            <w:pPr>
              <w:widowControl/>
              <w:jc w:val="center"/>
              <w:textAlignment w:val="center"/>
              <w:rPr>
                <w:szCs w:val="21"/>
                <w:highlight w:val="yellow"/>
              </w:rPr>
            </w:pPr>
          </w:p>
        </w:tc>
        <w:tc>
          <w:tcPr>
            <w:tcW w:w="772" w:type="dxa"/>
            <w:vMerge w:val="continue"/>
            <w:vAlign w:val="center"/>
          </w:tcPr>
          <w:p>
            <w:pPr>
              <w:widowControl/>
              <w:jc w:val="center"/>
              <w:textAlignment w:val="center"/>
              <w:rPr>
                <w:szCs w:val="21"/>
                <w:highlight w:val="yellow"/>
              </w:rPr>
            </w:pPr>
          </w:p>
        </w:tc>
        <w:tc>
          <w:tcPr>
            <w:tcW w:w="488" w:type="dxa"/>
            <w:vMerge w:val="continue"/>
            <w:vAlign w:val="center"/>
          </w:tcPr>
          <w:p>
            <w:pPr>
              <w:widowControl/>
              <w:jc w:val="center"/>
              <w:textAlignment w:val="center"/>
              <w:rPr>
                <w:szCs w:val="21"/>
                <w:highlight w:val="yellow"/>
              </w:rPr>
            </w:pPr>
          </w:p>
        </w:tc>
        <w:tc>
          <w:tcPr>
            <w:tcW w:w="522" w:type="dxa"/>
            <w:vMerge w:val="continue"/>
            <w:vAlign w:val="center"/>
          </w:tcPr>
          <w:p>
            <w:pPr>
              <w:widowControl/>
              <w:jc w:val="center"/>
              <w:textAlignment w:val="center"/>
              <w:rPr>
                <w:szCs w:val="21"/>
                <w:highlight w:val="yellow"/>
              </w:rPr>
            </w:pPr>
          </w:p>
        </w:tc>
        <w:tc>
          <w:tcPr>
            <w:tcW w:w="603" w:type="dxa"/>
            <w:vAlign w:val="center"/>
          </w:tcPr>
          <w:p>
            <w:pPr>
              <w:widowControl/>
              <w:jc w:val="center"/>
              <w:textAlignment w:val="center"/>
              <w:rPr>
                <w:szCs w:val="21"/>
              </w:rPr>
            </w:pPr>
            <w:r>
              <w:rPr>
                <w:szCs w:val="21"/>
              </w:rPr>
              <w:t>污染物排放管控</w:t>
            </w:r>
          </w:p>
        </w:tc>
        <w:tc>
          <w:tcPr>
            <w:tcW w:w="5188" w:type="dxa"/>
            <w:vAlign w:val="center"/>
          </w:tcPr>
          <w:p>
            <w:pPr>
              <w:widowControl/>
              <w:textAlignment w:val="center"/>
              <w:rPr>
                <w:szCs w:val="21"/>
              </w:rPr>
            </w:pPr>
            <w:r>
              <w:rPr>
                <w:rFonts w:hint="eastAsia"/>
                <w:szCs w:val="21"/>
              </w:rPr>
              <w:t>1、二氧化硫、氮氧化物、颗粒物、VOCs全面执行大气污染物特别排放限值。</w:t>
            </w:r>
          </w:p>
          <w:p>
            <w:pPr>
              <w:widowControl/>
              <w:textAlignment w:val="center"/>
              <w:rPr>
                <w:szCs w:val="21"/>
              </w:rPr>
            </w:pPr>
            <w:r>
              <w:rPr>
                <w:rFonts w:hint="eastAsia"/>
                <w:szCs w:val="21"/>
              </w:rPr>
              <w:t>2、污水处理厂出水执行《河南省黄河流域水污染物排放标准》表1公共污水处理系统水污染物基本控制项目排放限值一级标准及属地管理要求。</w:t>
            </w:r>
          </w:p>
          <w:p>
            <w:pPr>
              <w:widowControl/>
              <w:textAlignment w:val="center"/>
              <w:rPr>
                <w:szCs w:val="21"/>
              </w:rPr>
            </w:pPr>
            <w:r>
              <w:rPr>
                <w:rFonts w:hint="eastAsia"/>
                <w:szCs w:val="21"/>
              </w:rPr>
              <w:t>3、新建耗煤项目还应严格按规定采取煤炭消费减量替代措施，不得使用高污染燃料作为煤炭减量替代措施。</w:t>
            </w:r>
          </w:p>
          <w:p>
            <w:pPr>
              <w:widowControl/>
              <w:textAlignment w:val="center"/>
              <w:rPr>
                <w:szCs w:val="21"/>
              </w:rPr>
            </w:pPr>
            <w:r>
              <w:rPr>
                <w:rFonts w:hint="eastAsia"/>
                <w:szCs w:val="21"/>
              </w:rPr>
              <w:t>4、已出台超低排放要求的行业建设项目应满足超低排放要求。</w:t>
            </w:r>
          </w:p>
          <w:p>
            <w:pPr>
              <w:widowControl/>
              <w:textAlignment w:val="center"/>
              <w:rPr>
                <w:szCs w:val="21"/>
              </w:rPr>
            </w:pPr>
            <w:r>
              <w:rPr>
                <w:rFonts w:hint="eastAsia"/>
                <w:szCs w:val="21"/>
              </w:rPr>
              <w:t>5、严格落实《河南省电镀建设项目环境影响评价文件审查审批原则》相关要求。</w:t>
            </w:r>
          </w:p>
        </w:tc>
        <w:tc>
          <w:tcPr>
            <w:tcW w:w="3140" w:type="dxa"/>
            <w:vAlign w:val="center"/>
          </w:tcPr>
          <w:p>
            <w:pPr>
              <w:widowControl/>
              <w:textAlignment w:val="center"/>
              <w:rPr>
                <w:szCs w:val="21"/>
              </w:rPr>
            </w:pPr>
            <w:r>
              <w:rPr>
                <w:szCs w:val="21"/>
              </w:rPr>
              <w:t>1、项目</w:t>
            </w:r>
            <w:r>
              <w:rPr>
                <w:rFonts w:hint="eastAsia"/>
                <w:szCs w:val="21"/>
              </w:rPr>
              <w:t>不排放VOCs、二氧化硫、氮氧化物、颗粒物全面执行大气污染物特别排放限值。</w:t>
            </w:r>
          </w:p>
          <w:p>
            <w:pPr>
              <w:widowControl/>
              <w:textAlignment w:val="center"/>
              <w:rPr>
                <w:szCs w:val="21"/>
              </w:rPr>
            </w:pPr>
            <w:r>
              <w:rPr>
                <w:szCs w:val="21"/>
              </w:rPr>
              <w:t>2、项目</w:t>
            </w:r>
            <w:r>
              <w:rPr>
                <w:rFonts w:hint="eastAsia"/>
                <w:szCs w:val="21"/>
              </w:rPr>
              <w:t>不涉及。</w:t>
            </w:r>
          </w:p>
          <w:p>
            <w:pPr>
              <w:widowControl/>
              <w:textAlignment w:val="center"/>
              <w:rPr>
                <w:szCs w:val="21"/>
              </w:rPr>
            </w:pPr>
            <w:r>
              <w:rPr>
                <w:szCs w:val="21"/>
              </w:rPr>
              <w:t>3、项目</w:t>
            </w:r>
            <w:r>
              <w:rPr>
                <w:rFonts w:hint="eastAsia"/>
                <w:szCs w:val="21"/>
              </w:rPr>
              <w:t>为新建项目，</w:t>
            </w:r>
            <w:r>
              <w:rPr>
                <w:szCs w:val="21"/>
              </w:rPr>
              <w:t>不</w:t>
            </w:r>
            <w:r>
              <w:rPr>
                <w:rFonts w:hint="eastAsia"/>
                <w:szCs w:val="21"/>
              </w:rPr>
              <w:t>使用煤、高污染燃料。</w:t>
            </w:r>
          </w:p>
          <w:p>
            <w:pPr>
              <w:widowControl/>
              <w:textAlignment w:val="center"/>
              <w:rPr>
                <w:szCs w:val="21"/>
              </w:rPr>
            </w:pPr>
            <w:r>
              <w:rPr>
                <w:szCs w:val="21"/>
              </w:rPr>
              <w:t>4、项目属于</w:t>
            </w:r>
            <w:r>
              <w:rPr>
                <w:rFonts w:hint="eastAsia"/>
                <w:bCs/>
                <w:szCs w:val="21"/>
              </w:rPr>
              <w:t>房地产业、水的生产和供应业，</w:t>
            </w:r>
            <w:r>
              <w:rPr>
                <w:rFonts w:hint="eastAsia"/>
                <w:szCs w:val="21"/>
              </w:rPr>
              <w:t>经查阅，该行业未台超低排放要求</w:t>
            </w:r>
            <w:r>
              <w:rPr>
                <w:szCs w:val="21"/>
              </w:rPr>
              <w:t>。</w:t>
            </w:r>
          </w:p>
          <w:p>
            <w:pPr>
              <w:widowControl/>
              <w:textAlignment w:val="center"/>
              <w:rPr>
                <w:szCs w:val="21"/>
              </w:rPr>
            </w:pPr>
            <w:r>
              <w:rPr>
                <w:szCs w:val="21"/>
              </w:rPr>
              <w:t>5、项目属于</w:t>
            </w:r>
            <w:r>
              <w:rPr>
                <w:rFonts w:hint="eastAsia"/>
                <w:bCs/>
                <w:szCs w:val="21"/>
              </w:rPr>
              <w:t>房地产业、水的生产和供应业，不涉及电镀</w:t>
            </w:r>
            <w:r>
              <w:rPr>
                <w:szCs w:val="21"/>
              </w:rPr>
              <w:t>。</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324" w:type="dxa"/>
            <w:vMerge w:val="continue"/>
            <w:vAlign w:val="center"/>
          </w:tcPr>
          <w:p>
            <w:pPr>
              <w:contextualSpacing/>
              <w:jc w:val="center"/>
              <w:textAlignment w:val="baseline"/>
              <w:rPr>
                <w:rFonts w:eastAsia="仿宋"/>
                <w:b/>
                <w:bCs/>
                <w:kern w:val="0"/>
                <w:szCs w:val="21"/>
                <w:highlight w:val="yellow"/>
                <w:lang w:bidi="ar"/>
              </w:rPr>
            </w:pPr>
          </w:p>
        </w:tc>
        <w:tc>
          <w:tcPr>
            <w:tcW w:w="891" w:type="dxa"/>
            <w:vMerge w:val="continue"/>
            <w:vAlign w:val="center"/>
          </w:tcPr>
          <w:p>
            <w:pPr>
              <w:contextualSpacing/>
              <w:jc w:val="center"/>
              <w:textAlignment w:val="baseline"/>
              <w:rPr>
                <w:rFonts w:eastAsia="仿宋"/>
                <w:kern w:val="0"/>
                <w:szCs w:val="21"/>
                <w:highlight w:val="yellow"/>
                <w:lang w:bidi="ar"/>
              </w:rPr>
            </w:pPr>
          </w:p>
        </w:tc>
        <w:tc>
          <w:tcPr>
            <w:tcW w:w="772" w:type="dxa"/>
            <w:vMerge w:val="continue"/>
            <w:vAlign w:val="center"/>
          </w:tcPr>
          <w:p>
            <w:pPr>
              <w:contextualSpacing/>
              <w:jc w:val="center"/>
              <w:textAlignment w:val="baseline"/>
              <w:rPr>
                <w:rFonts w:eastAsia="仿宋"/>
                <w:kern w:val="0"/>
                <w:szCs w:val="21"/>
                <w:highlight w:val="yellow"/>
                <w:lang w:bidi="ar"/>
              </w:rPr>
            </w:pPr>
          </w:p>
        </w:tc>
        <w:tc>
          <w:tcPr>
            <w:tcW w:w="488" w:type="dxa"/>
            <w:vMerge w:val="continue"/>
            <w:vAlign w:val="center"/>
          </w:tcPr>
          <w:p>
            <w:pPr>
              <w:contextualSpacing/>
              <w:jc w:val="center"/>
              <w:textAlignment w:val="baseline"/>
              <w:rPr>
                <w:rFonts w:eastAsia="仿宋"/>
                <w:kern w:val="0"/>
                <w:szCs w:val="21"/>
                <w:highlight w:val="yellow"/>
                <w:lang w:bidi="ar"/>
              </w:rPr>
            </w:pPr>
          </w:p>
        </w:tc>
        <w:tc>
          <w:tcPr>
            <w:tcW w:w="522" w:type="dxa"/>
            <w:vMerge w:val="continue"/>
            <w:vAlign w:val="center"/>
          </w:tcPr>
          <w:p>
            <w:pPr>
              <w:contextualSpacing/>
              <w:jc w:val="center"/>
              <w:textAlignment w:val="baseline"/>
              <w:rPr>
                <w:kern w:val="0"/>
                <w:szCs w:val="21"/>
                <w:highlight w:val="yellow"/>
                <w:lang w:bidi="ar"/>
              </w:rPr>
            </w:pPr>
          </w:p>
        </w:tc>
        <w:tc>
          <w:tcPr>
            <w:tcW w:w="603" w:type="dxa"/>
            <w:vAlign w:val="center"/>
          </w:tcPr>
          <w:p>
            <w:pPr>
              <w:widowControl/>
              <w:jc w:val="center"/>
              <w:textAlignment w:val="center"/>
              <w:rPr>
                <w:szCs w:val="21"/>
              </w:rPr>
            </w:pPr>
            <w:r>
              <w:rPr>
                <w:szCs w:val="21"/>
              </w:rPr>
              <w:t>环境风险防控</w:t>
            </w:r>
          </w:p>
        </w:tc>
        <w:tc>
          <w:tcPr>
            <w:tcW w:w="5188" w:type="dxa"/>
            <w:vAlign w:val="center"/>
          </w:tcPr>
          <w:p>
            <w:pPr>
              <w:widowControl/>
              <w:textAlignment w:val="center"/>
              <w:rPr>
                <w:szCs w:val="21"/>
              </w:rPr>
            </w:pPr>
            <w:r>
              <w:rPr>
                <w:szCs w:val="21"/>
              </w:rPr>
              <w:t>加强地下水监测，及时采取有效防治措施，避免对地下水造成污染。</w:t>
            </w:r>
          </w:p>
        </w:tc>
        <w:tc>
          <w:tcPr>
            <w:tcW w:w="3140" w:type="dxa"/>
            <w:vAlign w:val="center"/>
          </w:tcPr>
          <w:p>
            <w:pPr>
              <w:widowControl/>
              <w:textAlignment w:val="center"/>
              <w:rPr>
                <w:szCs w:val="21"/>
              </w:rPr>
            </w:pPr>
            <w:r>
              <w:rPr>
                <w:rFonts w:hint="eastAsia"/>
                <w:szCs w:val="21"/>
              </w:rPr>
              <w:t>项目建成后按照要求进行地下水监测，按照要求</w:t>
            </w:r>
            <w:r>
              <w:rPr>
                <w:szCs w:val="21"/>
              </w:rPr>
              <w:t>采取措施</w:t>
            </w:r>
            <w:r>
              <w:rPr>
                <w:rFonts w:hint="eastAsia"/>
                <w:szCs w:val="21"/>
              </w:rPr>
              <w:t>后不会</w:t>
            </w:r>
            <w:r>
              <w:rPr>
                <w:szCs w:val="21"/>
              </w:rPr>
              <w:t>对地下水造成污染。</w:t>
            </w:r>
          </w:p>
        </w:tc>
        <w:tc>
          <w:tcPr>
            <w:tcW w:w="564" w:type="dxa"/>
            <w:vAlign w:val="center"/>
          </w:tcPr>
          <w:p>
            <w:pPr>
              <w:contextualSpacing/>
              <w:jc w:val="center"/>
              <w:textAlignment w:val="baseline"/>
              <w:rPr>
                <w:snapToGrid w:val="0"/>
                <w:szCs w:val="21"/>
              </w:rPr>
            </w:pPr>
            <w:r>
              <w:rPr>
                <w:snapToGrid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324" w:type="dxa"/>
            <w:vMerge w:val="continue"/>
            <w:vAlign w:val="center"/>
          </w:tcPr>
          <w:p>
            <w:pPr>
              <w:contextualSpacing/>
              <w:jc w:val="center"/>
              <w:textAlignment w:val="baseline"/>
              <w:rPr>
                <w:rFonts w:eastAsia="仿宋"/>
                <w:b/>
                <w:bCs/>
                <w:kern w:val="0"/>
                <w:szCs w:val="21"/>
                <w:highlight w:val="yellow"/>
                <w:lang w:bidi="ar"/>
              </w:rPr>
            </w:pPr>
          </w:p>
        </w:tc>
        <w:tc>
          <w:tcPr>
            <w:tcW w:w="891" w:type="dxa"/>
            <w:vMerge w:val="continue"/>
            <w:vAlign w:val="center"/>
          </w:tcPr>
          <w:p>
            <w:pPr>
              <w:contextualSpacing/>
              <w:jc w:val="center"/>
              <w:textAlignment w:val="baseline"/>
              <w:rPr>
                <w:rFonts w:eastAsia="仿宋"/>
                <w:kern w:val="0"/>
                <w:szCs w:val="21"/>
                <w:highlight w:val="yellow"/>
                <w:lang w:bidi="ar"/>
              </w:rPr>
            </w:pPr>
          </w:p>
        </w:tc>
        <w:tc>
          <w:tcPr>
            <w:tcW w:w="772" w:type="dxa"/>
            <w:vMerge w:val="continue"/>
            <w:vAlign w:val="center"/>
          </w:tcPr>
          <w:p>
            <w:pPr>
              <w:contextualSpacing/>
              <w:jc w:val="center"/>
              <w:textAlignment w:val="baseline"/>
              <w:rPr>
                <w:rFonts w:eastAsia="仿宋"/>
                <w:kern w:val="0"/>
                <w:szCs w:val="21"/>
                <w:highlight w:val="yellow"/>
                <w:lang w:bidi="ar"/>
              </w:rPr>
            </w:pPr>
          </w:p>
        </w:tc>
        <w:tc>
          <w:tcPr>
            <w:tcW w:w="488" w:type="dxa"/>
            <w:vMerge w:val="continue"/>
            <w:vAlign w:val="center"/>
          </w:tcPr>
          <w:p>
            <w:pPr>
              <w:contextualSpacing/>
              <w:jc w:val="center"/>
              <w:textAlignment w:val="baseline"/>
              <w:rPr>
                <w:rFonts w:eastAsia="仿宋"/>
                <w:kern w:val="0"/>
                <w:szCs w:val="21"/>
                <w:highlight w:val="yellow"/>
                <w:lang w:bidi="ar"/>
              </w:rPr>
            </w:pPr>
          </w:p>
        </w:tc>
        <w:tc>
          <w:tcPr>
            <w:tcW w:w="522" w:type="dxa"/>
            <w:vMerge w:val="continue"/>
            <w:vAlign w:val="center"/>
          </w:tcPr>
          <w:p>
            <w:pPr>
              <w:contextualSpacing/>
              <w:jc w:val="center"/>
              <w:textAlignment w:val="baseline"/>
              <w:rPr>
                <w:kern w:val="0"/>
                <w:szCs w:val="21"/>
                <w:highlight w:val="yellow"/>
                <w:lang w:bidi="ar"/>
              </w:rPr>
            </w:pPr>
          </w:p>
        </w:tc>
        <w:tc>
          <w:tcPr>
            <w:tcW w:w="603" w:type="dxa"/>
            <w:vAlign w:val="center"/>
          </w:tcPr>
          <w:p>
            <w:pPr>
              <w:widowControl/>
              <w:jc w:val="center"/>
              <w:textAlignment w:val="center"/>
              <w:rPr>
                <w:szCs w:val="21"/>
              </w:rPr>
            </w:pPr>
            <w:r>
              <w:rPr>
                <w:szCs w:val="21"/>
              </w:rPr>
              <w:t>资源利用效率要求</w:t>
            </w:r>
          </w:p>
        </w:tc>
        <w:tc>
          <w:tcPr>
            <w:tcW w:w="5188" w:type="dxa"/>
            <w:vAlign w:val="center"/>
          </w:tcPr>
          <w:p>
            <w:pPr>
              <w:widowControl/>
              <w:textAlignment w:val="center"/>
              <w:rPr>
                <w:szCs w:val="21"/>
              </w:rPr>
            </w:pPr>
            <w:r>
              <w:rPr>
                <w:szCs w:val="21"/>
              </w:rPr>
              <w:t>集聚区实施集中供热、供气，新建项目不得建设燃煤锅炉，逐步关闭区内自备燃煤锅炉。</w:t>
            </w:r>
          </w:p>
        </w:tc>
        <w:tc>
          <w:tcPr>
            <w:tcW w:w="3140" w:type="dxa"/>
            <w:vAlign w:val="center"/>
          </w:tcPr>
          <w:p>
            <w:pPr>
              <w:widowControl/>
              <w:jc w:val="center"/>
              <w:textAlignment w:val="center"/>
              <w:rPr>
                <w:szCs w:val="21"/>
              </w:rPr>
            </w:pPr>
            <w:r>
              <w:rPr>
                <w:szCs w:val="21"/>
              </w:rPr>
              <w:t>本项目</w:t>
            </w:r>
            <w:r>
              <w:rPr>
                <w:rFonts w:hint="eastAsia"/>
                <w:szCs w:val="21"/>
              </w:rPr>
              <w:t>不涉及锅炉</w:t>
            </w:r>
            <w:r>
              <w:rPr>
                <w:szCs w:val="21"/>
              </w:rPr>
              <w:t>。</w:t>
            </w:r>
          </w:p>
        </w:tc>
        <w:tc>
          <w:tcPr>
            <w:tcW w:w="564" w:type="dxa"/>
            <w:vAlign w:val="center"/>
          </w:tcPr>
          <w:p>
            <w:pPr>
              <w:contextualSpacing/>
              <w:jc w:val="center"/>
              <w:textAlignment w:val="baseline"/>
              <w:rPr>
                <w:snapToGrid w:val="0"/>
                <w:szCs w:val="21"/>
              </w:rPr>
            </w:pPr>
            <w:r>
              <w:rPr>
                <w:snapToGrid w:val="0"/>
                <w:szCs w:val="21"/>
              </w:rPr>
              <w:t>符合</w:t>
            </w:r>
          </w:p>
        </w:tc>
      </w:tr>
    </w:tbl>
    <w:p>
      <w:pPr>
        <w:adjustRightInd w:val="0"/>
        <w:snapToGrid w:val="0"/>
        <w:spacing w:line="520" w:lineRule="exact"/>
        <w:ind w:firstLine="480" w:firstLineChars="200"/>
        <w:textAlignment w:val="baseline"/>
        <w:rPr>
          <w:kern w:val="0"/>
          <w:sz w:val="24"/>
          <w:szCs w:val="20"/>
        </w:rPr>
      </w:pPr>
      <w:r>
        <w:rPr>
          <w:kern w:val="0"/>
          <w:sz w:val="24"/>
          <w:szCs w:val="20"/>
        </w:rPr>
        <w:t>由上表可知，本项目符合《新乡市“三线一单”生态环境准入清单（</w:t>
      </w:r>
      <w:r>
        <w:rPr>
          <w:rFonts w:hint="eastAsia"/>
          <w:kern w:val="0"/>
          <w:sz w:val="24"/>
          <w:szCs w:val="20"/>
        </w:rPr>
        <w:t>2</w:t>
      </w:r>
      <w:r>
        <w:rPr>
          <w:kern w:val="0"/>
          <w:sz w:val="24"/>
          <w:szCs w:val="20"/>
        </w:rPr>
        <w:t>023</w:t>
      </w:r>
      <w:r>
        <w:rPr>
          <w:rFonts w:hint="eastAsia"/>
          <w:kern w:val="0"/>
          <w:sz w:val="24"/>
          <w:szCs w:val="20"/>
        </w:rPr>
        <w:t>年版</w:t>
      </w:r>
      <w:r>
        <w:rPr>
          <w:kern w:val="0"/>
          <w:sz w:val="24"/>
          <w:szCs w:val="20"/>
        </w:rPr>
        <w:t>）-</w:t>
      </w:r>
      <w:r>
        <w:rPr>
          <w:rFonts w:hint="eastAsia"/>
          <w:kern w:val="0"/>
          <w:sz w:val="24"/>
          <w:szCs w:val="20"/>
        </w:rPr>
        <w:t>原阳县先进制造业开发区</w:t>
      </w:r>
      <w:r>
        <w:rPr>
          <w:kern w:val="0"/>
          <w:sz w:val="24"/>
          <w:szCs w:val="20"/>
        </w:rPr>
        <w:t>管控单元生态环境准入清单》要求。</w:t>
      </w:r>
    </w:p>
    <w:p>
      <w:pPr>
        <w:spacing w:line="520" w:lineRule="exact"/>
        <w:ind w:firstLine="480" w:firstLineChars="200"/>
        <w:jc w:val="left"/>
        <w:rPr>
          <w:sz w:val="24"/>
          <w:highlight w:val="yellow"/>
        </w:rPr>
        <w:sectPr>
          <w:pgSz w:w="16838" w:h="11906" w:orient="landscape"/>
          <w:pgMar w:top="1588" w:right="1701" w:bottom="1588" w:left="1701" w:header="851" w:footer="992" w:gutter="0"/>
          <w:cols w:space="425" w:num="1"/>
          <w:docGrid w:linePitch="312" w:charSpace="0"/>
        </w:sectPr>
      </w:pPr>
    </w:p>
    <w:p>
      <w:pPr>
        <w:keepNext/>
        <w:keepLines/>
        <w:spacing w:line="520" w:lineRule="exact"/>
        <w:outlineLvl w:val="2"/>
        <w:rPr>
          <w:rFonts w:eastAsia="黑体"/>
          <w:b/>
          <w:bCs/>
          <w:sz w:val="28"/>
          <w:szCs w:val="28"/>
        </w:rPr>
      </w:pPr>
      <w:r>
        <w:rPr>
          <w:rFonts w:eastAsia="黑体"/>
          <w:bCs/>
          <w:sz w:val="28"/>
          <w:szCs w:val="28"/>
        </w:rPr>
        <w:t>2.8.6 与“十四五”推进沿黄重点地区工业项目入园及严控高污染、高耗水、高耗能项目的通知符合性分析</w:t>
      </w:r>
    </w:p>
    <w:p>
      <w:pPr>
        <w:spacing w:line="520" w:lineRule="exact"/>
        <w:ind w:firstLine="480" w:firstLineChars="200"/>
        <w:rPr>
          <w:color w:val="000000"/>
          <w:sz w:val="24"/>
          <w:szCs w:val="24"/>
        </w:rPr>
      </w:pPr>
      <w:r>
        <w:rPr>
          <w:color w:val="000000"/>
          <w:sz w:val="24"/>
          <w:szCs w:val="24"/>
        </w:rPr>
        <w:t>本项目与《</w:t>
      </w:r>
      <w:r>
        <w:rPr>
          <w:rFonts w:hint="eastAsia"/>
          <w:color w:val="000000"/>
          <w:sz w:val="24"/>
          <w:szCs w:val="24"/>
        </w:rPr>
        <w:t>“</w:t>
      </w:r>
      <w:r>
        <w:rPr>
          <w:color w:val="000000"/>
          <w:sz w:val="24"/>
          <w:szCs w:val="24"/>
        </w:rPr>
        <w:t>十四五</w:t>
      </w:r>
      <w:r>
        <w:rPr>
          <w:rFonts w:hint="eastAsia"/>
          <w:color w:val="000000"/>
          <w:sz w:val="24"/>
          <w:szCs w:val="24"/>
        </w:rPr>
        <w:t>”</w:t>
      </w:r>
      <w:r>
        <w:rPr>
          <w:color w:val="000000"/>
          <w:sz w:val="24"/>
          <w:szCs w:val="24"/>
        </w:rPr>
        <w:t>推进沿黄重点地区工业项目入园及严控高污染、高耗水、高耗能项目的通知》（发改办产业[2021]635号）（以下简称《通知》）对比分析见下表。</w:t>
      </w:r>
    </w:p>
    <w:p>
      <w:pPr>
        <w:spacing w:line="460" w:lineRule="exact"/>
        <w:ind w:firstLine="480" w:firstLineChars="200"/>
        <w:rPr>
          <w:rFonts w:eastAsia="黑体"/>
          <w:sz w:val="24"/>
          <w:lang w:val="pt-BR"/>
        </w:rPr>
      </w:pPr>
      <w:r>
        <w:rPr>
          <w:rFonts w:eastAsia="黑体"/>
          <w:sz w:val="24"/>
          <w:lang w:val="pt-BR"/>
        </w:rPr>
        <w:t>表2.8-8                  与《通知》对比分析</w:t>
      </w:r>
    </w:p>
    <w:tbl>
      <w:tblPr>
        <w:tblStyle w:val="49"/>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861"/>
        <w:gridCol w:w="92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564"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textAlignment w:val="baseline"/>
              <w:outlineLvl w:val="0"/>
              <w:rPr>
                <w:b/>
                <w:bCs/>
                <w:szCs w:val="21"/>
              </w:rPr>
            </w:pPr>
            <w:bookmarkStart w:id="46" w:name="_Toc9784"/>
            <w:bookmarkStart w:id="47" w:name="_Toc4483"/>
            <w:r>
              <w:rPr>
                <w:b/>
                <w:bCs/>
                <w:szCs w:val="21"/>
              </w:rPr>
              <w:t>与本项目相关条文</w:t>
            </w:r>
            <w:bookmarkEnd w:id="46"/>
            <w:bookmarkEnd w:id="47"/>
          </w:p>
        </w:tc>
        <w:tc>
          <w:tcPr>
            <w:tcW w:w="773"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textAlignment w:val="baseline"/>
              <w:outlineLvl w:val="0"/>
              <w:rPr>
                <w:b/>
                <w:bCs/>
                <w:szCs w:val="21"/>
              </w:rPr>
            </w:pPr>
            <w:bookmarkStart w:id="48" w:name="_Toc11545"/>
            <w:bookmarkStart w:id="49" w:name="_Toc1474"/>
            <w:r>
              <w:rPr>
                <w:b/>
                <w:bCs/>
                <w:szCs w:val="21"/>
              </w:rPr>
              <w:t>本项目情况</w:t>
            </w:r>
            <w:bookmarkEnd w:id="48"/>
            <w:bookmarkEnd w:id="49"/>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564" w:type="dxa"/>
            <w:tcBorders>
              <w:top w:val="single" w:color="auto" w:sz="4" w:space="0"/>
              <w:left w:val="single" w:color="auto" w:sz="8" w:space="0"/>
              <w:bottom w:val="single" w:color="auto" w:sz="4" w:space="0"/>
              <w:right w:val="single" w:color="auto" w:sz="4" w:space="0"/>
            </w:tcBorders>
            <w:vAlign w:val="center"/>
          </w:tcPr>
          <w:p>
            <w:pPr>
              <w:widowControl/>
              <w:rPr>
                <w:szCs w:val="21"/>
              </w:rPr>
            </w:pPr>
            <w:r>
              <w:rPr>
                <w:szCs w:val="21"/>
              </w:rPr>
              <w:t>一、</w:t>
            </w:r>
            <w:r>
              <w:rPr>
                <w:b/>
                <w:bCs/>
                <w:szCs w:val="21"/>
                <w:shd w:val="clear" w:color="auto" w:fill="FFFFFF"/>
              </w:rPr>
              <w:t>进一步提高思想认识</w:t>
            </w:r>
          </w:p>
          <w:p>
            <w:pPr>
              <w:rPr>
                <w:szCs w:val="21"/>
              </w:rPr>
            </w:pPr>
            <w:r>
              <w:t>习近平总书记指出，治理黄河，重在保护，要在治理。要坚持山水林田湖草综合治理、系统治理、源头治理，统筹推进各项工作，加强协同配合，推动黄河流域高质量发展。贯彻落实习近平总书记重要讲话和指示批示精神，推进沿黄重点地区工业项目入园和严控高污染、高耗水、高耗能项目，是实现黄河流域生态环境系统治理、源头治理的重要举措，是推动黄河流域高质量发展的有效途径。各有关地区要高度重视，建立工作机制，明确责任分工，抓好工作落实，确保取得实效。</w:t>
            </w:r>
          </w:p>
        </w:tc>
        <w:tc>
          <w:tcPr>
            <w:tcW w:w="773" w:type="dxa"/>
            <w:vMerge w:val="restart"/>
            <w:tcBorders>
              <w:top w:val="single" w:color="auto" w:sz="4" w:space="0"/>
              <w:left w:val="single" w:color="auto" w:sz="4" w:space="0"/>
              <w:bottom w:val="single" w:color="auto" w:sz="8" w:space="0"/>
              <w:right w:val="single" w:color="auto" w:sz="8" w:space="0"/>
            </w:tcBorders>
            <w:vAlign w:val="center"/>
          </w:tcPr>
          <w:p>
            <w:pPr>
              <w:rPr>
                <w:szCs w:val="21"/>
              </w:rPr>
            </w:pPr>
            <w:r>
              <w:rPr>
                <w:szCs w:val="21"/>
              </w:rPr>
              <w:t>本项目厂址位于</w:t>
            </w:r>
            <w:r>
              <w:rPr>
                <w:snapToGrid w:val="0"/>
                <w:szCs w:val="21"/>
              </w:rPr>
              <w:t>新乡市原阳县产业集聚区永安路南侧、金祥南街西侧、小庄排河东侧，项目属于</w:t>
            </w:r>
            <w:r>
              <w:rPr>
                <w:szCs w:val="21"/>
                <w:shd w:val="clear" w:color="auto" w:fill="FFFFFF"/>
              </w:rPr>
              <w:t>符合产业政策、“三线一单”生态环境分区管控方案、规划环评以及能耗、水耗等有关要求的工业项目，同时不属于新建高污染、高耗水、高耗能项目。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564" w:type="dxa"/>
            <w:tcBorders>
              <w:top w:val="single" w:color="auto" w:sz="4" w:space="0"/>
              <w:left w:val="single" w:color="auto" w:sz="8" w:space="0"/>
              <w:bottom w:val="single" w:color="auto" w:sz="4" w:space="0"/>
              <w:right w:val="single" w:color="auto" w:sz="4" w:space="0"/>
            </w:tcBorders>
            <w:vAlign w:val="center"/>
          </w:tcPr>
          <w:p>
            <w:pPr>
              <w:widowControl/>
              <w:rPr>
                <w:szCs w:val="21"/>
              </w:rPr>
            </w:pPr>
            <w:r>
              <w:rPr>
                <w:b/>
                <w:bCs/>
                <w:szCs w:val="21"/>
                <w:shd w:val="clear" w:color="auto" w:fill="FFFFFF"/>
              </w:rPr>
              <w:t>二、梳理规范相关工业园区</w:t>
            </w:r>
          </w:p>
          <w:p>
            <w:pPr>
              <w:rPr>
                <w:szCs w:val="21"/>
              </w:rPr>
            </w:pPr>
            <w:r>
              <w:t>各有关地区要对现有各级各类工业园区进行全面梳理，对不符合安全、环保、用地、取水等规定或手续不齐全的园区，要按相关规定责令其限期进行整改。在相关园区整改到位前，不得再落地新的工业项目（以GB/T4754-2017的制造业口径为准，下同）。工业园区的梳理规范于2021年10月底前全面完成，并对每个工业园区逐一建立梳理档案备查。</w:t>
            </w:r>
          </w:p>
        </w:tc>
        <w:tc>
          <w:tcPr>
            <w:tcW w:w="773" w:type="dxa"/>
            <w:vMerge w:val="continue"/>
            <w:tcBorders>
              <w:top w:val="single" w:color="auto" w:sz="4" w:space="0"/>
              <w:left w:val="single" w:color="auto" w:sz="4" w:space="0"/>
              <w:bottom w:val="single" w:color="auto" w:sz="8" w:space="0"/>
              <w:right w:val="single" w:color="auto" w:sz="8" w:space="0"/>
            </w:tcBorders>
            <w:vAlign w:val="center"/>
          </w:tcPr>
          <w:p>
            <w:pPr>
              <w:widowControl/>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564" w:type="dxa"/>
            <w:tcBorders>
              <w:top w:val="single" w:color="auto" w:sz="4" w:space="0"/>
              <w:left w:val="single" w:color="auto" w:sz="8" w:space="0"/>
              <w:bottom w:val="single" w:color="auto" w:sz="4" w:space="0"/>
              <w:right w:val="single" w:color="auto" w:sz="4" w:space="0"/>
            </w:tcBorders>
            <w:vAlign w:val="center"/>
          </w:tcPr>
          <w:p>
            <w:pPr>
              <w:widowControl/>
              <w:rPr>
                <w:szCs w:val="21"/>
              </w:rPr>
            </w:pPr>
            <w:r>
              <w:rPr>
                <w:b/>
                <w:bCs/>
                <w:szCs w:val="21"/>
                <w:shd w:val="clear" w:color="auto" w:fill="FFFFFF"/>
              </w:rPr>
              <w:t>三、全面清理规范拟建工业项目</w:t>
            </w:r>
          </w:p>
          <w:p>
            <w:pPr>
              <w:rPr>
                <w:szCs w:val="21"/>
              </w:rPr>
            </w:pPr>
            <w:r>
              <w:t>各有关地区要坚持从严控制，对已备案但尚未开工的拟建工业项目，要指导督促和协调帮助企业将项目调整转入合规工业园区内建设。对不符合产业政策、“三线一单”生态环境分区管控方案、规划环评以及能耗、水耗等有关要求的工业项目，一律不得批准或备案。拟建工业项目清理规范工作于2021年12月底前全部完成。“十四五”时期沿黄重点地区拟建的工业项目，一律按要求进入合规工业园区。</w:t>
            </w:r>
          </w:p>
        </w:tc>
        <w:tc>
          <w:tcPr>
            <w:tcW w:w="773" w:type="dxa"/>
            <w:vMerge w:val="continue"/>
            <w:tcBorders>
              <w:top w:val="single" w:color="auto" w:sz="4" w:space="0"/>
              <w:left w:val="single" w:color="auto" w:sz="4" w:space="0"/>
              <w:bottom w:val="single" w:color="auto" w:sz="8" w:space="0"/>
              <w:right w:val="single" w:color="auto" w:sz="8" w:space="0"/>
            </w:tcBorders>
            <w:vAlign w:val="center"/>
          </w:tcPr>
          <w:p>
            <w:pPr>
              <w:widowControl/>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564" w:type="dxa"/>
            <w:tcBorders>
              <w:top w:val="single" w:color="auto" w:sz="4" w:space="0"/>
              <w:left w:val="single" w:color="auto" w:sz="8" w:space="0"/>
              <w:bottom w:val="single" w:color="auto" w:sz="4" w:space="0"/>
              <w:right w:val="single" w:color="auto" w:sz="4" w:space="0"/>
            </w:tcBorders>
            <w:vAlign w:val="center"/>
          </w:tcPr>
          <w:p>
            <w:pPr>
              <w:widowControl/>
              <w:rPr>
                <w:szCs w:val="21"/>
              </w:rPr>
            </w:pPr>
            <w:r>
              <w:rPr>
                <w:b/>
                <w:bCs/>
                <w:szCs w:val="21"/>
                <w:shd w:val="clear" w:color="auto" w:fill="FFFFFF"/>
              </w:rPr>
              <w:t>四、严控新上高污染、高耗水、高耗能项目</w:t>
            </w:r>
          </w:p>
          <w:p>
            <w:pPr>
              <w:rPr>
                <w:szCs w:val="21"/>
              </w:rPr>
            </w:pPr>
            <w:r>
              <w:t>各有关地区对现有已备案但尚未开工的拟建高污染、高耗水、高耗能项目（对高污染、高耗水、高耗能项目的界定，按照生态环境部、水利部、国家发展改革委相关规定执行）要一律重新进行评估，确有必要建设且符合相关行业要求的方可继续推进。清理规范工作于2021年12月底前全部完成。“十四五”时期沿黄重点地区新建高污染、高耗水、高耗能项目，一律按本通知要求执行。</w:t>
            </w:r>
          </w:p>
        </w:tc>
        <w:tc>
          <w:tcPr>
            <w:tcW w:w="773" w:type="dxa"/>
            <w:vMerge w:val="continue"/>
            <w:tcBorders>
              <w:top w:val="single" w:color="auto" w:sz="4" w:space="0"/>
              <w:left w:val="single" w:color="auto" w:sz="4" w:space="0"/>
              <w:bottom w:val="single" w:color="auto" w:sz="8" w:space="0"/>
              <w:right w:val="single" w:color="auto" w:sz="8" w:space="0"/>
            </w:tcBorders>
            <w:vAlign w:val="center"/>
          </w:tcPr>
          <w:p>
            <w:pPr>
              <w:widowControl/>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564" w:type="dxa"/>
            <w:tcBorders>
              <w:top w:val="single" w:color="auto" w:sz="4" w:space="0"/>
              <w:left w:val="single" w:color="auto" w:sz="8" w:space="0"/>
              <w:bottom w:val="single" w:color="auto" w:sz="4" w:space="0"/>
              <w:right w:val="single" w:color="auto" w:sz="4" w:space="0"/>
            </w:tcBorders>
            <w:vAlign w:val="center"/>
          </w:tcPr>
          <w:p>
            <w:pPr>
              <w:widowControl/>
              <w:rPr>
                <w:szCs w:val="21"/>
              </w:rPr>
            </w:pPr>
            <w:r>
              <w:rPr>
                <w:b/>
                <w:bCs/>
                <w:szCs w:val="21"/>
                <w:shd w:val="clear" w:color="auto" w:fill="FFFFFF"/>
              </w:rPr>
              <w:t>五、强化在建项目日常监管</w:t>
            </w:r>
          </w:p>
          <w:p>
            <w:pPr>
              <w:rPr>
                <w:szCs w:val="21"/>
              </w:rPr>
            </w:pPr>
            <w:r>
              <w:rPr>
                <w:szCs w:val="21"/>
                <w:shd w:val="clear" w:color="auto" w:fill="FFFFFF"/>
              </w:rPr>
              <w:t>各有关地区对正在建设（含已建成未投产）的工业项目以及其他高污染、高耗水、高耗能项目，要建立项目台账，加强日常监管。对不符合产业政策、</w:t>
            </w:r>
            <w:r>
              <w:t>“</w:t>
            </w:r>
            <w:r>
              <w:rPr>
                <w:szCs w:val="21"/>
                <w:shd w:val="clear" w:color="auto" w:fill="FFFFFF"/>
              </w:rPr>
              <w:t>三线一单</w:t>
            </w:r>
            <w:r>
              <w:t>”</w:t>
            </w:r>
            <w:r>
              <w:rPr>
                <w:szCs w:val="21"/>
                <w:shd w:val="clear" w:color="auto" w:fill="FFFFFF"/>
              </w:rPr>
              <w:t>生态环境分区管控方案、规划环评以及能耗、水耗等有关要求的项目，一律责令立即停止建设、投产，限期整改，在整改到位前，项目不得恢复建设、投产。对整改到位并恢复建设的项目，要继续加强监管，防范再次发生违法违规行为。</w:t>
            </w:r>
          </w:p>
        </w:tc>
        <w:tc>
          <w:tcPr>
            <w:tcW w:w="773" w:type="dxa"/>
            <w:vMerge w:val="continue"/>
            <w:tcBorders>
              <w:top w:val="single" w:color="auto" w:sz="4" w:space="0"/>
              <w:left w:val="single" w:color="auto" w:sz="4" w:space="0"/>
              <w:bottom w:val="single" w:color="auto" w:sz="8" w:space="0"/>
              <w:right w:val="single" w:color="auto" w:sz="8" w:space="0"/>
            </w:tcBorders>
            <w:vAlign w:val="center"/>
          </w:tcPr>
          <w:p>
            <w:pPr>
              <w:widowControl/>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564" w:type="dxa"/>
            <w:tcBorders>
              <w:top w:val="single" w:color="auto" w:sz="4" w:space="0"/>
              <w:left w:val="single" w:color="auto" w:sz="8" w:space="0"/>
              <w:bottom w:val="single" w:color="auto" w:sz="4" w:space="0"/>
              <w:right w:val="single" w:color="auto" w:sz="4" w:space="0"/>
            </w:tcBorders>
            <w:vAlign w:val="center"/>
          </w:tcPr>
          <w:p>
            <w:pPr>
              <w:widowControl/>
              <w:rPr>
                <w:szCs w:val="21"/>
              </w:rPr>
            </w:pPr>
            <w:r>
              <w:rPr>
                <w:b/>
                <w:bCs/>
                <w:szCs w:val="21"/>
                <w:shd w:val="clear" w:color="auto" w:fill="FFFFFF"/>
              </w:rPr>
              <w:t>六、加强已建成项目监管</w:t>
            </w:r>
          </w:p>
          <w:p>
            <w:pPr>
              <w:rPr>
                <w:szCs w:val="21"/>
              </w:rPr>
            </w:pPr>
            <w:r>
              <w:rPr>
                <w:szCs w:val="21"/>
                <w:shd w:val="clear" w:color="auto" w:fill="FFFFFF"/>
              </w:rPr>
              <w:t>各有关地区要加强对已建成高污染、高耗水、高耗能项目的监管，全面梳理形成台账，逐一排查评估，有节能节水减排潜力的项目要改造升级，达不到国家或地方有关排放要求的要实施深度治理，属于落后产能的项目要坚决淘汰。对违反产业政策、未落实环评及其批复、区域削减措施、产能置换或煤炭减量替代要求、违规审批和建设的项目，坚决从严查处，并责令限期整改，逾期未完成整改或整改无望的坚决关停。</w:t>
            </w:r>
          </w:p>
        </w:tc>
        <w:tc>
          <w:tcPr>
            <w:tcW w:w="773" w:type="dxa"/>
            <w:vMerge w:val="continue"/>
            <w:tcBorders>
              <w:top w:val="single" w:color="auto" w:sz="4" w:space="0"/>
              <w:left w:val="single" w:color="auto" w:sz="4" w:space="0"/>
              <w:bottom w:val="single" w:color="auto" w:sz="8" w:space="0"/>
              <w:right w:val="single" w:color="auto" w:sz="8" w:space="0"/>
            </w:tcBorders>
            <w:vAlign w:val="center"/>
          </w:tcPr>
          <w:p>
            <w:pPr>
              <w:widowControl/>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564" w:type="dxa"/>
            <w:tcBorders>
              <w:top w:val="single" w:color="auto" w:sz="4" w:space="0"/>
              <w:left w:val="single" w:color="auto" w:sz="8" w:space="0"/>
              <w:bottom w:val="single" w:color="auto" w:sz="4" w:space="0"/>
              <w:right w:val="single" w:color="auto" w:sz="4" w:space="0"/>
            </w:tcBorders>
            <w:vAlign w:val="center"/>
          </w:tcPr>
          <w:p>
            <w:pPr>
              <w:widowControl/>
              <w:rPr>
                <w:szCs w:val="21"/>
              </w:rPr>
            </w:pPr>
            <w:r>
              <w:rPr>
                <w:b/>
                <w:bCs/>
                <w:szCs w:val="21"/>
                <w:shd w:val="clear" w:color="auto" w:fill="FFFFFF"/>
              </w:rPr>
              <w:t>七、稳妥推进园区外工业项目入园</w:t>
            </w:r>
          </w:p>
          <w:p>
            <w:pPr>
              <w:rPr>
                <w:szCs w:val="21"/>
              </w:rPr>
            </w:pPr>
            <w:r>
              <w:rPr>
                <w:szCs w:val="21"/>
                <w:shd w:val="clear" w:color="auto" w:fill="FFFFFF"/>
              </w:rPr>
              <w:t>各有关地区要对合规工业园区外存在重大安全隐患、曾发生重大突发环境事件的已建成工业项目逐一建立档案，逐个进行梳理评估。对经评估需要实施搬迁入园的项目，按照“成熟一个、搬迁一个”的要求，逐一制定搬迁入园工作计划和实施细则，明确时间表和责任人，抓好项目搬迁入园工作。对其他建成工业项目，要加强监管，防范安全、环境风险，鼓励有条件的项目搬迁入园。</w:t>
            </w:r>
          </w:p>
        </w:tc>
        <w:tc>
          <w:tcPr>
            <w:tcW w:w="773" w:type="dxa"/>
            <w:vMerge w:val="continue"/>
            <w:tcBorders>
              <w:top w:val="single" w:color="auto" w:sz="4" w:space="0"/>
              <w:left w:val="single" w:color="auto" w:sz="4" w:space="0"/>
              <w:bottom w:val="single" w:color="auto" w:sz="8" w:space="0"/>
              <w:right w:val="single" w:color="auto" w:sz="8" w:space="0"/>
            </w:tcBorders>
            <w:vAlign w:val="center"/>
          </w:tcPr>
          <w:p>
            <w:pPr>
              <w:widowControl/>
              <w:jc w:val="left"/>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564" w:type="dxa"/>
            <w:tcBorders>
              <w:top w:val="single" w:color="auto" w:sz="4" w:space="0"/>
              <w:left w:val="single" w:color="auto" w:sz="8" w:space="0"/>
              <w:bottom w:val="single" w:color="auto" w:sz="4" w:space="0"/>
              <w:right w:val="single" w:color="auto" w:sz="4" w:space="0"/>
            </w:tcBorders>
            <w:vAlign w:val="center"/>
          </w:tcPr>
          <w:p>
            <w:pPr>
              <w:widowControl/>
              <w:rPr>
                <w:szCs w:val="21"/>
              </w:rPr>
            </w:pPr>
            <w:r>
              <w:rPr>
                <w:b/>
                <w:bCs/>
                <w:szCs w:val="21"/>
                <w:shd w:val="clear" w:color="auto" w:fill="FFFFFF"/>
              </w:rPr>
              <w:t>八、及时做好工作总结和报告</w:t>
            </w:r>
          </w:p>
          <w:p>
            <w:pPr>
              <w:rPr>
                <w:szCs w:val="21"/>
              </w:rPr>
            </w:pPr>
            <w:r>
              <w:rPr>
                <w:szCs w:val="21"/>
                <w:shd w:val="clear" w:color="auto" w:fill="FFFFFF"/>
              </w:rPr>
              <w:t>各有关地区发展改革委、生态环境厅、水利厅、青海省工业和信息化厅要按职责分工抓好工作落实，按时将工业园区梳理规范情况（2021年11月底前）和拟建工业及高污染、高耗水、高耗能项目清理情况（2022年1月底前）联合报送国家发展改革委、工业和信息化部、生态环境部、水利部。对园区外工业项目入园情况，按照</w:t>
            </w:r>
            <w:r>
              <w:t>“</w:t>
            </w:r>
            <w:r>
              <w:rPr>
                <w:szCs w:val="21"/>
                <w:shd w:val="clear" w:color="auto" w:fill="FFFFFF"/>
              </w:rPr>
              <w:t>完成一个、报送一个</w:t>
            </w:r>
            <w:r>
              <w:t>”</w:t>
            </w:r>
            <w:r>
              <w:rPr>
                <w:szCs w:val="21"/>
                <w:shd w:val="clear" w:color="auto" w:fill="FFFFFF"/>
              </w:rPr>
              <w:t>的要求，在项目入园工作完成后3个月内报送相关情况。自2022年起，每年1月、7月分别报送上一年和本年度上半年工业项目和高污染、高耗水、高耗能项目监管、园区外工业项目入园等工作进展情况。</w:t>
            </w:r>
          </w:p>
        </w:tc>
        <w:tc>
          <w:tcPr>
            <w:tcW w:w="773" w:type="dxa"/>
            <w:vMerge w:val="continue"/>
            <w:tcBorders>
              <w:top w:val="single" w:color="auto" w:sz="4" w:space="0"/>
              <w:left w:val="single" w:color="auto" w:sz="4" w:space="0"/>
              <w:bottom w:val="single" w:color="auto" w:sz="8" w:space="0"/>
              <w:right w:val="single" w:color="auto" w:sz="8" w:space="0"/>
            </w:tcBorders>
            <w:vAlign w:val="center"/>
          </w:tcPr>
          <w:p>
            <w:pPr>
              <w:widowControl/>
              <w:jc w:val="left"/>
              <w:rPr>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564" w:type="dxa"/>
            <w:tcBorders>
              <w:top w:val="single" w:color="auto" w:sz="4" w:space="0"/>
              <w:left w:val="single" w:color="auto" w:sz="8" w:space="0"/>
              <w:bottom w:val="single" w:color="auto" w:sz="8" w:space="0"/>
              <w:right w:val="single" w:color="auto" w:sz="4" w:space="0"/>
            </w:tcBorders>
            <w:vAlign w:val="center"/>
          </w:tcPr>
          <w:p>
            <w:pPr>
              <w:widowControl/>
              <w:rPr>
                <w:szCs w:val="21"/>
              </w:rPr>
            </w:pPr>
            <w:r>
              <w:rPr>
                <w:b/>
                <w:bCs/>
                <w:szCs w:val="21"/>
                <w:shd w:val="clear" w:color="auto" w:fill="FFFFFF"/>
              </w:rPr>
              <w:t>九、加强工作指导和督促检查</w:t>
            </w:r>
          </w:p>
          <w:p>
            <w:pPr>
              <w:jc w:val="left"/>
              <w:rPr>
                <w:szCs w:val="21"/>
              </w:rPr>
            </w:pPr>
            <w:r>
              <w:rPr>
                <w:szCs w:val="21"/>
                <w:shd w:val="clear" w:color="auto" w:fill="FFFFFF"/>
              </w:rPr>
              <w:t>国家发展改革委、工业和信息化部、生态环境部、水利部将加强对各地区开展相关工作的指导，推动工作顺利实施，并根据工作进展情况，联合向推动黄河流域生态保护和高质量发展领导小组呈报工作总结。同时，采取多种形式加强对各有关地区工作进展的督促检查，对工作不力、进展缓慢的，有关情况将上报推动黄河流域生态保护和高质量发展领导小组。</w:t>
            </w:r>
          </w:p>
        </w:tc>
        <w:tc>
          <w:tcPr>
            <w:tcW w:w="773" w:type="dxa"/>
            <w:vMerge w:val="continue"/>
            <w:tcBorders>
              <w:top w:val="single" w:color="auto" w:sz="4" w:space="0"/>
              <w:left w:val="single" w:color="auto" w:sz="4" w:space="0"/>
              <w:bottom w:val="single" w:color="auto" w:sz="8" w:space="0"/>
              <w:right w:val="single" w:color="auto" w:sz="8" w:space="0"/>
            </w:tcBorders>
            <w:vAlign w:val="center"/>
          </w:tcPr>
          <w:p>
            <w:pPr>
              <w:widowControl/>
              <w:jc w:val="left"/>
              <w:rPr>
                <w:szCs w:val="21"/>
              </w:rPr>
            </w:pPr>
          </w:p>
        </w:tc>
      </w:tr>
    </w:tbl>
    <w:p>
      <w:pPr>
        <w:spacing w:line="460" w:lineRule="exact"/>
        <w:ind w:firstLine="480" w:firstLineChars="200"/>
        <w:rPr>
          <w:rFonts w:ascii="Calibri" w:hAnsi="Calibri"/>
          <w:sz w:val="24"/>
        </w:rPr>
      </w:pPr>
      <w:r>
        <w:rPr>
          <w:rFonts w:ascii="Calibri" w:hAnsi="Calibri"/>
          <w:sz w:val="24"/>
        </w:rPr>
        <w:t>由上表可知，本项目符合《</w:t>
      </w:r>
      <w:r>
        <w:rPr>
          <w:rFonts w:hint="eastAsia" w:ascii="Calibri" w:hAnsi="Calibri"/>
          <w:sz w:val="24"/>
        </w:rPr>
        <w:t>“</w:t>
      </w:r>
      <w:r>
        <w:rPr>
          <w:rFonts w:ascii="Calibri" w:hAnsi="Calibri"/>
          <w:sz w:val="24"/>
        </w:rPr>
        <w:t>十四五</w:t>
      </w:r>
      <w:r>
        <w:rPr>
          <w:rFonts w:hint="eastAsia" w:ascii="Calibri" w:hAnsi="Calibri"/>
          <w:sz w:val="24"/>
        </w:rPr>
        <w:t>”</w:t>
      </w:r>
      <w:r>
        <w:rPr>
          <w:rFonts w:ascii="Calibri" w:hAnsi="Calibri"/>
          <w:sz w:val="24"/>
        </w:rPr>
        <w:t>推进沿黄重点地区工业项目入园及严控高污染、高耗水、高耗能项目的通知》（发改办产业[2021]635号）相关内容的要求。</w:t>
      </w:r>
    </w:p>
    <w:p>
      <w:pPr>
        <w:keepNext/>
        <w:keepLines/>
        <w:spacing w:line="520" w:lineRule="exact"/>
        <w:outlineLvl w:val="2"/>
        <w:rPr>
          <w:rFonts w:eastAsia="黑体"/>
          <w:bCs/>
          <w:sz w:val="28"/>
          <w:szCs w:val="28"/>
        </w:rPr>
      </w:pPr>
      <w:r>
        <w:rPr>
          <w:rFonts w:eastAsia="黑体"/>
          <w:bCs/>
          <w:sz w:val="28"/>
          <w:szCs w:val="28"/>
        </w:rPr>
        <w:t>2.8.7与《新乡市“十四五”生态环境保护和生态经济发展规划》相符性分析</w:t>
      </w:r>
    </w:p>
    <w:p>
      <w:pPr>
        <w:spacing w:line="520" w:lineRule="exact"/>
        <w:ind w:firstLine="480" w:firstLineChars="200"/>
        <w:jc w:val="left"/>
        <w:rPr>
          <w:bCs/>
          <w:sz w:val="24"/>
        </w:rPr>
      </w:pPr>
      <w:r>
        <w:rPr>
          <w:bCs/>
          <w:sz w:val="24"/>
        </w:rPr>
        <w:t>本项目与《新乡市“十四五”生态环境保护和生态经济发展规划》（以下简称《规划》）对比分析见下表。</w:t>
      </w:r>
    </w:p>
    <w:p>
      <w:pPr>
        <w:spacing w:line="460" w:lineRule="exact"/>
        <w:ind w:firstLine="480" w:firstLineChars="200"/>
        <w:rPr>
          <w:bCs/>
          <w:sz w:val="24"/>
        </w:rPr>
      </w:pPr>
      <w:r>
        <w:rPr>
          <w:rFonts w:eastAsia="黑体"/>
          <w:bCs/>
          <w:sz w:val="24"/>
        </w:rPr>
        <w:t>表2.8-9                 与《规划》对比分析</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61"/>
        <w:gridCol w:w="997"/>
        <w:gridCol w:w="5115"/>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974" w:type="dxa"/>
            <w:gridSpan w:val="3"/>
            <w:vAlign w:val="center"/>
          </w:tcPr>
          <w:p>
            <w:pPr>
              <w:adjustRightInd w:val="0"/>
              <w:snapToGrid w:val="0"/>
              <w:jc w:val="center"/>
              <w:textAlignment w:val="baseline"/>
              <w:outlineLvl w:val="0"/>
              <w:rPr>
                <w:b/>
                <w:szCs w:val="21"/>
              </w:rPr>
            </w:pPr>
            <w:bookmarkStart w:id="50" w:name="_Toc7270"/>
            <w:bookmarkStart w:id="51" w:name="_Toc8116"/>
            <w:r>
              <w:rPr>
                <w:b/>
                <w:szCs w:val="21"/>
              </w:rPr>
              <w:t>与本项目相关条文</w:t>
            </w:r>
            <w:bookmarkEnd w:id="50"/>
            <w:bookmarkEnd w:id="51"/>
          </w:p>
        </w:tc>
        <w:tc>
          <w:tcPr>
            <w:tcW w:w="1812" w:type="dxa"/>
            <w:vAlign w:val="center"/>
          </w:tcPr>
          <w:p>
            <w:pPr>
              <w:adjustRightInd w:val="0"/>
              <w:snapToGrid w:val="0"/>
              <w:jc w:val="center"/>
              <w:textAlignment w:val="baseline"/>
              <w:outlineLvl w:val="0"/>
              <w:rPr>
                <w:b/>
                <w:szCs w:val="21"/>
              </w:rPr>
            </w:pPr>
            <w:bookmarkStart w:id="52" w:name="_Toc3135"/>
            <w:bookmarkStart w:id="53" w:name="_Toc26013"/>
            <w:r>
              <w:rPr>
                <w:b/>
                <w:szCs w:val="21"/>
              </w:rPr>
              <w:t>本项目情况</w:t>
            </w:r>
            <w:bookmarkEnd w:id="52"/>
            <w:bookmarkEnd w:id="5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61" w:type="dxa"/>
            <w:vAlign w:val="center"/>
          </w:tcPr>
          <w:p>
            <w:pPr>
              <w:widowControl/>
              <w:jc w:val="center"/>
              <w:rPr>
                <w:bCs/>
                <w:szCs w:val="21"/>
              </w:rPr>
            </w:pPr>
            <w:r>
              <w:rPr>
                <w:bCs/>
                <w:szCs w:val="21"/>
              </w:rPr>
              <w:t>第二章</w:t>
            </w:r>
          </w:p>
          <w:p>
            <w:pPr>
              <w:widowControl/>
              <w:jc w:val="center"/>
              <w:rPr>
                <w:bCs/>
                <w:szCs w:val="21"/>
              </w:rPr>
            </w:pPr>
            <w:r>
              <w:rPr>
                <w:bCs/>
                <w:szCs w:val="21"/>
              </w:rPr>
              <w:t>总体要求</w:t>
            </w:r>
          </w:p>
        </w:tc>
        <w:tc>
          <w:tcPr>
            <w:tcW w:w="997" w:type="dxa"/>
            <w:vAlign w:val="center"/>
          </w:tcPr>
          <w:p>
            <w:pPr>
              <w:widowControl/>
              <w:jc w:val="center"/>
              <w:rPr>
                <w:bCs/>
                <w:szCs w:val="21"/>
                <w:shd w:val="clear" w:color="auto" w:fill="FFFFFF"/>
              </w:rPr>
            </w:pPr>
            <w:r>
              <w:rPr>
                <w:bCs/>
                <w:szCs w:val="21"/>
                <w:shd w:val="clear" w:color="auto" w:fill="FFFFFF"/>
              </w:rPr>
              <w:t>第三节 主要目标</w:t>
            </w:r>
          </w:p>
        </w:tc>
        <w:tc>
          <w:tcPr>
            <w:tcW w:w="5116" w:type="dxa"/>
            <w:vAlign w:val="center"/>
          </w:tcPr>
          <w:p>
            <w:pPr>
              <w:adjustRightInd w:val="0"/>
              <w:snapToGrid w:val="0"/>
              <w:textAlignment w:val="baseline"/>
              <w:outlineLvl w:val="0"/>
              <w:rPr>
                <w:bCs/>
                <w:szCs w:val="21"/>
              </w:rPr>
            </w:pPr>
            <w:bookmarkStart w:id="54" w:name="_Toc24663"/>
            <w:bookmarkStart w:id="55" w:name="_Toc14247"/>
            <w:r>
              <w:rPr>
                <w:bCs/>
                <w:szCs w:val="21"/>
              </w:rPr>
              <w:t>环境风险有效稳定防控。土壤安全利用水平稳步提升，医疗废物、危险废物收集处置能力明显增强，核与辐射安全水平大幅提升。</w:t>
            </w:r>
            <w:bookmarkEnd w:id="54"/>
            <w:bookmarkEnd w:id="55"/>
          </w:p>
        </w:tc>
        <w:tc>
          <w:tcPr>
            <w:tcW w:w="1812" w:type="dxa"/>
            <w:vAlign w:val="center"/>
          </w:tcPr>
          <w:p>
            <w:pPr>
              <w:adjustRightInd w:val="0"/>
              <w:snapToGrid w:val="0"/>
              <w:textAlignment w:val="baseline"/>
              <w:outlineLvl w:val="0"/>
              <w:rPr>
                <w:bCs/>
                <w:szCs w:val="21"/>
                <w:highlight w:val="yellow"/>
              </w:rPr>
            </w:pPr>
            <w:bookmarkStart w:id="56" w:name="_Toc26631"/>
            <w:bookmarkStart w:id="57" w:name="_Toc13241"/>
            <w:r>
              <w:rPr>
                <w:bCs/>
                <w:szCs w:val="21"/>
              </w:rPr>
              <w:t>项目严格按照要求采取风险应急防范措施。厂区除绿化外全部硬化，并做好分区防渗</w:t>
            </w:r>
            <w:r>
              <w:rPr>
                <w:bCs/>
                <w:szCs w:val="21"/>
                <w:shd w:val="clear" w:color="auto" w:fill="FFFFFF"/>
              </w:rPr>
              <w:t>。</w:t>
            </w:r>
            <w:r>
              <w:rPr>
                <w:rFonts w:hint="eastAsia"/>
                <w:bCs/>
                <w:szCs w:val="21"/>
                <w:shd w:val="clear" w:color="auto" w:fill="FFFFFF"/>
              </w:rPr>
              <w:t>项目不产生</w:t>
            </w:r>
            <w:r>
              <w:rPr>
                <w:bCs/>
                <w:szCs w:val="21"/>
                <w:shd w:val="clear" w:color="auto" w:fill="FFFFFF"/>
              </w:rPr>
              <w:t>危险废物</w:t>
            </w:r>
            <w:r>
              <w:rPr>
                <w:rFonts w:hint="eastAsia"/>
                <w:bCs/>
                <w:szCs w:val="21"/>
                <w:shd w:val="clear" w:color="auto" w:fill="FFFFFF"/>
              </w:rPr>
              <w:t>。</w:t>
            </w:r>
            <w:bookmarkEnd w:id="56"/>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61" w:type="dxa"/>
            <w:vMerge w:val="restart"/>
            <w:vAlign w:val="center"/>
          </w:tcPr>
          <w:p>
            <w:pPr>
              <w:widowControl/>
              <w:jc w:val="center"/>
              <w:rPr>
                <w:bCs/>
                <w:szCs w:val="21"/>
              </w:rPr>
            </w:pPr>
            <w:r>
              <w:rPr>
                <w:bCs/>
                <w:szCs w:val="21"/>
              </w:rPr>
              <w:t>第三章</w:t>
            </w:r>
          </w:p>
          <w:p>
            <w:pPr>
              <w:widowControl/>
              <w:jc w:val="center"/>
              <w:rPr>
                <w:bCs/>
                <w:szCs w:val="21"/>
              </w:rPr>
            </w:pPr>
            <w:r>
              <w:rPr>
                <w:bCs/>
                <w:szCs w:val="21"/>
              </w:rPr>
              <w:t>绿色低碳转型，提升黄河生态</w:t>
            </w:r>
          </w:p>
        </w:tc>
        <w:tc>
          <w:tcPr>
            <w:tcW w:w="997" w:type="dxa"/>
            <w:vAlign w:val="center"/>
          </w:tcPr>
          <w:p>
            <w:pPr>
              <w:widowControl/>
              <w:jc w:val="center"/>
              <w:rPr>
                <w:bCs/>
                <w:szCs w:val="21"/>
                <w:shd w:val="clear" w:color="auto" w:fill="FFFFFF"/>
              </w:rPr>
            </w:pPr>
            <w:r>
              <w:rPr>
                <w:bCs/>
                <w:szCs w:val="21"/>
              </w:rPr>
              <w:t>第一节“双碳”引领绿色发展</w:t>
            </w:r>
          </w:p>
        </w:tc>
        <w:tc>
          <w:tcPr>
            <w:tcW w:w="5116" w:type="dxa"/>
            <w:vAlign w:val="center"/>
          </w:tcPr>
          <w:p>
            <w:pPr>
              <w:widowControl/>
              <w:rPr>
                <w:bCs/>
                <w:szCs w:val="21"/>
                <w:shd w:val="clear" w:color="auto" w:fill="FFFFFF"/>
              </w:rPr>
            </w:pPr>
            <w:r>
              <w:rPr>
                <w:bCs/>
                <w:szCs w:val="21"/>
                <w:shd w:val="clear" w:color="auto" w:fill="FFFFFF"/>
              </w:rPr>
              <w:t>加强消耗臭氧层物质和氢氟碳化环境管理。分行业实施含氢氯氟烃（HCFCs）淘汰和替代。建立和实施氢氟碳化物（HFCs）生产、使用消费备案管理，继续削减氢氟碳化物。积极推进大气汞排放控制，落实相关履约责任。推进工业烟气中三氧化硫、汞、铅、砷、镉、二噁英等多种非常规污染物强效脱除技术研发和治理应用。强化恶臭、有毒有害大气污染物风险管控。</w:t>
            </w:r>
          </w:p>
        </w:tc>
        <w:tc>
          <w:tcPr>
            <w:tcW w:w="1812" w:type="dxa"/>
            <w:vAlign w:val="center"/>
          </w:tcPr>
          <w:p>
            <w:pPr>
              <w:adjustRightInd w:val="0"/>
              <w:snapToGrid w:val="0"/>
              <w:textAlignment w:val="baseline"/>
              <w:outlineLvl w:val="0"/>
              <w:rPr>
                <w:bCs/>
                <w:szCs w:val="21"/>
                <w:highlight w:val="yellow"/>
              </w:rPr>
            </w:pPr>
            <w:bookmarkStart w:id="58" w:name="_Toc13331"/>
            <w:bookmarkStart w:id="59" w:name="_Toc5323"/>
            <w:r>
              <w:rPr>
                <w:bCs/>
                <w:szCs w:val="21"/>
              </w:rPr>
              <w:t>本项目</w:t>
            </w:r>
            <w:r>
              <w:rPr>
                <w:rFonts w:hint="eastAsia"/>
                <w:bCs/>
                <w:szCs w:val="21"/>
              </w:rPr>
              <w:t>原辅料不含任何破坏臭氧层的物质，</w:t>
            </w:r>
            <w:r>
              <w:rPr>
                <w:bCs/>
                <w:szCs w:val="21"/>
              </w:rPr>
              <w:t>不使用</w:t>
            </w:r>
            <w:r>
              <w:rPr>
                <w:bCs/>
                <w:szCs w:val="21"/>
                <w:shd w:val="clear" w:color="auto" w:fill="FFFFFF"/>
              </w:rPr>
              <w:t>氢氯氟烃（HCFCs），项目不涉及工业烟气三氧化硫、汞、铅、砷、镉、二噁英等多种非常规污染物。</w:t>
            </w:r>
            <w:bookmarkEnd w:id="58"/>
            <w:bookmarkEnd w:id="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61" w:type="dxa"/>
            <w:vMerge w:val="continue"/>
            <w:vAlign w:val="center"/>
          </w:tcPr>
          <w:p>
            <w:pPr>
              <w:widowControl/>
              <w:jc w:val="center"/>
              <w:rPr>
                <w:bCs/>
                <w:szCs w:val="21"/>
                <w:highlight w:val="yellow"/>
              </w:rPr>
            </w:pPr>
          </w:p>
        </w:tc>
        <w:tc>
          <w:tcPr>
            <w:tcW w:w="997" w:type="dxa"/>
            <w:vAlign w:val="center"/>
          </w:tcPr>
          <w:p>
            <w:pPr>
              <w:widowControl/>
              <w:jc w:val="center"/>
              <w:rPr>
                <w:bCs/>
                <w:szCs w:val="21"/>
                <w:shd w:val="clear" w:color="auto" w:fill="FFFFFF"/>
              </w:rPr>
            </w:pPr>
            <w:r>
              <w:rPr>
                <w:bCs/>
                <w:szCs w:val="21"/>
                <w:shd w:val="clear" w:color="auto" w:fill="FFFFFF"/>
              </w:rPr>
              <w:t>第二节 统筹区域绿色发展格局</w:t>
            </w:r>
          </w:p>
        </w:tc>
        <w:tc>
          <w:tcPr>
            <w:tcW w:w="5116" w:type="dxa"/>
            <w:vAlign w:val="center"/>
          </w:tcPr>
          <w:p>
            <w:pPr>
              <w:widowControl/>
              <w:rPr>
                <w:bCs/>
                <w:szCs w:val="21"/>
              </w:rPr>
            </w:pPr>
            <w:r>
              <w:rPr>
                <w:bCs/>
                <w:szCs w:val="21"/>
              </w:rPr>
              <w:t>完善生态环境分区管控机制。落实“三线一单”生态环境分区管控体系，构建以“三线一单”为空间管控基础、环境影响评价为环境准入把关、排污许可为企业运行守法依据的生态环境管理框架，严格规划环评审查和建设项目环境准入，从源头预防环境污染和生态破坏。</w:t>
            </w:r>
          </w:p>
        </w:tc>
        <w:tc>
          <w:tcPr>
            <w:tcW w:w="1812" w:type="dxa"/>
            <w:vAlign w:val="center"/>
          </w:tcPr>
          <w:p>
            <w:pPr>
              <w:adjustRightInd w:val="0"/>
              <w:snapToGrid w:val="0"/>
              <w:textAlignment w:val="baseline"/>
              <w:outlineLvl w:val="0"/>
              <w:rPr>
                <w:bCs/>
                <w:szCs w:val="21"/>
                <w:highlight w:val="yellow"/>
              </w:rPr>
            </w:pPr>
            <w:bookmarkStart w:id="60" w:name="_Toc5063"/>
            <w:bookmarkStart w:id="61" w:name="_Toc13298"/>
            <w:r>
              <w:rPr>
                <w:bCs/>
                <w:szCs w:val="21"/>
              </w:rPr>
              <w:t>本项目属于</w:t>
            </w:r>
            <w:r>
              <w:rPr>
                <w:rFonts w:hint="eastAsia"/>
                <w:bCs/>
                <w:szCs w:val="21"/>
              </w:rPr>
              <w:t>房地产业、水的生产和供应业</w:t>
            </w:r>
            <w:r>
              <w:rPr>
                <w:bCs/>
                <w:szCs w:val="21"/>
              </w:rPr>
              <w:t>，</w:t>
            </w:r>
            <w:r>
              <w:rPr>
                <w:bCs/>
              </w:rPr>
              <w:t>位于</w:t>
            </w:r>
            <w:r>
              <w:rPr>
                <w:rFonts w:hint="eastAsia"/>
                <w:bCs/>
              </w:rPr>
              <w:t>原阳县</w:t>
            </w:r>
            <w:r>
              <w:rPr>
                <w:bCs/>
              </w:rPr>
              <w:t>产业集聚区，符合园区规划，符合“三线一单”生态环境分区管控要求。</w:t>
            </w:r>
            <w:bookmarkEnd w:id="60"/>
            <w:bookmarkEnd w:id="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61" w:type="dxa"/>
            <w:vMerge w:val="continue"/>
            <w:vAlign w:val="center"/>
          </w:tcPr>
          <w:p>
            <w:pPr>
              <w:widowControl/>
              <w:jc w:val="center"/>
              <w:rPr>
                <w:bCs/>
                <w:szCs w:val="21"/>
                <w:highlight w:val="yellow"/>
              </w:rPr>
            </w:pPr>
          </w:p>
        </w:tc>
        <w:tc>
          <w:tcPr>
            <w:tcW w:w="997" w:type="dxa"/>
            <w:vAlign w:val="center"/>
          </w:tcPr>
          <w:p>
            <w:pPr>
              <w:widowControl/>
              <w:jc w:val="center"/>
              <w:rPr>
                <w:bCs/>
                <w:szCs w:val="21"/>
                <w:shd w:val="clear" w:color="auto" w:fill="FFFFFF"/>
              </w:rPr>
            </w:pPr>
            <w:r>
              <w:rPr>
                <w:bCs/>
                <w:szCs w:val="21"/>
                <w:shd w:val="clear" w:color="auto" w:fill="FFFFFF"/>
              </w:rPr>
              <w:t>第三节 优化绿色产业发展方式</w:t>
            </w:r>
          </w:p>
        </w:tc>
        <w:tc>
          <w:tcPr>
            <w:tcW w:w="5116" w:type="dxa"/>
            <w:vAlign w:val="center"/>
          </w:tcPr>
          <w:p>
            <w:pPr>
              <w:widowControl/>
              <w:rPr>
                <w:bCs/>
                <w:szCs w:val="21"/>
              </w:rPr>
            </w:pPr>
            <w:r>
              <w:rPr>
                <w:bCs/>
                <w:szCs w:val="21"/>
              </w:rPr>
              <w:t>遏制“两高”项目发展。坚决遏制高耗能、高排放（以下简称“两高”）项目盲目发展。加强能耗总量和强度双控、煤炭消费总量和污染物排放总量控制。强化“两高”项目规划约束，实施“两高”项目台账管理。组织实施重点用能单位节能降碳改造行动，将存量“两高”项目纳入改造项目清单。依法依规淘汰落后产能和化解过剩产能，实施落后产能清零行动。原则上禁止新增钢铁、电解铝、水泥、平板玻璃、传统 煤化工（甲醇、合成氨）、焦化、铝用炭素、砖瓦窑、耐火材料、铅锌冶炼（含再生铅）等行业产能。过剩产能搬迁、改建项目，按照国家、省有关规定，实行污染物排放削减替代。</w:t>
            </w:r>
          </w:p>
        </w:tc>
        <w:tc>
          <w:tcPr>
            <w:tcW w:w="1812" w:type="dxa"/>
            <w:vAlign w:val="center"/>
          </w:tcPr>
          <w:p>
            <w:pPr>
              <w:adjustRightInd w:val="0"/>
              <w:snapToGrid w:val="0"/>
              <w:textAlignment w:val="baseline"/>
              <w:outlineLvl w:val="0"/>
              <w:rPr>
                <w:bCs/>
                <w:szCs w:val="21"/>
                <w:highlight w:val="yellow"/>
              </w:rPr>
            </w:pPr>
            <w:bookmarkStart w:id="62" w:name="_Toc2606"/>
            <w:bookmarkStart w:id="63" w:name="_Toc8257"/>
            <w:r>
              <w:rPr>
                <w:bCs/>
                <w:szCs w:val="21"/>
              </w:rPr>
              <w:t>本项目为属于</w:t>
            </w:r>
            <w:r>
              <w:rPr>
                <w:rFonts w:hint="eastAsia"/>
                <w:bCs/>
                <w:szCs w:val="21"/>
              </w:rPr>
              <w:t>房地产业、水的生产和供应业</w:t>
            </w:r>
            <w:r>
              <w:rPr>
                <w:bCs/>
                <w:szCs w:val="21"/>
              </w:rPr>
              <w:t>，不属于“两高”项目。</w:t>
            </w:r>
            <w:bookmarkEnd w:id="62"/>
            <w:bookmarkEnd w:id="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61" w:type="dxa"/>
            <w:vMerge w:val="restart"/>
            <w:vAlign w:val="center"/>
          </w:tcPr>
          <w:p>
            <w:pPr>
              <w:widowControl/>
              <w:jc w:val="center"/>
              <w:rPr>
                <w:bCs/>
                <w:szCs w:val="21"/>
              </w:rPr>
            </w:pPr>
            <w:r>
              <w:rPr>
                <w:bCs/>
                <w:szCs w:val="21"/>
              </w:rPr>
              <w:t>第四章</w:t>
            </w:r>
          </w:p>
          <w:p>
            <w:pPr>
              <w:widowControl/>
              <w:jc w:val="center"/>
              <w:rPr>
                <w:bCs/>
                <w:szCs w:val="21"/>
                <w:highlight w:val="yellow"/>
              </w:rPr>
            </w:pPr>
            <w:r>
              <w:rPr>
                <w:bCs/>
                <w:szCs w:val="21"/>
              </w:rPr>
              <w:t>坚持协同治理，持续改善大气环境</w:t>
            </w:r>
          </w:p>
        </w:tc>
        <w:tc>
          <w:tcPr>
            <w:tcW w:w="997" w:type="dxa"/>
            <w:vAlign w:val="center"/>
          </w:tcPr>
          <w:p>
            <w:pPr>
              <w:widowControl/>
              <w:jc w:val="center"/>
              <w:rPr>
                <w:bCs/>
                <w:szCs w:val="21"/>
                <w:shd w:val="clear" w:color="auto" w:fill="FFFFFF"/>
              </w:rPr>
            </w:pPr>
            <w:r>
              <w:rPr>
                <w:bCs/>
                <w:szCs w:val="21"/>
                <w:shd w:val="clear" w:color="auto" w:fill="FFFFFF"/>
              </w:rPr>
              <w:t>第一节</w:t>
            </w:r>
          </w:p>
          <w:p>
            <w:pPr>
              <w:widowControl/>
              <w:jc w:val="center"/>
              <w:rPr>
                <w:bCs/>
                <w:szCs w:val="21"/>
                <w:shd w:val="clear" w:color="auto" w:fill="FFFFFF"/>
              </w:rPr>
            </w:pPr>
            <w:r>
              <w:rPr>
                <w:bCs/>
                <w:szCs w:val="21"/>
                <w:shd w:val="clear" w:color="auto" w:fill="FFFFFF"/>
              </w:rPr>
              <w:t>推进工业污染物深度治理</w:t>
            </w:r>
          </w:p>
        </w:tc>
        <w:tc>
          <w:tcPr>
            <w:tcW w:w="5116" w:type="dxa"/>
            <w:vAlign w:val="center"/>
          </w:tcPr>
          <w:p>
            <w:pPr>
              <w:widowControl/>
              <w:rPr>
                <w:bCs/>
                <w:szCs w:val="21"/>
              </w:rPr>
            </w:pPr>
            <w:r>
              <w:rPr>
                <w:bCs/>
                <w:szCs w:val="21"/>
              </w:rPr>
              <w:t>加强工业炉窑和锅炉污染治理。</w:t>
            </w:r>
          </w:p>
          <w:p>
            <w:pPr>
              <w:widowControl/>
              <w:rPr>
                <w:bCs/>
                <w:szCs w:val="21"/>
              </w:rPr>
            </w:pPr>
            <w:r>
              <w:rPr>
                <w:bCs/>
                <w:szCs w:val="21"/>
              </w:rPr>
              <w:t>深入推进工业炉窑大气污染综合治理。加快完成铸造行业清洁能源改造，全面提升铸造、铁合金石灰窑、耐火材料制品、砖瓦窑、有色金属冶炼及压延等工业窑炉的治污设施处理能力。新建天燃气锅炉应采取低氮燃烧和烟气循环技术。持续推进城乡结合部、供热管道未铺设地区、燃煤锅炉的取缔或改造。加强生物质锅炉燃料品质及排放管控，淘汰污染物排放不符合要求的生物质锅炉。</w:t>
            </w:r>
          </w:p>
        </w:tc>
        <w:tc>
          <w:tcPr>
            <w:tcW w:w="1812" w:type="dxa"/>
            <w:vAlign w:val="center"/>
          </w:tcPr>
          <w:p>
            <w:pPr>
              <w:widowControl/>
              <w:spacing w:before="100" w:beforeAutospacing="1" w:after="100" w:afterAutospacing="1"/>
              <w:rPr>
                <w:bCs/>
                <w:kern w:val="0"/>
                <w:sz w:val="24"/>
                <w:szCs w:val="21"/>
                <w:highlight w:val="yellow"/>
              </w:rPr>
            </w:pPr>
            <w:r>
              <w:rPr>
                <w:bCs/>
                <w:szCs w:val="21"/>
              </w:rPr>
              <w:t>项目不涉及工业炉窑</w:t>
            </w:r>
            <w:r>
              <w:rPr>
                <w:rFonts w:hint="eastAsia"/>
                <w:bCs/>
                <w:szCs w:val="21"/>
              </w:rPr>
              <w:t>和</w:t>
            </w:r>
            <w:r>
              <w:rPr>
                <w:bCs/>
                <w:szCs w:val="21"/>
              </w:rPr>
              <w:t>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61" w:type="dxa"/>
            <w:vMerge w:val="continue"/>
            <w:vAlign w:val="center"/>
          </w:tcPr>
          <w:p>
            <w:pPr>
              <w:widowControl/>
              <w:jc w:val="center"/>
              <w:rPr>
                <w:bCs/>
                <w:szCs w:val="21"/>
                <w:highlight w:val="yellow"/>
              </w:rPr>
            </w:pPr>
          </w:p>
        </w:tc>
        <w:tc>
          <w:tcPr>
            <w:tcW w:w="997" w:type="dxa"/>
            <w:vAlign w:val="center"/>
          </w:tcPr>
          <w:p>
            <w:pPr>
              <w:widowControl/>
              <w:jc w:val="center"/>
              <w:rPr>
                <w:bCs/>
                <w:szCs w:val="21"/>
                <w:shd w:val="clear" w:color="auto" w:fill="FFFFFF"/>
              </w:rPr>
            </w:pPr>
            <w:r>
              <w:rPr>
                <w:bCs/>
                <w:szCs w:val="21"/>
                <w:shd w:val="clear" w:color="auto" w:fill="FFFFFF"/>
              </w:rPr>
              <w:t>第四节</w:t>
            </w:r>
          </w:p>
          <w:p>
            <w:pPr>
              <w:widowControl/>
              <w:jc w:val="center"/>
              <w:rPr>
                <w:bCs/>
                <w:szCs w:val="21"/>
                <w:shd w:val="clear" w:color="auto" w:fill="FFFFFF"/>
              </w:rPr>
            </w:pPr>
            <w:r>
              <w:rPr>
                <w:bCs/>
                <w:szCs w:val="21"/>
                <w:shd w:val="clear" w:color="auto" w:fill="FFFFFF"/>
              </w:rPr>
              <w:t>加强扬尘恶臭等污染治理</w:t>
            </w:r>
          </w:p>
        </w:tc>
        <w:tc>
          <w:tcPr>
            <w:tcW w:w="5116" w:type="dxa"/>
            <w:vAlign w:val="center"/>
          </w:tcPr>
          <w:p>
            <w:pPr>
              <w:widowControl/>
              <w:jc w:val="left"/>
              <w:rPr>
                <w:bCs/>
                <w:szCs w:val="21"/>
                <w:shd w:val="clear" w:color="auto" w:fill="FFFFFF"/>
              </w:rPr>
            </w:pPr>
            <w:r>
              <w:rPr>
                <w:bCs/>
                <w:szCs w:val="21"/>
                <w:shd w:val="clear" w:color="auto" w:fill="FFFFFF"/>
              </w:rPr>
              <w:t>强化扬尘综合治理。加快智慧化工地建设，对施工工地主要扬尘产生点安装视频监控装置，实施全过程监控，严格落实绿色施工和“六个百分百”要求。渣土物料运输车辆管理纳入日常安全文明施工监督范围，加强扬尘管理，保持行驶途中全密闭，增强视频监控车牌号识别。加强施工扬尘监管执法、强化重污染天气预警、大风天气条件下扬尘管控。道路、水务等线性工程进行分段施工。持续开展城市清洁行动，进一步扩大道路机械化清扫和洒水范围，提高城市道路清扫、冲洗的机械化率，增加道路冲洗保洁频次，遏制随风起尘和交通扬尘。</w:t>
            </w:r>
          </w:p>
        </w:tc>
        <w:tc>
          <w:tcPr>
            <w:tcW w:w="1812" w:type="dxa"/>
            <w:vAlign w:val="center"/>
          </w:tcPr>
          <w:p>
            <w:pPr>
              <w:widowControl/>
              <w:rPr>
                <w:bCs/>
                <w:kern w:val="0"/>
                <w:sz w:val="24"/>
                <w:szCs w:val="21"/>
              </w:rPr>
            </w:pPr>
            <w:r>
              <w:rPr>
                <w:bCs/>
                <w:szCs w:val="21"/>
              </w:rPr>
              <w:t>本项目为新建项目，施工期将</w:t>
            </w:r>
            <w:r>
              <w:rPr>
                <w:bCs/>
                <w:szCs w:val="21"/>
                <w:shd w:val="clear" w:color="auto" w:fill="FFFFFF"/>
              </w:rPr>
              <w:t>严格落实绿色施工和“六个百分百”要求。严格按要求对渣土物料运输车辆进行管理，加强扬尘管理，保持行驶途中全密闭等措施。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61" w:type="dxa"/>
            <w:vAlign w:val="center"/>
          </w:tcPr>
          <w:p>
            <w:pPr>
              <w:widowControl/>
              <w:jc w:val="center"/>
              <w:rPr>
                <w:bCs/>
                <w:szCs w:val="21"/>
              </w:rPr>
            </w:pPr>
            <w:r>
              <w:rPr>
                <w:bCs/>
                <w:szCs w:val="21"/>
              </w:rPr>
              <w:t>第五章</w:t>
            </w:r>
          </w:p>
          <w:p>
            <w:pPr>
              <w:widowControl/>
              <w:jc w:val="center"/>
              <w:rPr>
                <w:bCs/>
                <w:szCs w:val="21"/>
              </w:rPr>
            </w:pPr>
            <w:r>
              <w:rPr>
                <w:bCs/>
                <w:szCs w:val="21"/>
              </w:rPr>
              <w:t>实施“三水统筹”，稳步提升水生态环境</w:t>
            </w:r>
          </w:p>
        </w:tc>
        <w:tc>
          <w:tcPr>
            <w:tcW w:w="997" w:type="dxa"/>
            <w:vAlign w:val="center"/>
          </w:tcPr>
          <w:p>
            <w:pPr>
              <w:widowControl/>
              <w:jc w:val="center"/>
              <w:rPr>
                <w:bCs/>
                <w:szCs w:val="21"/>
                <w:shd w:val="clear" w:color="auto" w:fill="FFFFFF"/>
              </w:rPr>
            </w:pPr>
            <w:r>
              <w:rPr>
                <w:bCs/>
                <w:szCs w:val="21"/>
                <w:shd w:val="clear" w:color="auto" w:fill="FFFFFF"/>
              </w:rPr>
              <w:t>第三节 持续深化水污染治理</w:t>
            </w:r>
          </w:p>
        </w:tc>
        <w:tc>
          <w:tcPr>
            <w:tcW w:w="5116" w:type="dxa"/>
            <w:vAlign w:val="center"/>
          </w:tcPr>
          <w:p>
            <w:pPr>
              <w:widowControl/>
              <w:jc w:val="left"/>
              <w:rPr>
                <w:bCs/>
                <w:szCs w:val="21"/>
                <w:shd w:val="clear" w:color="auto" w:fill="FFFFFF"/>
              </w:rPr>
            </w:pPr>
            <w:r>
              <w:rPr>
                <w:bCs/>
                <w:szCs w:val="21"/>
                <w:shd w:val="clear" w:color="auto" w:fill="FFFFFF"/>
              </w:rPr>
              <w:t>深入开展工业污染防治。</w:t>
            </w:r>
          </w:p>
          <w:p>
            <w:pPr>
              <w:widowControl/>
              <w:jc w:val="left"/>
              <w:rPr>
                <w:bCs/>
                <w:szCs w:val="21"/>
                <w:shd w:val="clear" w:color="auto" w:fill="FFFFFF"/>
              </w:rPr>
            </w:pPr>
            <w:r>
              <w:rPr>
                <w:bCs/>
                <w:szCs w:val="21"/>
                <w:shd w:val="clear" w:color="auto" w:fill="FFFFFF"/>
              </w:rPr>
              <w:t>推进涉水工业企业全面达标排放，实现工业污染全过程持续控制。加快推进印染、化工、制药等重污染行业专项治理，分类实施关停取缔、整合搬迁、提升改造等措施，依法淘汰涉及污染的落后产能，促使行业转型升级。实现工业污染全过程持续控制，加大对污染物排放超标或者重点污染物排放超总量的企业予以综合整治。全面落实排污许可证管理制度，加强对涉及危险废物、高浓度废液等排放的工业企业的日常监管。</w:t>
            </w:r>
          </w:p>
        </w:tc>
        <w:tc>
          <w:tcPr>
            <w:tcW w:w="1812" w:type="dxa"/>
            <w:vAlign w:val="center"/>
          </w:tcPr>
          <w:p>
            <w:pPr>
              <w:widowControl/>
              <w:textAlignment w:val="center"/>
              <w:rPr>
                <w:bCs/>
                <w:snapToGrid w:val="0"/>
                <w:szCs w:val="21"/>
              </w:rPr>
            </w:pPr>
            <w:r>
              <w:rPr>
                <w:bCs/>
                <w:snapToGrid w:val="0"/>
                <w:szCs w:val="21"/>
              </w:rPr>
              <w:t>项目废水经厂区污水处理站处理后经管网排入</w:t>
            </w:r>
            <w:r>
              <w:rPr>
                <w:rFonts w:hint="eastAsia"/>
                <w:bCs/>
                <w:szCs w:val="21"/>
              </w:rPr>
              <w:t>原阳县产业集聚区</w:t>
            </w:r>
            <w:r>
              <w:rPr>
                <w:bCs/>
                <w:spacing w:val="-4"/>
                <w:szCs w:val="21"/>
              </w:rPr>
              <w:t>污水处理厂，</w:t>
            </w:r>
            <w:r>
              <w:rPr>
                <w:bCs/>
                <w:snapToGrid w:val="0"/>
                <w:szCs w:val="21"/>
              </w:rPr>
              <w:t>不直接排入外环境。</w:t>
            </w:r>
          </w:p>
        </w:tc>
      </w:tr>
    </w:tbl>
    <w:p>
      <w:pPr>
        <w:keepNext/>
        <w:keepLines/>
        <w:spacing w:line="500" w:lineRule="exact"/>
        <w:outlineLvl w:val="1"/>
        <w:rPr>
          <w:rFonts w:eastAsia="黑体"/>
          <w:bCs/>
          <w:sz w:val="28"/>
          <w:szCs w:val="28"/>
        </w:rPr>
      </w:pPr>
      <w:bookmarkStart w:id="64" w:name="_Toc857"/>
      <w:r>
        <w:rPr>
          <w:rFonts w:eastAsia="黑体"/>
          <w:bCs/>
          <w:sz w:val="28"/>
          <w:szCs w:val="28"/>
        </w:rPr>
        <w:t>2.9 与相关政策相符性分析</w:t>
      </w:r>
      <w:bookmarkEnd w:id="64"/>
    </w:p>
    <w:p>
      <w:pPr>
        <w:keepNext/>
        <w:keepLines/>
        <w:spacing w:line="520" w:lineRule="exact"/>
        <w:outlineLvl w:val="2"/>
        <w:rPr>
          <w:rFonts w:eastAsia="黑体"/>
          <w:bCs/>
          <w:sz w:val="28"/>
          <w:szCs w:val="28"/>
        </w:rPr>
      </w:pPr>
      <w:r>
        <w:rPr>
          <w:rFonts w:eastAsia="黑体"/>
          <w:bCs/>
          <w:sz w:val="28"/>
          <w:szCs w:val="28"/>
        </w:rPr>
        <w:t>2.9.1 产业政策相符性分析</w:t>
      </w:r>
    </w:p>
    <w:p>
      <w:pPr>
        <w:spacing w:line="520" w:lineRule="exact"/>
        <w:ind w:firstLine="480" w:firstLineChars="200"/>
        <w:jc w:val="left"/>
        <w:rPr>
          <w:sz w:val="24"/>
        </w:rPr>
      </w:pPr>
      <w:r>
        <w:rPr>
          <w:rFonts w:hint="eastAsia"/>
          <w:sz w:val="24"/>
        </w:rPr>
        <w:t>本项目</w:t>
      </w:r>
      <w:r>
        <w:rPr>
          <w:sz w:val="24"/>
        </w:rPr>
        <w:t>属于</w:t>
      </w:r>
      <w:r>
        <w:rPr>
          <w:rFonts w:hint="eastAsia"/>
          <w:sz w:val="24"/>
        </w:rPr>
        <w:t>房地产业、水的生产和供应业，</w:t>
      </w:r>
      <w:r>
        <w:rPr>
          <w:rFonts w:hint="eastAsia"/>
          <w:bCs/>
          <w:sz w:val="24"/>
        </w:rPr>
        <w:t>主要建设车间厂房及其配套设施污水处理站，</w:t>
      </w:r>
      <w:r>
        <w:rPr>
          <w:sz w:val="24"/>
        </w:rPr>
        <w:t>不属于《产业结构调整指导目录（20</w:t>
      </w:r>
      <w:r>
        <w:rPr>
          <w:rFonts w:hint="eastAsia"/>
          <w:sz w:val="24"/>
        </w:rPr>
        <w:t>24</w:t>
      </w:r>
      <w:r>
        <w:rPr>
          <w:sz w:val="24"/>
        </w:rPr>
        <w:t>年本）》中的限制类和淘汰类项目，属于允许类，符合国家产业政策。本项目已通过</w:t>
      </w:r>
      <w:r>
        <w:rPr>
          <w:rFonts w:hint="eastAsia"/>
          <w:sz w:val="24"/>
        </w:rPr>
        <w:t>原阳县产业集聚区管理委员会备案，项目代码为：2</w:t>
      </w:r>
      <w:r>
        <w:rPr>
          <w:sz w:val="24"/>
        </w:rPr>
        <w:t>212-410725-04-01-366586，符合当前国家产业政策（</w:t>
      </w:r>
      <w:r>
        <w:rPr>
          <w:rFonts w:hint="eastAsia"/>
          <w:sz w:val="24"/>
        </w:rPr>
        <w:t>备案证明见附件二</w:t>
      </w:r>
      <w:r>
        <w:rPr>
          <w:sz w:val="24"/>
        </w:rPr>
        <w:t>）。</w:t>
      </w:r>
    </w:p>
    <w:p>
      <w:pPr>
        <w:keepNext/>
        <w:keepLines/>
        <w:spacing w:line="520" w:lineRule="exact"/>
        <w:outlineLvl w:val="2"/>
        <w:rPr>
          <w:rFonts w:eastAsia="黑体"/>
          <w:bCs/>
          <w:sz w:val="28"/>
          <w:szCs w:val="28"/>
        </w:rPr>
      </w:pPr>
      <w:r>
        <w:rPr>
          <w:rFonts w:eastAsia="黑体"/>
          <w:bCs/>
          <w:sz w:val="28"/>
          <w:szCs w:val="28"/>
        </w:rPr>
        <w:t xml:space="preserve">2.9.2 </w:t>
      </w:r>
      <w:r>
        <w:rPr>
          <w:rFonts w:hint="eastAsia" w:eastAsia="黑体"/>
          <w:bCs/>
          <w:sz w:val="28"/>
          <w:szCs w:val="28"/>
        </w:rPr>
        <w:t>项目与备案的相符性分析</w:t>
      </w:r>
    </w:p>
    <w:p>
      <w:pPr>
        <w:spacing w:line="520" w:lineRule="exact"/>
        <w:ind w:firstLine="480" w:firstLineChars="200"/>
        <w:rPr>
          <w:sz w:val="24"/>
        </w:rPr>
      </w:pPr>
      <w:r>
        <w:rPr>
          <w:rFonts w:hint="eastAsia"/>
          <w:sz w:val="24"/>
        </w:rPr>
        <w:t>本项目与备案内容相符性分析详见下表。</w:t>
      </w:r>
    </w:p>
    <w:p>
      <w:pPr>
        <w:spacing w:line="520" w:lineRule="exact"/>
        <w:ind w:firstLine="480" w:firstLineChars="200"/>
        <w:rPr>
          <w:rFonts w:eastAsia="黑体"/>
          <w:sz w:val="24"/>
          <w:szCs w:val="20"/>
        </w:rPr>
      </w:pPr>
      <w:r>
        <w:rPr>
          <w:rFonts w:hint="eastAsia" w:eastAsia="黑体"/>
          <w:sz w:val="24"/>
          <w:szCs w:val="20"/>
        </w:rPr>
        <w:t xml:space="preserve">表 </w:t>
      </w:r>
      <w:r>
        <w:rPr>
          <w:rFonts w:eastAsia="黑体"/>
          <w:sz w:val="24"/>
          <w:szCs w:val="20"/>
        </w:rPr>
        <w:fldChar w:fldCharType="begin"/>
      </w:r>
      <w:r>
        <w:rPr>
          <w:rFonts w:eastAsia="黑体"/>
          <w:sz w:val="24"/>
          <w:szCs w:val="20"/>
        </w:rPr>
        <w:instrText xml:space="preserve"> </w:instrText>
      </w:r>
      <w:r>
        <w:rPr>
          <w:rFonts w:hint="eastAsia" w:eastAsia="黑体"/>
          <w:sz w:val="24"/>
          <w:szCs w:val="20"/>
        </w:rPr>
        <w:instrText xml:space="preserve">STYLEREF 1 \s</w:instrText>
      </w:r>
      <w:r>
        <w:rPr>
          <w:rFonts w:eastAsia="黑体"/>
          <w:sz w:val="24"/>
          <w:szCs w:val="20"/>
        </w:rPr>
        <w:instrText xml:space="preserve"> </w:instrText>
      </w:r>
      <w:r>
        <w:rPr>
          <w:rFonts w:eastAsia="黑体"/>
          <w:sz w:val="24"/>
          <w:szCs w:val="20"/>
        </w:rPr>
        <w:fldChar w:fldCharType="separate"/>
      </w:r>
      <w:r>
        <w:rPr>
          <w:rFonts w:eastAsia="黑体"/>
          <w:sz w:val="24"/>
          <w:szCs w:val="20"/>
        </w:rPr>
        <w:t>2</w:t>
      </w:r>
      <w:r>
        <w:rPr>
          <w:rFonts w:eastAsia="黑体"/>
          <w:sz w:val="24"/>
          <w:szCs w:val="20"/>
        </w:rPr>
        <w:fldChar w:fldCharType="end"/>
      </w:r>
      <w:r>
        <w:rPr>
          <w:rFonts w:eastAsia="黑体"/>
          <w:sz w:val="24"/>
          <w:szCs w:val="20"/>
        </w:rPr>
        <w:t>.9</w:t>
      </w:r>
      <w:r>
        <w:rPr>
          <w:rFonts w:eastAsia="黑体"/>
          <w:sz w:val="24"/>
          <w:szCs w:val="20"/>
        </w:rPr>
        <w:noBreakHyphen/>
      </w:r>
      <w:r>
        <w:rPr>
          <w:rFonts w:eastAsia="黑体"/>
          <w:sz w:val="24"/>
          <w:szCs w:val="20"/>
        </w:rPr>
        <w:fldChar w:fldCharType="begin"/>
      </w:r>
      <w:r>
        <w:rPr>
          <w:rFonts w:eastAsia="黑体"/>
          <w:sz w:val="24"/>
          <w:szCs w:val="20"/>
        </w:rPr>
        <w:instrText xml:space="preserve"> </w:instrText>
      </w:r>
      <w:r>
        <w:rPr>
          <w:rFonts w:hint="eastAsia" w:eastAsia="黑体"/>
          <w:sz w:val="24"/>
          <w:szCs w:val="20"/>
        </w:rPr>
        <w:instrText xml:space="preserve">SEQ 表 \* ARABIC \s 1</w:instrText>
      </w:r>
      <w:r>
        <w:rPr>
          <w:rFonts w:eastAsia="黑体"/>
          <w:sz w:val="24"/>
          <w:szCs w:val="20"/>
        </w:rPr>
        <w:instrText xml:space="preserve"> </w:instrText>
      </w:r>
      <w:r>
        <w:rPr>
          <w:rFonts w:eastAsia="黑体"/>
          <w:sz w:val="24"/>
          <w:szCs w:val="20"/>
        </w:rPr>
        <w:fldChar w:fldCharType="separate"/>
      </w:r>
      <w:r>
        <w:rPr>
          <w:rFonts w:eastAsia="黑体"/>
          <w:sz w:val="24"/>
          <w:szCs w:val="20"/>
        </w:rPr>
        <w:t>1</w:t>
      </w:r>
      <w:r>
        <w:rPr>
          <w:rFonts w:eastAsia="黑体"/>
          <w:sz w:val="24"/>
          <w:szCs w:val="20"/>
        </w:rPr>
        <w:fldChar w:fldCharType="end"/>
      </w:r>
      <w:r>
        <w:rPr>
          <w:rFonts w:hint="eastAsia" w:eastAsia="黑体"/>
          <w:sz w:val="24"/>
          <w:szCs w:val="20"/>
        </w:rPr>
        <w:t xml:space="preserve">        </w:t>
      </w:r>
      <w:r>
        <w:rPr>
          <w:rFonts w:eastAsia="黑体"/>
          <w:sz w:val="24"/>
          <w:szCs w:val="20"/>
        </w:rPr>
        <w:t xml:space="preserve">   </w:t>
      </w:r>
      <w:r>
        <w:rPr>
          <w:rFonts w:hint="eastAsia" w:eastAsia="黑体"/>
          <w:sz w:val="24"/>
          <w:szCs w:val="20"/>
        </w:rPr>
        <w:t xml:space="preserve"> </w:t>
      </w:r>
      <w:r>
        <w:rPr>
          <w:rFonts w:eastAsia="黑体"/>
          <w:sz w:val="24"/>
          <w:szCs w:val="20"/>
        </w:rPr>
        <w:t xml:space="preserve"> </w:t>
      </w:r>
      <w:r>
        <w:rPr>
          <w:rFonts w:hint="eastAsia" w:eastAsia="黑体"/>
          <w:sz w:val="24"/>
          <w:szCs w:val="20"/>
        </w:rPr>
        <w:t xml:space="preserve"> 本项目与备案相符性分析表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1137"/>
        <w:gridCol w:w="2719"/>
        <w:gridCol w:w="3970"/>
        <w:gridCol w:w="96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647" w:type="pct"/>
            <w:vAlign w:val="center"/>
          </w:tcPr>
          <w:p>
            <w:pPr>
              <w:jc w:val="center"/>
              <w:rPr>
                <w:rFonts w:cs="宋体"/>
                <w:b/>
                <w:color w:val="000000"/>
                <w:szCs w:val="20"/>
              </w:rPr>
            </w:pPr>
            <w:r>
              <w:rPr>
                <w:rFonts w:hint="eastAsia" w:cs="宋体"/>
                <w:b/>
                <w:color w:val="000000"/>
                <w:szCs w:val="20"/>
              </w:rPr>
              <w:t>类别</w:t>
            </w:r>
          </w:p>
        </w:tc>
        <w:tc>
          <w:tcPr>
            <w:tcW w:w="1547" w:type="pct"/>
            <w:vAlign w:val="center"/>
          </w:tcPr>
          <w:p>
            <w:pPr>
              <w:jc w:val="center"/>
              <w:rPr>
                <w:rFonts w:cs="宋体"/>
                <w:b/>
                <w:color w:val="000000"/>
                <w:szCs w:val="20"/>
              </w:rPr>
            </w:pPr>
            <w:r>
              <w:rPr>
                <w:rFonts w:hint="eastAsia" w:cs="宋体"/>
                <w:b/>
                <w:color w:val="000000"/>
                <w:szCs w:val="20"/>
              </w:rPr>
              <w:t>项目备案</w:t>
            </w:r>
          </w:p>
        </w:tc>
        <w:tc>
          <w:tcPr>
            <w:tcW w:w="2259" w:type="pct"/>
            <w:vAlign w:val="center"/>
          </w:tcPr>
          <w:p>
            <w:pPr>
              <w:jc w:val="center"/>
              <w:rPr>
                <w:rFonts w:cs="宋体"/>
                <w:b/>
                <w:color w:val="000000"/>
                <w:szCs w:val="20"/>
              </w:rPr>
            </w:pPr>
            <w:r>
              <w:rPr>
                <w:rFonts w:hint="eastAsia" w:cs="宋体"/>
                <w:b/>
                <w:color w:val="000000"/>
                <w:szCs w:val="20"/>
              </w:rPr>
              <w:t>项目情况</w:t>
            </w:r>
          </w:p>
        </w:tc>
        <w:tc>
          <w:tcPr>
            <w:tcW w:w="547" w:type="pct"/>
            <w:vAlign w:val="center"/>
          </w:tcPr>
          <w:p>
            <w:pPr>
              <w:jc w:val="center"/>
              <w:rPr>
                <w:rFonts w:cs="宋体"/>
                <w:b/>
                <w:color w:val="000000"/>
                <w:szCs w:val="20"/>
              </w:rPr>
            </w:pPr>
            <w:r>
              <w:rPr>
                <w:rFonts w:cs="宋体"/>
                <w:b/>
                <w:color w:val="000000"/>
                <w:szCs w:val="20"/>
              </w:rPr>
              <w:t>相符性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vAlign w:val="center"/>
          </w:tcPr>
          <w:p>
            <w:pPr>
              <w:contextualSpacing/>
              <w:jc w:val="center"/>
              <w:textAlignment w:val="baseline"/>
              <w:rPr>
                <w:kern w:val="0"/>
                <w:szCs w:val="21"/>
              </w:rPr>
            </w:pPr>
            <w:r>
              <w:rPr>
                <w:rFonts w:hint="eastAsia"/>
                <w:kern w:val="0"/>
                <w:szCs w:val="21"/>
              </w:rPr>
              <w:t>建设单位</w:t>
            </w:r>
          </w:p>
        </w:tc>
        <w:tc>
          <w:tcPr>
            <w:tcW w:w="1547" w:type="pct"/>
            <w:vAlign w:val="center"/>
          </w:tcPr>
          <w:p>
            <w:pPr>
              <w:contextualSpacing/>
              <w:jc w:val="center"/>
              <w:textAlignment w:val="baseline"/>
              <w:rPr>
                <w:kern w:val="0"/>
                <w:szCs w:val="21"/>
              </w:rPr>
            </w:pPr>
            <w:r>
              <w:rPr>
                <w:rFonts w:hint="eastAsia"/>
                <w:kern w:val="0"/>
                <w:szCs w:val="21"/>
              </w:rPr>
              <w:t>河南羽佳金门实业有限公司</w:t>
            </w:r>
          </w:p>
        </w:tc>
        <w:tc>
          <w:tcPr>
            <w:tcW w:w="2259" w:type="pct"/>
            <w:vAlign w:val="center"/>
          </w:tcPr>
          <w:p>
            <w:pPr>
              <w:contextualSpacing/>
              <w:jc w:val="center"/>
              <w:textAlignment w:val="baseline"/>
              <w:rPr>
                <w:kern w:val="0"/>
                <w:szCs w:val="21"/>
              </w:rPr>
            </w:pPr>
            <w:r>
              <w:rPr>
                <w:rFonts w:hint="eastAsia"/>
                <w:kern w:val="0"/>
                <w:szCs w:val="21"/>
              </w:rPr>
              <w:t>河南羽佳金门实业有限公司</w:t>
            </w:r>
          </w:p>
        </w:tc>
        <w:tc>
          <w:tcPr>
            <w:tcW w:w="547" w:type="pct"/>
            <w:vAlign w:val="center"/>
          </w:tcPr>
          <w:p>
            <w:pPr>
              <w:contextualSpacing/>
              <w:jc w:val="center"/>
              <w:textAlignment w:val="baseline"/>
              <w:rPr>
                <w:kern w:val="0"/>
                <w:szCs w:val="21"/>
              </w:rPr>
            </w:pPr>
            <w:r>
              <w:rPr>
                <w:rFonts w:hint="eastAsia"/>
                <w:kern w:val="0"/>
                <w:szCs w:val="21"/>
              </w:rPr>
              <w:t>相符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vAlign w:val="center"/>
          </w:tcPr>
          <w:p>
            <w:pPr>
              <w:contextualSpacing/>
              <w:jc w:val="center"/>
              <w:textAlignment w:val="baseline"/>
              <w:rPr>
                <w:kern w:val="0"/>
                <w:szCs w:val="21"/>
              </w:rPr>
            </w:pPr>
            <w:r>
              <w:rPr>
                <w:rFonts w:hint="eastAsia"/>
                <w:kern w:val="0"/>
                <w:szCs w:val="21"/>
              </w:rPr>
              <w:t>建设地点</w:t>
            </w:r>
          </w:p>
        </w:tc>
        <w:tc>
          <w:tcPr>
            <w:tcW w:w="1547" w:type="pct"/>
            <w:vAlign w:val="center"/>
          </w:tcPr>
          <w:p>
            <w:pPr>
              <w:contextualSpacing/>
              <w:jc w:val="center"/>
              <w:textAlignment w:val="baseline"/>
              <w:rPr>
                <w:kern w:val="0"/>
                <w:szCs w:val="21"/>
              </w:rPr>
            </w:pPr>
            <w:r>
              <w:rPr>
                <w:rFonts w:hint="eastAsia"/>
                <w:kern w:val="0"/>
                <w:szCs w:val="21"/>
              </w:rPr>
              <w:t>新乡市原阳县永安路南侧、金祥南街西侧、小庄排河东侧</w:t>
            </w:r>
          </w:p>
        </w:tc>
        <w:tc>
          <w:tcPr>
            <w:tcW w:w="2259" w:type="pct"/>
            <w:vAlign w:val="center"/>
          </w:tcPr>
          <w:p>
            <w:pPr>
              <w:contextualSpacing/>
              <w:jc w:val="center"/>
              <w:textAlignment w:val="baseline"/>
              <w:rPr>
                <w:kern w:val="0"/>
                <w:szCs w:val="21"/>
              </w:rPr>
            </w:pPr>
            <w:r>
              <w:rPr>
                <w:rFonts w:hint="eastAsia"/>
                <w:kern w:val="0"/>
                <w:szCs w:val="21"/>
              </w:rPr>
              <w:t>新乡市原阳县产业聚集区永安路南侧、小庄村西侧（金祥南街建成打通后为金祥南街西侧，路东为小庄村）、小庄排河东侧</w:t>
            </w:r>
          </w:p>
        </w:tc>
        <w:tc>
          <w:tcPr>
            <w:tcW w:w="547" w:type="pct"/>
            <w:vAlign w:val="center"/>
          </w:tcPr>
          <w:p>
            <w:pPr>
              <w:contextualSpacing/>
              <w:jc w:val="center"/>
              <w:textAlignment w:val="baseline"/>
              <w:rPr>
                <w:kern w:val="0"/>
                <w:szCs w:val="21"/>
              </w:rPr>
            </w:pPr>
            <w:r>
              <w:rPr>
                <w:rFonts w:hint="eastAsia"/>
                <w:kern w:val="0"/>
                <w:szCs w:val="21"/>
              </w:rPr>
              <w:t>相符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vAlign w:val="center"/>
          </w:tcPr>
          <w:p>
            <w:pPr>
              <w:contextualSpacing/>
              <w:jc w:val="center"/>
              <w:textAlignment w:val="baseline"/>
              <w:rPr>
                <w:kern w:val="0"/>
                <w:szCs w:val="21"/>
              </w:rPr>
            </w:pPr>
            <w:r>
              <w:rPr>
                <w:rFonts w:hint="eastAsia"/>
                <w:kern w:val="0"/>
                <w:szCs w:val="21"/>
              </w:rPr>
              <w:t>建设性质</w:t>
            </w:r>
          </w:p>
        </w:tc>
        <w:tc>
          <w:tcPr>
            <w:tcW w:w="1547" w:type="pct"/>
            <w:vAlign w:val="center"/>
          </w:tcPr>
          <w:p>
            <w:pPr>
              <w:contextualSpacing/>
              <w:jc w:val="center"/>
              <w:textAlignment w:val="baseline"/>
              <w:rPr>
                <w:kern w:val="0"/>
                <w:szCs w:val="21"/>
              </w:rPr>
            </w:pPr>
            <w:r>
              <w:rPr>
                <w:rFonts w:hint="eastAsia"/>
                <w:kern w:val="0"/>
                <w:szCs w:val="21"/>
              </w:rPr>
              <w:t>新建</w:t>
            </w:r>
          </w:p>
        </w:tc>
        <w:tc>
          <w:tcPr>
            <w:tcW w:w="2259" w:type="pct"/>
            <w:vAlign w:val="center"/>
          </w:tcPr>
          <w:p>
            <w:pPr>
              <w:contextualSpacing/>
              <w:jc w:val="center"/>
              <w:textAlignment w:val="baseline"/>
              <w:rPr>
                <w:kern w:val="0"/>
                <w:szCs w:val="21"/>
              </w:rPr>
            </w:pPr>
            <w:r>
              <w:rPr>
                <w:rFonts w:hint="eastAsia"/>
                <w:kern w:val="0"/>
                <w:szCs w:val="21"/>
              </w:rPr>
              <w:t>新建</w:t>
            </w:r>
          </w:p>
        </w:tc>
        <w:tc>
          <w:tcPr>
            <w:tcW w:w="547" w:type="pct"/>
            <w:vAlign w:val="center"/>
          </w:tcPr>
          <w:p>
            <w:pPr>
              <w:contextualSpacing/>
              <w:jc w:val="center"/>
              <w:textAlignment w:val="baseline"/>
              <w:rPr>
                <w:kern w:val="0"/>
                <w:szCs w:val="21"/>
              </w:rPr>
            </w:pPr>
            <w:r>
              <w:rPr>
                <w:rFonts w:hint="eastAsia"/>
                <w:kern w:val="0"/>
                <w:szCs w:val="21"/>
              </w:rPr>
              <w:t>相符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647" w:type="pct"/>
            <w:vAlign w:val="center"/>
          </w:tcPr>
          <w:p>
            <w:pPr>
              <w:contextualSpacing/>
              <w:jc w:val="center"/>
              <w:textAlignment w:val="baseline"/>
              <w:rPr>
                <w:kern w:val="0"/>
                <w:szCs w:val="21"/>
              </w:rPr>
            </w:pPr>
            <w:r>
              <w:rPr>
                <w:rFonts w:hint="eastAsia"/>
                <w:kern w:val="0"/>
                <w:szCs w:val="21"/>
              </w:rPr>
              <w:t>建设内容及规模</w:t>
            </w:r>
          </w:p>
        </w:tc>
        <w:tc>
          <w:tcPr>
            <w:tcW w:w="1547" w:type="pct"/>
            <w:vAlign w:val="center"/>
          </w:tcPr>
          <w:p>
            <w:pPr>
              <w:contextualSpacing/>
              <w:jc w:val="center"/>
              <w:textAlignment w:val="baseline"/>
              <w:rPr>
                <w:kern w:val="0"/>
                <w:szCs w:val="21"/>
              </w:rPr>
            </w:pPr>
            <w:r>
              <w:rPr>
                <w:rFonts w:hint="eastAsia"/>
                <w:kern w:val="0"/>
                <w:szCs w:val="21"/>
              </w:rPr>
              <w:t>车间厂房、污水处理站、锅炉房等</w:t>
            </w:r>
          </w:p>
        </w:tc>
        <w:tc>
          <w:tcPr>
            <w:tcW w:w="2259" w:type="pct"/>
            <w:vAlign w:val="center"/>
          </w:tcPr>
          <w:p>
            <w:pPr>
              <w:contextualSpacing/>
              <w:jc w:val="center"/>
              <w:textAlignment w:val="baseline"/>
              <w:rPr>
                <w:kern w:val="0"/>
                <w:szCs w:val="21"/>
              </w:rPr>
            </w:pPr>
            <w:r>
              <w:rPr>
                <w:rFonts w:hint="eastAsia"/>
                <w:kern w:val="0"/>
                <w:szCs w:val="21"/>
              </w:rPr>
              <w:t>车间厂房1</w:t>
            </w:r>
            <w:r>
              <w:rPr>
                <w:kern w:val="0"/>
                <w:szCs w:val="21"/>
              </w:rPr>
              <w:t>9</w:t>
            </w:r>
            <w:r>
              <w:rPr>
                <w:rFonts w:hint="eastAsia"/>
                <w:kern w:val="0"/>
                <w:szCs w:val="21"/>
              </w:rPr>
              <w:t>座、污水处理站1座（2</w:t>
            </w:r>
            <w:r>
              <w:rPr>
                <w:kern w:val="0"/>
                <w:szCs w:val="21"/>
              </w:rPr>
              <w:t>000m</w:t>
            </w:r>
            <w:r>
              <w:rPr>
                <w:kern w:val="0"/>
                <w:szCs w:val="21"/>
                <w:vertAlign w:val="superscript"/>
              </w:rPr>
              <w:t>3</w:t>
            </w:r>
            <w:r>
              <w:rPr>
                <w:kern w:val="0"/>
                <w:szCs w:val="21"/>
              </w:rPr>
              <w:t>/d</w:t>
            </w:r>
            <w:r>
              <w:rPr>
                <w:rFonts w:hint="eastAsia"/>
                <w:kern w:val="0"/>
                <w:szCs w:val="21"/>
              </w:rPr>
              <w:t>）</w:t>
            </w:r>
          </w:p>
        </w:tc>
        <w:tc>
          <w:tcPr>
            <w:tcW w:w="547" w:type="pct"/>
            <w:vAlign w:val="center"/>
          </w:tcPr>
          <w:p>
            <w:pPr>
              <w:contextualSpacing/>
              <w:jc w:val="center"/>
              <w:textAlignment w:val="baseline"/>
              <w:rPr>
                <w:kern w:val="0"/>
                <w:szCs w:val="21"/>
              </w:rPr>
            </w:pPr>
            <w:r>
              <w:rPr>
                <w:rFonts w:hint="eastAsia"/>
                <w:kern w:val="0"/>
                <w:szCs w:val="21"/>
              </w:rPr>
              <w:t>锅炉房不再建设</w:t>
            </w:r>
          </w:p>
        </w:tc>
      </w:tr>
    </w:tbl>
    <w:p>
      <w:pPr>
        <w:spacing w:line="520" w:lineRule="exact"/>
        <w:ind w:firstLine="420" w:firstLineChars="200"/>
        <w:rPr>
          <w:rFonts w:ascii="Calibri" w:hAnsi="Calibri"/>
        </w:rPr>
      </w:pPr>
      <w:r>
        <w:rPr>
          <w:rFonts w:hint="eastAsia" w:ascii="Calibri" w:hAnsi="Calibri"/>
        </w:rPr>
        <w:t>由上表可知，本项目建设与备案情况一致。</w:t>
      </w:r>
    </w:p>
    <w:p>
      <w:pPr>
        <w:keepNext/>
        <w:keepLines/>
        <w:spacing w:line="520" w:lineRule="exact"/>
        <w:outlineLvl w:val="2"/>
        <w:rPr>
          <w:rFonts w:eastAsia="黑体"/>
          <w:bCs/>
          <w:sz w:val="28"/>
          <w:szCs w:val="28"/>
        </w:rPr>
      </w:pPr>
      <w:r>
        <w:rPr>
          <w:rFonts w:eastAsia="黑体"/>
          <w:bCs/>
          <w:sz w:val="28"/>
          <w:szCs w:val="28"/>
        </w:rPr>
        <w:t>2.9.4 与《新乡市生态环境局关于安装工业企业视频监控系统的通知》的对比分析</w:t>
      </w:r>
    </w:p>
    <w:p>
      <w:pPr>
        <w:spacing w:line="520" w:lineRule="exact"/>
        <w:ind w:firstLine="480" w:firstLineChars="200"/>
        <w:jc w:val="left"/>
        <w:rPr>
          <w:sz w:val="24"/>
        </w:rPr>
      </w:pPr>
      <w:r>
        <w:rPr>
          <w:sz w:val="24"/>
        </w:rPr>
        <w:t>本项目与《新乡市生态环境局关于安装工业企业视频监控系统的通知》（以下简称《通知》）对照分析见下表。</w:t>
      </w:r>
    </w:p>
    <w:p>
      <w:pPr>
        <w:spacing w:before="120" w:beforeLines="50" w:line="360" w:lineRule="auto"/>
        <w:ind w:firstLine="480" w:firstLineChars="200"/>
        <w:rPr>
          <w:rFonts w:eastAsia="黑体"/>
          <w:sz w:val="24"/>
          <w:szCs w:val="24"/>
        </w:rPr>
      </w:pPr>
      <w:r>
        <w:rPr>
          <w:rFonts w:eastAsia="黑体"/>
          <w:sz w:val="24"/>
          <w:szCs w:val="24"/>
        </w:rPr>
        <w:t>表2.9-</w:t>
      </w:r>
      <w:r>
        <w:rPr>
          <w:rFonts w:hint="eastAsia" w:eastAsia="黑体"/>
          <w:sz w:val="24"/>
          <w:szCs w:val="24"/>
        </w:rPr>
        <w:t>2</w:t>
      </w:r>
      <w:r>
        <w:rPr>
          <w:rFonts w:eastAsia="黑体"/>
          <w:sz w:val="24"/>
          <w:szCs w:val="24"/>
        </w:rPr>
        <w:t xml:space="preserve">            与《通知》对比分析一览表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327"/>
        <w:gridCol w:w="3668"/>
        <w:gridCol w:w="9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25" w:type="dxa"/>
            <w:vAlign w:val="center"/>
          </w:tcPr>
          <w:p>
            <w:pPr>
              <w:jc w:val="center"/>
              <w:rPr>
                <w:b/>
                <w:szCs w:val="20"/>
              </w:rPr>
            </w:pPr>
            <w:r>
              <w:rPr>
                <w:b/>
                <w:szCs w:val="20"/>
              </w:rPr>
              <w:t>《通知》中与本项目有关的内容</w:t>
            </w:r>
          </w:p>
        </w:tc>
        <w:tc>
          <w:tcPr>
            <w:tcW w:w="3496" w:type="dxa"/>
            <w:vAlign w:val="center"/>
          </w:tcPr>
          <w:p>
            <w:pPr>
              <w:jc w:val="center"/>
              <w:rPr>
                <w:b/>
                <w:szCs w:val="20"/>
              </w:rPr>
            </w:pPr>
            <w:r>
              <w:rPr>
                <w:b/>
                <w:szCs w:val="20"/>
              </w:rPr>
              <w:t>本项目情况</w:t>
            </w:r>
          </w:p>
        </w:tc>
        <w:tc>
          <w:tcPr>
            <w:tcW w:w="908" w:type="dxa"/>
            <w:vAlign w:val="center"/>
          </w:tcPr>
          <w:p>
            <w:pPr>
              <w:jc w:val="center"/>
              <w:rPr>
                <w:b/>
                <w:szCs w:val="20"/>
              </w:rPr>
            </w:pPr>
            <w:r>
              <w:rPr>
                <w:b/>
                <w:szCs w:val="20"/>
              </w:rPr>
              <w:t>相符性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25" w:type="dxa"/>
            <w:vAlign w:val="center"/>
          </w:tcPr>
          <w:p>
            <w:pPr>
              <w:contextualSpacing/>
              <w:textAlignment w:val="baseline"/>
              <w:rPr>
                <w:kern w:val="0"/>
                <w:szCs w:val="21"/>
              </w:rPr>
            </w:pPr>
            <w:r>
              <w:rPr>
                <w:bCs/>
                <w:kern w:val="0"/>
                <w:szCs w:val="21"/>
              </w:rPr>
              <w:t>2020年10月底前，新乡市辖区内工业企业要完成主要污染物排放口、监测取样处等重点部位视频监控设施建设，并与市局联网共享，视频监控数据保存三个月</w:t>
            </w:r>
            <w:r>
              <w:rPr>
                <w:kern w:val="0"/>
                <w:szCs w:val="21"/>
              </w:rPr>
              <w:t>。</w:t>
            </w:r>
          </w:p>
        </w:tc>
        <w:tc>
          <w:tcPr>
            <w:tcW w:w="3496" w:type="dxa"/>
            <w:vAlign w:val="center"/>
          </w:tcPr>
          <w:p>
            <w:pPr>
              <w:contextualSpacing/>
              <w:textAlignment w:val="baseline"/>
              <w:rPr>
                <w:kern w:val="0"/>
                <w:szCs w:val="21"/>
              </w:rPr>
            </w:pPr>
            <w:r>
              <w:rPr>
                <w:kern w:val="0"/>
                <w:szCs w:val="21"/>
              </w:rPr>
              <w:t>本项目建成后</w:t>
            </w:r>
            <w:r>
              <w:rPr>
                <w:bCs/>
                <w:kern w:val="0"/>
                <w:szCs w:val="21"/>
              </w:rPr>
              <w:t>在主要污染物排放口、监测取样处等重点部位处安装视频监控，并与市局联网共享，视频监控数据保存三个月</w:t>
            </w:r>
            <w:r>
              <w:rPr>
                <w:kern w:val="0"/>
                <w:szCs w:val="21"/>
              </w:rPr>
              <w:t>。</w:t>
            </w:r>
          </w:p>
        </w:tc>
        <w:tc>
          <w:tcPr>
            <w:tcW w:w="908" w:type="dxa"/>
            <w:vAlign w:val="center"/>
          </w:tcPr>
          <w:p>
            <w:pPr>
              <w:contextualSpacing/>
              <w:jc w:val="center"/>
              <w:textAlignment w:val="baseline"/>
              <w:rPr>
                <w:kern w:val="0"/>
                <w:szCs w:val="21"/>
              </w:rPr>
            </w:pPr>
            <w:r>
              <w:rPr>
                <w:kern w:val="0"/>
                <w:szCs w:val="21"/>
              </w:rPr>
              <w:t>符合</w:t>
            </w:r>
          </w:p>
        </w:tc>
      </w:tr>
    </w:tbl>
    <w:p>
      <w:pPr>
        <w:spacing w:line="520" w:lineRule="exact"/>
        <w:ind w:firstLine="480" w:firstLineChars="200"/>
        <w:jc w:val="left"/>
        <w:rPr>
          <w:sz w:val="24"/>
        </w:rPr>
      </w:pPr>
      <w:r>
        <w:rPr>
          <w:sz w:val="24"/>
        </w:rPr>
        <w:t>由上表可知，本项目满足《新乡市生态环境局关于安装工业企业视频监控系统的通知》的相关要求。</w:t>
      </w:r>
    </w:p>
    <w:p>
      <w:pPr>
        <w:keepNext/>
        <w:keepLines/>
        <w:spacing w:line="520" w:lineRule="exact"/>
        <w:outlineLvl w:val="2"/>
        <w:rPr>
          <w:rFonts w:eastAsia="黑体"/>
          <w:bCs/>
          <w:sz w:val="28"/>
          <w:szCs w:val="28"/>
        </w:rPr>
      </w:pPr>
      <w:r>
        <w:rPr>
          <w:rFonts w:eastAsia="黑体"/>
          <w:bCs/>
          <w:sz w:val="28"/>
          <w:szCs w:val="28"/>
        </w:rPr>
        <w:t>2.9.5 与《新乡市生态环境局关于部署安装工业企业用电量监控系统的通知》的对比分析</w:t>
      </w:r>
    </w:p>
    <w:p>
      <w:pPr>
        <w:spacing w:line="520" w:lineRule="exact"/>
        <w:ind w:firstLine="480" w:firstLineChars="200"/>
        <w:jc w:val="left"/>
        <w:rPr>
          <w:sz w:val="24"/>
        </w:rPr>
      </w:pPr>
      <w:r>
        <w:rPr>
          <w:sz w:val="24"/>
        </w:rPr>
        <w:t>本项目与《新乡市生态环境局关于部署安装工业企业用电量监控系统的通知》（新环[2019]154号）（以下简称新环[2019]154号文）的相关内容对比分析见下表。</w:t>
      </w:r>
    </w:p>
    <w:p>
      <w:pPr>
        <w:spacing w:before="120" w:beforeLines="50" w:line="360" w:lineRule="auto"/>
        <w:ind w:firstLine="480" w:firstLineChars="200"/>
        <w:rPr>
          <w:rFonts w:eastAsia="黑体"/>
          <w:sz w:val="24"/>
          <w:szCs w:val="24"/>
        </w:rPr>
      </w:pPr>
      <w:r>
        <w:rPr>
          <w:rFonts w:eastAsia="黑体"/>
          <w:sz w:val="24"/>
          <w:szCs w:val="24"/>
        </w:rPr>
        <w:t>表2.9-</w:t>
      </w:r>
      <w:r>
        <w:rPr>
          <w:rFonts w:hint="eastAsia" w:eastAsia="黑体"/>
          <w:sz w:val="24"/>
          <w:szCs w:val="24"/>
        </w:rPr>
        <w:t>3</w:t>
      </w:r>
      <w:r>
        <w:rPr>
          <w:rFonts w:eastAsia="黑体"/>
          <w:sz w:val="24"/>
          <w:szCs w:val="24"/>
        </w:rPr>
        <w:t xml:space="preserve">         与新环[2019]154号文的对照分析</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59"/>
        <w:gridCol w:w="3627"/>
        <w:gridCol w:w="3226"/>
        <w:gridCol w:w="93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dxa"/>
            <w:vAlign w:val="center"/>
          </w:tcPr>
          <w:p>
            <w:pPr>
              <w:jc w:val="center"/>
              <w:rPr>
                <w:b/>
                <w:szCs w:val="20"/>
              </w:rPr>
            </w:pPr>
            <w:r>
              <w:rPr>
                <w:b/>
                <w:szCs w:val="20"/>
              </w:rPr>
              <w:t>主要任务</w:t>
            </w:r>
          </w:p>
        </w:tc>
        <w:tc>
          <w:tcPr>
            <w:tcW w:w="3631" w:type="dxa"/>
            <w:vAlign w:val="center"/>
          </w:tcPr>
          <w:p>
            <w:pPr>
              <w:jc w:val="center"/>
              <w:rPr>
                <w:b/>
                <w:szCs w:val="20"/>
              </w:rPr>
            </w:pPr>
            <w:r>
              <w:rPr>
                <w:b/>
                <w:szCs w:val="20"/>
              </w:rPr>
              <w:t>与本项目相关条文</w:t>
            </w:r>
          </w:p>
        </w:tc>
        <w:tc>
          <w:tcPr>
            <w:tcW w:w="3229" w:type="dxa"/>
            <w:vAlign w:val="center"/>
          </w:tcPr>
          <w:p>
            <w:pPr>
              <w:jc w:val="center"/>
              <w:rPr>
                <w:b/>
                <w:szCs w:val="20"/>
              </w:rPr>
            </w:pPr>
            <w:r>
              <w:rPr>
                <w:b/>
                <w:szCs w:val="20"/>
              </w:rPr>
              <w:t>本项目情况</w:t>
            </w:r>
          </w:p>
        </w:tc>
        <w:tc>
          <w:tcPr>
            <w:tcW w:w="931" w:type="dxa"/>
            <w:vAlign w:val="center"/>
          </w:tcPr>
          <w:p>
            <w:pPr>
              <w:jc w:val="center"/>
              <w:rPr>
                <w:b/>
                <w:szCs w:val="20"/>
              </w:rPr>
            </w:pPr>
            <w:r>
              <w:rPr>
                <w:b/>
                <w:szCs w:val="20"/>
              </w:rPr>
              <w:t>相符性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dxa"/>
            <w:vMerge w:val="restart"/>
            <w:vAlign w:val="center"/>
          </w:tcPr>
          <w:p>
            <w:pPr>
              <w:contextualSpacing/>
              <w:jc w:val="center"/>
              <w:textAlignment w:val="baseline"/>
              <w:rPr>
                <w:szCs w:val="21"/>
              </w:rPr>
            </w:pPr>
            <w:r>
              <w:rPr>
                <w:kern w:val="0"/>
                <w:szCs w:val="21"/>
              </w:rPr>
              <w:t>安装范围</w:t>
            </w:r>
          </w:p>
        </w:tc>
        <w:tc>
          <w:tcPr>
            <w:tcW w:w="3631" w:type="dxa"/>
            <w:vAlign w:val="center"/>
          </w:tcPr>
          <w:p>
            <w:pPr>
              <w:contextualSpacing/>
              <w:textAlignment w:val="baseline"/>
              <w:rPr>
                <w:szCs w:val="21"/>
              </w:rPr>
            </w:pPr>
            <w:r>
              <w:rPr>
                <w:kern w:val="0"/>
                <w:szCs w:val="21"/>
              </w:rPr>
              <w:t>第一批安装部署用电量监控系统的企业为新乡市辖区内国控、省控、市控重点监控企业、涉及VOCs污染排放的企业、铸造行业、建材行业，然后逐步扩展至新乡市辖区内所有排污企业。</w:t>
            </w:r>
          </w:p>
        </w:tc>
        <w:tc>
          <w:tcPr>
            <w:tcW w:w="3229" w:type="dxa"/>
            <w:vAlign w:val="center"/>
          </w:tcPr>
          <w:p>
            <w:pPr>
              <w:contextualSpacing/>
              <w:textAlignment w:val="baseline"/>
              <w:rPr>
                <w:szCs w:val="21"/>
              </w:rPr>
            </w:pPr>
            <w:r>
              <w:rPr>
                <w:kern w:val="0"/>
                <w:szCs w:val="21"/>
              </w:rPr>
              <w:t>本项目属于排污企业，属于安装范围内的企业。</w:t>
            </w:r>
          </w:p>
        </w:tc>
        <w:tc>
          <w:tcPr>
            <w:tcW w:w="931" w:type="dxa"/>
            <w:vAlign w:val="center"/>
          </w:tcPr>
          <w:p>
            <w:pPr>
              <w:contextualSpacing/>
              <w:jc w:val="center"/>
              <w:textAlignment w:val="baseline"/>
              <w:rPr>
                <w:szCs w:val="21"/>
              </w:rPr>
            </w:pPr>
            <w:r>
              <w:rPr>
                <w:kern w:val="0"/>
                <w:szCs w:val="21"/>
              </w:rPr>
              <w:t>属于</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dxa"/>
            <w:vMerge w:val="continue"/>
            <w:vAlign w:val="center"/>
          </w:tcPr>
          <w:p>
            <w:pPr>
              <w:contextualSpacing/>
              <w:jc w:val="center"/>
              <w:textAlignment w:val="baseline"/>
              <w:rPr>
                <w:szCs w:val="21"/>
              </w:rPr>
            </w:pPr>
          </w:p>
        </w:tc>
        <w:tc>
          <w:tcPr>
            <w:tcW w:w="3631" w:type="dxa"/>
            <w:vAlign w:val="center"/>
          </w:tcPr>
          <w:p>
            <w:pPr>
              <w:contextualSpacing/>
              <w:textAlignment w:val="baseline"/>
              <w:rPr>
                <w:szCs w:val="21"/>
              </w:rPr>
            </w:pPr>
            <w:r>
              <w:rPr>
                <w:kern w:val="0"/>
                <w:szCs w:val="21"/>
              </w:rPr>
              <w:t>所有排污企业的总用电控制位置、主要生产设施和污染治理设施必须安装用电量监控系统终端。</w:t>
            </w:r>
          </w:p>
        </w:tc>
        <w:tc>
          <w:tcPr>
            <w:tcW w:w="3229" w:type="dxa"/>
            <w:vAlign w:val="center"/>
          </w:tcPr>
          <w:p>
            <w:pPr>
              <w:contextualSpacing/>
              <w:textAlignment w:val="baseline"/>
              <w:rPr>
                <w:szCs w:val="21"/>
              </w:rPr>
            </w:pPr>
            <w:r>
              <w:rPr>
                <w:kern w:val="0"/>
                <w:szCs w:val="21"/>
              </w:rPr>
              <w:t>本项目严格按照要求在总用电位置、主要生产设施处、污染治理设施处安装用电量监控系统终端。</w:t>
            </w:r>
          </w:p>
        </w:tc>
        <w:tc>
          <w:tcPr>
            <w:tcW w:w="931" w:type="dxa"/>
            <w:vAlign w:val="center"/>
          </w:tcPr>
          <w:p>
            <w:pPr>
              <w:contextualSpacing/>
              <w:jc w:val="center"/>
              <w:textAlignment w:val="baseline"/>
              <w:rPr>
                <w:szCs w:val="21"/>
              </w:rPr>
            </w:pPr>
            <w:r>
              <w:rPr>
                <w:kern w:val="0"/>
                <w:szCs w:val="21"/>
              </w:rPr>
              <w:t>符合</w:t>
            </w:r>
          </w:p>
        </w:tc>
      </w:tr>
    </w:tbl>
    <w:p>
      <w:pPr>
        <w:spacing w:line="520" w:lineRule="exact"/>
        <w:ind w:firstLine="480" w:firstLineChars="200"/>
        <w:jc w:val="left"/>
        <w:rPr>
          <w:sz w:val="24"/>
        </w:rPr>
      </w:pPr>
      <w:r>
        <w:rPr>
          <w:sz w:val="24"/>
        </w:rPr>
        <w:t>由上表可知，本项目满足《新乡市生态环境局关于部署安装工业企业用电量监控系统的通知》（新环[2019]154号）的相关要求。</w:t>
      </w:r>
    </w:p>
    <w:p>
      <w:pPr>
        <w:keepNext/>
        <w:keepLines/>
        <w:spacing w:line="520" w:lineRule="exact"/>
        <w:outlineLvl w:val="2"/>
        <w:rPr>
          <w:rFonts w:eastAsia="黑体"/>
          <w:bCs/>
          <w:sz w:val="28"/>
          <w:szCs w:val="28"/>
        </w:rPr>
      </w:pPr>
      <w:r>
        <w:rPr>
          <w:rFonts w:eastAsia="黑体"/>
          <w:bCs/>
          <w:sz w:val="28"/>
          <w:szCs w:val="28"/>
        </w:rPr>
        <w:t>2.9.6 与</w:t>
      </w:r>
      <w:r>
        <w:rPr>
          <w:rFonts w:hint="eastAsia" w:eastAsia="黑体"/>
          <w:bCs/>
          <w:sz w:val="28"/>
          <w:szCs w:val="28"/>
        </w:rPr>
        <w:t>《新乡市环境污染防治攻坚指挥部办公室关于印发&lt;新乡市深入打好秋冬重污染天气消除、夏季臭氧污染防治和柴油货车污染治理攻坚战实施方案&gt;的通知》（新环攻坚办</w:t>
      </w:r>
      <w:r>
        <w:rPr>
          <w:rFonts w:eastAsia="黑体"/>
          <w:bCs/>
          <w:sz w:val="28"/>
          <w:szCs w:val="28"/>
        </w:rPr>
        <w:t>〔2023〕73号</w:t>
      </w:r>
      <w:r>
        <w:rPr>
          <w:rFonts w:hint="eastAsia" w:eastAsia="黑体"/>
          <w:bCs/>
          <w:sz w:val="28"/>
          <w:szCs w:val="28"/>
        </w:rPr>
        <w:t>）</w:t>
      </w:r>
      <w:r>
        <w:rPr>
          <w:rFonts w:eastAsia="黑体"/>
          <w:bCs/>
          <w:sz w:val="28"/>
          <w:szCs w:val="28"/>
        </w:rPr>
        <w:t>的对照分析</w:t>
      </w:r>
    </w:p>
    <w:p>
      <w:pPr>
        <w:spacing w:before="120" w:beforeLines="50" w:line="360" w:lineRule="auto"/>
        <w:ind w:firstLine="480" w:firstLineChars="200"/>
        <w:rPr>
          <w:rFonts w:eastAsia="黑体"/>
          <w:sz w:val="24"/>
          <w:szCs w:val="24"/>
        </w:rPr>
      </w:pPr>
      <w:r>
        <w:rPr>
          <w:rFonts w:eastAsia="黑体"/>
          <w:sz w:val="24"/>
          <w:szCs w:val="24"/>
        </w:rPr>
        <w:t>表2.9-</w:t>
      </w:r>
      <w:r>
        <w:rPr>
          <w:rFonts w:hint="eastAsia" w:eastAsia="黑体"/>
          <w:sz w:val="24"/>
          <w:szCs w:val="24"/>
        </w:rPr>
        <w:t>4</w:t>
      </w:r>
      <w:r>
        <w:rPr>
          <w:rFonts w:eastAsia="黑体"/>
          <w:sz w:val="24"/>
          <w:szCs w:val="24"/>
        </w:rPr>
        <w:t xml:space="preserve">            与《通知》对比分析一览表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632"/>
        <w:gridCol w:w="2358"/>
        <w:gridCol w:w="95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37" w:type="dxa"/>
            <w:vAlign w:val="center"/>
          </w:tcPr>
          <w:p>
            <w:pPr>
              <w:jc w:val="center"/>
              <w:rPr>
                <w:b/>
                <w:szCs w:val="20"/>
              </w:rPr>
            </w:pPr>
            <w:r>
              <w:rPr>
                <w:b/>
                <w:szCs w:val="20"/>
              </w:rPr>
              <w:t>《通知》中与本项目有关的内容</w:t>
            </w:r>
          </w:p>
        </w:tc>
        <w:tc>
          <w:tcPr>
            <w:tcW w:w="2357" w:type="dxa"/>
            <w:vAlign w:val="center"/>
          </w:tcPr>
          <w:p>
            <w:pPr>
              <w:jc w:val="center"/>
              <w:rPr>
                <w:b/>
                <w:szCs w:val="20"/>
              </w:rPr>
            </w:pPr>
            <w:r>
              <w:rPr>
                <w:b/>
                <w:szCs w:val="20"/>
              </w:rPr>
              <w:t>本项目情况</w:t>
            </w:r>
          </w:p>
        </w:tc>
        <w:tc>
          <w:tcPr>
            <w:tcW w:w="952" w:type="dxa"/>
            <w:vAlign w:val="center"/>
          </w:tcPr>
          <w:p>
            <w:pPr>
              <w:jc w:val="center"/>
              <w:rPr>
                <w:b/>
                <w:szCs w:val="20"/>
              </w:rPr>
            </w:pPr>
            <w:r>
              <w:rPr>
                <w:b/>
                <w:szCs w:val="20"/>
              </w:rPr>
              <w:t>相符性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37" w:type="dxa"/>
            <w:vAlign w:val="center"/>
          </w:tcPr>
          <w:p>
            <w:pPr>
              <w:contextualSpacing/>
              <w:textAlignment w:val="baseline"/>
              <w:rPr>
                <w:kern w:val="0"/>
                <w:szCs w:val="21"/>
              </w:rPr>
            </w:pPr>
            <w:r>
              <w:rPr>
                <w:rFonts w:hint="eastAsia"/>
                <w:kern w:val="0"/>
                <w:szCs w:val="21"/>
              </w:rPr>
              <w:t>遏制“两高”项目盲目发展。严格落实国家、省产业规划、产业政策、“三线一单”、规划环评，以及产能置换、煤炭消费减量替代、区域污染物削减等要求，严把高耗能、高排放、低水平项目准入关口。全市禁止新增钢铁、电解铝、氧化铝、水泥熟料平板玻璃(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A级绩效水平，改建项目污染物排放限值、污染治理措施、无组织排放控制水平、运输方式等达到B级以上绩效水平。新建、改建、扩建项目大宗货物年货运量150万吨及以上的，原则上要接入铁路专用线或管道：具有铁路专用线的，大宗货物铁路运输比例应达到80%以上。</w:t>
            </w:r>
          </w:p>
        </w:tc>
        <w:tc>
          <w:tcPr>
            <w:tcW w:w="2357" w:type="dxa"/>
            <w:vAlign w:val="center"/>
          </w:tcPr>
          <w:p>
            <w:pPr>
              <w:contextualSpacing/>
              <w:textAlignment w:val="baseline"/>
              <w:rPr>
                <w:kern w:val="0"/>
                <w:szCs w:val="21"/>
              </w:rPr>
            </w:pPr>
            <w:r>
              <w:rPr>
                <w:snapToGrid w:val="0"/>
                <w:szCs w:val="21"/>
              </w:rPr>
              <w:t>项目属于</w:t>
            </w:r>
            <w:r>
              <w:rPr>
                <w:rFonts w:hint="eastAsia"/>
                <w:bCs/>
                <w:snapToGrid w:val="0"/>
                <w:szCs w:val="21"/>
              </w:rPr>
              <w:t>房地产业、水的生产和供应业</w:t>
            </w:r>
            <w:r>
              <w:rPr>
                <w:snapToGrid w:val="0"/>
                <w:szCs w:val="21"/>
              </w:rPr>
              <w:t>，符合</w:t>
            </w:r>
            <w:r>
              <w:rPr>
                <w:kern w:val="0"/>
                <w:szCs w:val="21"/>
              </w:rPr>
              <w:t>国家</w:t>
            </w:r>
            <w:r>
              <w:rPr>
                <w:rFonts w:hint="eastAsia"/>
                <w:kern w:val="0"/>
                <w:szCs w:val="21"/>
              </w:rPr>
              <w:t>、省</w:t>
            </w:r>
            <w:r>
              <w:rPr>
                <w:kern w:val="0"/>
                <w:szCs w:val="21"/>
              </w:rPr>
              <w:t>产业规划、产业政策、“三线一单”</w:t>
            </w:r>
            <w:r>
              <w:rPr>
                <w:rFonts w:hint="eastAsia"/>
                <w:kern w:val="0"/>
                <w:szCs w:val="21"/>
              </w:rPr>
              <w:t>、规划环评以及区域污染物削减等要求。</w:t>
            </w:r>
            <w:r>
              <w:rPr>
                <w:kern w:val="0"/>
                <w:szCs w:val="21"/>
              </w:rPr>
              <w:t>项目不属于</w:t>
            </w:r>
            <w:r>
              <w:rPr>
                <w:rFonts w:hint="eastAsia"/>
                <w:kern w:val="0"/>
                <w:szCs w:val="21"/>
              </w:rPr>
              <w:t>钢铁、电解铝、氧化铝、水泥熟料平板玻璃(光伏压延玻璃除外)、煤化工、焦化、铝用炭素、含烧结工序的耐火材料和砖瓦制品等行业。项目不属于</w:t>
            </w:r>
            <w:r>
              <w:rPr>
                <w:rFonts w:hint="eastAsia"/>
                <w:bCs/>
                <w:color w:val="000000"/>
                <w:kern w:val="0"/>
                <w:szCs w:val="21"/>
              </w:rPr>
              <w:t>重点行业企业。</w:t>
            </w:r>
          </w:p>
        </w:tc>
        <w:tc>
          <w:tcPr>
            <w:tcW w:w="952" w:type="dxa"/>
            <w:vAlign w:val="center"/>
          </w:tcPr>
          <w:p>
            <w:pPr>
              <w:contextualSpacing/>
              <w:jc w:val="center"/>
              <w:textAlignment w:val="baseline"/>
              <w:rPr>
                <w:kern w:val="0"/>
                <w:szCs w:val="21"/>
              </w:rPr>
            </w:pPr>
            <w:r>
              <w:rPr>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37" w:type="dxa"/>
            <w:vAlign w:val="center"/>
          </w:tcPr>
          <w:p>
            <w:pPr>
              <w:contextualSpacing/>
              <w:textAlignment w:val="baseline"/>
              <w:rPr>
                <w:kern w:val="0"/>
                <w:szCs w:val="21"/>
              </w:rPr>
            </w:pPr>
            <w:r>
              <w:rPr>
                <w:rFonts w:hint="eastAsia"/>
                <w:kern w:val="0"/>
                <w:szCs w:val="21"/>
              </w:rPr>
              <w:t>提升污染源监测监控能力。全面落实排污许可发证单位自行监测及信息公开制度，持续推进污染源自动监控设施建设。大气环境重点排污单位、排污许可证载明实施自动监测的排污单位应依法安装自动监控设施，并与生态环境部门联网和规范稳定运行。根据空气质量改善需要，必要时可酌情扩大自动监控设施安装联网范围和增加监测因子，并将自动监测要求载入排污许可证。大力推进涉气排污单位自动监控设施数据采集传输系统升级改造，确保监控数据传输稳定性和准确性。持续推进用电量监控视频监控能力提升，强化生产状况、污染治理设施运行情况和污染排放联合监控。加强电力、水泥等重点行业氨逃逸监测监管。</w:t>
            </w:r>
          </w:p>
        </w:tc>
        <w:tc>
          <w:tcPr>
            <w:tcW w:w="2357" w:type="dxa"/>
            <w:vAlign w:val="center"/>
          </w:tcPr>
          <w:p>
            <w:pPr>
              <w:contextualSpacing/>
              <w:textAlignment w:val="baseline"/>
              <w:rPr>
                <w:snapToGrid w:val="0"/>
                <w:szCs w:val="21"/>
              </w:rPr>
            </w:pPr>
            <w:r>
              <w:rPr>
                <w:rFonts w:hint="eastAsia"/>
                <w:snapToGrid w:val="0"/>
                <w:szCs w:val="21"/>
              </w:rPr>
              <w:t>本项目按照生态环境部门要求安装废气自动监控设施</w:t>
            </w:r>
            <w:r>
              <w:rPr>
                <w:rFonts w:hint="eastAsia"/>
                <w:kern w:val="0"/>
                <w:szCs w:val="21"/>
              </w:rPr>
              <w:t>，并与生态环境部门联网和规范稳定运行。并按照要求安装用电量监控视频监控。</w:t>
            </w:r>
          </w:p>
        </w:tc>
        <w:tc>
          <w:tcPr>
            <w:tcW w:w="952" w:type="dxa"/>
            <w:vAlign w:val="center"/>
          </w:tcPr>
          <w:p>
            <w:pPr>
              <w:contextualSpacing/>
              <w:jc w:val="center"/>
              <w:textAlignment w:val="baseline"/>
              <w:rPr>
                <w:kern w:val="0"/>
                <w:szCs w:val="21"/>
              </w:rPr>
            </w:pPr>
            <w:r>
              <w:rPr>
                <w:rFonts w:hint="eastAsia"/>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37" w:type="dxa"/>
            <w:vAlign w:val="center"/>
          </w:tcPr>
          <w:p>
            <w:pPr>
              <w:contextualSpacing/>
              <w:textAlignment w:val="baseline"/>
              <w:rPr>
                <w:kern w:val="0"/>
                <w:szCs w:val="21"/>
              </w:rPr>
            </w:pPr>
            <w:r>
              <w:rPr>
                <w:rFonts w:hint="eastAsia"/>
                <w:kern w:val="0"/>
                <w:szCs w:val="21"/>
              </w:rPr>
              <w:t>推进重点行业超低排放改造。全市新改扩建(含搬迁)火电、水泥项目应达到超低排放水平。在全流程超低排放改造过程中改造周期较长的，优先推动NOx超低排放改造，对采用低效治理工艺的锅炉和工业炉窑进行升级改造，确保NOx稳定达标排放；全面加强水泥、平板玻璃、陶瓷等重点行业企业整治，大力推广高效脱硝治理技术。</w:t>
            </w:r>
          </w:p>
        </w:tc>
        <w:tc>
          <w:tcPr>
            <w:tcW w:w="2357" w:type="dxa"/>
            <w:vMerge w:val="restart"/>
            <w:vAlign w:val="center"/>
          </w:tcPr>
          <w:p>
            <w:pPr>
              <w:contextualSpacing/>
              <w:jc w:val="center"/>
              <w:textAlignment w:val="baseline"/>
              <w:rPr>
                <w:snapToGrid w:val="0"/>
                <w:szCs w:val="21"/>
              </w:rPr>
            </w:pPr>
            <w:r>
              <w:rPr>
                <w:rFonts w:hint="eastAsia"/>
                <w:snapToGrid w:val="0"/>
                <w:szCs w:val="21"/>
              </w:rPr>
              <w:t>本项目不涉及锅炉。</w:t>
            </w:r>
          </w:p>
        </w:tc>
        <w:tc>
          <w:tcPr>
            <w:tcW w:w="952" w:type="dxa"/>
            <w:vAlign w:val="center"/>
          </w:tcPr>
          <w:p>
            <w:pPr>
              <w:contextualSpacing/>
              <w:jc w:val="center"/>
              <w:textAlignment w:val="baseline"/>
              <w:rPr>
                <w:kern w:val="0"/>
                <w:szCs w:val="21"/>
              </w:rPr>
            </w:pPr>
            <w:r>
              <w:rPr>
                <w:rFonts w:hint="eastAsia"/>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37" w:type="dxa"/>
            <w:vAlign w:val="center"/>
          </w:tcPr>
          <w:p>
            <w:pPr>
              <w:contextualSpacing/>
              <w:textAlignment w:val="baseline"/>
              <w:rPr>
                <w:kern w:val="0"/>
                <w:szCs w:val="21"/>
              </w:rPr>
            </w:pPr>
            <w:r>
              <w:rPr>
                <w:rFonts w:hint="eastAsia"/>
                <w:kern w:val="0"/>
                <w:szCs w:val="21"/>
              </w:rPr>
              <w:t>实施工业锅炉和炉窑提标改造。巩固燃气锅炉低氮燃烧改造成果，加强低氮燃烧系统运行维护，确保NOx排放浓度稳定达标；取消燃气锅炉烟气再循环系统开关阀，确有必要保留的，可通过设置电动阀、气动阀或铅封等方式加强监管。生物质锅炉应配套袋式等高效除尘设施，NOx排放浓度无法稳定达标的应配备脱硝设施，禁止掺烧煤炭、垃圾、工业固体废物等其他物料。按照《河南省生活垃圾焚烧大气污染物排放标准》要求，开展生活垃圾焚烧烟气深度治理，推动垃圾运输、卸料、贮存等设施密闭式改造鼓励采用高效脱硝工艺，提升设施运行管理水平，确保污染物达标排放。</w:t>
            </w:r>
          </w:p>
        </w:tc>
        <w:tc>
          <w:tcPr>
            <w:tcW w:w="2357" w:type="dxa"/>
            <w:vMerge w:val="continue"/>
            <w:vAlign w:val="center"/>
          </w:tcPr>
          <w:p>
            <w:pPr>
              <w:contextualSpacing/>
              <w:textAlignment w:val="baseline"/>
              <w:rPr>
                <w:snapToGrid w:val="0"/>
                <w:szCs w:val="21"/>
              </w:rPr>
            </w:pPr>
          </w:p>
        </w:tc>
        <w:tc>
          <w:tcPr>
            <w:tcW w:w="952" w:type="dxa"/>
            <w:vAlign w:val="center"/>
          </w:tcPr>
          <w:p>
            <w:pPr>
              <w:contextualSpacing/>
              <w:jc w:val="center"/>
              <w:textAlignment w:val="baseline"/>
              <w:rPr>
                <w:kern w:val="0"/>
                <w:szCs w:val="21"/>
              </w:rPr>
            </w:pPr>
            <w:r>
              <w:rPr>
                <w:rFonts w:hint="eastAsia"/>
                <w:kern w:val="0"/>
                <w:szCs w:val="21"/>
              </w:rPr>
              <w:t>符合</w:t>
            </w:r>
          </w:p>
        </w:tc>
      </w:tr>
    </w:tbl>
    <w:p>
      <w:pPr>
        <w:spacing w:line="520" w:lineRule="exact"/>
        <w:ind w:firstLine="480" w:firstLineChars="200"/>
        <w:jc w:val="left"/>
        <w:rPr>
          <w:b/>
          <w:sz w:val="24"/>
          <w:highlight w:val="yellow"/>
          <w:u w:val="single"/>
        </w:rPr>
      </w:pPr>
      <w:r>
        <w:rPr>
          <w:sz w:val="24"/>
        </w:rPr>
        <w:t>由上表可知，本项目符合</w:t>
      </w:r>
      <w:r>
        <w:rPr>
          <w:rFonts w:hint="eastAsia"/>
          <w:sz w:val="24"/>
        </w:rPr>
        <w:t>《新乡市环境污染防治攻坚指挥部办公室关于印发&lt;新乡市深入打好秋冬重污染天气消除、夏季臭氧污染防治和柴油货车污染治理攻坚战实施方案&gt;的通知》（新环攻坚办</w:t>
      </w:r>
      <w:r>
        <w:rPr>
          <w:sz w:val="24"/>
        </w:rPr>
        <w:t>〔2023〕73号</w:t>
      </w:r>
      <w:r>
        <w:rPr>
          <w:rFonts w:hint="eastAsia"/>
          <w:sz w:val="24"/>
        </w:rPr>
        <w:t>）</w:t>
      </w:r>
      <w:r>
        <w:rPr>
          <w:sz w:val="24"/>
        </w:rPr>
        <w:t>相关要求</w:t>
      </w:r>
      <w:r>
        <w:rPr>
          <w:rFonts w:hint="eastAsia"/>
          <w:sz w:val="24"/>
        </w:rPr>
        <w:t>。</w:t>
      </w:r>
    </w:p>
    <w:p>
      <w:pPr>
        <w:keepNext/>
        <w:keepLines/>
        <w:spacing w:line="520" w:lineRule="exact"/>
        <w:outlineLvl w:val="2"/>
        <w:rPr>
          <w:rFonts w:eastAsia="黑体"/>
          <w:bCs/>
          <w:sz w:val="28"/>
          <w:szCs w:val="28"/>
        </w:rPr>
      </w:pPr>
      <w:r>
        <w:rPr>
          <w:rFonts w:eastAsia="黑体"/>
          <w:bCs/>
          <w:sz w:val="28"/>
          <w:szCs w:val="28"/>
        </w:rPr>
        <w:t>2.9.7 与</w:t>
      </w:r>
      <w:r>
        <w:rPr>
          <w:rFonts w:hint="eastAsia" w:eastAsia="黑体"/>
          <w:bCs/>
          <w:sz w:val="28"/>
          <w:szCs w:val="28"/>
        </w:rPr>
        <w:t>《新乡市环境污染防治攻坚指挥部办公室关于印发《新乡市2</w:t>
      </w:r>
      <w:r>
        <w:rPr>
          <w:rFonts w:eastAsia="黑体"/>
          <w:bCs/>
          <w:sz w:val="28"/>
          <w:szCs w:val="28"/>
        </w:rPr>
        <w:t>023年碧水保卫战</w:t>
      </w:r>
      <w:r>
        <w:rPr>
          <w:rFonts w:hint="eastAsia" w:eastAsia="黑体"/>
          <w:bCs/>
          <w:sz w:val="28"/>
          <w:szCs w:val="28"/>
        </w:rPr>
        <w:t>实施方案》的通知》（新环攻坚办</w:t>
      </w:r>
      <w:r>
        <w:rPr>
          <w:rFonts w:eastAsia="黑体"/>
          <w:bCs/>
          <w:sz w:val="28"/>
          <w:szCs w:val="28"/>
        </w:rPr>
        <w:t>〔2023〕66号</w:t>
      </w:r>
      <w:r>
        <w:rPr>
          <w:rFonts w:hint="eastAsia" w:eastAsia="黑体"/>
          <w:bCs/>
          <w:sz w:val="28"/>
          <w:szCs w:val="28"/>
        </w:rPr>
        <w:t>）</w:t>
      </w:r>
      <w:r>
        <w:rPr>
          <w:rFonts w:eastAsia="黑体"/>
          <w:bCs/>
          <w:sz w:val="28"/>
          <w:szCs w:val="28"/>
        </w:rPr>
        <w:t>的对照分析</w:t>
      </w:r>
    </w:p>
    <w:p>
      <w:pPr>
        <w:spacing w:before="120" w:beforeLines="50" w:line="360" w:lineRule="auto"/>
        <w:ind w:firstLine="480" w:firstLineChars="200"/>
        <w:rPr>
          <w:rFonts w:eastAsia="黑体"/>
          <w:sz w:val="24"/>
          <w:szCs w:val="24"/>
        </w:rPr>
      </w:pPr>
    </w:p>
    <w:p>
      <w:pPr>
        <w:spacing w:before="120" w:beforeLines="50" w:line="360" w:lineRule="auto"/>
        <w:ind w:firstLine="480" w:firstLineChars="200"/>
        <w:rPr>
          <w:rFonts w:eastAsia="黑体"/>
          <w:sz w:val="24"/>
          <w:szCs w:val="24"/>
        </w:rPr>
      </w:pPr>
      <w:r>
        <w:rPr>
          <w:rFonts w:eastAsia="黑体"/>
          <w:sz w:val="24"/>
          <w:szCs w:val="24"/>
        </w:rPr>
        <w:t>表2.9-</w:t>
      </w:r>
      <w:r>
        <w:rPr>
          <w:rFonts w:hint="eastAsia" w:eastAsia="黑体"/>
          <w:sz w:val="24"/>
          <w:szCs w:val="24"/>
        </w:rPr>
        <w:t>5</w:t>
      </w:r>
      <w:r>
        <w:rPr>
          <w:rFonts w:eastAsia="黑体"/>
          <w:sz w:val="24"/>
          <w:szCs w:val="24"/>
        </w:rPr>
        <w:t xml:space="preserve">            与《通知》对比分析一览表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490"/>
        <w:gridCol w:w="2500"/>
        <w:gridCol w:w="95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95" w:type="dxa"/>
            <w:vAlign w:val="center"/>
          </w:tcPr>
          <w:p>
            <w:pPr>
              <w:jc w:val="center"/>
              <w:rPr>
                <w:b/>
                <w:szCs w:val="20"/>
              </w:rPr>
            </w:pPr>
            <w:r>
              <w:rPr>
                <w:b/>
                <w:szCs w:val="20"/>
              </w:rPr>
              <w:t>《通知》中与本项目有关的内容</w:t>
            </w:r>
          </w:p>
        </w:tc>
        <w:tc>
          <w:tcPr>
            <w:tcW w:w="2499" w:type="dxa"/>
            <w:vAlign w:val="center"/>
          </w:tcPr>
          <w:p>
            <w:pPr>
              <w:jc w:val="center"/>
              <w:rPr>
                <w:b/>
                <w:szCs w:val="20"/>
              </w:rPr>
            </w:pPr>
            <w:r>
              <w:rPr>
                <w:b/>
                <w:szCs w:val="20"/>
              </w:rPr>
              <w:t>本项目情况</w:t>
            </w:r>
          </w:p>
        </w:tc>
        <w:tc>
          <w:tcPr>
            <w:tcW w:w="952" w:type="dxa"/>
            <w:vAlign w:val="center"/>
          </w:tcPr>
          <w:p>
            <w:pPr>
              <w:jc w:val="center"/>
              <w:rPr>
                <w:b/>
                <w:szCs w:val="20"/>
              </w:rPr>
            </w:pPr>
            <w:r>
              <w:rPr>
                <w:b/>
                <w:szCs w:val="20"/>
              </w:rPr>
              <w:t>相符性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95" w:type="dxa"/>
            <w:vAlign w:val="center"/>
          </w:tcPr>
          <w:p>
            <w:pPr>
              <w:contextualSpacing/>
              <w:textAlignment w:val="baseline"/>
              <w:rPr>
                <w:kern w:val="0"/>
                <w:szCs w:val="21"/>
              </w:rPr>
            </w:pPr>
            <w:r>
              <w:rPr>
                <w:kern w:val="0"/>
                <w:szCs w:val="21"/>
                <w:lang w:bidi="en-US"/>
              </w:rPr>
              <w:t>确保污泥安全处置利用。按照“减量化、稳定化、无害化、资源化”要求，全面排查污水处理厂污泥去向，依法查处取缔非法污泥堆放点，禁止重金属等污染物不达标的污泥用于土地利用，确保科学、合理、安全处置。鼓励采用“生物质利用+焚烧”等处置模式，推进垃圾焚烧发电厂、水泥窑、燃煤电厂等协同处置。2023年，新乡市日处理300吨污泥的水泥窑处理项目建成</w:t>
            </w:r>
            <w:r>
              <w:rPr>
                <w:rFonts w:hint="eastAsia"/>
                <w:kern w:val="0"/>
                <w:szCs w:val="21"/>
                <w:lang w:bidi="en-US"/>
              </w:rPr>
              <w:t>投运。</w:t>
            </w:r>
          </w:p>
        </w:tc>
        <w:tc>
          <w:tcPr>
            <w:tcW w:w="2499" w:type="dxa"/>
            <w:vAlign w:val="center"/>
          </w:tcPr>
          <w:p>
            <w:pPr>
              <w:contextualSpacing/>
              <w:textAlignment w:val="baseline"/>
              <w:rPr>
                <w:kern w:val="0"/>
                <w:szCs w:val="21"/>
              </w:rPr>
            </w:pPr>
            <w:r>
              <w:rPr>
                <w:rFonts w:hint="eastAsia"/>
                <w:kern w:val="0"/>
                <w:szCs w:val="21"/>
              </w:rPr>
              <w:t>本项目产生的污泥经跌落污泥脱水机脱水后暂存于污泥暂存间，定期交由污泥处置单位处置，满足“</w:t>
            </w:r>
            <w:r>
              <w:rPr>
                <w:kern w:val="0"/>
                <w:szCs w:val="21"/>
                <w:lang w:bidi="en-US"/>
              </w:rPr>
              <w:t>减量化、稳定化、无害化、资源化</w:t>
            </w:r>
            <w:r>
              <w:rPr>
                <w:rFonts w:hint="eastAsia"/>
                <w:kern w:val="0"/>
                <w:szCs w:val="21"/>
              </w:rPr>
              <w:t>”要求。</w:t>
            </w:r>
          </w:p>
        </w:tc>
        <w:tc>
          <w:tcPr>
            <w:tcW w:w="952" w:type="dxa"/>
            <w:vAlign w:val="center"/>
          </w:tcPr>
          <w:p>
            <w:pPr>
              <w:contextualSpacing/>
              <w:jc w:val="center"/>
              <w:textAlignment w:val="baseline"/>
              <w:rPr>
                <w:kern w:val="0"/>
                <w:szCs w:val="21"/>
              </w:rPr>
            </w:pPr>
            <w:r>
              <w:rPr>
                <w:kern w:val="0"/>
                <w:szCs w:val="21"/>
              </w:rPr>
              <w:t>符合</w:t>
            </w:r>
          </w:p>
        </w:tc>
      </w:tr>
    </w:tbl>
    <w:p>
      <w:pPr>
        <w:spacing w:line="520" w:lineRule="exact"/>
        <w:ind w:firstLine="480" w:firstLineChars="200"/>
        <w:jc w:val="left"/>
        <w:rPr>
          <w:b/>
          <w:sz w:val="24"/>
          <w:highlight w:val="yellow"/>
          <w:u w:val="single"/>
        </w:rPr>
      </w:pPr>
      <w:r>
        <w:rPr>
          <w:sz w:val="24"/>
        </w:rPr>
        <w:t>由上表可知，本项目符合</w:t>
      </w:r>
      <w:r>
        <w:rPr>
          <w:rFonts w:hint="eastAsia"/>
          <w:sz w:val="24"/>
        </w:rPr>
        <w:t>《新乡市环境污染防治攻坚指挥部办公室关于印发&lt;新乡市2</w:t>
      </w:r>
      <w:r>
        <w:rPr>
          <w:sz w:val="24"/>
        </w:rPr>
        <w:t>023年碧水保卫战</w:t>
      </w:r>
      <w:r>
        <w:rPr>
          <w:rFonts w:hint="eastAsia"/>
          <w:sz w:val="24"/>
        </w:rPr>
        <w:t>实施方案&gt;的通知》（新环攻坚办</w:t>
      </w:r>
      <w:r>
        <w:rPr>
          <w:sz w:val="24"/>
        </w:rPr>
        <w:t>〔2023〕66号</w:t>
      </w:r>
      <w:r>
        <w:rPr>
          <w:rFonts w:hint="eastAsia"/>
          <w:sz w:val="24"/>
        </w:rPr>
        <w:t>）</w:t>
      </w:r>
      <w:r>
        <w:rPr>
          <w:sz w:val="24"/>
        </w:rPr>
        <w:t>相关要求</w:t>
      </w:r>
      <w:r>
        <w:rPr>
          <w:rFonts w:hint="eastAsia"/>
          <w:sz w:val="24"/>
        </w:rPr>
        <w:t>。</w:t>
      </w:r>
    </w:p>
    <w:p>
      <w:pPr>
        <w:keepNext/>
        <w:keepLines/>
        <w:spacing w:line="520" w:lineRule="exact"/>
        <w:outlineLvl w:val="2"/>
        <w:rPr>
          <w:rFonts w:eastAsia="黑体"/>
          <w:bCs/>
          <w:sz w:val="28"/>
          <w:szCs w:val="28"/>
        </w:rPr>
      </w:pPr>
      <w:r>
        <w:rPr>
          <w:rFonts w:eastAsia="黑体"/>
          <w:bCs/>
          <w:sz w:val="28"/>
          <w:szCs w:val="28"/>
        </w:rPr>
        <w:t>2.9.8 与</w:t>
      </w:r>
      <w:r>
        <w:rPr>
          <w:rFonts w:hint="eastAsia" w:eastAsia="黑体"/>
          <w:bCs/>
          <w:sz w:val="28"/>
          <w:szCs w:val="28"/>
        </w:rPr>
        <w:t>《新乡市环境污染防治攻坚指挥部办公室关于印发&lt;新乡市2</w:t>
      </w:r>
      <w:r>
        <w:rPr>
          <w:rFonts w:eastAsia="黑体"/>
          <w:bCs/>
          <w:sz w:val="28"/>
          <w:szCs w:val="28"/>
        </w:rPr>
        <w:t>023年</w:t>
      </w:r>
      <w:r>
        <w:rPr>
          <w:rFonts w:hint="eastAsia" w:eastAsia="黑体"/>
          <w:bCs/>
          <w:sz w:val="28"/>
          <w:szCs w:val="28"/>
        </w:rPr>
        <w:t>净土</w:t>
      </w:r>
      <w:r>
        <w:rPr>
          <w:rFonts w:eastAsia="黑体"/>
          <w:bCs/>
          <w:sz w:val="28"/>
          <w:szCs w:val="28"/>
        </w:rPr>
        <w:t>保卫战</w:t>
      </w:r>
      <w:r>
        <w:rPr>
          <w:rFonts w:hint="eastAsia" w:eastAsia="黑体"/>
          <w:bCs/>
          <w:sz w:val="28"/>
          <w:szCs w:val="28"/>
        </w:rPr>
        <w:t>实施方案&gt;的通知》（新环攻坚办</w:t>
      </w:r>
      <w:r>
        <w:rPr>
          <w:rFonts w:eastAsia="黑体"/>
          <w:bCs/>
          <w:sz w:val="28"/>
          <w:szCs w:val="28"/>
        </w:rPr>
        <w:t>〔2023〕65号</w:t>
      </w:r>
      <w:r>
        <w:rPr>
          <w:rFonts w:hint="eastAsia" w:eastAsia="黑体"/>
          <w:bCs/>
          <w:sz w:val="28"/>
          <w:szCs w:val="28"/>
        </w:rPr>
        <w:t>）</w:t>
      </w:r>
      <w:r>
        <w:rPr>
          <w:rFonts w:eastAsia="黑体"/>
          <w:bCs/>
          <w:sz w:val="28"/>
          <w:szCs w:val="28"/>
        </w:rPr>
        <w:t>的对照分析</w:t>
      </w:r>
    </w:p>
    <w:p>
      <w:pPr>
        <w:spacing w:before="120" w:beforeLines="50" w:line="360" w:lineRule="auto"/>
        <w:ind w:firstLine="480" w:firstLineChars="200"/>
        <w:rPr>
          <w:rFonts w:eastAsia="黑体"/>
          <w:sz w:val="24"/>
          <w:szCs w:val="24"/>
        </w:rPr>
      </w:pPr>
      <w:r>
        <w:rPr>
          <w:rFonts w:eastAsia="黑体"/>
          <w:sz w:val="24"/>
          <w:szCs w:val="24"/>
        </w:rPr>
        <w:t>表2.9-</w:t>
      </w:r>
      <w:r>
        <w:rPr>
          <w:rFonts w:hint="eastAsia" w:eastAsia="黑体"/>
          <w:sz w:val="24"/>
          <w:szCs w:val="24"/>
        </w:rPr>
        <w:t>6</w:t>
      </w:r>
      <w:r>
        <w:rPr>
          <w:rFonts w:eastAsia="黑体"/>
          <w:sz w:val="24"/>
          <w:szCs w:val="24"/>
        </w:rPr>
        <w:t xml:space="preserve">            与《通知》对比分析一览表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055"/>
        <w:gridCol w:w="1935"/>
        <w:gridCol w:w="95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62" w:type="dxa"/>
            <w:vAlign w:val="center"/>
          </w:tcPr>
          <w:p>
            <w:pPr>
              <w:jc w:val="center"/>
              <w:rPr>
                <w:b/>
                <w:szCs w:val="20"/>
              </w:rPr>
            </w:pPr>
            <w:r>
              <w:rPr>
                <w:b/>
                <w:szCs w:val="20"/>
              </w:rPr>
              <w:t>《通知》中与本项目有关的内容</w:t>
            </w:r>
          </w:p>
        </w:tc>
        <w:tc>
          <w:tcPr>
            <w:tcW w:w="1932" w:type="dxa"/>
            <w:vAlign w:val="center"/>
          </w:tcPr>
          <w:p>
            <w:pPr>
              <w:jc w:val="center"/>
              <w:rPr>
                <w:b/>
                <w:szCs w:val="20"/>
              </w:rPr>
            </w:pPr>
            <w:r>
              <w:rPr>
                <w:b/>
                <w:szCs w:val="20"/>
              </w:rPr>
              <w:t>本项目情况</w:t>
            </w:r>
          </w:p>
        </w:tc>
        <w:tc>
          <w:tcPr>
            <w:tcW w:w="952" w:type="dxa"/>
            <w:vAlign w:val="center"/>
          </w:tcPr>
          <w:p>
            <w:pPr>
              <w:jc w:val="center"/>
              <w:rPr>
                <w:b/>
                <w:szCs w:val="20"/>
              </w:rPr>
            </w:pPr>
            <w:r>
              <w:rPr>
                <w:b/>
                <w:szCs w:val="20"/>
              </w:rPr>
              <w:t>相符性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62" w:type="dxa"/>
            <w:vAlign w:val="center"/>
          </w:tcPr>
          <w:p>
            <w:pPr>
              <w:contextualSpacing/>
              <w:textAlignment w:val="baseline"/>
              <w:rPr>
                <w:kern w:val="0"/>
                <w:szCs w:val="21"/>
              </w:rPr>
            </w:pPr>
            <w:r>
              <w:rPr>
                <w:bCs/>
                <w:kern w:val="0"/>
                <w:szCs w:val="21"/>
                <w:lang w:bidi="en-US"/>
              </w:rPr>
              <w:t>全面加强固体废物监管。</w:t>
            </w:r>
            <w:r>
              <w:rPr>
                <w:kern w:val="0"/>
                <w:szCs w:val="21"/>
                <w:lang w:bidi="en-US"/>
              </w:rPr>
              <w:t>持续开展危险废物排查整治，全面提升危险废物环境监管、利用处置和环境风险防范</w:t>
            </w:r>
            <w:r>
              <w:rPr>
                <w:rFonts w:hint="eastAsia"/>
                <w:kern w:val="0"/>
                <w:szCs w:val="21"/>
                <w:lang w:bidi="en-US"/>
              </w:rPr>
              <w:t>“</w:t>
            </w:r>
            <w:r>
              <w:rPr>
                <w:kern w:val="0"/>
                <w:szCs w:val="21"/>
                <w:lang w:bidi="en-US"/>
              </w:rPr>
              <w:t>三个能力</w:t>
            </w:r>
            <w:r>
              <w:rPr>
                <w:rFonts w:hint="eastAsia"/>
                <w:kern w:val="0"/>
                <w:szCs w:val="21"/>
                <w:lang w:bidi="en-US"/>
              </w:rPr>
              <w:t>”</w:t>
            </w:r>
            <w:r>
              <w:rPr>
                <w:kern w:val="0"/>
                <w:szCs w:val="21"/>
                <w:lang w:bidi="en-US"/>
              </w:rPr>
              <w:t>，推动危险废物监管和利用处置能力改革工作。动态更新涉危险废物企业</w:t>
            </w:r>
            <w:r>
              <w:rPr>
                <w:rFonts w:hint="eastAsia"/>
                <w:kern w:val="0"/>
                <w:szCs w:val="21"/>
                <w:lang w:bidi="en-US"/>
              </w:rPr>
              <w:t>“</w:t>
            </w:r>
            <w:r>
              <w:rPr>
                <w:kern w:val="0"/>
                <w:szCs w:val="21"/>
                <w:lang w:bidi="en-US"/>
              </w:rPr>
              <w:t>四个清单</w:t>
            </w:r>
            <w:r>
              <w:rPr>
                <w:rFonts w:hint="eastAsia"/>
                <w:kern w:val="0"/>
                <w:szCs w:val="21"/>
                <w:lang w:bidi="en-US"/>
              </w:rPr>
              <w:t>”</w:t>
            </w:r>
            <w:r>
              <w:rPr>
                <w:kern w:val="0"/>
                <w:szCs w:val="21"/>
                <w:lang w:bidi="en-US"/>
              </w:rPr>
              <w:t>，有序推进固废监管信息化建设，强化危险废物源头管控和收集转运等过程监管。持续开展小微企业危险废物收集和废铅酸蓄电池收集转运试点工作。</w:t>
            </w:r>
          </w:p>
        </w:tc>
        <w:tc>
          <w:tcPr>
            <w:tcW w:w="1932" w:type="dxa"/>
            <w:vAlign w:val="center"/>
          </w:tcPr>
          <w:p>
            <w:pPr>
              <w:contextualSpacing/>
              <w:textAlignment w:val="baseline"/>
              <w:rPr>
                <w:kern w:val="0"/>
                <w:szCs w:val="21"/>
              </w:rPr>
            </w:pPr>
            <w:r>
              <w:rPr>
                <w:rFonts w:hint="eastAsia"/>
                <w:kern w:val="0"/>
                <w:szCs w:val="21"/>
              </w:rPr>
              <w:t>本项目不产生危险废物。</w:t>
            </w:r>
          </w:p>
        </w:tc>
        <w:tc>
          <w:tcPr>
            <w:tcW w:w="952" w:type="dxa"/>
            <w:vAlign w:val="center"/>
          </w:tcPr>
          <w:p>
            <w:pPr>
              <w:contextualSpacing/>
              <w:jc w:val="center"/>
              <w:textAlignment w:val="baseline"/>
              <w:rPr>
                <w:kern w:val="0"/>
                <w:szCs w:val="21"/>
              </w:rPr>
            </w:pPr>
            <w:r>
              <w:rPr>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62" w:type="dxa"/>
            <w:vAlign w:val="center"/>
          </w:tcPr>
          <w:p>
            <w:pPr>
              <w:contextualSpacing/>
              <w:textAlignment w:val="baseline"/>
              <w:rPr>
                <w:bCs/>
                <w:kern w:val="0"/>
                <w:szCs w:val="21"/>
                <w:lang w:bidi="en-US"/>
              </w:rPr>
            </w:pPr>
            <w:r>
              <w:rPr>
                <w:kern w:val="0"/>
                <w:szCs w:val="21"/>
                <w:lang w:bidi="en-US"/>
              </w:rPr>
              <w:t>强化地下水污染风险管控。</w:t>
            </w:r>
            <w:r>
              <w:rPr>
                <w:bCs/>
                <w:kern w:val="0"/>
                <w:szCs w:val="21"/>
                <w:lang w:bidi="en-US"/>
              </w:rPr>
              <w:t>以</w:t>
            </w:r>
            <w:r>
              <w:rPr>
                <w:rFonts w:hint="eastAsia"/>
                <w:bCs/>
                <w:kern w:val="0"/>
                <w:szCs w:val="21"/>
                <w:lang w:bidi="en-US"/>
              </w:rPr>
              <w:t>“</w:t>
            </w:r>
            <w:r>
              <w:rPr>
                <w:bCs/>
                <w:kern w:val="0"/>
                <w:szCs w:val="21"/>
                <w:lang w:bidi="en-US"/>
              </w:rPr>
              <w:t>十四五</w:t>
            </w:r>
            <w:r>
              <w:rPr>
                <w:rFonts w:hint="eastAsia"/>
                <w:bCs/>
                <w:kern w:val="0"/>
                <w:szCs w:val="21"/>
                <w:lang w:bidi="en-US"/>
              </w:rPr>
              <w:t>”</w:t>
            </w:r>
            <w:r>
              <w:rPr>
                <w:bCs/>
                <w:kern w:val="0"/>
                <w:szCs w:val="21"/>
                <w:lang w:bidi="en-US"/>
              </w:rPr>
              <w:t>国家地下水环境质量考核点位为重点，实施地下水质量保持方案，开展点位周边污染源排查，建立台账，落实水质保持措施。以化学品生产企业、加油站、垃圾填埋场、危险废物处置场、产业集聚区等为重点，强化地下水重点污染源风险排查和管控。</w:t>
            </w:r>
          </w:p>
        </w:tc>
        <w:tc>
          <w:tcPr>
            <w:tcW w:w="1932" w:type="dxa"/>
            <w:vAlign w:val="center"/>
          </w:tcPr>
          <w:p>
            <w:pPr>
              <w:contextualSpacing/>
              <w:textAlignment w:val="baseline"/>
              <w:rPr>
                <w:kern w:val="0"/>
                <w:szCs w:val="21"/>
              </w:rPr>
            </w:pPr>
            <w:r>
              <w:rPr>
                <w:rFonts w:hint="eastAsia"/>
                <w:kern w:val="0"/>
                <w:szCs w:val="21"/>
              </w:rPr>
              <w:t>本项目按照要求对厂区进行分区防渗并进行定期监测。</w:t>
            </w:r>
          </w:p>
        </w:tc>
        <w:tc>
          <w:tcPr>
            <w:tcW w:w="952" w:type="dxa"/>
            <w:vAlign w:val="center"/>
          </w:tcPr>
          <w:p>
            <w:pPr>
              <w:contextualSpacing/>
              <w:jc w:val="center"/>
              <w:textAlignment w:val="baseline"/>
              <w:rPr>
                <w:kern w:val="0"/>
                <w:szCs w:val="21"/>
              </w:rPr>
            </w:pPr>
            <w:r>
              <w:rPr>
                <w:rFonts w:hint="eastAsia"/>
                <w:kern w:val="0"/>
                <w:szCs w:val="21"/>
              </w:rPr>
              <w:t>符合</w:t>
            </w:r>
          </w:p>
        </w:tc>
      </w:tr>
    </w:tbl>
    <w:p>
      <w:pPr>
        <w:spacing w:line="520" w:lineRule="exact"/>
        <w:ind w:firstLine="480" w:firstLineChars="200"/>
        <w:jc w:val="left"/>
        <w:rPr>
          <w:b/>
          <w:sz w:val="24"/>
          <w:highlight w:val="yellow"/>
          <w:u w:val="single"/>
        </w:rPr>
      </w:pPr>
      <w:r>
        <w:rPr>
          <w:sz w:val="24"/>
        </w:rPr>
        <w:t>由上表可知，本项目符合</w:t>
      </w:r>
      <w:r>
        <w:rPr>
          <w:rFonts w:hint="eastAsia"/>
          <w:sz w:val="24"/>
        </w:rPr>
        <w:t>《新乡市环境污染防治攻坚指挥部办公室关于印发&lt;新乡市2</w:t>
      </w:r>
      <w:r>
        <w:rPr>
          <w:sz w:val="24"/>
        </w:rPr>
        <w:t>023年</w:t>
      </w:r>
      <w:r>
        <w:rPr>
          <w:rFonts w:hint="eastAsia"/>
          <w:sz w:val="24"/>
        </w:rPr>
        <w:t>净土</w:t>
      </w:r>
      <w:r>
        <w:rPr>
          <w:sz w:val="24"/>
        </w:rPr>
        <w:t>保卫战</w:t>
      </w:r>
      <w:r>
        <w:rPr>
          <w:rFonts w:hint="eastAsia"/>
          <w:sz w:val="24"/>
        </w:rPr>
        <w:t>实施方案&gt;的通知》（新环攻坚办</w:t>
      </w:r>
      <w:r>
        <w:rPr>
          <w:sz w:val="24"/>
        </w:rPr>
        <w:t>〔2023〕65号</w:t>
      </w:r>
      <w:r>
        <w:rPr>
          <w:rFonts w:hint="eastAsia"/>
          <w:sz w:val="24"/>
        </w:rPr>
        <w:t>）</w:t>
      </w:r>
      <w:r>
        <w:rPr>
          <w:sz w:val="24"/>
        </w:rPr>
        <w:t>相关要求</w:t>
      </w:r>
      <w:r>
        <w:rPr>
          <w:rFonts w:hint="eastAsia"/>
          <w:sz w:val="24"/>
        </w:rPr>
        <w:t>。</w:t>
      </w:r>
    </w:p>
    <w:p>
      <w:pPr>
        <w:keepNext/>
        <w:keepLines/>
        <w:spacing w:line="520" w:lineRule="exact"/>
        <w:outlineLvl w:val="2"/>
        <w:rPr>
          <w:rFonts w:eastAsia="黑体"/>
          <w:bCs/>
          <w:sz w:val="28"/>
          <w:szCs w:val="28"/>
        </w:rPr>
      </w:pPr>
      <w:r>
        <w:rPr>
          <w:rFonts w:eastAsia="黑体"/>
          <w:bCs/>
          <w:sz w:val="28"/>
          <w:szCs w:val="28"/>
        </w:rPr>
        <w:t>2.9.9 与</w:t>
      </w:r>
      <w:r>
        <w:rPr>
          <w:rFonts w:hint="eastAsia" w:eastAsia="黑体"/>
          <w:bCs/>
          <w:sz w:val="28"/>
          <w:szCs w:val="28"/>
        </w:rPr>
        <w:t>《</w:t>
      </w:r>
      <w:r>
        <w:rPr>
          <w:rFonts w:hint="eastAsia" w:eastAsia="黑体"/>
          <w:sz w:val="28"/>
          <w:szCs w:val="28"/>
        </w:rPr>
        <w:t>新乡市环境污染防治攻坚指挥部办公室关于印发&lt;新乡市2</w:t>
      </w:r>
      <w:r>
        <w:rPr>
          <w:rFonts w:eastAsia="黑体"/>
          <w:sz w:val="28"/>
          <w:szCs w:val="28"/>
        </w:rPr>
        <w:t>023年</w:t>
      </w:r>
      <w:r>
        <w:rPr>
          <w:rFonts w:hint="eastAsia" w:eastAsia="黑体"/>
          <w:sz w:val="28"/>
          <w:szCs w:val="28"/>
        </w:rPr>
        <w:t>蓝天</w:t>
      </w:r>
      <w:r>
        <w:rPr>
          <w:rFonts w:eastAsia="黑体"/>
          <w:sz w:val="28"/>
          <w:szCs w:val="28"/>
        </w:rPr>
        <w:t>保卫战</w:t>
      </w:r>
      <w:r>
        <w:rPr>
          <w:rFonts w:hint="eastAsia" w:eastAsia="黑体"/>
          <w:sz w:val="28"/>
          <w:szCs w:val="28"/>
        </w:rPr>
        <w:t>实施方案&gt;的通知</w:t>
      </w:r>
      <w:r>
        <w:rPr>
          <w:rFonts w:hint="eastAsia" w:eastAsia="黑体"/>
          <w:bCs/>
          <w:sz w:val="28"/>
          <w:szCs w:val="28"/>
        </w:rPr>
        <w:t>》（新环攻坚办</w:t>
      </w:r>
      <w:r>
        <w:rPr>
          <w:rFonts w:eastAsia="黑体"/>
          <w:bCs/>
          <w:sz w:val="28"/>
          <w:szCs w:val="28"/>
        </w:rPr>
        <w:t>〔2023〕77号</w:t>
      </w:r>
      <w:r>
        <w:rPr>
          <w:rFonts w:hint="eastAsia" w:eastAsia="黑体"/>
          <w:bCs/>
          <w:sz w:val="28"/>
          <w:szCs w:val="28"/>
        </w:rPr>
        <w:t>）</w:t>
      </w:r>
      <w:r>
        <w:rPr>
          <w:rFonts w:eastAsia="黑体"/>
          <w:bCs/>
          <w:sz w:val="28"/>
          <w:szCs w:val="28"/>
        </w:rPr>
        <w:t>的对照分析</w:t>
      </w:r>
    </w:p>
    <w:p>
      <w:pPr>
        <w:spacing w:before="120" w:beforeLines="50" w:line="360" w:lineRule="auto"/>
        <w:ind w:firstLine="480" w:firstLineChars="200"/>
        <w:rPr>
          <w:rFonts w:eastAsia="黑体"/>
          <w:sz w:val="24"/>
          <w:szCs w:val="24"/>
        </w:rPr>
      </w:pPr>
      <w:r>
        <w:rPr>
          <w:rFonts w:eastAsia="黑体"/>
          <w:sz w:val="24"/>
          <w:szCs w:val="24"/>
        </w:rPr>
        <w:t>表2.9-</w:t>
      </w:r>
      <w:r>
        <w:rPr>
          <w:rFonts w:hint="eastAsia" w:eastAsia="黑体"/>
          <w:sz w:val="24"/>
          <w:szCs w:val="24"/>
        </w:rPr>
        <w:t>7</w:t>
      </w:r>
      <w:r>
        <w:rPr>
          <w:rFonts w:eastAsia="黑体"/>
          <w:sz w:val="24"/>
          <w:szCs w:val="24"/>
        </w:rPr>
        <w:t xml:space="preserve">            与《通知》对比分析一览表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913"/>
        <w:gridCol w:w="2077"/>
        <w:gridCol w:w="95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20" w:type="dxa"/>
            <w:vAlign w:val="center"/>
          </w:tcPr>
          <w:p>
            <w:pPr>
              <w:jc w:val="center"/>
              <w:rPr>
                <w:b/>
                <w:szCs w:val="20"/>
              </w:rPr>
            </w:pPr>
            <w:r>
              <w:rPr>
                <w:b/>
                <w:szCs w:val="20"/>
              </w:rPr>
              <w:t>《通知》中与本项目有关的内容</w:t>
            </w:r>
          </w:p>
        </w:tc>
        <w:tc>
          <w:tcPr>
            <w:tcW w:w="2074" w:type="dxa"/>
            <w:vAlign w:val="center"/>
          </w:tcPr>
          <w:p>
            <w:pPr>
              <w:jc w:val="center"/>
              <w:rPr>
                <w:b/>
                <w:szCs w:val="20"/>
              </w:rPr>
            </w:pPr>
            <w:r>
              <w:rPr>
                <w:b/>
                <w:szCs w:val="20"/>
              </w:rPr>
              <w:t>本项目情况</w:t>
            </w:r>
          </w:p>
        </w:tc>
        <w:tc>
          <w:tcPr>
            <w:tcW w:w="952" w:type="dxa"/>
            <w:vAlign w:val="center"/>
          </w:tcPr>
          <w:p>
            <w:pPr>
              <w:jc w:val="center"/>
              <w:rPr>
                <w:b/>
                <w:szCs w:val="20"/>
              </w:rPr>
            </w:pPr>
            <w:r>
              <w:rPr>
                <w:b/>
                <w:szCs w:val="20"/>
              </w:rPr>
              <w:t>相符性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20" w:type="dxa"/>
            <w:vAlign w:val="center"/>
          </w:tcPr>
          <w:p>
            <w:pPr>
              <w:contextualSpacing/>
              <w:textAlignment w:val="baseline"/>
              <w:rPr>
                <w:bCs/>
                <w:kern w:val="0"/>
                <w:szCs w:val="21"/>
              </w:rPr>
            </w:pPr>
            <w:r>
              <w:rPr>
                <w:rFonts w:hint="eastAsia"/>
                <w:bCs/>
                <w:kern w:val="0"/>
                <w:szCs w:val="21"/>
                <w:lang w:bidi="en-US"/>
              </w:rPr>
              <w:t>推进煤电结构优化调整。优化煤电项目布局，组织对 30万千瓦以上热电联产机组供热半径30公里范围内的落后燃煤小热电机组（含自备电厂）和燃煤锅炉进行排查摸底，2023年6月底前建立清单台账，有序推进关停整合。研究制定2023年度煤电机组升级改造计划，统筹推进存量煤电企业节能降碳改造、灵活性改造、供热改造“三改联动”，建立改造任务台账，明确改造目标、工程措施、完成时限，加快煤电机组优化升级。</w:t>
            </w:r>
          </w:p>
        </w:tc>
        <w:tc>
          <w:tcPr>
            <w:tcW w:w="2074" w:type="dxa"/>
            <w:vAlign w:val="center"/>
          </w:tcPr>
          <w:p>
            <w:pPr>
              <w:contextualSpacing/>
              <w:jc w:val="center"/>
              <w:textAlignment w:val="baseline"/>
              <w:rPr>
                <w:kern w:val="0"/>
                <w:szCs w:val="21"/>
              </w:rPr>
            </w:pPr>
            <w:r>
              <w:rPr>
                <w:rFonts w:hint="eastAsia"/>
                <w:kern w:val="0"/>
                <w:szCs w:val="21"/>
              </w:rPr>
              <w:t>本项目不</w:t>
            </w:r>
            <w:r>
              <w:rPr>
                <w:rFonts w:hint="eastAsia"/>
                <w:bCs/>
                <w:kern w:val="0"/>
                <w:szCs w:val="21"/>
              </w:rPr>
              <w:t>使用</w:t>
            </w:r>
            <w:r>
              <w:rPr>
                <w:rFonts w:hint="eastAsia"/>
                <w:bCs/>
                <w:kern w:val="0"/>
                <w:szCs w:val="21"/>
                <w:lang w:bidi="en-US"/>
              </w:rPr>
              <w:t>锅炉。</w:t>
            </w:r>
          </w:p>
        </w:tc>
        <w:tc>
          <w:tcPr>
            <w:tcW w:w="952" w:type="dxa"/>
            <w:vAlign w:val="center"/>
          </w:tcPr>
          <w:p>
            <w:pPr>
              <w:contextualSpacing/>
              <w:jc w:val="center"/>
              <w:textAlignment w:val="baseline"/>
              <w:rPr>
                <w:kern w:val="0"/>
                <w:szCs w:val="21"/>
              </w:rPr>
            </w:pPr>
            <w:r>
              <w:rPr>
                <w:kern w:val="0"/>
                <w:szCs w:val="21"/>
              </w:rPr>
              <w:t>符合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920" w:type="dxa"/>
            <w:vAlign w:val="center"/>
          </w:tcPr>
          <w:p>
            <w:pPr>
              <w:contextualSpacing/>
              <w:textAlignment w:val="baseline"/>
              <w:rPr>
                <w:bCs/>
                <w:kern w:val="0"/>
                <w:szCs w:val="21"/>
                <w:lang w:bidi="en-US"/>
              </w:rPr>
            </w:pPr>
            <w:r>
              <w:rPr>
                <w:rFonts w:hint="eastAsia"/>
                <w:bCs/>
                <w:kern w:val="0"/>
                <w:szCs w:val="21"/>
                <w:lang w:bidi="en-US"/>
              </w:rPr>
              <w:t>加强扬尘防治精细化管理。开展扬尘治理提升行动，严格落实扬尘治理“两个标准”要求，做好建筑工地、线性工程、城乡结合部等关键部位和重点环节综合治理，加大扬尘污染防治执法监管力度，各县（市、区）平均降尘量不得高于7吨/月·平方公里。持续开展城市清洁行动，强化道路扬尘综合整治，重点提升国省道、县乡道路、城乡结合部和背街小巷等各类道路清扫保洁效果，加大重载车抛洒现象查处力度，2023年底前实现市、县建成区道路清扫覆盖率达到90%以上，道路机械化清扫率达到80%以上，道路清扫保洁能力显著增强。加强餐饮油烟日常监督，强化市、县监控平台联网运行，实现对大型餐饮服务单位油烟排放情况实时监控；餐饮油烟净化设施月抽查率不低于20%。</w:t>
            </w:r>
          </w:p>
        </w:tc>
        <w:tc>
          <w:tcPr>
            <w:tcW w:w="2074" w:type="dxa"/>
            <w:vAlign w:val="center"/>
          </w:tcPr>
          <w:p>
            <w:pPr>
              <w:contextualSpacing/>
              <w:textAlignment w:val="baseline"/>
              <w:rPr>
                <w:bCs/>
                <w:kern w:val="0"/>
                <w:szCs w:val="21"/>
              </w:rPr>
            </w:pPr>
            <w:r>
              <w:rPr>
                <w:rFonts w:hint="eastAsia"/>
                <w:bCs/>
                <w:kern w:val="0"/>
                <w:szCs w:val="21"/>
              </w:rPr>
              <w:t>本项目施工期严格落实</w:t>
            </w:r>
            <w:r>
              <w:rPr>
                <w:rFonts w:hint="eastAsia"/>
                <w:bCs/>
                <w:kern w:val="0"/>
                <w:szCs w:val="21"/>
                <w:lang w:bidi="en-US"/>
              </w:rPr>
              <w:t>扬尘治理“两个标准”要求。</w:t>
            </w:r>
          </w:p>
        </w:tc>
        <w:tc>
          <w:tcPr>
            <w:tcW w:w="952" w:type="dxa"/>
            <w:vAlign w:val="center"/>
          </w:tcPr>
          <w:p>
            <w:pPr>
              <w:contextualSpacing/>
              <w:jc w:val="center"/>
              <w:textAlignment w:val="baseline"/>
              <w:rPr>
                <w:kern w:val="0"/>
                <w:szCs w:val="21"/>
              </w:rPr>
            </w:pPr>
            <w:r>
              <w:rPr>
                <w:rFonts w:hint="eastAsia"/>
                <w:kern w:val="0"/>
                <w:szCs w:val="21"/>
              </w:rPr>
              <w:t>符合</w:t>
            </w:r>
          </w:p>
        </w:tc>
      </w:tr>
    </w:tbl>
    <w:p>
      <w:pPr>
        <w:spacing w:line="520" w:lineRule="exact"/>
        <w:ind w:firstLine="480" w:firstLineChars="200"/>
        <w:jc w:val="left"/>
        <w:rPr>
          <w:sz w:val="24"/>
        </w:rPr>
      </w:pPr>
      <w:r>
        <w:rPr>
          <w:sz w:val="24"/>
        </w:rPr>
        <w:t>由上表可知，本项目符合</w:t>
      </w:r>
      <w:r>
        <w:rPr>
          <w:rFonts w:hint="eastAsia"/>
          <w:sz w:val="24"/>
        </w:rPr>
        <w:t>《新乡市环境污染防治攻坚指挥部办公室关于印发&lt;新乡市2</w:t>
      </w:r>
      <w:r>
        <w:rPr>
          <w:sz w:val="24"/>
        </w:rPr>
        <w:t>023</w:t>
      </w:r>
      <w:r>
        <w:rPr>
          <w:rFonts w:hint="eastAsia"/>
          <w:sz w:val="24"/>
        </w:rPr>
        <w:t>年蓝天保卫战实施方案&gt;的通知》（新环攻坚办</w:t>
      </w:r>
      <w:r>
        <w:rPr>
          <w:sz w:val="24"/>
        </w:rPr>
        <w:t>〔2023〕77号</w:t>
      </w:r>
      <w:r>
        <w:rPr>
          <w:rFonts w:hint="eastAsia"/>
          <w:sz w:val="24"/>
        </w:rPr>
        <w:t>）</w:t>
      </w:r>
      <w:r>
        <w:rPr>
          <w:sz w:val="24"/>
        </w:rPr>
        <w:t>相关要求</w:t>
      </w:r>
      <w:r>
        <w:rPr>
          <w:rFonts w:hint="eastAsia"/>
          <w:sz w:val="24"/>
        </w:rPr>
        <w:t>。</w:t>
      </w:r>
    </w:p>
    <w:p>
      <w:pPr>
        <w:pStyle w:val="89"/>
      </w:pPr>
    </w:p>
    <w:p>
      <w:pPr>
        <w:pStyle w:val="89"/>
      </w:pPr>
    </w:p>
    <w:p>
      <w:pPr>
        <w:pStyle w:val="89"/>
        <w:sectPr>
          <w:pgSz w:w="11907" w:h="16840"/>
          <w:pgMar w:top="1701" w:right="1588" w:bottom="1701" w:left="1588" w:header="851" w:footer="1134" w:gutter="0"/>
          <w:cols w:space="720" w:num="1"/>
        </w:sectPr>
      </w:pPr>
    </w:p>
    <w:p>
      <w:pPr>
        <w:keepNext/>
        <w:keepLines/>
        <w:tabs>
          <w:tab w:val="left" w:pos="1275"/>
        </w:tabs>
        <w:spacing w:line="360" w:lineRule="auto"/>
        <w:contextualSpacing/>
        <w:jc w:val="center"/>
        <w:outlineLvl w:val="0"/>
        <w:rPr>
          <w:rFonts w:eastAsia="黑体"/>
          <w:bCs/>
          <w:kern w:val="44"/>
          <w:sz w:val="44"/>
          <w:szCs w:val="44"/>
        </w:rPr>
      </w:pPr>
      <w:bookmarkStart w:id="65" w:name="_Toc8042"/>
      <w:r>
        <w:rPr>
          <w:rFonts w:eastAsia="黑体"/>
          <w:bCs/>
          <w:kern w:val="44"/>
          <w:sz w:val="44"/>
          <w:szCs w:val="44"/>
        </w:rPr>
        <w:t>第3章  建设项目工程分析</w:t>
      </w:r>
      <w:bookmarkEnd w:id="65"/>
    </w:p>
    <w:p>
      <w:pPr>
        <w:spacing w:line="200" w:lineRule="exact"/>
        <w:rPr>
          <w:bCs/>
          <w:kern w:val="0"/>
          <w:sz w:val="24"/>
          <w:szCs w:val="24"/>
        </w:rPr>
      </w:pPr>
    </w:p>
    <w:p>
      <w:pPr>
        <w:keepNext/>
        <w:keepLines/>
        <w:spacing w:line="520" w:lineRule="exact"/>
        <w:outlineLvl w:val="1"/>
        <w:rPr>
          <w:rFonts w:eastAsia="黑体"/>
          <w:bCs/>
          <w:sz w:val="28"/>
          <w:szCs w:val="28"/>
        </w:rPr>
      </w:pPr>
      <w:bookmarkStart w:id="66" w:name="_Toc7793"/>
      <w:r>
        <w:rPr>
          <w:rFonts w:eastAsia="黑体"/>
          <w:bCs/>
          <w:sz w:val="28"/>
          <w:szCs w:val="28"/>
        </w:rPr>
        <w:t>3.1 本次工程分析</w:t>
      </w:r>
      <w:bookmarkEnd w:id="66"/>
    </w:p>
    <w:p>
      <w:pPr>
        <w:keepNext/>
        <w:keepLines/>
        <w:spacing w:line="520" w:lineRule="exact"/>
        <w:outlineLvl w:val="2"/>
        <w:rPr>
          <w:rFonts w:eastAsia="黑体"/>
          <w:bCs/>
          <w:sz w:val="28"/>
          <w:szCs w:val="28"/>
        </w:rPr>
      </w:pPr>
      <w:r>
        <w:rPr>
          <w:rFonts w:eastAsia="黑体"/>
          <w:bCs/>
          <w:sz w:val="28"/>
          <w:szCs w:val="28"/>
        </w:rPr>
        <w:t>3.1.1 本次工程基本情况</w:t>
      </w:r>
    </w:p>
    <w:p>
      <w:pPr>
        <w:spacing w:line="520" w:lineRule="exact"/>
        <w:ind w:firstLine="480" w:firstLineChars="200"/>
        <w:rPr>
          <w:bCs/>
          <w:sz w:val="24"/>
        </w:rPr>
      </w:pPr>
      <w:r>
        <w:rPr>
          <w:rFonts w:hint="eastAsia"/>
          <w:bCs/>
          <w:sz w:val="24"/>
        </w:rPr>
        <w:t>本项目位于原阳县产业集聚区永安路南侧、小庄村西侧（金祥南街建成打通后为金祥南街西侧，路东为小庄村）、小庄排河东侧。项目污水处理站纳污</w:t>
      </w:r>
      <w:r>
        <w:rPr>
          <w:bCs/>
          <w:sz w:val="24"/>
        </w:rPr>
        <w:t>范围为</w:t>
      </w:r>
      <w:r>
        <w:rPr>
          <w:rFonts w:hint="eastAsia"/>
          <w:bCs/>
          <w:sz w:val="24"/>
        </w:rPr>
        <w:t>预制菜创新孵化园内的工业企业生产废水。</w:t>
      </w:r>
    </w:p>
    <w:p>
      <w:pPr>
        <w:spacing w:line="520" w:lineRule="exact"/>
        <w:ind w:firstLine="480" w:firstLineChars="200"/>
        <w:rPr>
          <w:bCs/>
          <w:sz w:val="24"/>
        </w:rPr>
      </w:pPr>
      <w:r>
        <w:rPr>
          <w:rFonts w:hint="eastAsia"/>
          <w:bCs/>
          <w:sz w:val="24"/>
        </w:rPr>
        <w:t>本项目主要新建车间厂房、污水处理站及附属设施，其中新建污水处理站日处理污水量为2</w:t>
      </w:r>
      <w:r>
        <w:rPr>
          <w:bCs/>
          <w:sz w:val="24"/>
        </w:rPr>
        <w:t>000</w:t>
      </w:r>
      <w:r>
        <w:rPr>
          <w:rFonts w:hint="eastAsia"/>
          <w:bCs/>
          <w:sz w:val="24"/>
        </w:rPr>
        <w:t>t/d，规划总建筑面积为1</w:t>
      </w:r>
      <w:r>
        <w:rPr>
          <w:bCs/>
          <w:sz w:val="24"/>
        </w:rPr>
        <w:t>327.77m</w:t>
      </w:r>
      <w:r>
        <w:rPr>
          <w:bCs/>
          <w:sz w:val="24"/>
          <w:vertAlign w:val="superscript"/>
        </w:rPr>
        <w:t>2</w:t>
      </w:r>
      <w:r>
        <w:rPr>
          <w:rFonts w:hint="eastAsia"/>
          <w:bCs/>
          <w:sz w:val="24"/>
        </w:rPr>
        <w:t>。</w:t>
      </w:r>
      <w:r>
        <w:rPr>
          <w:bCs/>
          <w:sz w:val="24"/>
        </w:rPr>
        <w:t>预制菜创新孵化园内的污水管网在地面平整、厂房修建过程中同步铺设，孵化园外部主干道污水管网由原阳县产业集聚区负责铺设，不在本次评价范围内。</w:t>
      </w:r>
    </w:p>
    <w:p>
      <w:pPr>
        <w:spacing w:line="520" w:lineRule="exact"/>
        <w:ind w:firstLine="480" w:firstLineChars="200"/>
        <w:rPr>
          <w:bCs/>
          <w:sz w:val="24"/>
        </w:rPr>
      </w:pPr>
      <w:r>
        <w:rPr>
          <w:bCs/>
          <w:sz w:val="24"/>
        </w:rPr>
        <w:t>本项目</w:t>
      </w:r>
      <w:r>
        <w:rPr>
          <w:rFonts w:hint="eastAsia"/>
          <w:bCs/>
          <w:sz w:val="24"/>
        </w:rPr>
        <w:t>污水处理工艺</w:t>
      </w:r>
      <w:r>
        <w:rPr>
          <w:bCs/>
          <w:sz w:val="24"/>
        </w:rPr>
        <w:t>采用“</w:t>
      </w:r>
      <w:r>
        <w:rPr>
          <w:rFonts w:hint="eastAsia"/>
          <w:bCs/>
          <w:sz w:val="24"/>
        </w:rPr>
        <w:t>格栅+集水池+超微过滤机+初沉池+调节池+水解酸化池+厌氧池+缺氧池+好氧池+二沉池+三沉池</w:t>
      </w:r>
      <w:r>
        <w:rPr>
          <w:bCs/>
          <w:sz w:val="24"/>
        </w:rPr>
        <w:t>”工艺，</w:t>
      </w:r>
      <w:bookmarkStart w:id="67" w:name="OLE_LINK7"/>
      <w:r>
        <w:rPr>
          <w:bCs/>
          <w:sz w:val="24"/>
        </w:rPr>
        <w:t>处理规模为2</w:t>
      </w:r>
      <w:r>
        <w:rPr>
          <w:rFonts w:hint="eastAsia"/>
          <w:bCs/>
          <w:sz w:val="24"/>
        </w:rPr>
        <w:t>000t</w:t>
      </w:r>
      <w:r>
        <w:rPr>
          <w:bCs/>
          <w:sz w:val="24"/>
        </w:rPr>
        <w:t>/d</w:t>
      </w:r>
      <w:bookmarkEnd w:id="67"/>
      <w:r>
        <w:rPr>
          <w:bCs/>
          <w:sz w:val="24"/>
        </w:rPr>
        <w:t>，处理达标后的尾水排入</w:t>
      </w:r>
      <w:r>
        <w:rPr>
          <w:rFonts w:hint="eastAsia"/>
          <w:bCs/>
          <w:sz w:val="24"/>
        </w:rPr>
        <w:t>原阳县产业集聚区污水处理厂进一步处理，处理达标后排入东关排，最终汇入文岩渠</w:t>
      </w:r>
      <w:r>
        <w:rPr>
          <w:bCs/>
          <w:sz w:val="24"/>
        </w:rPr>
        <w:t>。</w:t>
      </w:r>
    </w:p>
    <w:p>
      <w:pPr>
        <w:spacing w:line="520" w:lineRule="exact"/>
        <w:ind w:firstLine="480" w:firstLineChars="200"/>
        <w:rPr>
          <w:bCs/>
          <w:sz w:val="24"/>
        </w:rPr>
      </w:pPr>
      <w:r>
        <w:rPr>
          <w:bCs/>
          <w:sz w:val="24"/>
        </w:rPr>
        <w:t>本项目的基本情况见表3.1-1。</w:t>
      </w:r>
    </w:p>
    <w:p>
      <w:pPr>
        <w:spacing w:line="500" w:lineRule="exact"/>
        <w:ind w:firstLine="465"/>
        <w:rPr>
          <w:rFonts w:eastAsia="黑体"/>
          <w:sz w:val="24"/>
        </w:rPr>
      </w:pPr>
      <w:r>
        <w:rPr>
          <w:rFonts w:eastAsia="黑体"/>
          <w:sz w:val="24"/>
        </w:rPr>
        <w:t>表3.1-1                本次工程基本情况一览表</w:t>
      </w:r>
    </w:p>
    <w:tbl>
      <w:tblPr>
        <w:tblStyle w:val="49"/>
        <w:tblW w:w="89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20"/>
        <w:gridCol w:w="68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b/>
                <w:bCs/>
                <w:szCs w:val="21"/>
              </w:rPr>
            </w:pPr>
            <w:r>
              <w:rPr>
                <w:b/>
                <w:bCs/>
                <w:szCs w:val="21"/>
              </w:rPr>
              <w:t>序号</w:t>
            </w:r>
          </w:p>
        </w:tc>
        <w:tc>
          <w:tcPr>
            <w:tcW w:w="1420" w:type="dxa"/>
            <w:vAlign w:val="center"/>
          </w:tcPr>
          <w:p>
            <w:pPr>
              <w:spacing w:line="320" w:lineRule="exact"/>
              <w:jc w:val="center"/>
              <w:rPr>
                <w:b/>
                <w:bCs/>
                <w:szCs w:val="21"/>
              </w:rPr>
            </w:pPr>
            <w:r>
              <w:rPr>
                <w:b/>
                <w:bCs/>
                <w:szCs w:val="21"/>
              </w:rPr>
              <w:t>项目</w:t>
            </w:r>
          </w:p>
        </w:tc>
        <w:tc>
          <w:tcPr>
            <w:tcW w:w="6837" w:type="dxa"/>
            <w:vAlign w:val="center"/>
          </w:tcPr>
          <w:p>
            <w:pPr>
              <w:spacing w:line="320" w:lineRule="exact"/>
              <w:jc w:val="center"/>
              <w:rPr>
                <w:b/>
                <w:bCs/>
                <w:szCs w:val="21"/>
              </w:rPr>
            </w:pPr>
            <w:r>
              <w:rPr>
                <w:b/>
                <w:bCs/>
                <w:szCs w:val="21"/>
              </w:rPr>
              <w:t>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szCs w:val="21"/>
              </w:rPr>
            </w:pPr>
            <w:r>
              <w:rPr>
                <w:szCs w:val="21"/>
              </w:rPr>
              <w:t>1</w:t>
            </w:r>
          </w:p>
        </w:tc>
        <w:tc>
          <w:tcPr>
            <w:tcW w:w="1420" w:type="dxa"/>
            <w:vAlign w:val="center"/>
          </w:tcPr>
          <w:p>
            <w:pPr>
              <w:spacing w:line="320" w:lineRule="exact"/>
              <w:jc w:val="center"/>
              <w:rPr>
                <w:szCs w:val="21"/>
              </w:rPr>
            </w:pPr>
            <w:r>
              <w:rPr>
                <w:szCs w:val="21"/>
              </w:rPr>
              <w:t>项目名称</w:t>
            </w:r>
          </w:p>
        </w:tc>
        <w:tc>
          <w:tcPr>
            <w:tcW w:w="6837" w:type="dxa"/>
            <w:vAlign w:val="center"/>
          </w:tcPr>
          <w:p>
            <w:pPr>
              <w:spacing w:line="320" w:lineRule="exact"/>
              <w:jc w:val="center"/>
              <w:rPr>
                <w:szCs w:val="21"/>
              </w:rPr>
            </w:pPr>
            <w:r>
              <w:rPr>
                <w:spacing w:val="-2"/>
                <w:szCs w:val="21"/>
              </w:rPr>
              <w:t>预制菜</w:t>
            </w:r>
            <w:r>
              <w:rPr>
                <w:rFonts w:hint="eastAsia"/>
                <w:spacing w:val="-2"/>
                <w:szCs w:val="21"/>
              </w:rPr>
              <w:t>创新孵化园建设</w:t>
            </w:r>
            <w:r>
              <w:rPr>
                <w:spacing w:val="-2"/>
                <w:szCs w:val="21"/>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szCs w:val="21"/>
              </w:rPr>
            </w:pPr>
            <w:r>
              <w:rPr>
                <w:szCs w:val="21"/>
              </w:rPr>
              <w:t>2</w:t>
            </w:r>
          </w:p>
        </w:tc>
        <w:tc>
          <w:tcPr>
            <w:tcW w:w="1420" w:type="dxa"/>
            <w:vAlign w:val="center"/>
          </w:tcPr>
          <w:p>
            <w:pPr>
              <w:spacing w:line="320" w:lineRule="exact"/>
              <w:jc w:val="center"/>
              <w:rPr>
                <w:szCs w:val="21"/>
              </w:rPr>
            </w:pPr>
            <w:r>
              <w:rPr>
                <w:rFonts w:hint="eastAsia"/>
                <w:szCs w:val="21"/>
              </w:rPr>
              <w:t>建设单位</w:t>
            </w:r>
          </w:p>
        </w:tc>
        <w:tc>
          <w:tcPr>
            <w:tcW w:w="6837" w:type="dxa"/>
            <w:vAlign w:val="center"/>
          </w:tcPr>
          <w:p>
            <w:pPr>
              <w:spacing w:line="320" w:lineRule="exact"/>
              <w:jc w:val="center"/>
              <w:rPr>
                <w:spacing w:val="-2"/>
                <w:szCs w:val="21"/>
              </w:rPr>
            </w:pPr>
            <w:r>
              <w:rPr>
                <w:spacing w:val="-2"/>
                <w:szCs w:val="21"/>
              </w:rPr>
              <w:t>河南羽佳金门实业有限公司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szCs w:val="21"/>
              </w:rPr>
            </w:pPr>
            <w:r>
              <w:rPr>
                <w:szCs w:val="21"/>
              </w:rPr>
              <w:t>3</w:t>
            </w:r>
          </w:p>
        </w:tc>
        <w:tc>
          <w:tcPr>
            <w:tcW w:w="1420" w:type="dxa"/>
            <w:vAlign w:val="center"/>
          </w:tcPr>
          <w:p>
            <w:pPr>
              <w:spacing w:line="320" w:lineRule="exact"/>
              <w:jc w:val="center"/>
              <w:rPr>
                <w:szCs w:val="21"/>
              </w:rPr>
            </w:pPr>
            <w:r>
              <w:rPr>
                <w:szCs w:val="21"/>
              </w:rPr>
              <w:t>建设性质</w:t>
            </w:r>
          </w:p>
        </w:tc>
        <w:tc>
          <w:tcPr>
            <w:tcW w:w="6837" w:type="dxa"/>
            <w:vAlign w:val="center"/>
          </w:tcPr>
          <w:p>
            <w:pPr>
              <w:spacing w:line="320" w:lineRule="exact"/>
              <w:jc w:val="center"/>
              <w:rPr>
                <w:szCs w:val="21"/>
              </w:rPr>
            </w:pPr>
            <w:r>
              <w:rPr>
                <w:szCs w:val="21"/>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szCs w:val="21"/>
              </w:rPr>
            </w:pPr>
            <w:r>
              <w:rPr>
                <w:szCs w:val="21"/>
              </w:rPr>
              <w:t>4</w:t>
            </w:r>
          </w:p>
        </w:tc>
        <w:tc>
          <w:tcPr>
            <w:tcW w:w="1420" w:type="dxa"/>
            <w:vAlign w:val="center"/>
          </w:tcPr>
          <w:p>
            <w:pPr>
              <w:spacing w:line="320" w:lineRule="exact"/>
              <w:jc w:val="center"/>
              <w:rPr>
                <w:szCs w:val="21"/>
              </w:rPr>
            </w:pPr>
            <w:r>
              <w:rPr>
                <w:szCs w:val="21"/>
              </w:rPr>
              <w:t>所属行业</w:t>
            </w:r>
          </w:p>
        </w:tc>
        <w:tc>
          <w:tcPr>
            <w:tcW w:w="6837" w:type="dxa"/>
            <w:vAlign w:val="center"/>
          </w:tcPr>
          <w:p>
            <w:pPr>
              <w:spacing w:line="320" w:lineRule="exact"/>
              <w:jc w:val="center"/>
              <w:rPr>
                <w:highlight w:val="yellow"/>
              </w:rPr>
            </w:pPr>
            <w:r>
              <w:rPr>
                <w:rFonts w:hint="eastAsia"/>
                <w:szCs w:val="21"/>
              </w:rPr>
              <w:t>D4620污水处理及再生利用、</w:t>
            </w:r>
            <w:r>
              <w:rPr>
                <w:rFonts w:hint="eastAsia"/>
                <w:bCs/>
              </w:rPr>
              <w:t>D4</w:t>
            </w:r>
            <w:r>
              <w:rPr>
                <w:bCs/>
              </w:rPr>
              <w:t>790</w:t>
            </w:r>
            <w:r>
              <w:rPr>
                <w:rFonts w:hint="eastAsia"/>
                <w:bCs/>
              </w:rPr>
              <w:t>其他房屋建筑业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szCs w:val="21"/>
              </w:rPr>
            </w:pPr>
            <w:r>
              <w:rPr>
                <w:szCs w:val="21"/>
              </w:rPr>
              <w:t>5</w:t>
            </w:r>
          </w:p>
        </w:tc>
        <w:tc>
          <w:tcPr>
            <w:tcW w:w="1420" w:type="dxa"/>
            <w:vAlign w:val="center"/>
          </w:tcPr>
          <w:p>
            <w:pPr>
              <w:spacing w:line="320" w:lineRule="exact"/>
              <w:jc w:val="center"/>
              <w:rPr>
                <w:szCs w:val="21"/>
              </w:rPr>
            </w:pPr>
            <w:r>
              <w:rPr>
                <w:szCs w:val="21"/>
              </w:rPr>
              <w:t>建设地点</w:t>
            </w:r>
          </w:p>
        </w:tc>
        <w:tc>
          <w:tcPr>
            <w:tcW w:w="6837" w:type="dxa"/>
            <w:vAlign w:val="center"/>
          </w:tcPr>
          <w:p>
            <w:pPr>
              <w:spacing w:line="320" w:lineRule="exact"/>
              <w:jc w:val="center"/>
              <w:rPr>
                <w:szCs w:val="21"/>
              </w:rPr>
            </w:pPr>
            <w:r>
              <w:rPr>
                <w:rFonts w:hint="eastAsia"/>
                <w:szCs w:val="21"/>
              </w:rPr>
              <w:t>新乡市</w:t>
            </w:r>
            <w:r>
              <w:rPr>
                <w:szCs w:val="21"/>
              </w:rPr>
              <w:t>原阳县</w:t>
            </w:r>
            <w:r>
              <w:rPr>
                <w:rFonts w:hint="eastAsia"/>
                <w:szCs w:val="21"/>
              </w:rPr>
              <w:t>产业集聚区</w:t>
            </w:r>
            <w:r>
              <w:rPr>
                <w:szCs w:val="21"/>
              </w:rPr>
              <w:t>永安路南侧、</w:t>
            </w:r>
            <w:r>
              <w:rPr>
                <w:rFonts w:hint="eastAsia"/>
              </w:rPr>
              <w:t>小庄村西侧（金祥南街建成打通后为金祥南街西侧，路东为小庄村）</w:t>
            </w:r>
            <w:r>
              <w:rPr>
                <w:szCs w:val="21"/>
              </w:rPr>
              <w:t>、小庄排河东侧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szCs w:val="21"/>
              </w:rPr>
            </w:pPr>
            <w:r>
              <w:rPr>
                <w:szCs w:val="21"/>
              </w:rPr>
              <w:t>6</w:t>
            </w:r>
          </w:p>
        </w:tc>
        <w:tc>
          <w:tcPr>
            <w:tcW w:w="1420" w:type="dxa"/>
            <w:vAlign w:val="center"/>
          </w:tcPr>
          <w:p>
            <w:pPr>
              <w:snapToGrid w:val="0"/>
              <w:spacing w:line="320" w:lineRule="exact"/>
              <w:jc w:val="center"/>
              <w:rPr>
                <w:szCs w:val="21"/>
              </w:rPr>
            </w:pPr>
            <w:r>
              <w:rPr>
                <w:szCs w:val="21"/>
              </w:rPr>
              <w:t>总投资</w:t>
            </w:r>
          </w:p>
        </w:tc>
        <w:tc>
          <w:tcPr>
            <w:tcW w:w="6837" w:type="dxa"/>
            <w:vAlign w:val="center"/>
          </w:tcPr>
          <w:p>
            <w:pPr>
              <w:spacing w:line="320" w:lineRule="exact"/>
              <w:jc w:val="center"/>
              <w:rPr>
                <w:szCs w:val="21"/>
              </w:rPr>
            </w:pPr>
            <w:r>
              <w:rPr>
                <w:szCs w:val="21"/>
              </w:rPr>
              <w:t>30000万元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szCs w:val="21"/>
              </w:rPr>
            </w:pPr>
            <w:r>
              <w:rPr>
                <w:szCs w:val="21"/>
              </w:rPr>
              <w:t>7</w:t>
            </w:r>
          </w:p>
        </w:tc>
        <w:tc>
          <w:tcPr>
            <w:tcW w:w="1420" w:type="dxa"/>
            <w:vAlign w:val="center"/>
          </w:tcPr>
          <w:p>
            <w:pPr>
              <w:spacing w:line="320" w:lineRule="exact"/>
              <w:jc w:val="center"/>
              <w:rPr>
                <w:szCs w:val="21"/>
              </w:rPr>
            </w:pPr>
            <w:r>
              <w:rPr>
                <w:szCs w:val="21"/>
              </w:rPr>
              <w:t>占地面积</w:t>
            </w:r>
          </w:p>
        </w:tc>
        <w:tc>
          <w:tcPr>
            <w:tcW w:w="6837" w:type="dxa"/>
            <w:vAlign w:val="center"/>
          </w:tcPr>
          <w:p>
            <w:pPr>
              <w:spacing w:line="320" w:lineRule="exact"/>
              <w:jc w:val="center"/>
              <w:rPr>
                <w:szCs w:val="21"/>
              </w:rPr>
            </w:pPr>
            <w:r>
              <w:rPr>
                <w:szCs w:val="21"/>
              </w:rPr>
              <w:t>占地面积约76300平方米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Merge w:val="restart"/>
            <w:vAlign w:val="center"/>
          </w:tcPr>
          <w:p>
            <w:pPr>
              <w:spacing w:line="320" w:lineRule="exact"/>
              <w:jc w:val="center"/>
              <w:rPr>
                <w:szCs w:val="21"/>
              </w:rPr>
            </w:pPr>
            <w:r>
              <w:rPr>
                <w:szCs w:val="21"/>
              </w:rPr>
              <w:t>8</w:t>
            </w:r>
          </w:p>
        </w:tc>
        <w:tc>
          <w:tcPr>
            <w:tcW w:w="1420" w:type="dxa"/>
            <w:vMerge w:val="restart"/>
            <w:vAlign w:val="center"/>
          </w:tcPr>
          <w:p>
            <w:pPr>
              <w:spacing w:line="320" w:lineRule="exact"/>
              <w:jc w:val="center"/>
              <w:rPr>
                <w:szCs w:val="21"/>
              </w:rPr>
            </w:pPr>
            <w:r>
              <w:rPr>
                <w:szCs w:val="21"/>
              </w:rPr>
              <w:t>劳动定员及工作制度</w:t>
            </w:r>
          </w:p>
        </w:tc>
        <w:tc>
          <w:tcPr>
            <w:tcW w:w="6837" w:type="dxa"/>
            <w:vAlign w:val="center"/>
          </w:tcPr>
          <w:p>
            <w:pPr>
              <w:spacing w:line="320" w:lineRule="exact"/>
              <w:jc w:val="center"/>
              <w:rPr>
                <w:szCs w:val="21"/>
                <w:highlight w:val="yellow"/>
              </w:rPr>
            </w:pPr>
            <w:r>
              <w:rPr>
                <w:szCs w:val="21"/>
              </w:rPr>
              <w:t>本工程职工20人，年工作365天，每天24小时，</w:t>
            </w:r>
            <w:r>
              <w:rPr>
                <w:rFonts w:hint="eastAsia"/>
                <w:szCs w:val="21"/>
              </w:rPr>
              <w:t>三班制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Merge w:val="continue"/>
            <w:vAlign w:val="center"/>
          </w:tcPr>
          <w:p>
            <w:pPr>
              <w:spacing w:line="320" w:lineRule="exact"/>
              <w:jc w:val="center"/>
              <w:rPr>
                <w:szCs w:val="21"/>
              </w:rPr>
            </w:pPr>
          </w:p>
        </w:tc>
        <w:tc>
          <w:tcPr>
            <w:tcW w:w="1420" w:type="dxa"/>
            <w:vMerge w:val="continue"/>
            <w:vAlign w:val="center"/>
          </w:tcPr>
          <w:p>
            <w:pPr>
              <w:spacing w:line="320" w:lineRule="exact"/>
              <w:jc w:val="center"/>
              <w:rPr>
                <w:szCs w:val="21"/>
              </w:rPr>
            </w:pPr>
          </w:p>
        </w:tc>
        <w:tc>
          <w:tcPr>
            <w:tcW w:w="6837" w:type="dxa"/>
            <w:vAlign w:val="center"/>
          </w:tcPr>
          <w:p>
            <w:pPr>
              <w:spacing w:line="320" w:lineRule="exact"/>
              <w:jc w:val="center"/>
              <w:rPr>
                <w:szCs w:val="21"/>
              </w:rPr>
            </w:pPr>
            <w:r>
              <w:rPr>
                <w:rFonts w:hint="eastAsia"/>
                <w:szCs w:val="21"/>
              </w:rPr>
              <w:t>园区企业平均工作时间为3</w:t>
            </w:r>
            <w:r>
              <w:rPr>
                <w:szCs w:val="21"/>
              </w:rPr>
              <w:t>00d/a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szCs w:val="21"/>
              </w:rPr>
            </w:pPr>
            <w:r>
              <w:rPr>
                <w:szCs w:val="21"/>
              </w:rPr>
              <w:t>9</w:t>
            </w:r>
          </w:p>
        </w:tc>
        <w:tc>
          <w:tcPr>
            <w:tcW w:w="1420" w:type="dxa"/>
            <w:vAlign w:val="center"/>
          </w:tcPr>
          <w:p>
            <w:pPr>
              <w:spacing w:line="320" w:lineRule="exact"/>
              <w:jc w:val="center"/>
              <w:rPr>
                <w:szCs w:val="21"/>
              </w:rPr>
            </w:pPr>
            <w:r>
              <w:rPr>
                <w:rFonts w:hint="eastAsia"/>
                <w:szCs w:val="21"/>
              </w:rPr>
              <w:t>工程规模</w:t>
            </w:r>
          </w:p>
        </w:tc>
        <w:tc>
          <w:tcPr>
            <w:tcW w:w="6837" w:type="dxa"/>
            <w:vAlign w:val="center"/>
          </w:tcPr>
          <w:p>
            <w:pPr>
              <w:spacing w:line="320" w:lineRule="exact"/>
              <w:jc w:val="center"/>
              <w:rPr>
                <w:kern w:val="0"/>
                <w:szCs w:val="21"/>
              </w:rPr>
            </w:pPr>
            <w:r>
              <w:rPr>
                <w:rFonts w:hint="eastAsia"/>
                <w:kern w:val="0"/>
                <w:szCs w:val="21"/>
              </w:rPr>
              <w:t>1座污水处理站及其附属设施，日处理污水量为2</w:t>
            </w:r>
            <w:r>
              <w:rPr>
                <w:kern w:val="0"/>
                <w:szCs w:val="21"/>
              </w:rPr>
              <w:t>000</w:t>
            </w:r>
            <w:r>
              <w:rPr>
                <w:rFonts w:hint="eastAsia"/>
                <w:kern w:val="0"/>
                <w:szCs w:val="21"/>
              </w:rPr>
              <w:t>t/d；1</w:t>
            </w:r>
            <w:r>
              <w:rPr>
                <w:kern w:val="0"/>
                <w:szCs w:val="21"/>
              </w:rPr>
              <w:t>9</w:t>
            </w:r>
            <w:r>
              <w:rPr>
                <w:rFonts w:hint="eastAsia"/>
                <w:kern w:val="0"/>
                <w:szCs w:val="21"/>
              </w:rPr>
              <w:t>座车间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szCs w:val="21"/>
              </w:rPr>
            </w:pPr>
            <w:r>
              <w:rPr>
                <w:szCs w:val="21"/>
              </w:rPr>
              <w:t>10</w:t>
            </w:r>
          </w:p>
        </w:tc>
        <w:tc>
          <w:tcPr>
            <w:tcW w:w="1420" w:type="dxa"/>
            <w:vAlign w:val="center"/>
          </w:tcPr>
          <w:p>
            <w:pPr>
              <w:spacing w:line="320" w:lineRule="exact"/>
              <w:jc w:val="center"/>
              <w:rPr>
                <w:szCs w:val="21"/>
              </w:rPr>
            </w:pPr>
            <w:r>
              <w:rPr>
                <w:rFonts w:hint="eastAsia"/>
                <w:szCs w:val="21"/>
              </w:rPr>
              <w:t>污水处理站处理工艺</w:t>
            </w:r>
          </w:p>
        </w:tc>
        <w:tc>
          <w:tcPr>
            <w:tcW w:w="6837" w:type="dxa"/>
            <w:vAlign w:val="center"/>
          </w:tcPr>
          <w:p>
            <w:pPr>
              <w:spacing w:line="320" w:lineRule="exact"/>
              <w:jc w:val="center"/>
              <w:rPr>
                <w:kern w:val="0"/>
                <w:szCs w:val="21"/>
              </w:rPr>
            </w:pPr>
            <w:r>
              <w:rPr>
                <w:bCs/>
                <w:kern w:val="0"/>
                <w:szCs w:val="21"/>
              </w:rPr>
              <w:t>“</w:t>
            </w:r>
            <w:r>
              <w:rPr>
                <w:rFonts w:hint="eastAsia"/>
                <w:bCs/>
                <w:kern w:val="0"/>
                <w:szCs w:val="21"/>
              </w:rPr>
              <w:t>格栅+集水池+超微过滤机+初沉池+调节池+水解酸化池+厌氧池+缺氧池+好氧池+二沉池+三沉池</w:t>
            </w:r>
            <w:r>
              <w:rPr>
                <w:bCs/>
                <w:kern w:val="0"/>
                <w:szCs w:val="21"/>
              </w:rPr>
              <w:t>”工艺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szCs w:val="21"/>
              </w:rPr>
            </w:pPr>
            <w:r>
              <w:rPr>
                <w:rFonts w:hint="eastAsia"/>
                <w:szCs w:val="21"/>
              </w:rPr>
              <w:t>1</w:t>
            </w:r>
            <w:r>
              <w:rPr>
                <w:szCs w:val="21"/>
              </w:rPr>
              <w:t>1</w:t>
            </w:r>
          </w:p>
        </w:tc>
        <w:tc>
          <w:tcPr>
            <w:tcW w:w="1420" w:type="dxa"/>
            <w:vAlign w:val="center"/>
          </w:tcPr>
          <w:p>
            <w:pPr>
              <w:spacing w:line="320" w:lineRule="exact"/>
              <w:jc w:val="center"/>
              <w:rPr>
                <w:szCs w:val="21"/>
              </w:rPr>
            </w:pPr>
            <w:r>
              <w:rPr>
                <w:rFonts w:hint="eastAsia"/>
                <w:szCs w:val="21"/>
              </w:rPr>
              <w:t>服务范围</w:t>
            </w:r>
          </w:p>
        </w:tc>
        <w:tc>
          <w:tcPr>
            <w:tcW w:w="6837" w:type="dxa"/>
            <w:vAlign w:val="center"/>
          </w:tcPr>
          <w:p>
            <w:pPr>
              <w:spacing w:line="320" w:lineRule="exact"/>
              <w:jc w:val="center"/>
              <w:rPr>
                <w:kern w:val="0"/>
                <w:szCs w:val="21"/>
              </w:rPr>
            </w:pPr>
            <w:r>
              <w:rPr>
                <w:kern w:val="0"/>
                <w:szCs w:val="21"/>
              </w:rPr>
              <w:t>预制菜</w:t>
            </w:r>
            <w:r>
              <w:rPr>
                <w:rFonts w:hint="eastAsia"/>
                <w:kern w:val="0"/>
                <w:szCs w:val="21"/>
              </w:rPr>
              <w:t>创新孵化园内生产企业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szCs w:val="21"/>
              </w:rPr>
            </w:pPr>
            <w:r>
              <w:rPr>
                <w:rFonts w:hint="eastAsia"/>
                <w:szCs w:val="21"/>
              </w:rPr>
              <w:t>1</w:t>
            </w:r>
            <w:r>
              <w:rPr>
                <w:szCs w:val="21"/>
              </w:rPr>
              <w:t>2</w:t>
            </w:r>
          </w:p>
        </w:tc>
        <w:tc>
          <w:tcPr>
            <w:tcW w:w="1420" w:type="dxa"/>
            <w:vAlign w:val="center"/>
          </w:tcPr>
          <w:p>
            <w:pPr>
              <w:spacing w:line="320" w:lineRule="exact"/>
              <w:jc w:val="center"/>
              <w:rPr>
                <w:szCs w:val="21"/>
              </w:rPr>
            </w:pPr>
            <w:r>
              <w:rPr>
                <w:rFonts w:hint="eastAsia"/>
                <w:szCs w:val="21"/>
              </w:rPr>
              <w:t>排水去向</w:t>
            </w:r>
          </w:p>
        </w:tc>
        <w:tc>
          <w:tcPr>
            <w:tcW w:w="6837" w:type="dxa"/>
            <w:vAlign w:val="center"/>
          </w:tcPr>
          <w:p>
            <w:pPr>
              <w:spacing w:line="320" w:lineRule="exact"/>
              <w:jc w:val="center"/>
              <w:rPr>
                <w:kern w:val="0"/>
                <w:szCs w:val="21"/>
              </w:rPr>
            </w:pPr>
            <w:r>
              <w:rPr>
                <w:rFonts w:hint="eastAsia"/>
                <w:kern w:val="0"/>
                <w:szCs w:val="21"/>
              </w:rPr>
              <w:t>原阳县产业集聚区污水处理厂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szCs w:val="21"/>
              </w:rPr>
            </w:pPr>
            <w:r>
              <w:rPr>
                <w:rFonts w:hint="eastAsia"/>
                <w:szCs w:val="21"/>
              </w:rPr>
              <w:t>1</w:t>
            </w:r>
            <w:r>
              <w:rPr>
                <w:szCs w:val="21"/>
              </w:rPr>
              <w:t>3</w:t>
            </w:r>
          </w:p>
        </w:tc>
        <w:tc>
          <w:tcPr>
            <w:tcW w:w="1420" w:type="dxa"/>
            <w:vAlign w:val="center"/>
          </w:tcPr>
          <w:p>
            <w:pPr>
              <w:spacing w:line="320" w:lineRule="exact"/>
              <w:jc w:val="center"/>
              <w:rPr>
                <w:szCs w:val="21"/>
              </w:rPr>
            </w:pPr>
            <w:r>
              <w:rPr>
                <w:rFonts w:hint="eastAsia"/>
                <w:szCs w:val="21"/>
              </w:rPr>
              <w:t>用水</w:t>
            </w:r>
          </w:p>
        </w:tc>
        <w:tc>
          <w:tcPr>
            <w:tcW w:w="6837" w:type="dxa"/>
            <w:vAlign w:val="center"/>
          </w:tcPr>
          <w:p>
            <w:pPr>
              <w:spacing w:line="320" w:lineRule="exact"/>
              <w:jc w:val="center"/>
              <w:rPr>
                <w:kern w:val="0"/>
                <w:szCs w:val="21"/>
              </w:rPr>
            </w:pPr>
            <w:r>
              <w:rPr>
                <w:rFonts w:hint="eastAsia"/>
                <w:kern w:val="0"/>
                <w:szCs w:val="21"/>
              </w:rPr>
              <w:t>园区供水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spacing w:line="320" w:lineRule="exact"/>
              <w:jc w:val="center"/>
              <w:rPr>
                <w:szCs w:val="21"/>
              </w:rPr>
            </w:pPr>
            <w:r>
              <w:rPr>
                <w:rFonts w:hint="eastAsia"/>
                <w:szCs w:val="21"/>
              </w:rPr>
              <w:t>1</w:t>
            </w:r>
            <w:r>
              <w:rPr>
                <w:szCs w:val="21"/>
              </w:rPr>
              <w:t>4</w:t>
            </w:r>
          </w:p>
        </w:tc>
        <w:tc>
          <w:tcPr>
            <w:tcW w:w="1420" w:type="dxa"/>
            <w:vAlign w:val="center"/>
          </w:tcPr>
          <w:p>
            <w:pPr>
              <w:spacing w:line="320" w:lineRule="exact"/>
              <w:jc w:val="center"/>
              <w:rPr>
                <w:szCs w:val="21"/>
              </w:rPr>
            </w:pPr>
            <w:r>
              <w:rPr>
                <w:rFonts w:hint="eastAsia"/>
                <w:szCs w:val="21"/>
              </w:rPr>
              <w:t>用电</w:t>
            </w:r>
          </w:p>
        </w:tc>
        <w:tc>
          <w:tcPr>
            <w:tcW w:w="6837" w:type="dxa"/>
            <w:vAlign w:val="center"/>
          </w:tcPr>
          <w:p>
            <w:pPr>
              <w:spacing w:line="320" w:lineRule="exact"/>
              <w:jc w:val="center"/>
              <w:rPr>
                <w:kern w:val="0"/>
                <w:szCs w:val="21"/>
              </w:rPr>
            </w:pPr>
            <w:r>
              <w:rPr>
                <w:rFonts w:hint="eastAsia"/>
                <w:kern w:val="0"/>
                <w:szCs w:val="21"/>
              </w:rPr>
              <w:t>园区供电</w:t>
            </w:r>
          </w:p>
        </w:tc>
      </w:tr>
    </w:tbl>
    <w:p>
      <w:pPr>
        <w:keepNext/>
        <w:keepLines/>
        <w:spacing w:line="520" w:lineRule="exact"/>
        <w:outlineLvl w:val="2"/>
        <w:rPr>
          <w:rFonts w:eastAsia="黑体"/>
          <w:bCs/>
          <w:sz w:val="28"/>
          <w:szCs w:val="28"/>
        </w:rPr>
      </w:pPr>
      <w:r>
        <w:rPr>
          <w:rFonts w:eastAsia="黑体"/>
          <w:bCs/>
          <w:sz w:val="28"/>
          <w:szCs w:val="28"/>
        </w:rPr>
        <w:t>3.1.2 本次工程主要建设内容</w:t>
      </w:r>
    </w:p>
    <w:p>
      <w:pPr>
        <w:spacing w:line="520" w:lineRule="exact"/>
        <w:ind w:firstLine="480" w:firstLineChars="200"/>
        <w:rPr>
          <w:bCs/>
          <w:sz w:val="24"/>
        </w:rPr>
      </w:pPr>
      <w:r>
        <w:rPr>
          <w:bCs/>
          <w:sz w:val="24"/>
        </w:rPr>
        <w:t>本项目建设内容主要为</w:t>
      </w:r>
      <w:r>
        <w:rPr>
          <w:rFonts w:hint="eastAsia"/>
          <w:bCs/>
          <w:sz w:val="24"/>
        </w:rPr>
        <w:t>主体工程、公用工程、环保工程组成</w:t>
      </w:r>
      <w:r>
        <w:rPr>
          <w:bCs/>
          <w:sz w:val="24"/>
        </w:rPr>
        <w:t>。本次工程建设内容详见表</w:t>
      </w:r>
      <w:r>
        <w:rPr>
          <w:rFonts w:hint="eastAsia"/>
          <w:bCs/>
          <w:sz w:val="24"/>
        </w:rPr>
        <w:t>3</w:t>
      </w:r>
      <w:r>
        <w:rPr>
          <w:bCs/>
          <w:sz w:val="24"/>
        </w:rPr>
        <w:t>.1-2。</w:t>
      </w:r>
    </w:p>
    <w:p>
      <w:pPr>
        <w:snapToGrid w:val="0"/>
        <w:spacing w:line="480" w:lineRule="exact"/>
        <w:ind w:firstLine="480" w:firstLineChars="200"/>
        <w:rPr>
          <w:rFonts w:eastAsia="黑体"/>
          <w:sz w:val="24"/>
        </w:rPr>
      </w:pPr>
      <w:r>
        <w:rPr>
          <w:rFonts w:eastAsia="黑体"/>
          <w:sz w:val="24"/>
        </w:rPr>
        <w:t>表3.1-2              本次工程主要建设内容一览表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95"/>
        <w:gridCol w:w="922"/>
        <w:gridCol w:w="569"/>
        <w:gridCol w:w="1564"/>
        <w:gridCol w:w="3983"/>
        <w:gridCol w:w="12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411" w:type="dxa"/>
            <w:gridSpan w:val="2"/>
            <w:vAlign w:val="center"/>
          </w:tcPr>
          <w:p>
            <w:pPr>
              <w:jc w:val="center"/>
              <w:rPr>
                <w:b/>
                <w:bCs/>
                <w:szCs w:val="21"/>
              </w:rPr>
            </w:pPr>
            <w:r>
              <w:rPr>
                <w:b/>
                <w:bCs/>
                <w:szCs w:val="21"/>
              </w:rPr>
              <w:t>类别</w:t>
            </w:r>
          </w:p>
        </w:tc>
        <w:tc>
          <w:tcPr>
            <w:tcW w:w="566" w:type="dxa"/>
            <w:vAlign w:val="center"/>
          </w:tcPr>
          <w:p>
            <w:pPr>
              <w:jc w:val="center"/>
              <w:rPr>
                <w:b/>
                <w:bCs/>
                <w:szCs w:val="21"/>
              </w:rPr>
            </w:pPr>
            <w:r>
              <w:rPr>
                <w:b/>
                <w:bCs/>
                <w:szCs w:val="21"/>
              </w:rPr>
              <w:t>序号</w:t>
            </w:r>
          </w:p>
        </w:tc>
        <w:tc>
          <w:tcPr>
            <w:tcW w:w="1557" w:type="dxa"/>
            <w:vAlign w:val="center"/>
          </w:tcPr>
          <w:p>
            <w:pPr>
              <w:jc w:val="center"/>
              <w:rPr>
                <w:b/>
                <w:bCs/>
                <w:szCs w:val="21"/>
              </w:rPr>
            </w:pPr>
            <w:r>
              <w:rPr>
                <w:rFonts w:hint="eastAsia"/>
                <w:b/>
                <w:bCs/>
                <w:szCs w:val="21"/>
              </w:rPr>
              <w:t>工程</w:t>
            </w:r>
            <w:r>
              <w:rPr>
                <w:b/>
                <w:bCs/>
                <w:szCs w:val="21"/>
              </w:rPr>
              <w:t>名称</w:t>
            </w:r>
          </w:p>
        </w:tc>
        <w:tc>
          <w:tcPr>
            <w:tcW w:w="3965" w:type="dxa"/>
            <w:vAlign w:val="center"/>
          </w:tcPr>
          <w:p>
            <w:pPr>
              <w:jc w:val="center"/>
              <w:rPr>
                <w:b/>
                <w:bCs/>
                <w:szCs w:val="21"/>
              </w:rPr>
            </w:pPr>
            <w:r>
              <w:rPr>
                <w:b/>
                <w:bCs/>
                <w:szCs w:val="21"/>
              </w:rPr>
              <w:t>主要建设内容</w:t>
            </w:r>
          </w:p>
        </w:tc>
        <w:tc>
          <w:tcPr>
            <w:tcW w:w="1211" w:type="dxa"/>
            <w:vAlign w:val="center"/>
          </w:tcPr>
          <w:p>
            <w:pPr>
              <w:jc w:val="center"/>
              <w:rPr>
                <w:b/>
                <w:bCs/>
                <w:szCs w:val="21"/>
              </w:rPr>
            </w:pPr>
            <w:r>
              <w:rPr>
                <w:rFonts w:hint="eastAsia"/>
                <w:b/>
                <w:bCs/>
                <w:szCs w:val="21"/>
              </w:rPr>
              <w:t>结构形式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restart"/>
            <w:vAlign w:val="center"/>
          </w:tcPr>
          <w:p>
            <w:pPr>
              <w:jc w:val="center"/>
              <w:rPr>
                <w:szCs w:val="21"/>
              </w:rPr>
            </w:pPr>
            <w:r>
              <w:rPr>
                <w:szCs w:val="21"/>
              </w:rPr>
              <w:t>主体工程</w:t>
            </w:r>
          </w:p>
        </w:tc>
        <w:tc>
          <w:tcPr>
            <w:tcW w:w="918" w:type="dxa"/>
            <w:vMerge w:val="restart"/>
            <w:vAlign w:val="center"/>
          </w:tcPr>
          <w:p>
            <w:pPr>
              <w:jc w:val="center"/>
              <w:rPr>
                <w:szCs w:val="21"/>
              </w:rPr>
            </w:pPr>
            <w:r>
              <w:rPr>
                <w:rFonts w:hint="eastAsia"/>
                <w:szCs w:val="21"/>
              </w:rPr>
              <w:t>车间</w:t>
            </w:r>
          </w:p>
        </w:tc>
        <w:tc>
          <w:tcPr>
            <w:tcW w:w="566" w:type="dxa"/>
            <w:vAlign w:val="center"/>
          </w:tcPr>
          <w:p>
            <w:pPr>
              <w:widowControl/>
              <w:jc w:val="center"/>
              <w:rPr>
                <w:szCs w:val="21"/>
              </w:rPr>
            </w:pPr>
            <w:r>
              <w:rPr>
                <w:szCs w:val="21"/>
              </w:rPr>
              <w:t>1</w:t>
            </w:r>
          </w:p>
        </w:tc>
        <w:tc>
          <w:tcPr>
            <w:tcW w:w="1557" w:type="dxa"/>
            <w:vAlign w:val="center"/>
          </w:tcPr>
          <w:p>
            <w:pPr>
              <w:widowControl/>
              <w:jc w:val="center"/>
              <w:rPr>
                <w:szCs w:val="21"/>
              </w:rPr>
            </w:pPr>
            <w:r>
              <w:rPr>
                <w:rFonts w:hint="eastAsia"/>
                <w:szCs w:val="21"/>
              </w:rPr>
              <w:t>1#车间</w:t>
            </w:r>
          </w:p>
        </w:tc>
        <w:tc>
          <w:tcPr>
            <w:tcW w:w="3965" w:type="dxa"/>
            <w:vAlign w:val="center"/>
          </w:tcPr>
          <w:p>
            <w:pPr>
              <w:jc w:val="center"/>
              <w:rPr>
                <w:szCs w:val="21"/>
              </w:rPr>
            </w:pPr>
            <w:r>
              <w:rPr>
                <w:rFonts w:hint="eastAsia"/>
                <w:szCs w:val="21"/>
              </w:rPr>
              <w:t>1座，4层，</w:t>
            </w:r>
            <w:r>
              <w:rPr>
                <w:szCs w:val="21"/>
              </w:rPr>
              <w:t>建筑面积6009.42m</w:t>
            </w:r>
            <w:r>
              <w:rPr>
                <w:szCs w:val="21"/>
                <w:vertAlign w:val="superscript"/>
              </w:rPr>
              <w:t>2</w:t>
            </w:r>
          </w:p>
        </w:tc>
        <w:tc>
          <w:tcPr>
            <w:tcW w:w="1211" w:type="dxa"/>
            <w:vAlign w:val="center"/>
          </w:tcPr>
          <w:p>
            <w:pPr>
              <w:jc w:val="center"/>
              <w:rPr>
                <w:szCs w:val="21"/>
              </w:rPr>
            </w:pPr>
            <w:r>
              <w:rPr>
                <w:rFonts w:hint="eastAsia"/>
                <w:szCs w:val="21"/>
              </w:rPr>
              <w:t>框架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jc w:val="center"/>
              <w:rPr>
                <w:szCs w:val="21"/>
              </w:rPr>
            </w:pPr>
          </w:p>
        </w:tc>
        <w:tc>
          <w:tcPr>
            <w:tcW w:w="918" w:type="dxa"/>
            <w:vMerge w:val="continue"/>
            <w:vAlign w:val="center"/>
          </w:tcPr>
          <w:p>
            <w:pPr>
              <w:jc w:val="center"/>
              <w:rPr>
                <w:szCs w:val="21"/>
              </w:rPr>
            </w:pPr>
          </w:p>
        </w:tc>
        <w:tc>
          <w:tcPr>
            <w:tcW w:w="566" w:type="dxa"/>
            <w:vAlign w:val="center"/>
          </w:tcPr>
          <w:p>
            <w:pPr>
              <w:widowControl/>
              <w:jc w:val="center"/>
              <w:rPr>
                <w:szCs w:val="21"/>
              </w:rPr>
            </w:pPr>
            <w:r>
              <w:rPr>
                <w:szCs w:val="21"/>
              </w:rPr>
              <w:t>2</w:t>
            </w:r>
          </w:p>
        </w:tc>
        <w:tc>
          <w:tcPr>
            <w:tcW w:w="1557" w:type="dxa"/>
            <w:vAlign w:val="center"/>
          </w:tcPr>
          <w:p>
            <w:pPr>
              <w:widowControl/>
              <w:jc w:val="center"/>
              <w:rPr>
                <w:szCs w:val="21"/>
              </w:rPr>
            </w:pPr>
            <w:r>
              <w:rPr>
                <w:rFonts w:hint="eastAsia"/>
                <w:kern w:val="0"/>
                <w:szCs w:val="21"/>
              </w:rPr>
              <w:t>2#</w:t>
            </w:r>
            <w:r>
              <w:rPr>
                <w:rFonts w:hint="eastAsia"/>
                <w:szCs w:val="21"/>
              </w:rPr>
              <w:t>车间</w:t>
            </w:r>
          </w:p>
        </w:tc>
        <w:tc>
          <w:tcPr>
            <w:tcW w:w="3965" w:type="dxa"/>
            <w:vAlign w:val="center"/>
          </w:tcPr>
          <w:p>
            <w:pPr>
              <w:jc w:val="center"/>
              <w:rPr>
                <w:szCs w:val="21"/>
              </w:rPr>
            </w:pPr>
            <w:r>
              <w:rPr>
                <w:rFonts w:hint="eastAsia"/>
                <w:szCs w:val="21"/>
              </w:rPr>
              <w:t>1座，2层，</w:t>
            </w:r>
            <w:r>
              <w:rPr>
                <w:szCs w:val="21"/>
              </w:rPr>
              <w:t>建筑面积</w:t>
            </w:r>
            <w:r>
              <w:rPr>
                <w:rFonts w:hint="eastAsia"/>
                <w:szCs w:val="21"/>
              </w:rPr>
              <w:t>383.24</w:t>
            </w:r>
            <w:r>
              <w:rPr>
                <w:szCs w:val="21"/>
              </w:rPr>
              <w:t>m</w:t>
            </w:r>
            <w:r>
              <w:rPr>
                <w:szCs w:val="21"/>
                <w:vertAlign w:val="superscript"/>
              </w:rPr>
              <w:t>2</w:t>
            </w:r>
          </w:p>
        </w:tc>
        <w:tc>
          <w:tcPr>
            <w:tcW w:w="1211" w:type="dxa"/>
            <w:vAlign w:val="center"/>
          </w:tcPr>
          <w:p>
            <w:pPr>
              <w:jc w:val="center"/>
              <w:rPr>
                <w:szCs w:val="21"/>
              </w:rPr>
            </w:pPr>
            <w:r>
              <w:rPr>
                <w:rFonts w:hint="eastAsia"/>
                <w:szCs w:val="21"/>
              </w:rPr>
              <w:t>框架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jc w:val="center"/>
              <w:rPr>
                <w:szCs w:val="21"/>
              </w:rPr>
            </w:pPr>
          </w:p>
        </w:tc>
        <w:tc>
          <w:tcPr>
            <w:tcW w:w="918" w:type="dxa"/>
            <w:vMerge w:val="continue"/>
            <w:vAlign w:val="center"/>
          </w:tcPr>
          <w:p>
            <w:pPr>
              <w:jc w:val="center"/>
              <w:rPr>
                <w:szCs w:val="21"/>
              </w:rPr>
            </w:pPr>
          </w:p>
        </w:tc>
        <w:tc>
          <w:tcPr>
            <w:tcW w:w="566" w:type="dxa"/>
            <w:vAlign w:val="center"/>
          </w:tcPr>
          <w:p>
            <w:pPr>
              <w:widowControl/>
              <w:jc w:val="center"/>
              <w:rPr>
                <w:szCs w:val="21"/>
              </w:rPr>
            </w:pPr>
            <w:r>
              <w:rPr>
                <w:szCs w:val="21"/>
              </w:rPr>
              <w:t>3</w:t>
            </w:r>
          </w:p>
        </w:tc>
        <w:tc>
          <w:tcPr>
            <w:tcW w:w="1557" w:type="dxa"/>
            <w:vAlign w:val="center"/>
          </w:tcPr>
          <w:p>
            <w:pPr>
              <w:widowControl/>
              <w:jc w:val="center"/>
              <w:rPr>
                <w:kern w:val="0"/>
                <w:szCs w:val="21"/>
              </w:rPr>
            </w:pPr>
            <w:r>
              <w:rPr>
                <w:kern w:val="0"/>
                <w:szCs w:val="21"/>
              </w:rPr>
              <w:t>3</w:t>
            </w:r>
            <w:r>
              <w:rPr>
                <w:rFonts w:hint="eastAsia"/>
                <w:kern w:val="0"/>
                <w:szCs w:val="21"/>
              </w:rPr>
              <w:t>#</w:t>
            </w:r>
            <w:r>
              <w:rPr>
                <w:rFonts w:hint="eastAsia"/>
                <w:szCs w:val="21"/>
              </w:rPr>
              <w:t>车间</w:t>
            </w:r>
          </w:p>
        </w:tc>
        <w:tc>
          <w:tcPr>
            <w:tcW w:w="3965" w:type="dxa"/>
            <w:vAlign w:val="center"/>
          </w:tcPr>
          <w:p>
            <w:pPr>
              <w:jc w:val="center"/>
              <w:rPr>
                <w:szCs w:val="21"/>
              </w:rPr>
            </w:pPr>
            <w:r>
              <w:rPr>
                <w:rFonts w:hint="eastAsia"/>
                <w:szCs w:val="21"/>
              </w:rPr>
              <w:t>1座，</w:t>
            </w:r>
            <w:r>
              <w:rPr>
                <w:szCs w:val="21"/>
              </w:rPr>
              <w:t>4</w:t>
            </w:r>
            <w:r>
              <w:rPr>
                <w:rFonts w:hint="eastAsia"/>
                <w:szCs w:val="21"/>
              </w:rPr>
              <w:t>层，</w:t>
            </w:r>
            <w:r>
              <w:rPr>
                <w:szCs w:val="21"/>
              </w:rPr>
              <w:t>建筑面积</w:t>
            </w:r>
            <w:r>
              <w:rPr>
                <w:rFonts w:hint="eastAsia"/>
                <w:szCs w:val="21"/>
              </w:rPr>
              <w:t>8329.78</w:t>
            </w:r>
            <w:r>
              <w:rPr>
                <w:szCs w:val="21"/>
              </w:rPr>
              <w:t>m</w:t>
            </w:r>
            <w:r>
              <w:rPr>
                <w:szCs w:val="21"/>
                <w:vertAlign w:val="superscript"/>
              </w:rPr>
              <w:t>2</w:t>
            </w:r>
          </w:p>
        </w:tc>
        <w:tc>
          <w:tcPr>
            <w:tcW w:w="1211" w:type="dxa"/>
            <w:vAlign w:val="center"/>
          </w:tcPr>
          <w:p>
            <w:pPr>
              <w:jc w:val="center"/>
              <w:rPr>
                <w:szCs w:val="21"/>
              </w:rPr>
            </w:pPr>
            <w:r>
              <w:rPr>
                <w:rFonts w:hint="eastAsia"/>
                <w:szCs w:val="21"/>
              </w:rPr>
              <w:t>框架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jc w:val="center"/>
              <w:rPr>
                <w:szCs w:val="21"/>
              </w:rPr>
            </w:pPr>
          </w:p>
        </w:tc>
        <w:tc>
          <w:tcPr>
            <w:tcW w:w="918" w:type="dxa"/>
            <w:vMerge w:val="continue"/>
            <w:vAlign w:val="center"/>
          </w:tcPr>
          <w:p>
            <w:pPr>
              <w:jc w:val="center"/>
              <w:rPr>
                <w:szCs w:val="21"/>
              </w:rPr>
            </w:pPr>
          </w:p>
        </w:tc>
        <w:tc>
          <w:tcPr>
            <w:tcW w:w="566" w:type="dxa"/>
            <w:vAlign w:val="center"/>
          </w:tcPr>
          <w:p>
            <w:pPr>
              <w:widowControl/>
              <w:jc w:val="center"/>
              <w:rPr>
                <w:szCs w:val="21"/>
              </w:rPr>
            </w:pPr>
            <w:r>
              <w:rPr>
                <w:szCs w:val="21"/>
              </w:rPr>
              <w:t>4</w:t>
            </w:r>
          </w:p>
        </w:tc>
        <w:tc>
          <w:tcPr>
            <w:tcW w:w="1557" w:type="dxa"/>
            <w:vAlign w:val="center"/>
          </w:tcPr>
          <w:p>
            <w:pPr>
              <w:widowControl/>
              <w:jc w:val="center"/>
              <w:rPr>
                <w:kern w:val="0"/>
                <w:szCs w:val="21"/>
              </w:rPr>
            </w:pPr>
            <w:r>
              <w:rPr>
                <w:kern w:val="0"/>
                <w:szCs w:val="21"/>
              </w:rPr>
              <w:t>5</w:t>
            </w:r>
            <w:r>
              <w:rPr>
                <w:rFonts w:hint="eastAsia"/>
                <w:kern w:val="0"/>
                <w:szCs w:val="21"/>
              </w:rPr>
              <w:t>#</w:t>
            </w:r>
            <w:r>
              <w:rPr>
                <w:kern w:val="0"/>
                <w:szCs w:val="21"/>
              </w:rPr>
              <w:t>-8</w:t>
            </w:r>
            <w:r>
              <w:rPr>
                <w:rFonts w:hint="eastAsia"/>
                <w:kern w:val="0"/>
                <w:szCs w:val="21"/>
              </w:rPr>
              <w:t>#、</w:t>
            </w:r>
            <w:r>
              <w:rPr>
                <w:kern w:val="0"/>
                <w:szCs w:val="21"/>
              </w:rPr>
              <w:t>10</w:t>
            </w:r>
            <w:r>
              <w:rPr>
                <w:rFonts w:hint="eastAsia"/>
                <w:kern w:val="0"/>
                <w:szCs w:val="21"/>
              </w:rPr>
              <w:t>#、</w:t>
            </w:r>
            <w:r>
              <w:rPr>
                <w:kern w:val="0"/>
                <w:szCs w:val="21"/>
              </w:rPr>
              <w:t>11</w:t>
            </w:r>
            <w:r>
              <w:rPr>
                <w:rFonts w:hint="eastAsia"/>
                <w:kern w:val="0"/>
                <w:szCs w:val="21"/>
              </w:rPr>
              <w:t>#</w:t>
            </w:r>
            <w:r>
              <w:rPr>
                <w:rFonts w:hint="eastAsia"/>
                <w:szCs w:val="21"/>
              </w:rPr>
              <w:t>车间</w:t>
            </w:r>
          </w:p>
        </w:tc>
        <w:tc>
          <w:tcPr>
            <w:tcW w:w="3965" w:type="dxa"/>
            <w:vAlign w:val="center"/>
          </w:tcPr>
          <w:p>
            <w:pPr>
              <w:jc w:val="center"/>
              <w:rPr>
                <w:szCs w:val="21"/>
              </w:rPr>
            </w:pPr>
            <w:r>
              <w:rPr>
                <w:rFonts w:hint="eastAsia"/>
                <w:szCs w:val="21"/>
              </w:rPr>
              <w:t>8座，2层，每座建筑面积</w:t>
            </w:r>
            <w:r>
              <w:rPr>
                <w:szCs w:val="21"/>
              </w:rPr>
              <w:t>3818.62</w:t>
            </w:r>
            <w:r>
              <w:rPr>
                <w:rFonts w:hint="eastAsia"/>
                <w:szCs w:val="21"/>
              </w:rPr>
              <w:t>m</w:t>
            </w:r>
            <w:r>
              <w:rPr>
                <w:rFonts w:hint="eastAsia"/>
                <w:szCs w:val="21"/>
                <w:vertAlign w:val="superscript"/>
              </w:rPr>
              <w:t>2</w:t>
            </w:r>
          </w:p>
        </w:tc>
        <w:tc>
          <w:tcPr>
            <w:tcW w:w="1211" w:type="dxa"/>
            <w:vAlign w:val="center"/>
          </w:tcPr>
          <w:p>
            <w:pPr>
              <w:jc w:val="center"/>
              <w:rPr>
                <w:szCs w:val="21"/>
              </w:rPr>
            </w:pPr>
            <w:r>
              <w:rPr>
                <w:rFonts w:hint="eastAsia"/>
                <w:szCs w:val="21"/>
              </w:rPr>
              <w:t>框架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jc w:val="center"/>
              <w:rPr>
                <w:szCs w:val="21"/>
              </w:rPr>
            </w:pPr>
          </w:p>
        </w:tc>
        <w:tc>
          <w:tcPr>
            <w:tcW w:w="918" w:type="dxa"/>
            <w:vMerge w:val="continue"/>
            <w:vAlign w:val="center"/>
          </w:tcPr>
          <w:p>
            <w:pPr>
              <w:jc w:val="center"/>
              <w:rPr>
                <w:szCs w:val="21"/>
              </w:rPr>
            </w:pPr>
          </w:p>
        </w:tc>
        <w:tc>
          <w:tcPr>
            <w:tcW w:w="566" w:type="dxa"/>
            <w:vAlign w:val="center"/>
          </w:tcPr>
          <w:p>
            <w:pPr>
              <w:widowControl/>
              <w:jc w:val="center"/>
              <w:rPr>
                <w:szCs w:val="21"/>
              </w:rPr>
            </w:pPr>
            <w:r>
              <w:rPr>
                <w:rFonts w:hint="eastAsia"/>
                <w:szCs w:val="21"/>
              </w:rPr>
              <w:t>5</w:t>
            </w:r>
          </w:p>
        </w:tc>
        <w:tc>
          <w:tcPr>
            <w:tcW w:w="1557" w:type="dxa"/>
            <w:vAlign w:val="center"/>
          </w:tcPr>
          <w:p>
            <w:pPr>
              <w:widowControl/>
              <w:jc w:val="center"/>
              <w:rPr>
                <w:kern w:val="0"/>
                <w:szCs w:val="21"/>
              </w:rPr>
            </w:pPr>
            <w:r>
              <w:rPr>
                <w:szCs w:val="21"/>
              </w:rPr>
              <w:t>12</w:t>
            </w:r>
            <w:r>
              <w:rPr>
                <w:rFonts w:hint="eastAsia"/>
                <w:szCs w:val="21"/>
              </w:rPr>
              <w:t>#、1</w:t>
            </w:r>
            <w:r>
              <w:rPr>
                <w:szCs w:val="21"/>
              </w:rPr>
              <w:t>3</w:t>
            </w:r>
            <w:r>
              <w:rPr>
                <w:rFonts w:hint="eastAsia"/>
                <w:szCs w:val="21"/>
              </w:rPr>
              <w:t>#车间</w:t>
            </w:r>
          </w:p>
        </w:tc>
        <w:tc>
          <w:tcPr>
            <w:tcW w:w="3965" w:type="dxa"/>
            <w:vAlign w:val="center"/>
          </w:tcPr>
          <w:p>
            <w:pPr>
              <w:jc w:val="center"/>
              <w:rPr>
                <w:szCs w:val="21"/>
              </w:rPr>
            </w:pPr>
            <w:r>
              <w:rPr>
                <w:szCs w:val="21"/>
              </w:rPr>
              <w:t>2</w:t>
            </w:r>
            <w:r>
              <w:rPr>
                <w:rFonts w:hint="eastAsia"/>
                <w:szCs w:val="21"/>
              </w:rPr>
              <w:t>座，2层，每座建筑面积</w:t>
            </w:r>
            <w:r>
              <w:rPr>
                <w:szCs w:val="21"/>
              </w:rPr>
              <w:t>7636.6</w:t>
            </w:r>
            <w:r>
              <w:rPr>
                <w:rFonts w:hint="eastAsia"/>
                <w:szCs w:val="21"/>
              </w:rPr>
              <w:t>m</w:t>
            </w:r>
            <w:r>
              <w:rPr>
                <w:rFonts w:hint="eastAsia"/>
                <w:szCs w:val="21"/>
                <w:vertAlign w:val="superscript"/>
              </w:rPr>
              <w:t>2</w:t>
            </w:r>
          </w:p>
        </w:tc>
        <w:tc>
          <w:tcPr>
            <w:tcW w:w="1211" w:type="dxa"/>
            <w:vAlign w:val="center"/>
          </w:tcPr>
          <w:p>
            <w:pPr>
              <w:jc w:val="center"/>
              <w:rPr>
                <w:szCs w:val="21"/>
              </w:rPr>
            </w:pPr>
            <w:r>
              <w:rPr>
                <w:rFonts w:hint="eastAsia"/>
                <w:szCs w:val="21"/>
              </w:rPr>
              <w:t>框架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jc w:val="center"/>
              <w:rPr>
                <w:szCs w:val="21"/>
              </w:rPr>
            </w:pPr>
          </w:p>
        </w:tc>
        <w:tc>
          <w:tcPr>
            <w:tcW w:w="918" w:type="dxa"/>
            <w:vMerge w:val="continue"/>
            <w:vAlign w:val="center"/>
          </w:tcPr>
          <w:p>
            <w:pPr>
              <w:jc w:val="center"/>
              <w:rPr>
                <w:szCs w:val="21"/>
              </w:rPr>
            </w:pPr>
          </w:p>
        </w:tc>
        <w:tc>
          <w:tcPr>
            <w:tcW w:w="566" w:type="dxa"/>
            <w:vAlign w:val="center"/>
          </w:tcPr>
          <w:p>
            <w:pPr>
              <w:widowControl/>
              <w:jc w:val="center"/>
              <w:rPr>
                <w:szCs w:val="21"/>
              </w:rPr>
            </w:pPr>
            <w:r>
              <w:rPr>
                <w:rFonts w:hint="eastAsia"/>
                <w:szCs w:val="21"/>
              </w:rPr>
              <w:t>6</w:t>
            </w:r>
          </w:p>
        </w:tc>
        <w:tc>
          <w:tcPr>
            <w:tcW w:w="1557" w:type="dxa"/>
            <w:vAlign w:val="center"/>
          </w:tcPr>
          <w:p>
            <w:pPr>
              <w:widowControl/>
              <w:jc w:val="center"/>
              <w:rPr>
                <w:kern w:val="0"/>
                <w:szCs w:val="21"/>
              </w:rPr>
            </w:pPr>
            <w:r>
              <w:rPr>
                <w:rFonts w:hint="eastAsia"/>
                <w:bCs/>
                <w:szCs w:val="21"/>
              </w:rPr>
              <w:t>1</w:t>
            </w:r>
            <w:r>
              <w:rPr>
                <w:bCs/>
                <w:szCs w:val="21"/>
              </w:rPr>
              <w:t>5</w:t>
            </w:r>
            <w:r>
              <w:rPr>
                <w:rFonts w:hint="eastAsia"/>
                <w:bCs/>
                <w:szCs w:val="21"/>
              </w:rPr>
              <w:t>#-17#、20#车间</w:t>
            </w:r>
          </w:p>
        </w:tc>
        <w:tc>
          <w:tcPr>
            <w:tcW w:w="3965" w:type="dxa"/>
            <w:vAlign w:val="center"/>
          </w:tcPr>
          <w:p>
            <w:pPr>
              <w:jc w:val="center"/>
              <w:rPr>
                <w:szCs w:val="21"/>
              </w:rPr>
            </w:pPr>
            <w:r>
              <w:rPr>
                <w:rFonts w:hint="eastAsia"/>
                <w:kern w:val="0"/>
                <w:szCs w:val="21"/>
              </w:rPr>
              <w:t>4座，</w:t>
            </w:r>
            <w:r>
              <w:rPr>
                <w:szCs w:val="21"/>
              </w:rPr>
              <w:t>2</w:t>
            </w:r>
            <w:r>
              <w:rPr>
                <w:rFonts w:hint="eastAsia"/>
                <w:szCs w:val="21"/>
              </w:rPr>
              <w:t>层，建筑面积3903.06m</w:t>
            </w:r>
            <w:r>
              <w:rPr>
                <w:rFonts w:hint="eastAsia"/>
                <w:szCs w:val="21"/>
                <w:vertAlign w:val="superscript"/>
              </w:rPr>
              <w:t>2</w:t>
            </w:r>
          </w:p>
        </w:tc>
        <w:tc>
          <w:tcPr>
            <w:tcW w:w="1211" w:type="dxa"/>
            <w:vAlign w:val="center"/>
          </w:tcPr>
          <w:p>
            <w:pPr>
              <w:jc w:val="center"/>
              <w:rPr>
                <w:szCs w:val="21"/>
              </w:rPr>
            </w:pPr>
            <w:r>
              <w:rPr>
                <w:rFonts w:hint="eastAsia"/>
                <w:szCs w:val="21"/>
              </w:rPr>
              <w:t>框架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jc w:val="center"/>
              <w:rPr>
                <w:szCs w:val="21"/>
              </w:rPr>
            </w:pPr>
          </w:p>
        </w:tc>
        <w:tc>
          <w:tcPr>
            <w:tcW w:w="918" w:type="dxa"/>
            <w:vMerge w:val="continue"/>
            <w:vAlign w:val="center"/>
          </w:tcPr>
          <w:p>
            <w:pPr>
              <w:jc w:val="center"/>
              <w:rPr>
                <w:szCs w:val="21"/>
              </w:rPr>
            </w:pPr>
          </w:p>
        </w:tc>
        <w:tc>
          <w:tcPr>
            <w:tcW w:w="566" w:type="dxa"/>
            <w:vAlign w:val="center"/>
          </w:tcPr>
          <w:p>
            <w:pPr>
              <w:widowControl/>
              <w:jc w:val="center"/>
              <w:rPr>
                <w:szCs w:val="21"/>
              </w:rPr>
            </w:pPr>
            <w:r>
              <w:rPr>
                <w:rFonts w:hint="eastAsia"/>
                <w:szCs w:val="21"/>
              </w:rPr>
              <w:t>7</w:t>
            </w:r>
          </w:p>
        </w:tc>
        <w:tc>
          <w:tcPr>
            <w:tcW w:w="1557" w:type="dxa"/>
            <w:vAlign w:val="center"/>
          </w:tcPr>
          <w:p>
            <w:pPr>
              <w:widowControl/>
              <w:jc w:val="center"/>
              <w:rPr>
                <w:szCs w:val="21"/>
              </w:rPr>
            </w:pPr>
            <w:r>
              <w:rPr>
                <w:bCs/>
                <w:szCs w:val="21"/>
              </w:rPr>
              <w:t>18#</w:t>
            </w:r>
            <w:r>
              <w:rPr>
                <w:rFonts w:hint="eastAsia"/>
                <w:bCs/>
                <w:szCs w:val="21"/>
              </w:rPr>
              <w:t>车间</w:t>
            </w:r>
          </w:p>
        </w:tc>
        <w:tc>
          <w:tcPr>
            <w:tcW w:w="3965" w:type="dxa"/>
            <w:vAlign w:val="center"/>
          </w:tcPr>
          <w:p>
            <w:pPr>
              <w:jc w:val="center"/>
              <w:rPr>
                <w:szCs w:val="21"/>
              </w:rPr>
            </w:pPr>
            <w:r>
              <w:rPr>
                <w:kern w:val="0"/>
                <w:szCs w:val="21"/>
              </w:rPr>
              <w:t>1</w:t>
            </w:r>
            <w:r>
              <w:rPr>
                <w:rFonts w:hint="eastAsia"/>
                <w:kern w:val="0"/>
                <w:szCs w:val="21"/>
              </w:rPr>
              <w:t>座，</w:t>
            </w:r>
            <w:r>
              <w:rPr>
                <w:szCs w:val="21"/>
              </w:rPr>
              <w:t>1</w:t>
            </w:r>
            <w:r>
              <w:rPr>
                <w:rFonts w:hint="eastAsia"/>
                <w:szCs w:val="21"/>
              </w:rPr>
              <w:t>层，建筑面积</w:t>
            </w:r>
            <w:r>
              <w:rPr>
                <w:szCs w:val="21"/>
              </w:rPr>
              <w:t>3464.03</w:t>
            </w:r>
            <w:r>
              <w:rPr>
                <w:rFonts w:hint="eastAsia"/>
                <w:szCs w:val="21"/>
              </w:rPr>
              <w:t>m</w:t>
            </w:r>
            <w:r>
              <w:rPr>
                <w:rFonts w:hint="eastAsia"/>
                <w:szCs w:val="21"/>
                <w:vertAlign w:val="superscript"/>
              </w:rPr>
              <w:t>2</w:t>
            </w:r>
          </w:p>
        </w:tc>
        <w:tc>
          <w:tcPr>
            <w:tcW w:w="1211" w:type="dxa"/>
            <w:vAlign w:val="center"/>
          </w:tcPr>
          <w:p>
            <w:pPr>
              <w:jc w:val="center"/>
              <w:rPr>
                <w:szCs w:val="21"/>
              </w:rPr>
            </w:pPr>
            <w:r>
              <w:rPr>
                <w:rFonts w:hint="eastAsia"/>
                <w:szCs w:val="21"/>
              </w:rPr>
              <w:t>框架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rPr>
            </w:pPr>
          </w:p>
        </w:tc>
        <w:tc>
          <w:tcPr>
            <w:tcW w:w="566" w:type="dxa"/>
            <w:vAlign w:val="center"/>
          </w:tcPr>
          <w:p>
            <w:pPr>
              <w:widowControl/>
              <w:jc w:val="center"/>
              <w:rPr>
                <w:szCs w:val="21"/>
              </w:rPr>
            </w:pPr>
            <w:r>
              <w:rPr>
                <w:rFonts w:hint="eastAsia"/>
                <w:szCs w:val="21"/>
              </w:rPr>
              <w:t>8</w:t>
            </w:r>
          </w:p>
        </w:tc>
        <w:tc>
          <w:tcPr>
            <w:tcW w:w="1557" w:type="dxa"/>
            <w:vAlign w:val="center"/>
          </w:tcPr>
          <w:p>
            <w:pPr>
              <w:jc w:val="center"/>
              <w:rPr>
                <w:kern w:val="0"/>
                <w:szCs w:val="21"/>
              </w:rPr>
            </w:pPr>
            <w:r>
              <w:rPr>
                <w:bCs/>
                <w:szCs w:val="21"/>
              </w:rPr>
              <w:t>19#</w:t>
            </w:r>
            <w:r>
              <w:rPr>
                <w:rFonts w:hint="eastAsia"/>
                <w:bCs/>
                <w:szCs w:val="21"/>
              </w:rPr>
              <w:t>车间</w:t>
            </w:r>
          </w:p>
        </w:tc>
        <w:tc>
          <w:tcPr>
            <w:tcW w:w="3965" w:type="dxa"/>
            <w:vAlign w:val="center"/>
          </w:tcPr>
          <w:p>
            <w:pPr>
              <w:jc w:val="center"/>
              <w:rPr>
                <w:szCs w:val="21"/>
              </w:rPr>
            </w:pPr>
            <w:r>
              <w:rPr>
                <w:kern w:val="0"/>
                <w:szCs w:val="21"/>
              </w:rPr>
              <w:t>1</w:t>
            </w:r>
            <w:r>
              <w:rPr>
                <w:rFonts w:hint="eastAsia"/>
                <w:kern w:val="0"/>
                <w:szCs w:val="21"/>
              </w:rPr>
              <w:t>座，</w:t>
            </w:r>
            <w:r>
              <w:rPr>
                <w:szCs w:val="21"/>
              </w:rPr>
              <w:t>1</w:t>
            </w:r>
            <w:r>
              <w:rPr>
                <w:rFonts w:hint="eastAsia"/>
                <w:szCs w:val="21"/>
              </w:rPr>
              <w:t>层，建筑面积</w:t>
            </w:r>
            <w:r>
              <w:rPr>
                <w:szCs w:val="21"/>
              </w:rPr>
              <w:t>2626.23</w:t>
            </w:r>
            <w:r>
              <w:rPr>
                <w:rFonts w:hint="eastAsia"/>
                <w:szCs w:val="21"/>
              </w:rPr>
              <w:t>m</w:t>
            </w:r>
            <w:r>
              <w:rPr>
                <w:rFonts w:hint="eastAsia"/>
                <w:szCs w:val="21"/>
                <w:vertAlign w:val="superscript"/>
              </w:rPr>
              <w:t>2</w:t>
            </w:r>
          </w:p>
        </w:tc>
        <w:tc>
          <w:tcPr>
            <w:tcW w:w="1211" w:type="dxa"/>
            <w:vAlign w:val="center"/>
          </w:tcPr>
          <w:p>
            <w:pPr>
              <w:jc w:val="center"/>
              <w:rPr>
                <w:szCs w:val="21"/>
              </w:rPr>
            </w:pPr>
            <w:r>
              <w:rPr>
                <w:rFonts w:hint="eastAsia"/>
                <w:szCs w:val="21"/>
              </w:rPr>
              <w:t>框架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rPr>
            </w:pPr>
          </w:p>
        </w:tc>
        <w:tc>
          <w:tcPr>
            <w:tcW w:w="566" w:type="dxa"/>
            <w:vAlign w:val="center"/>
          </w:tcPr>
          <w:p>
            <w:pPr>
              <w:widowControl/>
              <w:jc w:val="center"/>
              <w:rPr>
                <w:szCs w:val="21"/>
              </w:rPr>
            </w:pPr>
            <w:r>
              <w:rPr>
                <w:rFonts w:hint="eastAsia"/>
                <w:szCs w:val="21"/>
              </w:rPr>
              <w:t>9</w:t>
            </w:r>
          </w:p>
        </w:tc>
        <w:tc>
          <w:tcPr>
            <w:tcW w:w="1557" w:type="dxa"/>
            <w:vAlign w:val="center"/>
          </w:tcPr>
          <w:p>
            <w:pPr>
              <w:jc w:val="center"/>
              <w:rPr>
                <w:bCs/>
                <w:szCs w:val="21"/>
              </w:rPr>
            </w:pPr>
            <w:r>
              <w:rPr>
                <w:rFonts w:hint="eastAsia"/>
                <w:kern w:val="0"/>
                <w:szCs w:val="21"/>
              </w:rPr>
              <w:t>2</w:t>
            </w:r>
            <w:r>
              <w:rPr>
                <w:kern w:val="0"/>
                <w:szCs w:val="21"/>
              </w:rPr>
              <w:t>1</w:t>
            </w:r>
            <w:r>
              <w:rPr>
                <w:rFonts w:hint="eastAsia"/>
                <w:kern w:val="0"/>
                <w:szCs w:val="21"/>
              </w:rPr>
              <w:t>#</w:t>
            </w:r>
            <w:r>
              <w:rPr>
                <w:rFonts w:hint="eastAsia"/>
                <w:bCs/>
                <w:szCs w:val="21"/>
              </w:rPr>
              <w:t>车间</w:t>
            </w:r>
          </w:p>
        </w:tc>
        <w:tc>
          <w:tcPr>
            <w:tcW w:w="3965" w:type="dxa"/>
            <w:vAlign w:val="center"/>
          </w:tcPr>
          <w:p>
            <w:pPr>
              <w:jc w:val="center"/>
              <w:rPr>
                <w:kern w:val="0"/>
                <w:szCs w:val="21"/>
              </w:rPr>
            </w:pPr>
            <w:r>
              <w:rPr>
                <w:kern w:val="0"/>
                <w:szCs w:val="21"/>
              </w:rPr>
              <w:t>1</w:t>
            </w:r>
            <w:r>
              <w:rPr>
                <w:rFonts w:hint="eastAsia"/>
                <w:kern w:val="0"/>
                <w:szCs w:val="21"/>
              </w:rPr>
              <w:t>座，</w:t>
            </w:r>
            <w:r>
              <w:rPr>
                <w:rFonts w:hint="eastAsia"/>
                <w:szCs w:val="21"/>
              </w:rPr>
              <w:t>4层，建筑面积13382.05m</w:t>
            </w:r>
            <w:r>
              <w:rPr>
                <w:rFonts w:hint="eastAsia"/>
                <w:szCs w:val="21"/>
                <w:vertAlign w:val="superscript"/>
              </w:rPr>
              <w:t>2</w:t>
            </w:r>
          </w:p>
        </w:tc>
        <w:tc>
          <w:tcPr>
            <w:tcW w:w="1211" w:type="dxa"/>
            <w:vAlign w:val="center"/>
          </w:tcPr>
          <w:p>
            <w:pPr>
              <w:jc w:val="center"/>
              <w:rPr>
                <w:szCs w:val="21"/>
              </w:rPr>
            </w:pPr>
            <w:r>
              <w:rPr>
                <w:rFonts w:hint="eastAsia"/>
                <w:szCs w:val="21"/>
              </w:rPr>
              <w:t>框架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rPr>
            </w:pPr>
          </w:p>
        </w:tc>
        <w:tc>
          <w:tcPr>
            <w:tcW w:w="566" w:type="dxa"/>
            <w:vAlign w:val="center"/>
          </w:tcPr>
          <w:p>
            <w:pPr>
              <w:widowControl/>
              <w:jc w:val="center"/>
              <w:rPr>
                <w:szCs w:val="21"/>
              </w:rPr>
            </w:pPr>
            <w:r>
              <w:rPr>
                <w:rFonts w:hint="eastAsia"/>
                <w:szCs w:val="21"/>
              </w:rPr>
              <w:t>1</w:t>
            </w:r>
            <w:r>
              <w:rPr>
                <w:szCs w:val="21"/>
              </w:rPr>
              <w:t>0</w:t>
            </w:r>
          </w:p>
        </w:tc>
        <w:tc>
          <w:tcPr>
            <w:tcW w:w="1557" w:type="dxa"/>
            <w:vAlign w:val="center"/>
          </w:tcPr>
          <w:p>
            <w:pPr>
              <w:jc w:val="center"/>
              <w:rPr>
                <w:bCs/>
                <w:szCs w:val="21"/>
              </w:rPr>
            </w:pPr>
            <w:r>
              <w:rPr>
                <w:bCs/>
                <w:szCs w:val="21"/>
              </w:rPr>
              <w:t>22#</w:t>
            </w:r>
            <w:r>
              <w:rPr>
                <w:rFonts w:hint="eastAsia"/>
                <w:bCs/>
                <w:szCs w:val="21"/>
              </w:rPr>
              <w:t>车间</w:t>
            </w:r>
          </w:p>
        </w:tc>
        <w:tc>
          <w:tcPr>
            <w:tcW w:w="3965" w:type="dxa"/>
            <w:vAlign w:val="center"/>
          </w:tcPr>
          <w:p>
            <w:pPr>
              <w:jc w:val="center"/>
              <w:rPr>
                <w:kern w:val="0"/>
                <w:szCs w:val="21"/>
              </w:rPr>
            </w:pPr>
            <w:r>
              <w:rPr>
                <w:kern w:val="0"/>
                <w:szCs w:val="21"/>
              </w:rPr>
              <w:t>1</w:t>
            </w:r>
            <w:r>
              <w:rPr>
                <w:rFonts w:hint="eastAsia"/>
                <w:kern w:val="0"/>
                <w:szCs w:val="21"/>
              </w:rPr>
              <w:t>座，</w:t>
            </w:r>
            <w:r>
              <w:rPr>
                <w:szCs w:val="21"/>
              </w:rPr>
              <w:t>2</w:t>
            </w:r>
            <w:r>
              <w:rPr>
                <w:rFonts w:hint="eastAsia"/>
                <w:szCs w:val="21"/>
              </w:rPr>
              <w:t>层，建筑面积</w:t>
            </w:r>
            <w:r>
              <w:rPr>
                <w:szCs w:val="21"/>
              </w:rPr>
              <w:t>40</w:t>
            </w:r>
            <w:r>
              <w:rPr>
                <w:rFonts w:hint="eastAsia"/>
                <w:szCs w:val="21"/>
              </w:rPr>
              <w:t>15.18m</w:t>
            </w:r>
            <w:r>
              <w:rPr>
                <w:rFonts w:hint="eastAsia"/>
                <w:szCs w:val="21"/>
                <w:vertAlign w:val="superscript"/>
              </w:rPr>
              <w:t>2</w:t>
            </w:r>
          </w:p>
        </w:tc>
        <w:tc>
          <w:tcPr>
            <w:tcW w:w="1211" w:type="dxa"/>
            <w:vAlign w:val="center"/>
          </w:tcPr>
          <w:p>
            <w:pPr>
              <w:jc w:val="center"/>
              <w:rPr>
                <w:szCs w:val="21"/>
                <w:highlight w:val="yellow"/>
              </w:rPr>
            </w:pPr>
            <w:r>
              <w:rPr>
                <w:rFonts w:hint="eastAsia"/>
                <w:szCs w:val="21"/>
              </w:rPr>
              <w:t>框架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restart"/>
            <w:vAlign w:val="center"/>
          </w:tcPr>
          <w:p>
            <w:pPr>
              <w:widowControl/>
              <w:jc w:val="center"/>
              <w:rPr>
                <w:szCs w:val="21"/>
                <w:highlight w:val="yellow"/>
              </w:rPr>
            </w:pPr>
            <w:r>
              <w:rPr>
                <w:rFonts w:hint="eastAsia"/>
                <w:szCs w:val="21"/>
              </w:rPr>
              <w:t>污水处理站</w:t>
            </w:r>
          </w:p>
        </w:tc>
        <w:tc>
          <w:tcPr>
            <w:tcW w:w="566" w:type="dxa"/>
            <w:vAlign w:val="center"/>
          </w:tcPr>
          <w:p>
            <w:pPr>
              <w:widowControl/>
              <w:jc w:val="center"/>
              <w:rPr>
                <w:szCs w:val="21"/>
              </w:rPr>
            </w:pPr>
            <w:r>
              <w:rPr>
                <w:rFonts w:hint="eastAsia"/>
                <w:szCs w:val="21"/>
              </w:rPr>
              <w:t>1</w:t>
            </w:r>
          </w:p>
        </w:tc>
        <w:tc>
          <w:tcPr>
            <w:tcW w:w="1557" w:type="dxa"/>
            <w:vAlign w:val="center"/>
          </w:tcPr>
          <w:p>
            <w:pPr>
              <w:jc w:val="center"/>
              <w:rPr>
                <w:bCs/>
                <w:szCs w:val="21"/>
                <w:highlight w:val="yellow"/>
              </w:rPr>
            </w:pPr>
            <w:r>
              <w:t>格栅</w:t>
            </w:r>
            <w:r>
              <w:rPr>
                <w:rFonts w:hint="eastAsia"/>
              </w:rPr>
              <w:t>渠</w:t>
            </w:r>
          </w:p>
        </w:tc>
        <w:tc>
          <w:tcPr>
            <w:tcW w:w="3965" w:type="dxa"/>
            <w:vAlign w:val="center"/>
          </w:tcPr>
          <w:p>
            <w:pPr>
              <w:jc w:val="center"/>
              <w:rPr>
                <w:kern w:val="0"/>
                <w:szCs w:val="21"/>
                <w:highlight w:val="yellow"/>
              </w:rPr>
            </w:pPr>
            <w:r>
              <w:t>设置1</w:t>
            </w:r>
            <w:r>
              <w:rPr>
                <w:rFonts w:hint="eastAsia"/>
              </w:rPr>
              <w:t>套</w:t>
            </w:r>
            <w:r>
              <w:t>，栅条间隙为3mm，构筑物尺寸：4.5m×1.2m×2.3m</w:t>
            </w:r>
          </w:p>
        </w:tc>
        <w:tc>
          <w:tcPr>
            <w:tcW w:w="1211" w:type="dxa"/>
            <w:vAlign w:val="center"/>
          </w:tcPr>
          <w:p>
            <w:pPr>
              <w:jc w:val="center"/>
              <w:rPr>
                <w:szCs w:val="21"/>
                <w:highlight w:val="yellow"/>
              </w:rPr>
            </w:pPr>
            <w:r>
              <w:rPr>
                <w:rFonts w:hint="eastAsia"/>
              </w:rPr>
              <w:t>钢砼</w:t>
            </w:r>
            <w:r>
              <w:t>（地下）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rPr>
            </w:pPr>
          </w:p>
        </w:tc>
        <w:tc>
          <w:tcPr>
            <w:tcW w:w="566" w:type="dxa"/>
            <w:vAlign w:val="center"/>
          </w:tcPr>
          <w:p>
            <w:pPr>
              <w:widowControl/>
              <w:jc w:val="center"/>
              <w:rPr>
                <w:szCs w:val="21"/>
              </w:rPr>
            </w:pPr>
            <w:r>
              <w:rPr>
                <w:rFonts w:hint="eastAsia"/>
                <w:szCs w:val="21"/>
              </w:rPr>
              <w:t>2</w:t>
            </w:r>
          </w:p>
        </w:tc>
        <w:tc>
          <w:tcPr>
            <w:tcW w:w="1557" w:type="dxa"/>
            <w:vAlign w:val="center"/>
          </w:tcPr>
          <w:p>
            <w:pPr>
              <w:jc w:val="center"/>
            </w:pPr>
            <w:r>
              <w:rPr>
                <w:rFonts w:hint="eastAsia"/>
              </w:rPr>
              <w:t>集水池</w:t>
            </w:r>
          </w:p>
        </w:tc>
        <w:tc>
          <w:tcPr>
            <w:tcW w:w="3965" w:type="dxa"/>
            <w:vAlign w:val="center"/>
          </w:tcPr>
          <w:p>
            <w:pPr>
              <w:jc w:val="center"/>
            </w:pPr>
            <w:r>
              <w:t>1座，构筑物尺寸为</w:t>
            </w:r>
            <w:r>
              <w:rPr>
                <w:rFonts w:hint="eastAsia"/>
              </w:rPr>
              <w:t>15.</w:t>
            </w:r>
            <w:r>
              <w:t>6m</w:t>
            </w:r>
            <w:r>
              <w:rPr>
                <w:rFonts w:hint="eastAsia"/>
              </w:rPr>
              <w:t>×7</w:t>
            </w:r>
            <w:r>
              <w:t>m</w:t>
            </w:r>
            <w:r>
              <w:rPr>
                <w:rFonts w:hint="eastAsia"/>
              </w:rPr>
              <w:t>×3.3</w:t>
            </w:r>
            <w:r>
              <w:t>m</w:t>
            </w:r>
          </w:p>
        </w:tc>
        <w:tc>
          <w:tcPr>
            <w:tcW w:w="1211" w:type="dxa"/>
            <w:vAlign w:val="center"/>
          </w:tcPr>
          <w:p>
            <w:pPr>
              <w:jc w:val="center"/>
            </w:pPr>
            <w:r>
              <w:rPr>
                <w:rFonts w:hint="eastAsia"/>
              </w:rPr>
              <w:t>钢砼</w:t>
            </w:r>
            <w:r>
              <w:t>（地下）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rPr>
            </w:pPr>
          </w:p>
        </w:tc>
        <w:tc>
          <w:tcPr>
            <w:tcW w:w="566" w:type="dxa"/>
            <w:vAlign w:val="center"/>
          </w:tcPr>
          <w:p>
            <w:pPr>
              <w:widowControl/>
              <w:jc w:val="center"/>
              <w:rPr>
                <w:szCs w:val="21"/>
              </w:rPr>
            </w:pPr>
            <w:r>
              <w:rPr>
                <w:szCs w:val="21"/>
              </w:rPr>
              <w:t>3</w:t>
            </w:r>
          </w:p>
        </w:tc>
        <w:tc>
          <w:tcPr>
            <w:tcW w:w="1557" w:type="dxa"/>
            <w:vAlign w:val="center"/>
          </w:tcPr>
          <w:p>
            <w:pPr>
              <w:jc w:val="center"/>
            </w:pPr>
            <w:r>
              <w:rPr>
                <w:rFonts w:hint="eastAsia"/>
              </w:rPr>
              <w:t>污泥池</w:t>
            </w:r>
          </w:p>
        </w:tc>
        <w:tc>
          <w:tcPr>
            <w:tcW w:w="3965" w:type="dxa"/>
            <w:vAlign w:val="center"/>
          </w:tcPr>
          <w:p>
            <w:pPr>
              <w:jc w:val="center"/>
            </w:pPr>
            <w:r>
              <w:t>1座，构筑物尺寸为7m</w:t>
            </w:r>
            <w:r>
              <w:rPr>
                <w:rFonts w:hint="eastAsia"/>
              </w:rPr>
              <w:t>×</w:t>
            </w:r>
            <w:r>
              <w:t>6m</w:t>
            </w:r>
            <w:r>
              <w:rPr>
                <w:rFonts w:hint="eastAsia"/>
              </w:rPr>
              <w:t>×</w:t>
            </w:r>
            <w:r>
              <w:t>7m</w:t>
            </w:r>
          </w:p>
        </w:tc>
        <w:tc>
          <w:tcPr>
            <w:tcW w:w="1211" w:type="dxa"/>
            <w:vAlign w:val="center"/>
          </w:tcPr>
          <w:p>
            <w:pPr>
              <w:jc w:val="center"/>
            </w:pPr>
            <w:r>
              <w:rPr>
                <w:rFonts w:hint="eastAsia"/>
              </w:rPr>
              <w:t>钢砼</w:t>
            </w:r>
            <w:r>
              <w:t>（</w:t>
            </w:r>
            <w:r>
              <w:rPr>
                <w:rFonts w:hint="eastAsia"/>
              </w:rPr>
              <w:t>半</w:t>
            </w:r>
            <w:r>
              <w:t>地下）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rPr>
            </w:pPr>
          </w:p>
        </w:tc>
        <w:tc>
          <w:tcPr>
            <w:tcW w:w="566" w:type="dxa"/>
            <w:vAlign w:val="center"/>
          </w:tcPr>
          <w:p>
            <w:pPr>
              <w:widowControl/>
              <w:jc w:val="center"/>
              <w:rPr>
                <w:szCs w:val="21"/>
              </w:rPr>
            </w:pPr>
            <w:r>
              <w:rPr>
                <w:szCs w:val="21"/>
              </w:rPr>
              <w:t>4</w:t>
            </w:r>
          </w:p>
        </w:tc>
        <w:tc>
          <w:tcPr>
            <w:tcW w:w="1557" w:type="dxa"/>
            <w:vAlign w:val="center"/>
          </w:tcPr>
          <w:p>
            <w:pPr>
              <w:jc w:val="center"/>
            </w:pPr>
            <w:r>
              <w:rPr>
                <w:rFonts w:hint="eastAsia"/>
              </w:rPr>
              <w:t>初沉池</w:t>
            </w:r>
          </w:p>
        </w:tc>
        <w:tc>
          <w:tcPr>
            <w:tcW w:w="3965" w:type="dxa"/>
            <w:vAlign w:val="center"/>
          </w:tcPr>
          <w:p>
            <w:pPr>
              <w:jc w:val="center"/>
            </w:pPr>
            <w:r>
              <w:t>1座，构筑物尺寸为21.9m</w:t>
            </w:r>
            <w:r>
              <w:rPr>
                <w:rFonts w:hint="eastAsia"/>
              </w:rPr>
              <w:t>×</w:t>
            </w:r>
            <w:r>
              <w:t>5m</w:t>
            </w:r>
            <w:r>
              <w:rPr>
                <w:rFonts w:hint="eastAsia"/>
              </w:rPr>
              <w:t>×</w:t>
            </w:r>
            <w:r>
              <w:t>7m</w:t>
            </w:r>
          </w:p>
        </w:tc>
        <w:tc>
          <w:tcPr>
            <w:tcW w:w="1211" w:type="dxa"/>
            <w:vAlign w:val="center"/>
          </w:tcPr>
          <w:p>
            <w:pPr>
              <w:jc w:val="center"/>
            </w:pPr>
            <w:r>
              <w:rPr>
                <w:rFonts w:hint="eastAsia"/>
              </w:rPr>
              <w:t>钢砼</w:t>
            </w:r>
            <w:r>
              <w:t>（</w:t>
            </w:r>
            <w:r>
              <w:rPr>
                <w:rFonts w:hint="eastAsia"/>
              </w:rPr>
              <w:t>半</w:t>
            </w:r>
            <w:r>
              <w:t>地下）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5</w:t>
            </w:r>
          </w:p>
        </w:tc>
        <w:tc>
          <w:tcPr>
            <w:tcW w:w="1557" w:type="dxa"/>
            <w:vAlign w:val="center"/>
          </w:tcPr>
          <w:p>
            <w:pPr>
              <w:jc w:val="center"/>
              <w:rPr>
                <w:bCs/>
                <w:szCs w:val="21"/>
                <w:highlight w:val="yellow"/>
              </w:rPr>
            </w:pPr>
            <w:r>
              <w:t>调节池</w:t>
            </w:r>
          </w:p>
        </w:tc>
        <w:tc>
          <w:tcPr>
            <w:tcW w:w="3965" w:type="dxa"/>
            <w:vAlign w:val="center"/>
          </w:tcPr>
          <w:p>
            <w:pPr>
              <w:jc w:val="center"/>
              <w:rPr>
                <w:kern w:val="0"/>
                <w:szCs w:val="21"/>
                <w:highlight w:val="yellow"/>
              </w:rPr>
            </w:pPr>
            <w:r>
              <w:t>1座，构筑物尺寸为</w:t>
            </w:r>
            <w:r>
              <w:rPr>
                <w:rFonts w:hint="eastAsia"/>
              </w:rPr>
              <w:t>1</w:t>
            </w:r>
            <w:r>
              <w:t>8.5m</w:t>
            </w:r>
            <w:r>
              <w:rPr>
                <w:rFonts w:hint="eastAsia"/>
              </w:rPr>
              <w:t>×</w:t>
            </w:r>
            <w:r>
              <w:t>8.7m</w:t>
            </w:r>
            <w:r>
              <w:rPr>
                <w:rFonts w:hint="eastAsia"/>
              </w:rPr>
              <w:t>×</w:t>
            </w:r>
            <w:r>
              <w:t>7m</w:t>
            </w:r>
          </w:p>
        </w:tc>
        <w:tc>
          <w:tcPr>
            <w:tcW w:w="1211" w:type="dxa"/>
            <w:vAlign w:val="center"/>
          </w:tcPr>
          <w:p>
            <w:pPr>
              <w:jc w:val="center"/>
              <w:rPr>
                <w:szCs w:val="21"/>
              </w:rPr>
            </w:pPr>
            <w:r>
              <w:rPr>
                <w:rFonts w:hint="eastAsia"/>
              </w:rPr>
              <w:t>钢砼</w:t>
            </w:r>
            <w:r>
              <w:t>（</w:t>
            </w:r>
            <w:r>
              <w:rPr>
                <w:rFonts w:hint="eastAsia"/>
              </w:rPr>
              <w:t>半</w:t>
            </w:r>
            <w:r>
              <w:t>地下）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6</w:t>
            </w:r>
          </w:p>
        </w:tc>
        <w:tc>
          <w:tcPr>
            <w:tcW w:w="1557" w:type="dxa"/>
            <w:vAlign w:val="center"/>
          </w:tcPr>
          <w:p>
            <w:pPr>
              <w:jc w:val="center"/>
            </w:pPr>
            <w:r>
              <w:rPr>
                <w:rFonts w:hint="eastAsia"/>
              </w:rPr>
              <w:t>水解酸化池</w:t>
            </w:r>
          </w:p>
        </w:tc>
        <w:tc>
          <w:tcPr>
            <w:tcW w:w="3965" w:type="dxa"/>
            <w:vAlign w:val="center"/>
          </w:tcPr>
          <w:p>
            <w:pPr>
              <w:jc w:val="center"/>
            </w:pPr>
            <w:r>
              <w:t>1座，构筑物尺寸为</w:t>
            </w:r>
            <w:r>
              <w:rPr>
                <w:rFonts w:hint="eastAsia"/>
              </w:rPr>
              <w:t>1</w:t>
            </w:r>
            <w:r>
              <w:t>2m</w:t>
            </w:r>
            <w:r>
              <w:rPr>
                <w:rFonts w:hint="eastAsia"/>
              </w:rPr>
              <w:t>×</w:t>
            </w:r>
            <w:r>
              <w:t>5.3m</w:t>
            </w:r>
            <w:r>
              <w:rPr>
                <w:rFonts w:hint="eastAsia"/>
              </w:rPr>
              <w:t>×</w:t>
            </w:r>
            <w:r>
              <w:t>7m</w:t>
            </w:r>
          </w:p>
        </w:tc>
        <w:tc>
          <w:tcPr>
            <w:tcW w:w="1211" w:type="dxa"/>
            <w:vAlign w:val="center"/>
          </w:tcPr>
          <w:p>
            <w:pPr>
              <w:jc w:val="center"/>
            </w:pPr>
            <w:r>
              <w:rPr>
                <w:rFonts w:hint="eastAsia"/>
              </w:rPr>
              <w:t>钢砼</w:t>
            </w:r>
            <w:r>
              <w:t>（</w:t>
            </w:r>
            <w:r>
              <w:rPr>
                <w:rFonts w:hint="eastAsia"/>
              </w:rPr>
              <w:t>半</w:t>
            </w:r>
            <w:r>
              <w:t>地下）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7</w:t>
            </w:r>
          </w:p>
        </w:tc>
        <w:tc>
          <w:tcPr>
            <w:tcW w:w="1557" w:type="dxa"/>
            <w:vAlign w:val="center"/>
          </w:tcPr>
          <w:p>
            <w:pPr>
              <w:jc w:val="center"/>
            </w:pPr>
            <w:r>
              <w:rPr>
                <w:rFonts w:hint="eastAsia"/>
              </w:rPr>
              <w:t>厌氧池</w:t>
            </w:r>
          </w:p>
        </w:tc>
        <w:tc>
          <w:tcPr>
            <w:tcW w:w="3965" w:type="dxa"/>
            <w:vAlign w:val="center"/>
          </w:tcPr>
          <w:p>
            <w:pPr>
              <w:jc w:val="center"/>
            </w:pPr>
            <w:r>
              <w:t>1</w:t>
            </w:r>
            <w:r>
              <w:rPr>
                <w:rFonts w:hint="eastAsia"/>
              </w:rPr>
              <w:t>座，</w:t>
            </w:r>
            <w:r>
              <w:t>构筑物尺寸为</w:t>
            </w:r>
            <w:r>
              <w:rPr>
                <w:rFonts w:hint="eastAsia"/>
              </w:rPr>
              <w:t>9</w:t>
            </w:r>
            <w:r>
              <w:t>.5m</w:t>
            </w:r>
            <w:r>
              <w:rPr>
                <w:rFonts w:hint="eastAsia"/>
              </w:rPr>
              <w:t>×</w:t>
            </w:r>
            <w:r>
              <w:t>5.3m</w:t>
            </w:r>
            <w:r>
              <w:rPr>
                <w:rFonts w:hint="eastAsia"/>
              </w:rPr>
              <w:t>×</w:t>
            </w:r>
            <w:r>
              <w:t>7m</w:t>
            </w:r>
          </w:p>
        </w:tc>
        <w:tc>
          <w:tcPr>
            <w:tcW w:w="1211" w:type="dxa"/>
            <w:vAlign w:val="center"/>
          </w:tcPr>
          <w:p>
            <w:pPr>
              <w:jc w:val="center"/>
            </w:pPr>
            <w:r>
              <w:rPr>
                <w:rFonts w:hint="eastAsia"/>
              </w:rPr>
              <w:t>钢砼</w:t>
            </w:r>
            <w:r>
              <w:t>（</w:t>
            </w:r>
            <w:r>
              <w:rPr>
                <w:rFonts w:hint="eastAsia"/>
              </w:rPr>
              <w:t>半</w:t>
            </w:r>
            <w:r>
              <w:t>地下）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8</w:t>
            </w:r>
          </w:p>
        </w:tc>
        <w:tc>
          <w:tcPr>
            <w:tcW w:w="1557" w:type="dxa"/>
            <w:vAlign w:val="center"/>
          </w:tcPr>
          <w:p>
            <w:pPr>
              <w:jc w:val="center"/>
            </w:pPr>
            <w:r>
              <w:rPr>
                <w:rFonts w:hint="eastAsia"/>
              </w:rPr>
              <w:t>缺氧池</w:t>
            </w:r>
          </w:p>
        </w:tc>
        <w:tc>
          <w:tcPr>
            <w:tcW w:w="3965" w:type="dxa"/>
            <w:vAlign w:val="center"/>
          </w:tcPr>
          <w:p>
            <w:pPr>
              <w:jc w:val="center"/>
            </w:pPr>
            <w:r>
              <w:rPr>
                <w:rFonts w:hint="eastAsia"/>
              </w:rPr>
              <w:t>4座，</w:t>
            </w:r>
            <w:r>
              <w:t>构筑物尺寸为9.5m</w:t>
            </w:r>
            <w:r>
              <w:rPr>
                <w:rFonts w:hint="eastAsia"/>
              </w:rPr>
              <w:t>×</w:t>
            </w:r>
            <w:r>
              <w:t>5.3m</w:t>
            </w:r>
            <w:r>
              <w:rPr>
                <w:rFonts w:hint="eastAsia"/>
              </w:rPr>
              <w:t>×</w:t>
            </w:r>
            <w:r>
              <w:t>7m</w:t>
            </w:r>
          </w:p>
        </w:tc>
        <w:tc>
          <w:tcPr>
            <w:tcW w:w="1211" w:type="dxa"/>
            <w:vAlign w:val="center"/>
          </w:tcPr>
          <w:p>
            <w:pPr>
              <w:jc w:val="center"/>
            </w:pPr>
            <w:r>
              <w:rPr>
                <w:rFonts w:hint="eastAsia"/>
              </w:rPr>
              <w:t>钢砼</w:t>
            </w:r>
            <w:r>
              <w:t>（</w:t>
            </w:r>
            <w:r>
              <w:rPr>
                <w:rFonts w:hint="eastAsia"/>
              </w:rPr>
              <w:t>半</w:t>
            </w:r>
            <w:r>
              <w:t>地下）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9</w:t>
            </w:r>
          </w:p>
        </w:tc>
        <w:tc>
          <w:tcPr>
            <w:tcW w:w="1557" w:type="dxa"/>
            <w:vAlign w:val="center"/>
          </w:tcPr>
          <w:p>
            <w:pPr>
              <w:jc w:val="center"/>
            </w:pPr>
            <w:r>
              <w:rPr>
                <w:rFonts w:hint="eastAsia"/>
              </w:rPr>
              <w:t>好氧池</w:t>
            </w:r>
          </w:p>
        </w:tc>
        <w:tc>
          <w:tcPr>
            <w:tcW w:w="3965" w:type="dxa"/>
            <w:vAlign w:val="center"/>
          </w:tcPr>
          <w:p>
            <w:pPr>
              <w:jc w:val="center"/>
            </w:pPr>
            <w:r>
              <w:t>6</w:t>
            </w:r>
            <w:r>
              <w:rPr>
                <w:rFonts w:hint="eastAsia"/>
              </w:rPr>
              <w:t>座，</w:t>
            </w:r>
            <w:r>
              <w:t>构筑物尺寸为12m</w:t>
            </w:r>
            <w:r>
              <w:rPr>
                <w:rFonts w:hint="eastAsia"/>
              </w:rPr>
              <w:t>×</w:t>
            </w:r>
            <w:r>
              <w:t>5.3m</w:t>
            </w:r>
            <w:r>
              <w:rPr>
                <w:rFonts w:hint="eastAsia"/>
              </w:rPr>
              <w:t>×</w:t>
            </w:r>
            <w:r>
              <w:t>7m</w:t>
            </w:r>
          </w:p>
        </w:tc>
        <w:tc>
          <w:tcPr>
            <w:tcW w:w="1211" w:type="dxa"/>
            <w:vAlign w:val="center"/>
          </w:tcPr>
          <w:p>
            <w:pPr>
              <w:jc w:val="center"/>
            </w:pPr>
            <w:r>
              <w:rPr>
                <w:rFonts w:hint="eastAsia"/>
              </w:rPr>
              <w:t>钢砼</w:t>
            </w:r>
            <w:r>
              <w:t>（半地下式）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1</w:t>
            </w:r>
            <w:r>
              <w:rPr>
                <w:szCs w:val="21"/>
              </w:rPr>
              <w:t>0</w:t>
            </w:r>
          </w:p>
        </w:tc>
        <w:tc>
          <w:tcPr>
            <w:tcW w:w="1557" w:type="dxa"/>
            <w:vAlign w:val="center"/>
          </w:tcPr>
          <w:p>
            <w:pPr>
              <w:jc w:val="center"/>
              <w:rPr>
                <w:bCs/>
                <w:szCs w:val="21"/>
                <w:highlight w:val="yellow"/>
              </w:rPr>
            </w:pPr>
            <w:r>
              <w:rPr>
                <w:rFonts w:hint="eastAsia"/>
              </w:rPr>
              <w:t>二沉</w:t>
            </w:r>
            <w:r>
              <w:t>池</w:t>
            </w:r>
          </w:p>
        </w:tc>
        <w:tc>
          <w:tcPr>
            <w:tcW w:w="3965" w:type="dxa"/>
            <w:vAlign w:val="center"/>
          </w:tcPr>
          <w:p>
            <w:pPr>
              <w:jc w:val="center"/>
              <w:rPr>
                <w:kern w:val="0"/>
                <w:szCs w:val="21"/>
                <w:highlight w:val="yellow"/>
              </w:rPr>
            </w:pPr>
            <w:r>
              <w:t>2座，构筑物尺寸为7m</w:t>
            </w:r>
            <w:r>
              <w:rPr>
                <w:rFonts w:hint="eastAsia"/>
              </w:rPr>
              <w:t>×</w:t>
            </w:r>
            <w:r>
              <w:t>7m</w:t>
            </w:r>
            <w:r>
              <w:rPr>
                <w:rFonts w:hint="eastAsia"/>
              </w:rPr>
              <w:t>×</w:t>
            </w:r>
            <w:r>
              <w:t>7m</w:t>
            </w:r>
          </w:p>
        </w:tc>
        <w:tc>
          <w:tcPr>
            <w:tcW w:w="1211" w:type="dxa"/>
            <w:vAlign w:val="center"/>
          </w:tcPr>
          <w:p>
            <w:pPr>
              <w:jc w:val="center"/>
              <w:rPr>
                <w:szCs w:val="21"/>
              </w:rPr>
            </w:pPr>
            <w:r>
              <w:rPr>
                <w:rFonts w:hint="eastAsia"/>
              </w:rPr>
              <w:t>钢砼</w:t>
            </w:r>
            <w:r>
              <w:t>（半地下式）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1</w:t>
            </w:r>
            <w:r>
              <w:rPr>
                <w:szCs w:val="21"/>
              </w:rPr>
              <w:t>1</w:t>
            </w:r>
          </w:p>
        </w:tc>
        <w:tc>
          <w:tcPr>
            <w:tcW w:w="1557" w:type="dxa"/>
            <w:vAlign w:val="center"/>
          </w:tcPr>
          <w:p>
            <w:pPr>
              <w:jc w:val="center"/>
              <w:rPr>
                <w:bCs/>
                <w:szCs w:val="21"/>
                <w:highlight w:val="yellow"/>
              </w:rPr>
            </w:pPr>
            <w:r>
              <w:rPr>
                <w:rFonts w:hint="eastAsia"/>
              </w:rPr>
              <w:t>三沉</w:t>
            </w:r>
            <w:r>
              <w:t>池</w:t>
            </w:r>
          </w:p>
        </w:tc>
        <w:tc>
          <w:tcPr>
            <w:tcW w:w="3965" w:type="dxa"/>
            <w:vAlign w:val="center"/>
          </w:tcPr>
          <w:p>
            <w:pPr>
              <w:jc w:val="center"/>
              <w:rPr>
                <w:kern w:val="0"/>
                <w:szCs w:val="21"/>
                <w:highlight w:val="yellow"/>
              </w:rPr>
            </w:pPr>
            <w:r>
              <w:t>1座，构筑物尺寸为7m</w:t>
            </w:r>
            <w:r>
              <w:rPr>
                <w:rFonts w:hint="eastAsia"/>
              </w:rPr>
              <w:t>×</w:t>
            </w:r>
            <w:r>
              <w:t>7m</w:t>
            </w:r>
            <w:r>
              <w:rPr>
                <w:rFonts w:hint="eastAsia"/>
              </w:rPr>
              <w:t>×</w:t>
            </w:r>
            <w:r>
              <w:t>7m</w:t>
            </w:r>
          </w:p>
        </w:tc>
        <w:tc>
          <w:tcPr>
            <w:tcW w:w="1211" w:type="dxa"/>
            <w:vAlign w:val="center"/>
          </w:tcPr>
          <w:p>
            <w:pPr>
              <w:jc w:val="center"/>
              <w:rPr>
                <w:szCs w:val="21"/>
              </w:rPr>
            </w:pPr>
            <w:r>
              <w:rPr>
                <w:rFonts w:hint="eastAsia"/>
              </w:rPr>
              <w:t>钢砼</w:t>
            </w:r>
            <w:r>
              <w:t>（半地下式）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1</w:t>
            </w:r>
            <w:r>
              <w:rPr>
                <w:szCs w:val="21"/>
              </w:rPr>
              <w:t>2</w:t>
            </w:r>
          </w:p>
        </w:tc>
        <w:tc>
          <w:tcPr>
            <w:tcW w:w="1557" w:type="dxa"/>
            <w:vAlign w:val="center"/>
          </w:tcPr>
          <w:p>
            <w:pPr>
              <w:jc w:val="center"/>
            </w:pPr>
            <w:r>
              <w:rPr>
                <w:rFonts w:hint="eastAsia"/>
              </w:rPr>
              <w:t>清水池</w:t>
            </w:r>
          </w:p>
        </w:tc>
        <w:tc>
          <w:tcPr>
            <w:tcW w:w="3965" w:type="dxa"/>
            <w:vAlign w:val="center"/>
          </w:tcPr>
          <w:p>
            <w:pPr>
              <w:jc w:val="center"/>
            </w:pPr>
            <w:r>
              <w:t>1座，构筑物尺寸为7m</w:t>
            </w:r>
            <w:r>
              <w:rPr>
                <w:rFonts w:hint="eastAsia"/>
              </w:rPr>
              <w:t>×</w:t>
            </w:r>
            <w:r>
              <w:t>7m</w:t>
            </w:r>
            <w:r>
              <w:rPr>
                <w:rFonts w:hint="eastAsia"/>
              </w:rPr>
              <w:t>×</w:t>
            </w:r>
            <w:r>
              <w:t>7m</w:t>
            </w:r>
          </w:p>
        </w:tc>
        <w:tc>
          <w:tcPr>
            <w:tcW w:w="1211" w:type="dxa"/>
            <w:vAlign w:val="center"/>
          </w:tcPr>
          <w:p>
            <w:pPr>
              <w:jc w:val="center"/>
            </w:pPr>
            <w:r>
              <w:rPr>
                <w:rFonts w:hint="eastAsia"/>
              </w:rPr>
              <w:t>钢砼</w:t>
            </w:r>
            <w:r>
              <w:t>（半地下式）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1</w:t>
            </w:r>
            <w:r>
              <w:rPr>
                <w:szCs w:val="21"/>
              </w:rPr>
              <w:t>3</w:t>
            </w:r>
          </w:p>
        </w:tc>
        <w:tc>
          <w:tcPr>
            <w:tcW w:w="1557" w:type="dxa"/>
            <w:vAlign w:val="center"/>
          </w:tcPr>
          <w:p>
            <w:pPr>
              <w:jc w:val="center"/>
            </w:pPr>
            <w:r>
              <w:rPr>
                <w:rFonts w:hint="eastAsia"/>
              </w:rPr>
              <w:t>落泥间</w:t>
            </w:r>
          </w:p>
        </w:tc>
        <w:tc>
          <w:tcPr>
            <w:tcW w:w="3965" w:type="dxa"/>
            <w:vAlign w:val="center"/>
          </w:tcPr>
          <w:p>
            <w:pPr>
              <w:jc w:val="center"/>
            </w:pPr>
            <w:r>
              <w:t>1座，构筑物尺寸为7.4m</w:t>
            </w:r>
            <w:r>
              <w:rPr>
                <w:rFonts w:hint="eastAsia"/>
              </w:rPr>
              <w:t>×</w:t>
            </w:r>
            <w:r>
              <w:t>4.2m</w:t>
            </w:r>
            <w:r>
              <w:rPr>
                <w:rFonts w:hint="eastAsia"/>
              </w:rPr>
              <w:t>×</w:t>
            </w:r>
            <w:r>
              <w:t>5.2m</w:t>
            </w:r>
          </w:p>
        </w:tc>
        <w:tc>
          <w:tcPr>
            <w:tcW w:w="1211" w:type="dxa"/>
            <w:vAlign w:val="center"/>
          </w:tcPr>
          <w:p>
            <w:pPr>
              <w:jc w:val="center"/>
            </w:pPr>
            <w:r>
              <w:rPr>
                <w:rFonts w:hint="eastAsia"/>
              </w:rPr>
              <w:t>框架/砖混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1</w:t>
            </w:r>
            <w:r>
              <w:rPr>
                <w:szCs w:val="21"/>
              </w:rPr>
              <w:t>4</w:t>
            </w:r>
          </w:p>
        </w:tc>
        <w:tc>
          <w:tcPr>
            <w:tcW w:w="1557" w:type="dxa"/>
            <w:vAlign w:val="center"/>
          </w:tcPr>
          <w:p>
            <w:pPr>
              <w:jc w:val="center"/>
              <w:rPr>
                <w:bCs/>
                <w:szCs w:val="21"/>
              </w:rPr>
            </w:pPr>
            <w:r>
              <w:rPr>
                <w:rFonts w:hint="eastAsia"/>
                <w:bCs/>
                <w:szCs w:val="21"/>
              </w:rPr>
              <w:t>加药间</w:t>
            </w:r>
          </w:p>
        </w:tc>
        <w:tc>
          <w:tcPr>
            <w:tcW w:w="3965" w:type="dxa"/>
            <w:vAlign w:val="center"/>
          </w:tcPr>
          <w:p>
            <w:pPr>
              <w:jc w:val="center"/>
            </w:pPr>
            <w:r>
              <w:t>1座，构筑物尺寸为7.4m</w:t>
            </w:r>
            <w:r>
              <w:rPr>
                <w:rFonts w:hint="eastAsia"/>
              </w:rPr>
              <w:t>×</w:t>
            </w:r>
            <w:r>
              <w:t>5m</w:t>
            </w:r>
            <w:r>
              <w:rPr>
                <w:rFonts w:hint="eastAsia"/>
              </w:rPr>
              <w:t>×</w:t>
            </w:r>
            <w:r>
              <w:t>5.2m</w:t>
            </w:r>
          </w:p>
        </w:tc>
        <w:tc>
          <w:tcPr>
            <w:tcW w:w="1211" w:type="dxa"/>
            <w:vAlign w:val="center"/>
          </w:tcPr>
          <w:p>
            <w:pPr>
              <w:jc w:val="center"/>
            </w:pPr>
            <w:r>
              <w:rPr>
                <w:rFonts w:hint="eastAsia"/>
              </w:rPr>
              <w:t>框架/砖混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1</w:t>
            </w:r>
            <w:r>
              <w:rPr>
                <w:szCs w:val="21"/>
              </w:rPr>
              <w:t>5</w:t>
            </w:r>
          </w:p>
        </w:tc>
        <w:tc>
          <w:tcPr>
            <w:tcW w:w="1557" w:type="dxa"/>
            <w:vAlign w:val="center"/>
          </w:tcPr>
          <w:p>
            <w:pPr>
              <w:jc w:val="center"/>
              <w:rPr>
                <w:bCs/>
                <w:szCs w:val="21"/>
              </w:rPr>
            </w:pPr>
            <w:r>
              <w:rPr>
                <w:rFonts w:hint="eastAsia"/>
                <w:bCs/>
                <w:szCs w:val="21"/>
              </w:rPr>
              <w:t>机修间</w:t>
            </w:r>
          </w:p>
        </w:tc>
        <w:tc>
          <w:tcPr>
            <w:tcW w:w="3965" w:type="dxa"/>
            <w:vAlign w:val="center"/>
          </w:tcPr>
          <w:p>
            <w:pPr>
              <w:jc w:val="center"/>
            </w:pPr>
            <w:r>
              <w:t>1座，构筑物尺寸为7.4m</w:t>
            </w:r>
            <w:r>
              <w:rPr>
                <w:rFonts w:hint="eastAsia"/>
              </w:rPr>
              <w:t>×</w:t>
            </w:r>
            <w:r>
              <w:t>3m</w:t>
            </w:r>
            <w:r>
              <w:rPr>
                <w:rFonts w:hint="eastAsia"/>
              </w:rPr>
              <w:t>×</w:t>
            </w:r>
            <w:r>
              <w:t>5.2m</w:t>
            </w:r>
          </w:p>
        </w:tc>
        <w:tc>
          <w:tcPr>
            <w:tcW w:w="1211" w:type="dxa"/>
            <w:vAlign w:val="center"/>
          </w:tcPr>
          <w:p>
            <w:pPr>
              <w:jc w:val="center"/>
            </w:pPr>
            <w:r>
              <w:rPr>
                <w:rFonts w:hint="eastAsia"/>
              </w:rPr>
              <w:t>框架/砖混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1</w:t>
            </w:r>
            <w:r>
              <w:rPr>
                <w:szCs w:val="21"/>
              </w:rPr>
              <w:t>6</w:t>
            </w:r>
          </w:p>
        </w:tc>
        <w:tc>
          <w:tcPr>
            <w:tcW w:w="1557" w:type="dxa"/>
            <w:vAlign w:val="center"/>
          </w:tcPr>
          <w:p>
            <w:pPr>
              <w:jc w:val="center"/>
              <w:rPr>
                <w:bCs/>
                <w:szCs w:val="21"/>
              </w:rPr>
            </w:pPr>
            <w:r>
              <w:rPr>
                <w:rFonts w:hint="eastAsia"/>
                <w:bCs/>
                <w:szCs w:val="21"/>
              </w:rPr>
              <w:t>值班室</w:t>
            </w:r>
          </w:p>
        </w:tc>
        <w:tc>
          <w:tcPr>
            <w:tcW w:w="3965" w:type="dxa"/>
            <w:vAlign w:val="center"/>
          </w:tcPr>
          <w:p>
            <w:pPr>
              <w:jc w:val="center"/>
            </w:pPr>
            <w:r>
              <w:t>1座，构筑物尺寸为3m</w:t>
            </w:r>
            <w:r>
              <w:rPr>
                <w:rFonts w:hint="eastAsia"/>
              </w:rPr>
              <w:t>×</w:t>
            </w:r>
            <w:r>
              <w:t>4m</w:t>
            </w:r>
            <w:r>
              <w:rPr>
                <w:rFonts w:hint="eastAsia"/>
              </w:rPr>
              <w:t>×</w:t>
            </w:r>
            <w:r>
              <w:t>3.5m</w:t>
            </w:r>
          </w:p>
        </w:tc>
        <w:tc>
          <w:tcPr>
            <w:tcW w:w="1211" w:type="dxa"/>
            <w:vAlign w:val="center"/>
          </w:tcPr>
          <w:p>
            <w:pPr>
              <w:jc w:val="center"/>
            </w:pPr>
            <w:r>
              <w:rPr>
                <w:rFonts w:hint="eastAsia"/>
              </w:rPr>
              <w:t>框架/砖混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1</w:t>
            </w:r>
            <w:r>
              <w:rPr>
                <w:szCs w:val="21"/>
              </w:rPr>
              <w:t>7</w:t>
            </w:r>
          </w:p>
        </w:tc>
        <w:tc>
          <w:tcPr>
            <w:tcW w:w="1557" w:type="dxa"/>
            <w:vAlign w:val="center"/>
          </w:tcPr>
          <w:p>
            <w:pPr>
              <w:jc w:val="center"/>
              <w:rPr>
                <w:bCs/>
                <w:szCs w:val="21"/>
              </w:rPr>
            </w:pPr>
            <w:r>
              <w:rPr>
                <w:rFonts w:hint="eastAsia"/>
                <w:bCs/>
                <w:szCs w:val="21"/>
              </w:rPr>
              <w:t>化验室</w:t>
            </w:r>
          </w:p>
        </w:tc>
        <w:tc>
          <w:tcPr>
            <w:tcW w:w="3965" w:type="dxa"/>
            <w:vAlign w:val="center"/>
          </w:tcPr>
          <w:p>
            <w:pPr>
              <w:jc w:val="center"/>
            </w:pPr>
            <w:r>
              <w:t>1座，构筑物尺寸为3m</w:t>
            </w:r>
            <w:r>
              <w:rPr>
                <w:rFonts w:hint="eastAsia"/>
              </w:rPr>
              <w:t>×</w:t>
            </w:r>
            <w:r>
              <w:t>3.4m</w:t>
            </w:r>
            <w:r>
              <w:rPr>
                <w:rFonts w:hint="eastAsia"/>
              </w:rPr>
              <w:t>×</w:t>
            </w:r>
            <w:r>
              <w:t>3.5m</w:t>
            </w:r>
          </w:p>
        </w:tc>
        <w:tc>
          <w:tcPr>
            <w:tcW w:w="1211" w:type="dxa"/>
            <w:vAlign w:val="center"/>
          </w:tcPr>
          <w:p>
            <w:pPr>
              <w:jc w:val="center"/>
            </w:pPr>
            <w:r>
              <w:rPr>
                <w:rFonts w:hint="eastAsia"/>
              </w:rPr>
              <w:t>框架/砖混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1</w:t>
            </w:r>
            <w:r>
              <w:rPr>
                <w:szCs w:val="21"/>
              </w:rPr>
              <w:t>8</w:t>
            </w:r>
          </w:p>
        </w:tc>
        <w:tc>
          <w:tcPr>
            <w:tcW w:w="1557" w:type="dxa"/>
            <w:vAlign w:val="center"/>
          </w:tcPr>
          <w:p>
            <w:pPr>
              <w:jc w:val="center"/>
              <w:rPr>
                <w:bCs/>
                <w:szCs w:val="21"/>
              </w:rPr>
            </w:pPr>
            <w:r>
              <w:rPr>
                <w:rFonts w:hint="eastAsia"/>
                <w:bCs/>
                <w:szCs w:val="21"/>
              </w:rPr>
              <w:t>风机房</w:t>
            </w:r>
          </w:p>
        </w:tc>
        <w:tc>
          <w:tcPr>
            <w:tcW w:w="3965" w:type="dxa"/>
            <w:vAlign w:val="center"/>
          </w:tcPr>
          <w:p>
            <w:pPr>
              <w:jc w:val="center"/>
            </w:pPr>
            <w:r>
              <w:t>1座，构筑物尺寸为7.4m</w:t>
            </w:r>
            <w:r>
              <w:rPr>
                <w:rFonts w:hint="eastAsia"/>
              </w:rPr>
              <w:t>×</w:t>
            </w:r>
            <w:r>
              <w:t>5m</w:t>
            </w:r>
            <w:r>
              <w:rPr>
                <w:rFonts w:hint="eastAsia"/>
              </w:rPr>
              <w:t>×</w:t>
            </w:r>
            <w:r>
              <w:t>3.5m</w:t>
            </w:r>
          </w:p>
        </w:tc>
        <w:tc>
          <w:tcPr>
            <w:tcW w:w="1211" w:type="dxa"/>
            <w:vAlign w:val="center"/>
          </w:tcPr>
          <w:p>
            <w:pPr>
              <w:jc w:val="center"/>
            </w:pPr>
            <w:r>
              <w:rPr>
                <w:rFonts w:hint="eastAsia"/>
              </w:rPr>
              <w:t>框架/砖混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1</w:t>
            </w:r>
            <w:r>
              <w:rPr>
                <w:szCs w:val="21"/>
              </w:rPr>
              <w:t>9</w:t>
            </w:r>
          </w:p>
        </w:tc>
        <w:tc>
          <w:tcPr>
            <w:tcW w:w="1557" w:type="dxa"/>
            <w:vAlign w:val="center"/>
          </w:tcPr>
          <w:p>
            <w:pPr>
              <w:jc w:val="center"/>
              <w:rPr>
                <w:bCs/>
                <w:szCs w:val="21"/>
              </w:rPr>
            </w:pPr>
            <w:r>
              <w:rPr>
                <w:rFonts w:hint="eastAsia"/>
                <w:bCs/>
                <w:szCs w:val="21"/>
              </w:rPr>
              <w:t>控制室</w:t>
            </w:r>
          </w:p>
        </w:tc>
        <w:tc>
          <w:tcPr>
            <w:tcW w:w="3965" w:type="dxa"/>
            <w:vAlign w:val="center"/>
          </w:tcPr>
          <w:p>
            <w:pPr>
              <w:jc w:val="center"/>
            </w:pPr>
            <w:r>
              <w:t>1座，构筑物尺寸为3.8m</w:t>
            </w:r>
            <w:r>
              <w:rPr>
                <w:rFonts w:hint="eastAsia"/>
              </w:rPr>
              <w:t>×</w:t>
            </w:r>
            <w:r>
              <w:t>3.4m</w:t>
            </w:r>
            <w:r>
              <w:rPr>
                <w:rFonts w:hint="eastAsia"/>
              </w:rPr>
              <w:t>×</w:t>
            </w:r>
            <w:r>
              <w:t>3.5m</w:t>
            </w:r>
          </w:p>
        </w:tc>
        <w:tc>
          <w:tcPr>
            <w:tcW w:w="1211" w:type="dxa"/>
            <w:vAlign w:val="center"/>
          </w:tcPr>
          <w:p>
            <w:pPr>
              <w:jc w:val="center"/>
            </w:pPr>
            <w:r>
              <w:rPr>
                <w:rFonts w:hint="eastAsia"/>
              </w:rPr>
              <w:t>框架/砖混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2</w:t>
            </w:r>
            <w:r>
              <w:rPr>
                <w:szCs w:val="21"/>
              </w:rPr>
              <w:t>0</w:t>
            </w:r>
          </w:p>
        </w:tc>
        <w:tc>
          <w:tcPr>
            <w:tcW w:w="1557" w:type="dxa"/>
            <w:vAlign w:val="center"/>
          </w:tcPr>
          <w:p>
            <w:pPr>
              <w:jc w:val="center"/>
              <w:rPr>
                <w:bCs/>
                <w:szCs w:val="21"/>
              </w:rPr>
            </w:pPr>
            <w:r>
              <w:t>配电室</w:t>
            </w:r>
          </w:p>
        </w:tc>
        <w:tc>
          <w:tcPr>
            <w:tcW w:w="3965" w:type="dxa"/>
            <w:vAlign w:val="center"/>
          </w:tcPr>
          <w:p>
            <w:pPr>
              <w:jc w:val="center"/>
            </w:pPr>
            <w:r>
              <w:t>1座，构筑物尺寸为3.8m</w:t>
            </w:r>
            <w:r>
              <w:rPr>
                <w:rFonts w:hint="eastAsia"/>
              </w:rPr>
              <w:t>×</w:t>
            </w:r>
            <w:r>
              <w:t>3.4m</w:t>
            </w:r>
            <w:r>
              <w:rPr>
                <w:rFonts w:hint="eastAsia"/>
              </w:rPr>
              <w:t>×</w:t>
            </w:r>
            <w:r>
              <w:t>3.5m</w:t>
            </w:r>
          </w:p>
        </w:tc>
        <w:tc>
          <w:tcPr>
            <w:tcW w:w="1211" w:type="dxa"/>
            <w:vAlign w:val="center"/>
          </w:tcPr>
          <w:p>
            <w:pPr>
              <w:jc w:val="center"/>
            </w:pPr>
            <w:r>
              <w:rPr>
                <w:rFonts w:hint="eastAsia"/>
              </w:rPr>
              <w:t>框架/砖混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93" w:type="dxa"/>
            <w:vMerge w:val="continue"/>
            <w:vAlign w:val="center"/>
          </w:tcPr>
          <w:p>
            <w:pPr>
              <w:widowControl/>
              <w:jc w:val="center"/>
              <w:rPr>
                <w:szCs w:val="21"/>
                <w:highlight w:val="yellow"/>
              </w:rPr>
            </w:pPr>
          </w:p>
        </w:tc>
        <w:tc>
          <w:tcPr>
            <w:tcW w:w="918" w:type="dxa"/>
            <w:vMerge w:val="continue"/>
            <w:vAlign w:val="center"/>
          </w:tcPr>
          <w:p>
            <w:pPr>
              <w:widowControl/>
              <w:jc w:val="center"/>
              <w:rPr>
                <w:szCs w:val="21"/>
                <w:highlight w:val="yellow"/>
              </w:rPr>
            </w:pPr>
          </w:p>
        </w:tc>
        <w:tc>
          <w:tcPr>
            <w:tcW w:w="566" w:type="dxa"/>
            <w:vAlign w:val="center"/>
          </w:tcPr>
          <w:p>
            <w:pPr>
              <w:widowControl/>
              <w:jc w:val="center"/>
              <w:rPr>
                <w:szCs w:val="21"/>
              </w:rPr>
            </w:pPr>
            <w:r>
              <w:rPr>
                <w:rFonts w:hint="eastAsia"/>
                <w:szCs w:val="21"/>
              </w:rPr>
              <w:t>2</w:t>
            </w:r>
            <w:r>
              <w:rPr>
                <w:szCs w:val="21"/>
              </w:rPr>
              <w:t>1</w:t>
            </w:r>
          </w:p>
        </w:tc>
        <w:tc>
          <w:tcPr>
            <w:tcW w:w="1557" w:type="dxa"/>
            <w:vAlign w:val="center"/>
          </w:tcPr>
          <w:p>
            <w:pPr>
              <w:jc w:val="center"/>
              <w:rPr>
                <w:bCs/>
                <w:szCs w:val="21"/>
                <w:highlight w:val="yellow"/>
              </w:rPr>
            </w:pPr>
            <w:r>
              <w:rPr>
                <w:rFonts w:hint="eastAsia"/>
                <w:bCs/>
                <w:szCs w:val="21"/>
              </w:rPr>
              <w:t>污泥脱水间</w:t>
            </w:r>
          </w:p>
        </w:tc>
        <w:tc>
          <w:tcPr>
            <w:tcW w:w="3965" w:type="dxa"/>
            <w:vAlign w:val="center"/>
          </w:tcPr>
          <w:p>
            <w:pPr>
              <w:jc w:val="center"/>
              <w:rPr>
                <w:kern w:val="0"/>
                <w:szCs w:val="21"/>
                <w:highlight w:val="yellow"/>
              </w:rPr>
            </w:pPr>
            <w:r>
              <w:t>1座，构筑物尺寸为7.4m</w:t>
            </w:r>
            <w:r>
              <w:rPr>
                <w:rFonts w:hint="eastAsia"/>
              </w:rPr>
              <w:t>×</w:t>
            </w:r>
            <w:r>
              <w:t>10.4m</w:t>
            </w:r>
            <w:r>
              <w:rPr>
                <w:rFonts w:hint="eastAsia"/>
              </w:rPr>
              <w:t>×</w:t>
            </w:r>
            <w:r>
              <w:t>3.5m</w:t>
            </w:r>
          </w:p>
        </w:tc>
        <w:tc>
          <w:tcPr>
            <w:tcW w:w="1211" w:type="dxa"/>
            <w:vAlign w:val="center"/>
          </w:tcPr>
          <w:p>
            <w:pPr>
              <w:jc w:val="center"/>
            </w:pPr>
            <w:r>
              <w:rPr>
                <w:rFonts w:hint="eastAsia"/>
              </w:rPr>
              <w:t>框架/砖混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1" w:type="dxa"/>
            <w:gridSpan w:val="2"/>
            <w:vMerge w:val="restart"/>
            <w:shd w:val="clear" w:color="auto" w:fill="auto"/>
            <w:vAlign w:val="center"/>
          </w:tcPr>
          <w:p>
            <w:pPr>
              <w:widowControl/>
              <w:jc w:val="center"/>
              <w:rPr>
                <w:szCs w:val="21"/>
                <w:highlight w:val="yellow"/>
              </w:rPr>
            </w:pPr>
            <w:r>
              <w:rPr>
                <w:szCs w:val="21"/>
              </w:rPr>
              <w:t>公用工程</w:t>
            </w:r>
          </w:p>
        </w:tc>
        <w:tc>
          <w:tcPr>
            <w:tcW w:w="566" w:type="dxa"/>
            <w:shd w:val="clear" w:color="auto" w:fill="auto"/>
            <w:vAlign w:val="center"/>
          </w:tcPr>
          <w:p>
            <w:pPr>
              <w:jc w:val="center"/>
              <w:rPr>
                <w:szCs w:val="21"/>
              </w:rPr>
            </w:pPr>
            <w:r>
              <w:rPr>
                <w:szCs w:val="21"/>
              </w:rPr>
              <w:t>1</w:t>
            </w:r>
          </w:p>
        </w:tc>
        <w:tc>
          <w:tcPr>
            <w:tcW w:w="1557" w:type="dxa"/>
            <w:shd w:val="clear" w:color="auto" w:fill="auto"/>
            <w:vAlign w:val="center"/>
          </w:tcPr>
          <w:p>
            <w:pPr>
              <w:jc w:val="center"/>
              <w:rPr>
                <w:szCs w:val="21"/>
              </w:rPr>
            </w:pPr>
            <w:r>
              <w:rPr>
                <w:szCs w:val="21"/>
              </w:rPr>
              <w:t>供水</w:t>
            </w:r>
          </w:p>
        </w:tc>
        <w:tc>
          <w:tcPr>
            <w:tcW w:w="5176" w:type="dxa"/>
            <w:gridSpan w:val="2"/>
            <w:shd w:val="clear" w:color="auto" w:fill="auto"/>
            <w:vAlign w:val="center"/>
          </w:tcPr>
          <w:p>
            <w:pPr>
              <w:jc w:val="center"/>
              <w:rPr>
                <w:szCs w:val="21"/>
              </w:rPr>
            </w:pPr>
            <w:r>
              <w:rPr>
                <w:szCs w:val="21"/>
              </w:rPr>
              <w:t>园区</w:t>
            </w:r>
            <w:r>
              <w:rPr>
                <w:rFonts w:hint="eastAsia"/>
                <w:szCs w:val="21"/>
              </w:rPr>
              <w:t>供水</w:t>
            </w:r>
            <w:r>
              <w:rPr>
                <w:szCs w:val="21"/>
              </w:rPr>
              <w:t>管网供水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1" w:type="dxa"/>
            <w:gridSpan w:val="2"/>
            <w:vMerge w:val="continue"/>
            <w:shd w:val="clear" w:color="auto" w:fill="auto"/>
            <w:vAlign w:val="center"/>
          </w:tcPr>
          <w:p>
            <w:pPr>
              <w:widowControl/>
              <w:jc w:val="center"/>
              <w:rPr>
                <w:szCs w:val="21"/>
                <w:highlight w:val="yellow"/>
              </w:rPr>
            </w:pPr>
          </w:p>
        </w:tc>
        <w:tc>
          <w:tcPr>
            <w:tcW w:w="566" w:type="dxa"/>
            <w:shd w:val="clear" w:color="auto" w:fill="auto"/>
            <w:vAlign w:val="center"/>
          </w:tcPr>
          <w:p>
            <w:pPr>
              <w:jc w:val="center"/>
              <w:rPr>
                <w:szCs w:val="21"/>
              </w:rPr>
            </w:pPr>
            <w:r>
              <w:rPr>
                <w:szCs w:val="21"/>
              </w:rPr>
              <w:t>2</w:t>
            </w:r>
          </w:p>
        </w:tc>
        <w:tc>
          <w:tcPr>
            <w:tcW w:w="1557" w:type="dxa"/>
            <w:shd w:val="clear" w:color="auto" w:fill="auto"/>
            <w:vAlign w:val="center"/>
          </w:tcPr>
          <w:p>
            <w:pPr>
              <w:jc w:val="center"/>
              <w:rPr>
                <w:szCs w:val="21"/>
              </w:rPr>
            </w:pPr>
            <w:r>
              <w:rPr>
                <w:szCs w:val="21"/>
              </w:rPr>
              <w:t>排水</w:t>
            </w:r>
          </w:p>
        </w:tc>
        <w:tc>
          <w:tcPr>
            <w:tcW w:w="5176" w:type="dxa"/>
            <w:gridSpan w:val="2"/>
            <w:shd w:val="clear" w:color="auto" w:fill="auto"/>
            <w:vAlign w:val="center"/>
          </w:tcPr>
          <w:p>
            <w:pPr>
              <w:jc w:val="center"/>
              <w:rPr>
                <w:szCs w:val="21"/>
              </w:rPr>
            </w:pPr>
            <w:r>
              <w:rPr>
                <w:rFonts w:hint="eastAsia"/>
                <w:szCs w:val="21"/>
              </w:rPr>
              <w:t>项目废水</w:t>
            </w:r>
            <w:r>
              <w:rPr>
                <w:szCs w:val="21"/>
              </w:rPr>
              <w:t>进入</w:t>
            </w:r>
            <w:r>
              <w:rPr>
                <w:rFonts w:hint="eastAsia"/>
                <w:szCs w:val="21"/>
              </w:rPr>
              <w:t>厂内</w:t>
            </w:r>
            <w:r>
              <w:rPr>
                <w:szCs w:val="21"/>
              </w:rPr>
              <w:t>污水处理站处</w:t>
            </w:r>
            <w:r>
              <w:rPr>
                <w:rFonts w:hint="eastAsia"/>
                <w:szCs w:val="21"/>
              </w:rPr>
              <w:t>理后，进入原阳县产业集聚区污水处理厂</w:t>
            </w:r>
            <w:r>
              <w:rPr>
                <w:szCs w:val="21"/>
              </w:rPr>
              <w:t>进一步处理</w:t>
            </w:r>
            <w:r>
              <w:rPr>
                <w:rFonts w:hint="eastAsia"/>
                <w:szCs w:val="21"/>
              </w:rPr>
              <w:t>，</w:t>
            </w:r>
            <w:r>
              <w:rPr>
                <w:szCs w:val="21"/>
              </w:rPr>
              <w:t>排入</w:t>
            </w:r>
            <w:r>
              <w:rPr>
                <w:rFonts w:hint="eastAsia"/>
                <w:szCs w:val="21"/>
              </w:rPr>
              <w:t>东关排，最终汇入文岩渠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1" w:type="dxa"/>
            <w:gridSpan w:val="2"/>
            <w:vMerge w:val="continue"/>
            <w:shd w:val="clear" w:color="auto" w:fill="auto"/>
            <w:vAlign w:val="center"/>
          </w:tcPr>
          <w:p>
            <w:pPr>
              <w:widowControl/>
              <w:jc w:val="center"/>
              <w:rPr>
                <w:szCs w:val="21"/>
                <w:highlight w:val="yellow"/>
              </w:rPr>
            </w:pPr>
          </w:p>
        </w:tc>
        <w:tc>
          <w:tcPr>
            <w:tcW w:w="566" w:type="dxa"/>
            <w:shd w:val="clear" w:color="auto" w:fill="auto"/>
            <w:vAlign w:val="center"/>
          </w:tcPr>
          <w:p>
            <w:pPr>
              <w:jc w:val="center"/>
              <w:rPr>
                <w:szCs w:val="21"/>
              </w:rPr>
            </w:pPr>
            <w:r>
              <w:rPr>
                <w:szCs w:val="21"/>
              </w:rPr>
              <w:t>3</w:t>
            </w:r>
          </w:p>
        </w:tc>
        <w:tc>
          <w:tcPr>
            <w:tcW w:w="1557" w:type="dxa"/>
            <w:shd w:val="clear" w:color="auto" w:fill="auto"/>
            <w:vAlign w:val="center"/>
          </w:tcPr>
          <w:p>
            <w:pPr>
              <w:jc w:val="center"/>
              <w:rPr>
                <w:szCs w:val="21"/>
              </w:rPr>
            </w:pPr>
            <w:r>
              <w:rPr>
                <w:szCs w:val="21"/>
              </w:rPr>
              <w:t>供电</w:t>
            </w:r>
          </w:p>
        </w:tc>
        <w:tc>
          <w:tcPr>
            <w:tcW w:w="5176" w:type="dxa"/>
            <w:gridSpan w:val="2"/>
            <w:shd w:val="clear" w:color="auto" w:fill="auto"/>
            <w:vAlign w:val="center"/>
          </w:tcPr>
          <w:p>
            <w:pPr>
              <w:jc w:val="center"/>
              <w:rPr>
                <w:szCs w:val="21"/>
              </w:rPr>
            </w:pPr>
            <w:r>
              <w:rPr>
                <w:szCs w:val="21"/>
              </w:rPr>
              <w:t>园区供电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1" w:type="dxa"/>
            <w:gridSpan w:val="2"/>
            <w:vMerge w:val="continue"/>
            <w:shd w:val="clear" w:color="auto" w:fill="auto"/>
            <w:vAlign w:val="center"/>
          </w:tcPr>
          <w:p>
            <w:pPr>
              <w:widowControl/>
              <w:jc w:val="center"/>
              <w:rPr>
                <w:szCs w:val="21"/>
                <w:highlight w:val="yellow"/>
              </w:rPr>
            </w:pPr>
          </w:p>
        </w:tc>
        <w:tc>
          <w:tcPr>
            <w:tcW w:w="566" w:type="dxa"/>
            <w:shd w:val="clear" w:color="auto" w:fill="auto"/>
            <w:vAlign w:val="center"/>
          </w:tcPr>
          <w:p>
            <w:pPr>
              <w:jc w:val="center"/>
              <w:rPr>
                <w:szCs w:val="21"/>
              </w:rPr>
            </w:pPr>
            <w:r>
              <w:rPr>
                <w:rFonts w:hint="eastAsia"/>
                <w:szCs w:val="21"/>
              </w:rPr>
              <w:t>4</w:t>
            </w:r>
          </w:p>
        </w:tc>
        <w:tc>
          <w:tcPr>
            <w:tcW w:w="1557" w:type="dxa"/>
            <w:shd w:val="clear" w:color="auto" w:fill="auto"/>
            <w:vAlign w:val="center"/>
          </w:tcPr>
          <w:p>
            <w:pPr>
              <w:jc w:val="center"/>
              <w:rPr>
                <w:szCs w:val="21"/>
              </w:rPr>
            </w:pPr>
            <w:r>
              <w:rPr>
                <w:rFonts w:hint="eastAsia"/>
                <w:szCs w:val="21"/>
              </w:rPr>
              <w:t>变电室</w:t>
            </w:r>
          </w:p>
        </w:tc>
        <w:tc>
          <w:tcPr>
            <w:tcW w:w="5176" w:type="dxa"/>
            <w:gridSpan w:val="2"/>
            <w:shd w:val="clear" w:color="auto" w:fill="auto"/>
            <w:vAlign w:val="center"/>
          </w:tcPr>
          <w:p>
            <w:pPr>
              <w:jc w:val="center"/>
              <w:rPr>
                <w:szCs w:val="21"/>
              </w:rPr>
            </w:pPr>
            <w:r>
              <w:rPr>
                <w:kern w:val="0"/>
                <w:szCs w:val="21"/>
              </w:rPr>
              <w:t>1</w:t>
            </w:r>
            <w:r>
              <w:rPr>
                <w:rFonts w:hint="eastAsia"/>
                <w:kern w:val="0"/>
                <w:szCs w:val="21"/>
              </w:rPr>
              <w:t>座，</w:t>
            </w:r>
            <w:r>
              <w:rPr>
                <w:szCs w:val="21"/>
              </w:rPr>
              <w:t>2</w:t>
            </w:r>
            <w:r>
              <w:rPr>
                <w:rFonts w:hint="eastAsia"/>
                <w:szCs w:val="21"/>
              </w:rPr>
              <w:t>层，建筑面积201.22m</w:t>
            </w:r>
            <w:r>
              <w:rPr>
                <w:rFonts w:hint="eastAsia"/>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1" w:type="dxa"/>
            <w:gridSpan w:val="2"/>
            <w:vMerge w:val="restart"/>
            <w:shd w:val="clear" w:color="auto" w:fill="auto"/>
            <w:vAlign w:val="center"/>
          </w:tcPr>
          <w:p>
            <w:pPr>
              <w:widowControl/>
              <w:jc w:val="center"/>
              <w:rPr>
                <w:szCs w:val="21"/>
                <w:highlight w:val="yellow"/>
              </w:rPr>
            </w:pPr>
            <w:r>
              <w:rPr>
                <w:szCs w:val="21"/>
              </w:rPr>
              <w:t>环保工程</w:t>
            </w:r>
          </w:p>
        </w:tc>
        <w:tc>
          <w:tcPr>
            <w:tcW w:w="566" w:type="dxa"/>
            <w:shd w:val="clear" w:color="auto" w:fill="auto"/>
            <w:vAlign w:val="center"/>
          </w:tcPr>
          <w:p>
            <w:pPr>
              <w:jc w:val="center"/>
              <w:rPr>
                <w:szCs w:val="21"/>
              </w:rPr>
            </w:pPr>
            <w:r>
              <w:rPr>
                <w:szCs w:val="21"/>
              </w:rPr>
              <w:t>1</w:t>
            </w:r>
          </w:p>
        </w:tc>
        <w:tc>
          <w:tcPr>
            <w:tcW w:w="1557" w:type="dxa"/>
            <w:shd w:val="clear" w:color="auto" w:fill="auto"/>
            <w:vAlign w:val="center"/>
          </w:tcPr>
          <w:p>
            <w:pPr>
              <w:jc w:val="center"/>
              <w:rPr>
                <w:szCs w:val="21"/>
              </w:rPr>
            </w:pPr>
            <w:r>
              <w:rPr>
                <w:szCs w:val="21"/>
              </w:rPr>
              <w:t>废气治理</w:t>
            </w:r>
          </w:p>
        </w:tc>
        <w:tc>
          <w:tcPr>
            <w:tcW w:w="5176" w:type="dxa"/>
            <w:gridSpan w:val="2"/>
            <w:shd w:val="clear" w:color="auto" w:fill="auto"/>
            <w:vAlign w:val="center"/>
          </w:tcPr>
          <w:p>
            <w:pPr>
              <w:jc w:val="center"/>
              <w:rPr>
                <w:szCs w:val="21"/>
              </w:rPr>
            </w:pPr>
            <w:r>
              <w:rPr>
                <w:szCs w:val="21"/>
              </w:rPr>
              <w:t>污水处理站恶臭：臭气单元采用加盖密</w:t>
            </w:r>
            <w:r>
              <w:rPr>
                <w:rFonts w:hint="eastAsia"/>
                <w:szCs w:val="21"/>
              </w:rPr>
              <w:t>闭</w:t>
            </w:r>
            <w:r>
              <w:rPr>
                <w:szCs w:val="21"/>
              </w:rPr>
              <w:t>+</w:t>
            </w:r>
            <w:r>
              <w:rPr>
                <w:rFonts w:hint="eastAsia"/>
                <w:bCs/>
                <w:szCs w:val="21"/>
              </w:rPr>
              <w:t>洗涤除臭装置（碱喷淋+生物除臭剂喷淋）</w:t>
            </w:r>
            <w:r>
              <w:rPr>
                <w:szCs w:val="21"/>
              </w:rPr>
              <w:t>+15m高排气筒排放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1" w:type="dxa"/>
            <w:gridSpan w:val="2"/>
            <w:vMerge w:val="continue"/>
            <w:shd w:val="clear" w:color="auto" w:fill="auto"/>
            <w:vAlign w:val="center"/>
          </w:tcPr>
          <w:p>
            <w:pPr>
              <w:widowControl/>
              <w:jc w:val="center"/>
              <w:rPr>
                <w:szCs w:val="21"/>
                <w:highlight w:val="yellow"/>
              </w:rPr>
            </w:pPr>
          </w:p>
        </w:tc>
        <w:tc>
          <w:tcPr>
            <w:tcW w:w="566" w:type="dxa"/>
            <w:shd w:val="clear" w:color="auto" w:fill="auto"/>
            <w:vAlign w:val="center"/>
          </w:tcPr>
          <w:p>
            <w:pPr>
              <w:jc w:val="center"/>
              <w:rPr>
                <w:szCs w:val="21"/>
              </w:rPr>
            </w:pPr>
            <w:r>
              <w:rPr>
                <w:szCs w:val="21"/>
              </w:rPr>
              <w:t>2</w:t>
            </w:r>
          </w:p>
        </w:tc>
        <w:tc>
          <w:tcPr>
            <w:tcW w:w="1557" w:type="dxa"/>
            <w:shd w:val="clear" w:color="auto" w:fill="auto"/>
            <w:vAlign w:val="center"/>
          </w:tcPr>
          <w:p>
            <w:pPr>
              <w:jc w:val="center"/>
              <w:rPr>
                <w:szCs w:val="21"/>
              </w:rPr>
            </w:pPr>
            <w:r>
              <w:rPr>
                <w:szCs w:val="21"/>
              </w:rPr>
              <w:t>废水治理</w:t>
            </w:r>
          </w:p>
        </w:tc>
        <w:tc>
          <w:tcPr>
            <w:tcW w:w="5176" w:type="dxa"/>
            <w:gridSpan w:val="2"/>
            <w:shd w:val="clear" w:color="auto" w:fill="auto"/>
            <w:vAlign w:val="center"/>
          </w:tcPr>
          <w:p>
            <w:pPr>
              <w:jc w:val="center"/>
              <w:rPr>
                <w:szCs w:val="21"/>
              </w:rPr>
            </w:pPr>
            <w:r>
              <w:rPr>
                <w:rFonts w:hint="eastAsia"/>
                <w:bCs/>
                <w:szCs w:val="21"/>
              </w:rPr>
              <w:t>入驻孵化园企业生产废水</w:t>
            </w:r>
            <w:r>
              <w:rPr>
                <w:szCs w:val="21"/>
              </w:rPr>
              <w:t>进入污水处理站处理，</w:t>
            </w:r>
            <w:r>
              <w:rPr>
                <w:rFonts w:hint="eastAsia"/>
                <w:szCs w:val="21"/>
              </w:rPr>
              <w:t>最终进入原阳县产业集聚区污水处理厂</w:t>
            </w:r>
            <w:r>
              <w:rPr>
                <w:szCs w:val="21"/>
              </w:rPr>
              <w:t>进一步处理后排入</w:t>
            </w:r>
            <w:r>
              <w:rPr>
                <w:rFonts w:hint="eastAsia"/>
                <w:szCs w:val="21"/>
              </w:rPr>
              <w:t>东关排，最终汇入文岩渠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1" w:type="dxa"/>
            <w:gridSpan w:val="2"/>
            <w:vMerge w:val="continue"/>
            <w:shd w:val="clear" w:color="auto" w:fill="auto"/>
            <w:vAlign w:val="center"/>
          </w:tcPr>
          <w:p>
            <w:pPr>
              <w:widowControl/>
              <w:jc w:val="center"/>
              <w:rPr>
                <w:szCs w:val="21"/>
                <w:highlight w:val="yellow"/>
              </w:rPr>
            </w:pPr>
          </w:p>
        </w:tc>
        <w:tc>
          <w:tcPr>
            <w:tcW w:w="566" w:type="dxa"/>
            <w:shd w:val="clear" w:color="auto" w:fill="auto"/>
            <w:vAlign w:val="center"/>
          </w:tcPr>
          <w:p>
            <w:pPr>
              <w:jc w:val="center"/>
              <w:rPr>
                <w:szCs w:val="21"/>
              </w:rPr>
            </w:pPr>
            <w:r>
              <w:rPr>
                <w:rFonts w:hint="eastAsia"/>
                <w:szCs w:val="21"/>
              </w:rPr>
              <w:t>3</w:t>
            </w:r>
          </w:p>
        </w:tc>
        <w:tc>
          <w:tcPr>
            <w:tcW w:w="1557" w:type="dxa"/>
            <w:shd w:val="clear" w:color="auto" w:fill="auto"/>
            <w:vAlign w:val="center"/>
          </w:tcPr>
          <w:p>
            <w:pPr>
              <w:jc w:val="center"/>
              <w:rPr>
                <w:szCs w:val="21"/>
              </w:rPr>
            </w:pPr>
            <w:r>
              <w:rPr>
                <w:rFonts w:hint="eastAsia"/>
                <w:szCs w:val="21"/>
              </w:rPr>
              <w:t>噪声治理</w:t>
            </w:r>
          </w:p>
        </w:tc>
        <w:tc>
          <w:tcPr>
            <w:tcW w:w="5176" w:type="dxa"/>
            <w:gridSpan w:val="2"/>
            <w:shd w:val="clear" w:color="auto" w:fill="auto"/>
            <w:vAlign w:val="center"/>
          </w:tcPr>
          <w:p>
            <w:pPr>
              <w:jc w:val="center"/>
              <w:rPr>
                <w:szCs w:val="21"/>
              </w:rPr>
            </w:pPr>
            <w:r>
              <w:rPr>
                <w:szCs w:val="21"/>
              </w:rPr>
              <w:t>选用低噪声设备、基础减振、隔声、降噪设施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1" w:type="dxa"/>
            <w:gridSpan w:val="2"/>
            <w:vMerge w:val="continue"/>
            <w:shd w:val="clear" w:color="auto" w:fill="auto"/>
            <w:vAlign w:val="center"/>
          </w:tcPr>
          <w:p>
            <w:pPr>
              <w:widowControl/>
              <w:jc w:val="center"/>
              <w:rPr>
                <w:szCs w:val="21"/>
                <w:highlight w:val="yellow"/>
              </w:rPr>
            </w:pPr>
          </w:p>
        </w:tc>
        <w:tc>
          <w:tcPr>
            <w:tcW w:w="566" w:type="dxa"/>
            <w:vMerge w:val="restart"/>
            <w:shd w:val="clear" w:color="auto" w:fill="auto"/>
            <w:vAlign w:val="center"/>
          </w:tcPr>
          <w:p>
            <w:pPr>
              <w:jc w:val="center"/>
              <w:rPr>
                <w:szCs w:val="21"/>
              </w:rPr>
            </w:pPr>
            <w:r>
              <w:rPr>
                <w:szCs w:val="21"/>
              </w:rPr>
              <w:t>4</w:t>
            </w:r>
          </w:p>
        </w:tc>
        <w:tc>
          <w:tcPr>
            <w:tcW w:w="1557" w:type="dxa"/>
            <w:vMerge w:val="restart"/>
            <w:shd w:val="clear" w:color="auto" w:fill="auto"/>
            <w:vAlign w:val="center"/>
          </w:tcPr>
          <w:p>
            <w:pPr>
              <w:jc w:val="center"/>
              <w:rPr>
                <w:szCs w:val="21"/>
              </w:rPr>
            </w:pPr>
            <w:r>
              <w:rPr>
                <w:szCs w:val="21"/>
              </w:rPr>
              <w:t>固废处置</w:t>
            </w:r>
          </w:p>
        </w:tc>
        <w:tc>
          <w:tcPr>
            <w:tcW w:w="5176" w:type="dxa"/>
            <w:gridSpan w:val="2"/>
            <w:shd w:val="clear" w:color="auto" w:fill="auto"/>
            <w:vAlign w:val="center"/>
          </w:tcPr>
          <w:p>
            <w:pPr>
              <w:jc w:val="center"/>
              <w:rPr>
                <w:szCs w:val="21"/>
              </w:rPr>
            </w:pPr>
            <w:r>
              <w:rPr>
                <w:szCs w:val="21"/>
              </w:rPr>
              <w:t>1座污泥</w:t>
            </w:r>
            <w:r>
              <w:rPr>
                <w:rFonts w:hint="eastAsia"/>
                <w:szCs w:val="21"/>
              </w:rPr>
              <w:t>暂存间</w:t>
            </w:r>
            <w:r>
              <w:t>面积约15m</w:t>
            </w:r>
            <w:r>
              <w:rPr>
                <w:vertAlign w:val="superscript"/>
              </w:rPr>
              <w:t>2</w:t>
            </w:r>
            <w:r>
              <w:rPr>
                <w:szCs w:val="21"/>
              </w:rPr>
              <w:t>，用于暂存污水处理站污泥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1" w:type="dxa"/>
            <w:gridSpan w:val="2"/>
            <w:vMerge w:val="continue"/>
            <w:shd w:val="clear" w:color="auto" w:fill="auto"/>
            <w:vAlign w:val="center"/>
          </w:tcPr>
          <w:p>
            <w:pPr>
              <w:widowControl/>
              <w:jc w:val="center"/>
              <w:rPr>
                <w:szCs w:val="21"/>
                <w:highlight w:val="yellow"/>
              </w:rPr>
            </w:pPr>
          </w:p>
        </w:tc>
        <w:tc>
          <w:tcPr>
            <w:tcW w:w="566" w:type="dxa"/>
            <w:vMerge w:val="continue"/>
            <w:shd w:val="clear" w:color="auto" w:fill="auto"/>
            <w:vAlign w:val="center"/>
          </w:tcPr>
          <w:p>
            <w:pPr>
              <w:jc w:val="center"/>
              <w:rPr>
                <w:szCs w:val="21"/>
              </w:rPr>
            </w:pPr>
          </w:p>
        </w:tc>
        <w:tc>
          <w:tcPr>
            <w:tcW w:w="1557" w:type="dxa"/>
            <w:vMerge w:val="continue"/>
            <w:shd w:val="clear" w:color="auto" w:fill="auto"/>
            <w:vAlign w:val="center"/>
          </w:tcPr>
          <w:p>
            <w:pPr>
              <w:jc w:val="center"/>
              <w:rPr>
                <w:szCs w:val="21"/>
              </w:rPr>
            </w:pPr>
          </w:p>
        </w:tc>
        <w:tc>
          <w:tcPr>
            <w:tcW w:w="5176" w:type="dxa"/>
            <w:gridSpan w:val="2"/>
            <w:shd w:val="clear" w:color="auto" w:fill="auto"/>
            <w:vAlign w:val="center"/>
          </w:tcPr>
          <w:p>
            <w:pPr>
              <w:jc w:val="center"/>
              <w:rPr>
                <w:szCs w:val="21"/>
              </w:rPr>
            </w:pPr>
            <w:r>
              <w:rPr>
                <w:rFonts w:hint="eastAsia"/>
                <w:szCs w:val="21"/>
              </w:rPr>
              <w:t>1座一般固废暂存处约</w:t>
            </w:r>
            <w:r>
              <w:t>15m</w:t>
            </w:r>
            <w:r>
              <w:rPr>
                <w:vertAlign w:val="superscript"/>
              </w:rPr>
              <w:t>2</w:t>
            </w:r>
            <w:r>
              <w:rPr>
                <w:szCs w:val="21"/>
              </w:rPr>
              <w:t>，用于暂存</w:t>
            </w:r>
            <w:r>
              <w:rPr>
                <w:rFonts w:hint="eastAsia"/>
                <w:szCs w:val="21"/>
              </w:rPr>
              <w:t>格栅渣和过滤废渣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11" w:type="dxa"/>
            <w:gridSpan w:val="2"/>
            <w:vMerge w:val="continue"/>
            <w:shd w:val="clear" w:color="auto" w:fill="auto"/>
            <w:vAlign w:val="center"/>
          </w:tcPr>
          <w:p>
            <w:pPr>
              <w:widowControl/>
              <w:jc w:val="center"/>
              <w:rPr>
                <w:szCs w:val="21"/>
                <w:highlight w:val="yellow"/>
              </w:rPr>
            </w:pPr>
          </w:p>
        </w:tc>
        <w:tc>
          <w:tcPr>
            <w:tcW w:w="566" w:type="dxa"/>
            <w:shd w:val="clear" w:color="auto" w:fill="auto"/>
            <w:vAlign w:val="center"/>
          </w:tcPr>
          <w:p>
            <w:pPr>
              <w:jc w:val="center"/>
              <w:rPr>
                <w:szCs w:val="21"/>
              </w:rPr>
            </w:pPr>
            <w:r>
              <w:rPr>
                <w:rFonts w:hint="eastAsia"/>
                <w:szCs w:val="21"/>
              </w:rPr>
              <w:t>5</w:t>
            </w:r>
          </w:p>
        </w:tc>
        <w:tc>
          <w:tcPr>
            <w:tcW w:w="1557" w:type="dxa"/>
            <w:shd w:val="clear" w:color="auto" w:fill="auto"/>
            <w:vAlign w:val="center"/>
          </w:tcPr>
          <w:p>
            <w:pPr>
              <w:jc w:val="center"/>
              <w:rPr>
                <w:szCs w:val="21"/>
              </w:rPr>
            </w:pPr>
            <w:r>
              <w:rPr>
                <w:szCs w:val="21"/>
              </w:rPr>
              <w:t>在线监测系统</w:t>
            </w:r>
          </w:p>
        </w:tc>
        <w:tc>
          <w:tcPr>
            <w:tcW w:w="5176" w:type="dxa"/>
            <w:gridSpan w:val="2"/>
            <w:shd w:val="clear" w:color="auto" w:fill="auto"/>
            <w:vAlign w:val="center"/>
          </w:tcPr>
          <w:p>
            <w:pPr>
              <w:jc w:val="center"/>
              <w:rPr>
                <w:szCs w:val="21"/>
              </w:rPr>
            </w:pPr>
            <w:r>
              <w:rPr>
                <w:szCs w:val="21"/>
              </w:rPr>
              <w:t>流量计、COD</w:t>
            </w:r>
            <w:r>
              <w:rPr>
                <w:szCs w:val="21"/>
                <w:vertAlign w:val="subscript"/>
              </w:rPr>
              <w:t>Cr</w:t>
            </w:r>
            <w:r>
              <w:rPr>
                <w:szCs w:val="21"/>
              </w:rPr>
              <w:t>在线监测仪、氨氮在线监测仪、pH在线监测仪、TP在线监测仪、TN在线监测仪、视频监控系统、</w:t>
            </w:r>
            <w:r>
              <w:rPr>
                <w:rFonts w:hint="eastAsia"/>
                <w:szCs w:val="21"/>
              </w:rPr>
              <w:t>用电量监控</w:t>
            </w:r>
          </w:p>
        </w:tc>
      </w:tr>
    </w:tbl>
    <w:p>
      <w:pPr>
        <w:spacing w:line="520" w:lineRule="exact"/>
        <w:ind w:firstLine="480" w:firstLineChars="200"/>
        <w:rPr>
          <w:bCs/>
          <w:sz w:val="24"/>
        </w:rPr>
      </w:pPr>
      <w:r>
        <w:rPr>
          <w:bCs/>
          <w:sz w:val="24"/>
        </w:rPr>
        <w:t>本项目污水处理站工程主要设计参数见表3.1-3</w:t>
      </w:r>
      <w:r>
        <w:rPr>
          <w:rFonts w:hint="eastAsia"/>
          <w:bCs/>
          <w:sz w:val="24"/>
        </w:rPr>
        <w:t>。</w:t>
      </w:r>
    </w:p>
    <w:p>
      <w:pPr>
        <w:snapToGrid w:val="0"/>
        <w:spacing w:line="480" w:lineRule="exact"/>
        <w:ind w:firstLine="480" w:firstLineChars="200"/>
        <w:rPr>
          <w:rFonts w:eastAsia="黑体"/>
          <w:sz w:val="24"/>
        </w:rPr>
      </w:pPr>
      <w:r>
        <w:rPr>
          <w:rFonts w:eastAsia="黑体"/>
          <w:sz w:val="24"/>
        </w:rPr>
        <w:t xml:space="preserve">表3.1-3      </w:t>
      </w:r>
      <w:r>
        <w:rPr>
          <w:rFonts w:eastAsia="黑体"/>
          <w:bCs/>
          <w:sz w:val="24"/>
        </w:rPr>
        <w:t>本项目污水处理站工程主要设计参数</w:t>
      </w:r>
      <w:r>
        <w:rPr>
          <w:rFonts w:eastAsia="黑体"/>
          <w:sz w:val="24"/>
        </w:rPr>
        <w:t>一览表</w:t>
      </w:r>
    </w:p>
    <w:tbl>
      <w:tblPr>
        <w:tblStyle w:val="4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60"/>
        <w:gridCol w:w="1139"/>
        <w:gridCol w:w="3276"/>
        <w:gridCol w:w="37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trPr>
        <w:tc>
          <w:tcPr>
            <w:tcW w:w="557" w:type="dxa"/>
            <w:tcMar>
              <w:top w:w="0" w:type="dxa"/>
              <w:left w:w="6" w:type="dxa"/>
              <w:bottom w:w="0" w:type="dxa"/>
              <w:right w:w="6" w:type="dxa"/>
            </w:tcMar>
            <w:vAlign w:val="center"/>
          </w:tcPr>
          <w:p>
            <w:pPr>
              <w:jc w:val="center"/>
              <w:rPr>
                <w:b/>
                <w:bCs/>
                <w:szCs w:val="21"/>
              </w:rPr>
            </w:pPr>
            <w:r>
              <w:rPr>
                <w:rFonts w:hint="eastAsia"/>
                <w:b/>
                <w:bCs/>
                <w:szCs w:val="21"/>
              </w:rPr>
              <w:t>序号</w:t>
            </w:r>
          </w:p>
        </w:tc>
        <w:tc>
          <w:tcPr>
            <w:tcW w:w="1134" w:type="dxa"/>
            <w:tcMar>
              <w:top w:w="0" w:type="dxa"/>
              <w:left w:w="6" w:type="dxa"/>
              <w:bottom w:w="0" w:type="dxa"/>
              <w:right w:w="6" w:type="dxa"/>
            </w:tcMar>
            <w:vAlign w:val="center"/>
          </w:tcPr>
          <w:p>
            <w:pPr>
              <w:jc w:val="center"/>
              <w:rPr>
                <w:b/>
                <w:bCs/>
                <w:szCs w:val="21"/>
              </w:rPr>
            </w:pPr>
            <w:r>
              <w:rPr>
                <w:rFonts w:hint="eastAsia"/>
                <w:b/>
                <w:bCs/>
                <w:szCs w:val="21"/>
              </w:rPr>
              <w:t>工程名称</w:t>
            </w:r>
          </w:p>
        </w:tc>
        <w:tc>
          <w:tcPr>
            <w:tcW w:w="3261" w:type="dxa"/>
            <w:tcMar>
              <w:top w:w="0" w:type="dxa"/>
              <w:left w:w="6" w:type="dxa"/>
              <w:bottom w:w="0" w:type="dxa"/>
              <w:right w:w="6" w:type="dxa"/>
            </w:tcMar>
            <w:vAlign w:val="center"/>
          </w:tcPr>
          <w:p>
            <w:pPr>
              <w:jc w:val="center"/>
              <w:rPr>
                <w:b/>
                <w:bCs/>
                <w:szCs w:val="21"/>
              </w:rPr>
            </w:pPr>
            <w:r>
              <w:rPr>
                <w:rFonts w:hint="eastAsia"/>
                <w:b/>
                <w:bCs/>
                <w:szCs w:val="21"/>
              </w:rPr>
              <w:t>功能</w:t>
            </w:r>
          </w:p>
        </w:tc>
        <w:tc>
          <w:tcPr>
            <w:tcW w:w="3758" w:type="dxa"/>
            <w:tcMar>
              <w:top w:w="0" w:type="dxa"/>
              <w:left w:w="6" w:type="dxa"/>
              <w:bottom w:w="0" w:type="dxa"/>
              <w:right w:w="6" w:type="dxa"/>
            </w:tcMar>
            <w:vAlign w:val="center"/>
          </w:tcPr>
          <w:p>
            <w:pPr>
              <w:jc w:val="center"/>
              <w:rPr>
                <w:b/>
                <w:bCs/>
                <w:szCs w:val="21"/>
              </w:rPr>
            </w:pPr>
            <w:r>
              <w:rPr>
                <w:rFonts w:hint="eastAsia"/>
                <w:b/>
                <w:bCs/>
                <w:szCs w:val="21"/>
              </w:rPr>
              <w:t>主要设计参数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tcMar>
              <w:top w:w="0" w:type="dxa"/>
              <w:left w:w="6" w:type="dxa"/>
              <w:bottom w:w="0" w:type="dxa"/>
              <w:right w:w="6" w:type="dxa"/>
            </w:tcMar>
            <w:vAlign w:val="center"/>
          </w:tcPr>
          <w:p>
            <w:pPr>
              <w:jc w:val="center"/>
              <w:rPr>
                <w:szCs w:val="21"/>
              </w:rPr>
            </w:pPr>
            <w:r>
              <w:rPr>
                <w:rFonts w:hint="eastAsia"/>
                <w:szCs w:val="21"/>
              </w:rPr>
              <w:t>1</w:t>
            </w:r>
          </w:p>
        </w:tc>
        <w:tc>
          <w:tcPr>
            <w:tcW w:w="1134" w:type="dxa"/>
            <w:tcMar>
              <w:top w:w="0" w:type="dxa"/>
              <w:left w:w="6" w:type="dxa"/>
              <w:bottom w:w="0" w:type="dxa"/>
              <w:right w:w="6" w:type="dxa"/>
            </w:tcMar>
            <w:vAlign w:val="center"/>
          </w:tcPr>
          <w:p>
            <w:pPr>
              <w:jc w:val="center"/>
              <w:rPr>
                <w:szCs w:val="21"/>
              </w:rPr>
            </w:pPr>
            <w:r>
              <w:rPr>
                <w:rFonts w:hint="eastAsia"/>
                <w:szCs w:val="21"/>
              </w:rPr>
              <w:t>格栅渠</w:t>
            </w:r>
          </w:p>
        </w:tc>
        <w:tc>
          <w:tcPr>
            <w:tcW w:w="3261" w:type="dxa"/>
            <w:tcMar>
              <w:top w:w="0" w:type="dxa"/>
              <w:left w:w="6" w:type="dxa"/>
              <w:bottom w:w="0" w:type="dxa"/>
              <w:right w:w="6" w:type="dxa"/>
            </w:tcMar>
            <w:vAlign w:val="center"/>
          </w:tcPr>
          <w:p>
            <w:pPr>
              <w:jc w:val="center"/>
              <w:rPr>
                <w:szCs w:val="21"/>
              </w:rPr>
            </w:pPr>
            <w:r>
              <w:rPr>
                <w:rFonts w:hint="eastAsia"/>
                <w:szCs w:val="21"/>
              </w:rPr>
              <w:t>截阻废水中的大块悬浮物、漂浮物、纤维和固体颗粒物质，以避免堵塞后续管道和设备，保证后续处理工序正常有效运行</w:t>
            </w:r>
          </w:p>
        </w:tc>
        <w:tc>
          <w:tcPr>
            <w:tcW w:w="3758" w:type="dxa"/>
            <w:tcMar>
              <w:top w:w="0" w:type="dxa"/>
              <w:left w:w="6" w:type="dxa"/>
              <w:bottom w:w="0" w:type="dxa"/>
              <w:right w:w="6" w:type="dxa"/>
            </w:tcMar>
            <w:vAlign w:val="center"/>
          </w:tcPr>
          <w:p>
            <w:pPr>
              <w:jc w:val="center"/>
              <w:rPr>
                <w:szCs w:val="21"/>
              </w:rPr>
            </w:pPr>
            <w:r>
              <w:rPr>
                <w:szCs w:val="21"/>
              </w:rPr>
              <w:t>1</w:t>
            </w:r>
            <w:r>
              <w:rPr>
                <w:rFonts w:hint="eastAsia"/>
                <w:szCs w:val="21"/>
              </w:rPr>
              <w:t>套，排渣高度1.2m，</w:t>
            </w:r>
            <w:r>
              <w:rPr>
                <w:szCs w:val="21"/>
              </w:rPr>
              <w:t>格栅宽：B=1m</w:t>
            </w:r>
            <w:r>
              <w:rPr>
                <w:rFonts w:hint="eastAsia"/>
                <w:szCs w:val="21"/>
              </w:rPr>
              <w:t>，</w:t>
            </w:r>
            <w:r>
              <w:rPr>
                <w:szCs w:val="21"/>
              </w:rPr>
              <w:t>栅隙：b=3mm</w:t>
            </w:r>
            <w:r>
              <w:rPr>
                <w:rFonts w:hint="eastAsia"/>
                <w:szCs w:val="21"/>
              </w:rPr>
              <w:t>，</w:t>
            </w:r>
            <w:r>
              <w:rPr>
                <w:szCs w:val="21"/>
              </w:rPr>
              <w:t>功率：P=1.1kw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tcMar>
              <w:top w:w="0" w:type="dxa"/>
              <w:left w:w="6" w:type="dxa"/>
              <w:bottom w:w="0" w:type="dxa"/>
              <w:right w:w="6" w:type="dxa"/>
            </w:tcMar>
            <w:vAlign w:val="center"/>
          </w:tcPr>
          <w:p>
            <w:pPr>
              <w:jc w:val="center"/>
              <w:rPr>
                <w:szCs w:val="21"/>
              </w:rPr>
            </w:pPr>
            <w:r>
              <w:rPr>
                <w:rFonts w:hint="eastAsia"/>
                <w:szCs w:val="21"/>
              </w:rPr>
              <w:t>2</w:t>
            </w:r>
          </w:p>
        </w:tc>
        <w:tc>
          <w:tcPr>
            <w:tcW w:w="1134" w:type="dxa"/>
            <w:tcMar>
              <w:top w:w="0" w:type="dxa"/>
              <w:left w:w="6" w:type="dxa"/>
              <w:bottom w:w="0" w:type="dxa"/>
              <w:right w:w="6" w:type="dxa"/>
            </w:tcMar>
            <w:vAlign w:val="center"/>
          </w:tcPr>
          <w:p>
            <w:pPr>
              <w:jc w:val="center"/>
              <w:rPr>
                <w:szCs w:val="21"/>
              </w:rPr>
            </w:pPr>
            <w:r>
              <w:rPr>
                <w:rFonts w:hint="eastAsia"/>
                <w:szCs w:val="21"/>
              </w:rPr>
              <w:t>集水池</w:t>
            </w:r>
          </w:p>
        </w:tc>
        <w:tc>
          <w:tcPr>
            <w:tcW w:w="3261" w:type="dxa"/>
            <w:tcMar>
              <w:top w:w="0" w:type="dxa"/>
              <w:left w:w="6" w:type="dxa"/>
              <w:bottom w:w="0" w:type="dxa"/>
              <w:right w:w="6" w:type="dxa"/>
            </w:tcMar>
            <w:vAlign w:val="center"/>
          </w:tcPr>
          <w:p>
            <w:pPr>
              <w:jc w:val="center"/>
              <w:rPr>
                <w:szCs w:val="21"/>
              </w:rPr>
            </w:pPr>
            <w:r>
              <w:rPr>
                <w:rFonts w:hint="eastAsia"/>
                <w:szCs w:val="21"/>
              </w:rPr>
              <w:t>汇集、储存水量。为了提高后续池体的可利用容积，建设集水池，收集来水，作为提升井</w:t>
            </w:r>
          </w:p>
        </w:tc>
        <w:tc>
          <w:tcPr>
            <w:tcW w:w="3758" w:type="dxa"/>
            <w:tcMar>
              <w:top w:w="0" w:type="dxa"/>
              <w:left w:w="6" w:type="dxa"/>
              <w:bottom w:w="0" w:type="dxa"/>
              <w:right w:w="6" w:type="dxa"/>
            </w:tcMar>
            <w:vAlign w:val="center"/>
          </w:tcPr>
          <w:p>
            <w:pPr>
              <w:jc w:val="center"/>
              <w:rPr>
                <w:szCs w:val="21"/>
              </w:rPr>
            </w:pPr>
            <w:r>
              <w:rPr>
                <w:rFonts w:hint="eastAsia"/>
                <w:szCs w:val="21"/>
              </w:rPr>
              <w:t>（1）潜污泵</w:t>
            </w:r>
            <w:r>
              <w:rPr>
                <w:szCs w:val="21"/>
              </w:rPr>
              <w:t>3</w:t>
            </w:r>
            <w:r>
              <w:rPr>
                <w:rFonts w:hint="eastAsia"/>
                <w:szCs w:val="21"/>
              </w:rPr>
              <w:t>台（2用1备），流量：Q=</w:t>
            </w:r>
            <w:r>
              <w:rPr>
                <w:szCs w:val="21"/>
              </w:rPr>
              <w:t>100</w:t>
            </w:r>
            <w:r>
              <w:rPr>
                <w:rFonts w:hint="eastAsia"/>
                <w:szCs w:val="21"/>
              </w:rPr>
              <w:t>m</w:t>
            </w:r>
            <w:r>
              <w:rPr>
                <w:rFonts w:hint="eastAsia"/>
                <w:szCs w:val="21"/>
                <w:vertAlign w:val="superscript"/>
              </w:rPr>
              <w:t>3</w:t>
            </w:r>
            <w:r>
              <w:rPr>
                <w:rFonts w:hint="eastAsia"/>
                <w:szCs w:val="21"/>
              </w:rPr>
              <w:t>/h，扬程：H=1</w:t>
            </w:r>
            <w:r>
              <w:rPr>
                <w:szCs w:val="21"/>
              </w:rPr>
              <w:t>5</w:t>
            </w:r>
            <w:r>
              <w:rPr>
                <w:rFonts w:hint="eastAsia"/>
                <w:szCs w:val="21"/>
              </w:rPr>
              <w:t>m，功率：</w:t>
            </w:r>
            <w:r>
              <w:rPr>
                <w:szCs w:val="21"/>
              </w:rPr>
              <w:t>P</w:t>
            </w:r>
            <w:r>
              <w:rPr>
                <w:rFonts w:hint="eastAsia"/>
                <w:szCs w:val="21"/>
              </w:rPr>
              <w:t>=</w:t>
            </w:r>
            <w:r>
              <w:rPr>
                <w:szCs w:val="21"/>
              </w:rPr>
              <w:t>7.5</w:t>
            </w:r>
            <w:r>
              <w:rPr>
                <w:rFonts w:hint="eastAsia"/>
                <w:szCs w:val="21"/>
              </w:rPr>
              <w:t>kw；（2）潜水搅拌机1套，叶轮直径：</w:t>
            </w:r>
            <w:r>
              <w:rPr>
                <w:rFonts w:hint="eastAsia"/>
                <w:color w:val="000000"/>
                <w:szCs w:val="21"/>
              </w:rPr>
              <w:t>D=400mm，叶轮转速：740r/min，推力：800N，功率：P=2.5KW，电流：7</w:t>
            </w:r>
            <w:r>
              <w:rPr>
                <w:color w:val="000000"/>
                <w:szCs w:val="21"/>
              </w:rPr>
              <w:t>A</w:t>
            </w:r>
            <w:r>
              <w:rPr>
                <w:rFonts w:hint="eastAsia"/>
                <w:color w:val="000000"/>
                <w:szCs w:val="21"/>
              </w:rPr>
              <w:t>；</w:t>
            </w:r>
            <w:r>
              <w:rPr>
                <w:rFonts w:hint="eastAsia"/>
                <w:szCs w:val="21"/>
              </w:rPr>
              <w:t>（3）浮球开关1套，量程0～10m；（4）提升装置1套；（5）起吊装置1套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tcMar>
              <w:top w:w="0" w:type="dxa"/>
              <w:left w:w="6" w:type="dxa"/>
              <w:bottom w:w="0" w:type="dxa"/>
              <w:right w:w="6" w:type="dxa"/>
            </w:tcMar>
            <w:vAlign w:val="center"/>
          </w:tcPr>
          <w:p>
            <w:pPr>
              <w:jc w:val="center"/>
              <w:rPr>
                <w:szCs w:val="21"/>
              </w:rPr>
            </w:pPr>
            <w:r>
              <w:rPr>
                <w:rFonts w:hint="eastAsia"/>
                <w:szCs w:val="21"/>
              </w:rPr>
              <w:t>3</w:t>
            </w:r>
          </w:p>
        </w:tc>
        <w:tc>
          <w:tcPr>
            <w:tcW w:w="1134" w:type="dxa"/>
            <w:tcMar>
              <w:top w:w="0" w:type="dxa"/>
              <w:left w:w="6" w:type="dxa"/>
              <w:bottom w:w="0" w:type="dxa"/>
              <w:right w:w="6" w:type="dxa"/>
            </w:tcMar>
            <w:vAlign w:val="center"/>
          </w:tcPr>
          <w:p>
            <w:pPr>
              <w:jc w:val="center"/>
              <w:rPr>
                <w:szCs w:val="21"/>
              </w:rPr>
            </w:pPr>
            <w:r>
              <w:rPr>
                <w:rFonts w:hint="eastAsia"/>
                <w:szCs w:val="21"/>
              </w:rPr>
              <w:t>超微过滤机</w:t>
            </w:r>
          </w:p>
        </w:tc>
        <w:tc>
          <w:tcPr>
            <w:tcW w:w="3261" w:type="dxa"/>
            <w:tcMar>
              <w:top w:w="0" w:type="dxa"/>
              <w:left w:w="6" w:type="dxa"/>
              <w:bottom w:w="0" w:type="dxa"/>
              <w:right w:w="6" w:type="dxa"/>
            </w:tcMar>
            <w:vAlign w:val="center"/>
          </w:tcPr>
          <w:p>
            <w:pPr>
              <w:jc w:val="center"/>
              <w:rPr>
                <w:szCs w:val="21"/>
              </w:rPr>
            </w:pPr>
            <w:r>
              <w:rPr>
                <w:rFonts w:hint="eastAsia"/>
                <w:szCs w:val="21"/>
              </w:rPr>
              <w:t>去除截留污水中大部分的细小的毛发和微小悬浮物，大大减轻后续生化系统的运行负荷，保证废水处理的稳定运行</w:t>
            </w:r>
          </w:p>
        </w:tc>
        <w:tc>
          <w:tcPr>
            <w:tcW w:w="3758" w:type="dxa"/>
            <w:tcMar>
              <w:top w:w="0" w:type="dxa"/>
              <w:left w:w="6" w:type="dxa"/>
              <w:bottom w:w="0" w:type="dxa"/>
              <w:right w:w="6" w:type="dxa"/>
            </w:tcMar>
            <w:vAlign w:val="center"/>
          </w:tcPr>
          <w:p>
            <w:pPr>
              <w:jc w:val="center"/>
              <w:rPr>
                <w:szCs w:val="21"/>
              </w:rPr>
            </w:pPr>
            <w:r>
              <w:rPr>
                <w:rFonts w:hint="eastAsia"/>
                <w:szCs w:val="21"/>
              </w:rPr>
              <w:t>1套，</w:t>
            </w:r>
            <w:r>
              <w:rPr>
                <w:szCs w:val="21"/>
              </w:rPr>
              <w:t>额定处理量Q=150m</w:t>
            </w:r>
            <w:r>
              <w:rPr>
                <w:szCs w:val="21"/>
                <w:vertAlign w:val="superscript"/>
              </w:rPr>
              <w:t>3</w:t>
            </w:r>
            <w:r>
              <w:rPr>
                <w:szCs w:val="21"/>
              </w:rPr>
              <w:t>/h</w:t>
            </w:r>
            <w:r>
              <w:rPr>
                <w:rFonts w:hint="eastAsia"/>
                <w:szCs w:val="21"/>
              </w:rPr>
              <w:t>，</w:t>
            </w:r>
            <w:r>
              <w:rPr>
                <w:szCs w:val="21"/>
              </w:rPr>
              <w:t>功率</w:t>
            </w:r>
            <w:r>
              <w:rPr>
                <w:rFonts w:hint="eastAsia"/>
                <w:szCs w:val="21"/>
              </w:rPr>
              <w:t>：2.6</w:t>
            </w:r>
            <w:r>
              <w:rPr>
                <w:szCs w:val="21"/>
              </w:rPr>
              <w:t>KW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tcMar>
              <w:top w:w="0" w:type="dxa"/>
              <w:left w:w="6" w:type="dxa"/>
              <w:bottom w:w="0" w:type="dxa"/>
              <w:right w:w="6" w:type="dxa"/>
            </w:tcMar>
            <w:vAlign w:val="center"/>
          </w:tcPr>
          <w:p>
            <w:pPr>
              <w:jc w:val="center"/>
              <w:rPr>
                <w:szCs w:val="21"/>
              </w:rPr>
            </w:pPr>
            <w:r>
              <w:rPr>
                <w:rFonts w:hint="eastAsia"/>
                <w:szCs w:val="21"/>
              </w:rPr>
              <w:t>4</w:t>
            </w:r>
          </w:p>
        </w:tc>
        <w:tc>
          <w:tcPr>
            <w:tcW w:w="1134" w:type="dxa"/>
            <w:tcMar>
              <w:top w:w="0" w:type="dxa"/>
              <w:left w:w="6" w:type="dxa"/>
              <w:bottom w:w="0" w:type="dxa"/>
              <w:right w:w="6" w:type="dxa"/>
            </w:tcMar>
            <w:vAlign w:val="center"/>
          </w:tcPr>
          <w:p>
            <w:pPr>
              <w:jc w:val="center"/>
              <w:rPr>
                <w:szCs w:val="21"/>
              </w:rPr>
            </w:pPr>
            <w:r>
              <w:rPr>
                <w:rFonts w:hint="eastAsia"/>
                <w:szCs w:val="21"/>
              </w:rPr>
              <w:t>初沉池</w:t>
            </w:r>
          </w:p>
        </w:tc>
        <w:tc>
          <w:tcPr>
            <w:tcW w:w="3261" w:type="dxa"/>
            <w:tcMar>
              <w:top w:w="0" w:type="dxa"/>
              <w:left w:w="6" w:type="dxa"/>
              <w:bottom w:w="0" w:type="dxa"/>
              <w:right w:w="6" w:type="dxa"/>
            </w:tcMar>
            <w:vAlign w:val="center"/>
          </w:tcPr>
          <w:p>
            <w:pPr>
              <w:jc w:val="center"/>
              <w:rPr>
                <w:szCs w:val="21"/>
              </w:rPr>
            </w:pPr>
            <w:r>
              <w:rPr>
                <w:rFonts w:hint="eastAsia"/>
                <w:szCs w:val="21"/>
              </w:rPr>
              <w:t>利用重力沉降原理来去除污水中悬浮固体，主要去除无机颗粒和部分有机物</w:t>
            </w:r>
          </w:p>
        </w:tc>
        <w:tc>
          <w:tcPr>
            <w:tcW w:w="3758" w:type="dxa"/>
            <w:tcMar>
              <w:top w:w="0" w:type="dxa"/>
              <w:left w:w="6" w:type="dxa"/>
              <w:bottom w:w="0" w:type="dxa"/>
              <w:right w:w="6" w:type="dxa"/>
            </w:tcMar>
            <w:vAlign w:val="center"/>
          </w:tcPr>
          <w:p>
            <w:pPr>
              <w:jc w:val="center"/>
              <w:rPr>
                <w:szCs w:val="21"/>
              </w:rPr>
            </w:pPr>
            <w:r>
              <w:rPr>
                <w:rFonts w:hint="eastAsia"/>
                <w:szCs w:val="21"/>
              </w:rPr>
              <w:t>（1）刮吸泥机1套，功率：P=0.55kw，</w:t>
            </w:r>
            <w:r>
              <w:rPr>
                <w:rFonts w:hint="eastAsia"/>
                <w:color w:val="000000"/>
                <w:szCs w:val="21"/>
              </w:rPr>
              <w:t>跨度：</w:t>
            </w:r>
            <w:r>
              <w:rPr>
                <w:szCs w:val="21"/>
              </w:rPr>
              <w:t>5</w:t>
            </w:r>
            <w:r>
              <w:rPr>
                <w:rFonts w:hint="eastAsia"/>
                <w:szCs w:val="21"/>
              </w:rPr>
              <w:t>m，</w:t>
            </w:r>
            <w:r>
              <w:rPr>
                <w:rFonts w:hint="eastAsia"/>
                <w:color w:val="000000"/>
                <w:szCs w:val="21"/>
              </w:rPr>
              <w:t>周边线速度：</w:t>
            </w:r>
            <w:r>
              <w:rPr>
                <w:rFonts w:hint="eastAsia"/>
                <w:szCs w:val="21"/>
              </w:rPr>
              <w:t>≤1.8m/min；（2）潜污</w:t>
            </w:r>
            <w:r>
              <w:rPr>
                <w:szCs w:val="21"/>
              </w:rPr>
              <w:t>泵1台</w:t>
            </w:r>
            <w:r>
              <w:rPr>
                <w:rFonts w:hint="eastAsia"/>
                <w:szCs w:val="21"/>
              </w:rPr>
              <w:t>，</w:t>
            </w:r>
            <w:r>
              <w:rPr>
                <w:rFonts w:hint="eastAsia"/>
                <w:color w:val="000000"/>
                <w:szCs w:val="24"/>
              </w:rPr>
              <w:t>流量：</w:t>
            </w:r>
            <w:r>
              <w:rPr>
                <w:rFonts w:hint="eastAsia"/>
                <w:color w:val="000000"/>
                <w:szCs w:val="21"/>
              </w:rPr>
              <w:t>Q=50m³/h，</w:t>
            </w:r>
            <w:r>
              <w:rPr>
                <w:rFonts w:hint="eastAsia"/>
                <w:color w:val="000000"/>
                <w:szCs w:val="24"/>
              </w:rPr>
              <w:t>扬程：</w:t>
            </w:r>
            <w:r>
              <w:rPr>
                <w:rFonts w:hint="eastAsia"/>
                <w:color w:val="000000"/>
                <w:szCs w:val="21"/>
              </w:rPr>
              <w:t>H=10m，</w:t>
            </w:r>
            <w:r>
              <w:rPr>
                <w:rFonts w:hint="eastAsia"/>
                <w:color w:val="000000"/>
                <w:szCs w:val="24"/>
              </w:rPr>
              <w:t>功率：P=2.2kw</w:t>
            </w:r>
            <w:r>
              <w:rPr>
                <w:rFonts w:hint="eastAsia"/>
                <w:szCs w:val="21"/>
              </w:rPr>
              <w:t>；（3）溢流堰板1套，</w:t>
            </w:r>
            <w:r>
              <w:rPr>
                <w:rFonts w:hint="eastAsia"/>
                <w:color w:val="000000"/>
                <w:spacing w:val="10"/>
                <w:szCs w:val="21"/>
              </w:rPr>
              <w:t>尺寸：宽0.2m</w:t>
            </w:r>
            <w:r>
              <w:rPr>
                <w:rFonts w:hint="eastAsia"/>
                <w:szCs w:val="21"/>
              </w:rPr>
              <w:t>；（</w:t>
            </w:r>
            <w:r>
              <w:rPr>
                <w:szCs w:val="21"/>
              </w:rPr>
              <w:t>4</w:t>
            </w:r>
            <w:r>
              <w:rPr>
                <w:rFonts w:hint="eastAsia"/>
                <w:szCs w:val="21"/>
              </w:rPr>
              <w:t>）溶药系统（PAM/PAC）2套，</w:t>
            </w:r>
            <w:r>
              <w:rPr>
                <w:szCs w:val="21"/>
              </w:rPr>
              <w:t>功率：P=1.5kw</w:t>
            </w:r>
            <w:r>
              <w:rPr>
                <w:rFonts w:hint="eastAsia"/>
                <w:szCs w:val="21"/>
              </w:rPr>
              <w:t>，</w:t>
            </w:r>
            <w:r>
              <w:rPr>
                <w:rFonts w:hint="eastAsia" w:cs="宋体"/>
                <w:szCs w:val="21"/>
              </w:rPr>
              <w:t>转速：88r/min</w:t>
            </w:r>
            <w:r>
              <w:rPr>
                <w:rFonts w:hint="eastAsia"/>
                <w:szCs w:val="21"/>
              </w:rPr>
              <w:t>；（</w:t>
            </w:r>
            <w:r>
              <w:rPr>
                <w:szCs w:val="21"/>
              </w:rPr>
              <w:t>5</w:t>
            </w:r>
            <w:r>
              <w:rPr>
                <w:rFonts w:hint="eastAsia"/>
                <w:szCs w:val="21"/>
              </w:rPr>
              <w:t>）计量泵2台，功率：P=0.2kw，流量：Q=135L/h，压力：8Bar；（</w:t>
            </w:r>
            <w:r>
              <w:rPr>
                <w:szCs w:val="21"/>
              </w:rPr>
              <w:t>6</w:t>
            </w:r>
            <w:r>
              <w:rPr>
                <w:rFonts w:hint="eastAsia"/>
                <w:szCs w:val="21"/>
              </w:rPr>
              <w:t>）搅拌装置</w:t>
            </w:r>
            <w:r>
              <w:rPr>
                <w:szCs w:val="21"/>
              </w:rPr>
              <w:t>2</w:t>
            </w:r>
            <w:r>
              <w:rPr>
                <w:rFonts w:hint="eastAsia"/>
                <w:szCs w:val="21"/>
              </w:rPr>
              <w:t>套，</w:t>
            </w:r>
            <w:r>
              <w:rPr>
                <w:rFonts w:hint="eastAsia" w:ascii="宋体" w:hAnsi="宋体" w:cs="宋体"/>
                <w:szCs w:val="21"/>
              </w:rPr>
              <w:t>功率</w:t>
            </w:r>
            <w:r>
              <w:rPr>
                <w:rFonts w:hint="eastAsia"/>
                <w:szCs w:val="21"/>
              </w:rPr>
              <w:t>P=1.1kw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tcMar>
              <w:top w:w="0" w:type="dxa"/>
              <w:left w:w="6" w:type="dxa"/>
              <w:bottom w:w="0" w:type="dxa"/>
              <w:right w:w="6" w:type="dxa"/>
            </w:tcMar>
            <w:vAlign w:val="center"/>
          </w:tcPr>
          <w:p>
            <w:pPr>
              <w:jc w:val="center"/>
              <w:rPr>
                <w:szCs w:val="21"/>
              </w:rPr>
            </w:pPr>
            <w:r>
              <w:rPr>
                <w:rFonts w:hint="eastAsia"/>
                <w:szCs w:val="21"/>
              </w:rPr>
              <w:t>5</w:t>
            </w:r>
          </w:p>
        </w:tc>
        <w:tc>
          <w:tcPr>
            <w:tcW w:w="1134" w:type="dxa"/>
            <w:tcMar>
              <w:top w:w="0" w:type="dxa"/>
              <w:left w:w="6" w:type="dxa"/>
              <w:bottom w:w="0" w:type="dxa"/>
              <w:right w:w="6" w:type="dxa"/>
            </w:tcMar>
            <w:vAlign w:val="center"/>
          </w:tcPr>
          <w:p>
            <w:pPr>
              <w:jc w:val="center"/>
              <w:rPr>
                <w:szCs w:val="21"/>
              </w:rPr>
            </w:pPr>
            <w:r>
              <w:rPr>
                <w:rFonts w:hint="eastAsia"/>
                <w:szCs w:val="21"/>
              </w:rPr>
              <w:t>调节池</w:t>
            </w:r>
          </w:p>
        </w:tc>
        <w:tc>
          <w:tcPr>
            <w:tcW w:w="3261" w:type="dxa"/>
            <w:tcMar>
              <w:top w:w="0" w:type="dxa"/>
              <w:left w:w="6" w:type="dxa"/>
              <w:bottom w:w="0" w:type="dxa"/>
              <w:right w:w="6" w:type="dxa"/>
            </w:tcMar>
            <w:vAlign w:val="center"/>
          </w:tcPr>
          <w:p>
            <w:pPr>
              <w:jc w:val="center"/>
              <w:rPr>
                <w:szCs w:val="21"/>
              </w:rPr>
            </w:pPr>
            <w:r>
              <w:rPr>
                <w:rFonts w:hint="eastAsia"/>
                <w:szCs w:val="21"/>
              </w:rPr>
              <w:t>提高对有机物负荷的缓冲能力，防止生物处理系负荷的急剧变化；控制pH值，以减小中和作用中的化学品用量；减小对物理化学处理系统的流量波动；使化学品添加速率适合加料设备定额；防止高浓度有毒物质进入生物处理系统</w:t>
            </w:r>
          </w:p>
        </w:tc>
        <w:tc>
          <w:tcPr>
            <w:tcW w:w="3758" w:type="dxa"/>
            <w:tcMar>
              <w:top w:w="0" w:type="dxa"/>
              <w:left w:w="6" w:type="dxa"/>
              <w:bottom w:w="0" w:type="dxa"/>
              <w:right w:w="6" w:type="dxa"/>
            </w:tcMar>
            <w:vAlign w:val="center"/>
          </w:tcPr>
          <w:p>
            <w:pPr>
              <w:jc w:val="center"/>
              <w:rPr>
                <w:szCs w:val="21"/>
              </w:rPr>
            </w:pPr>
            <w:r>
              <w:rPr>
                <w:rFonts w:hint="eastAsia"/>
                <w:szCs w:val="21"/>
              </w:rPr>
              <w:t>（1）潜污泵2台</w:t>
            </w:r>
            <w:r>
              <w:rPr>
                <w:szCs w:val="21"/>
              </w:rPr>
              <w:t>，</w:t>
            </w:r>
            <w:r>
              <w:rPr>
                <w:color w:val="000000"/>
                <w:szCs w:val="21"/>
              </w:rPr>
              <w:t>流量：Q=80m</w:t>
            </w:r>
            <w:r>
              <w:rPr>
                <w:color w:val="000000"/>
                <w:szCs w:val="21"/>
                <w:vertAlign w:val="superscript"/>
              </w:rPr>
              <w:t>3</w:t>
            </w:r>
            <w:r>
              <w:rPr>
                <w:color w:val="000000"/>
                <w:szCs w:val="21"/>
              </w:rPr>
              <w:t>/h，扬程：H=11m，功率</w:t>
            </w:r>
            <w:r>
              <w:rPr>
                <w:rFonts w:hint="eastAsia"/>
                <w:color w:val="000000"/>
                <w:szCs w:val="21"/>
              </w:rPr>
              <w:t>：P=4kw</w:t>
            </w:r>
            <w:r>
              <w:rPr>
                <w:rFonts w:hint="eastAsia"/>
                <w:szCs w:val="21"/>
              </w:rPr>
              <w:t>；（2）潜水搅拌机2台，叶轮直径：</w:t>
            </w:r>
            <w:r>
              <w:rPr>
                <w:rFonts w:hint="eastAsia"/>
                <w:color w:val="000000"/>
                <w:szCs w:val="21"/>
              </w:rPr>
              <w:t>D=400mm，叶轮转速：</w:t>
            </w:r>
            <w:r>
              <w:rPr>
                <w:color w:val="000000"/>
                <w:szCs w:val="21"/>
              </w:rPr>
              <w:t>98</w:t>
            </w:r>
            <w:r>
              <w:rPr>
                <w:rFonts w:hint="eastAsia"/>
                <w:color w:val="000000"/>
                <w:szCs w:val="21"/>
              </w:rPr>
              <w:t>0r/min，推力：</w:t>
            </w:r>
            <w:r>
              <w:rPr>
                <w:color w:val="000000"/>
                <w:szCs w:val="21"/>
              </w:rPr>
              <w:t>12</w:t>
            </w:r>
            <w:r>
              <w:rPr>
                <w:rFonts w:hint="eastAsia"/>
                <w:color w:val="000000"/>
                <w:szCs w:val="21"/>
              </w:rPr>
              <w:t>00N，功率：P=</w:t>
            </w:r>
            <w:r>
              <w:rPr>
                <w:color w:val="000000"/>
                <w:szCs w:val="21"/>
              </w:rPr>
              <w:t>4</w:t>
            </w:r>
            <w:r>
              <w:rPr>
                <w:rFonts w:hint="eastAsia"/>
                <w:color w:val="000000"/>
                <w:szCs w:val="21"/>
              </w:rPr>
              <w:t>KW，电流：</w:t>
            </w:r>
            <w:r>
              <w:rPr>
                <w:color w:val="000000"/>
                <w:szCs w:val="21"/>
              </w:rPr>
              <w:t>10.3A</w:t>
            </w:r>
            <w:r>
              <w:rPr>
                <w:rFonts w:hint="eastAsia"/>
                <w:szCs w:val="21"/>
              </w:rPr>
              <w:t>；（</w:t>
            </w:r>
            <w:r>
              <w:rPr>
                <w:szCs w:val="21"/>
              </w:rPr>
              <w:t>3</w:t>
            </w:r>
            <w:r>
              <w:rPr>
                <w:rFonts w:hint="eastAsia"/>
                <w:szCs w:val="21"/>
              </w:rPr>
              <w:t>）电磁流量计1台，</w:t>
            </w:r>
            <w:r>
              <w:rPr>
                <w:rFonts w:hint="eastAsia"/>
                <w:color w:val="000000"/>
                <w:szCs w:val="21"/>
              </w:rPr>
              <w:t>流量：Q=19.08～763.02m</w:t>
            </w:r>
            <w:r>
              <w:rPr>
                <w:rFonts w:hint="eastAsia"/>
                <w:color w:val="000000"/>
                <w:szCs w:val="21"/>
                <w:vertAlign w:val="superscript"/>
              </w:rPr>
              <w:t>3</w:t>
            </w:r>
            <w:r>
              <w:rPr>
                <w:rFonts w:hint="eastAsia"/>
                <w:color w:val="000000"/>
                <w:szCs w:val="21"/>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tcMar>
              <w:top w:w="0" w:type="dxa"/>
              <w:left w:w="6" w:type="dxa"/>
              <w:bottom w:w="0" w:type="dxa"/>
              <w:right w:w="6" w:type="dxa"/>
            </w:tcMar>
            <w:vAlign w:val="center"/>
          </w:tcPr>
          <w:p>
            <w:pPr>
              <w:jc w:val="center"/>
              <w:rPr>
                <w:szCs w:val="21"/>
              </w:rPr>
            </w:pPr>
            <w:r>
              <w:rPr>
                <w:rFonts w:hint="eastAsia"/>
                <w:szCs w:val="21"/>
              </w:rPr>
              <w:t>6</w:t>
            </w:r>
          </w:p>
        </w:tc>
        <w:tc>
          <w:tcPr>
            <w:tcW w:w="1134" w:type="dxa"/>
            <w:tcMar>
              <w:top w:w="0" w:type="dxa"/>
              <w:left w:w="6" w:type="dxa"/>
              <w:bottom w:w="0" w:type="dxa"/>
              <w:right w:w="6" w:type="dxa"/>
            </w:tcMar>
            <w:vAlign w:val="center"/>
          </w:tcPr>
          <w:p>
            <w:pPr>
              <w:jc w:val="center"/>
              <w:rPr>
                <w:szCs w:val="21"/>
              </w:rPr>
            </w:pPr>
            <w:r>
              <w:rPr>
                <w:rFonts w:hint="eastAsia"/>
                <w:szCs w:val="21"/>
              </w:rPr>
              <w:t>水解酸化池</w:t>
            </w:r>
          </w:p>
        </w:tc>
        <w:tc>
          <w:tcPr>
            <w:tcW w:w="3261" w:type="dxa"/>
            <w:tcMar>
              <w:top w:w="0" w:type="dxa"/>
              <w:left w:w="6" w:type="dxa"/>
              <w:bottom w:w="0" w:type="dxa"/>
              <w:right w:w="6" w:type="dxa"/>
            </w:tcMar>
            <w:vAlign w:val="center"/>
          </w:tcPr>
          <w:p>
            <w:pPr>
              <w:jc w:val="center"/>
              <w:rPr>
                <w:szCs w:val="21"/>
              </w:rPr>
            </w:pPr>
            <w:r>
              <w:rPr>
                <w:rFonts w:hint="eastAsia"/>
                <w:szCs w:val="21"/>
              </w:rPr>
              <w:t>将悬浮性有机物和大分子物质（碳水化合物、脂肪和脂类等）通过微生物胞外酶水解成小分子，小分子有机物在酸化菌作用下转化成挥发性脂肪酸。在这一过程中同时可以将悬浮性固体水解为溶解性有机物、将难生物降解的大分子物质转化为易生物降解的小分子物质</w:t>
            </w:r>
          </w:p>
        </w:tc>
        <w:tc>
          <w:tcPr>
            <w:tcW w:w="3758" w:type="dxa"/>
            <w:tcMar>
              <w:top w:w="0" w:type="dxa"/>
              <w:left w:w="6" w:type="dxa"/>
              <w:bottom w:w="0" w:type="dxa"/>
              <w:right w:w="6" w:type="dxa"/>
            </w:tcMar>
            <w:vAlign w:val="center"/>
          </w:tcPr>
          <w:p>
            <w:pPr>
              <w:jc w:val="center"/>
              <w:rPr>
                <w:szCs w:val="21"/>
              </w:rPr>
            </w:pPr>
            <w:r>
              <w:rPr>
                <w:rFonts w:hint="eastAsia"/>
                <w:szCs w:val="21"/>
              </w:rPr>
              <w:t>潜水搅拌机1台</w:t>
            </w:r>
            <w:r>
              <w:rPr>
                <w:szCs w:val="21"/>
              </w:rPr>
              <w:t>，</w:t>
            </w:r>
            <w:r>
              <w:rPr>
                <w:rFonts w:hint="eastAsia"/>
                <w:szCs w:val="21"/>
              </w:rPr>
              <w:t>叶轮直径：</w:t>
            </w:r>
            <w:r>
              <w:rPr>
                <w:rFonts w:hint="eastAsia"/>
                <w:color w:val="000000"/>
                <w:szCs w:val="21"/>
              </w:rPr>
              <w:t>D=400mm，叶轮转速：</w:t>
            </w:r>
            <w:r>
              <w:rPr>
                <w:color w:val="000000"/>
                <w:szCs w:val="21"/>
              </w:rPr>
              <w:t>98</w:t>
            </w:r>
            <w:r>
              <w:rPr>
                <w:rFonts w:hint="eastAsia"/>
                <w:color w:val="000000"/>
                <w:szCs w:val="21"/>
              </w:rPr>
              <w:t>0r/min，推力：</w:t>
            </w:r>
            <w:r>
              <w:rPr>
                <w:color w:val="000000"/>
                <w:szCs w:val="21"/>
              </w:rPr>
              <w:t>12</w:t>
            </w:r>
            <w:r>
              <w:rPr>
                <w:rFonts w:hint="eastAsia"/>
                <w:color w:val="000000"/>
                <w:szCs w:val="21"/>
              </w:rPr>
              <w:t>00N，率：P=</w:t>
            </w:r>
            <w:r>
              <w:rPr>
                <w:color w:val="000000"/>
                <w:szCs w:val="21"/>
              </w:rPr>
              <w:t>4</w:t>
            </w:r>
            <w:r>
              <w:rPr>
                <w:rFonts w:hint="eastAsia"/>
                <w:color w:val="000000"/>
                <w:szCs w:val="21"/>
              </w:rPr>
              <w:t>KW，电流：</w:t>
            </w:r>
            <w:r>
              <w:rPr>
                <w:color w:val="000000"/>
                <w:szCs w:val="21"/>
              </w:rPr>
              <w:t>10.3A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tcMar>
              <w:top w:w="0" w:type="dxa"/>
              <w:left w:w="6" w:type="dxa"/>
              <w:bottom w:w="0" w:type="dxa"/>
              <w:right w:w="6" w:type="dxa"/>
            </w:tcMar>
            <w:vAlign w:val="center"/>
          </w:tcPr>
          <w:p>
            <w:pPr>
              <w:jc w:val="center"/>
              <w:rPr>
                <w:szCs w:val="21"/>
              </w:rPr>
            </w:pPr>
            <w:r>
              <w:rPr>
                <w:rFonts w:hint="eastAsia"/>
                <w:szCs w:val="21"/>
              </w:rPr>
              <w:t>7</w:t>
            </w:r>
          </w:p>
        </w:tc>
        <w:tc>
          <w:tcPr>
            <w:tcW w:w="1134" w:type="dxa"/>
            <w:tcMar>
              <w:top w:w="0" w:type="dxa"/>
              <w:left w:w="6" w:type="dxa"/>
              <w:bottom w:w="0" w:type="dxa"/>
              <w:right w:w="6" w:type="dxa"/>
            </w:tcMar>
            <w:vAlign w:val="center"/>
          </w:tcPr>
          <w:p>
            <w:pPr>
              <w:jc w:val="center"/>
              <w:rPr>
                <w:szCs w:val="21"/>
              </w:rPr>
            </w:pPr>
            <w:r>
              <w:rPr>
                <w:rFonts w:hint="eastAsia" w:cs="宋体"/>
                <w:color w:val="000000"/>
                <w:szCs w:val="21"/>
              </w:rPr>
              <w:t>厌氧池</w:t>
            </w:r>
          </w:p>
        </w:tc>
        <w:tc>
          <w:tcPr>
            <w:tcW w:w="3261" w:type="dxa"/>
            <w:tcMar>
              <w:top w:w="0" w:type="dxa"/>
              <w:left w:w="6" w:type="dxa"/>
              <w:bottom w:w="0" w:type="dxa"/>
              <w:right w:w="6" w:type="dxa"/>
            </w:tcMar>
            <w:vAlign w:val="center"/>
          </w:tcPr>
          <w:p>
            <w:pPr>
              <w:jc w:val="center"/>
              <w:rPr>
                <w:szCs w:val="21"/>
              </w:rPr>
            </w:pPr>
            <w:r>
              <w:rPr>
                <w:szCs w:val="21"/>
              </w:rPr>
              <w:t>经一定时间的厌氧分解，去除部分BOD，使部分含氮化合物转化成N</w:t>
            </w:r>
            <w:r>
              <w:rPr>
                <w:szCs w:val="21"/>
                <w:vertAlign w:val="subscript"/>
              </w:rPr>
              <w:t>2</w:t>
            </w:r>
            <w:r>
              <w:rPr>
                <w:szCs w:val="21"/>
              </w:rPr>
              <w:t>（反硝化作用）而释放，回流污泥中的聚磷微生物（聚磷菌等）释放出磷，满足细菌对磷的需求</w:t>
            </w:r>
          </w:p>
        </w:tc>
        <w:tc>
          <w:tcPr>
            <w:tcW w:w="3758" w:type="dxa"/>
            <w:tcMar>
              <w:top w:w="0" w:type="dxa"/>
              <w:left w:w="6" w:type="dxa"/>
              <w:bottom w:w="0" w:type="dxa"/>
              <w:right w:w="6" w:type="dxa"/>
            </w:tcMar>
            <w:vAlign w:val="center"/>
          </w:tcPr>
          <w:p>
            <w:pPr>
              <w:jc w:val="center"/>
              <w:rPr>
                <w:szCs w:val="21"/>
              </w:rPr>
            </w:pPr>
            <w:r>
              <w:rPr>
                <w:rFonts w:hint="eastAsia"/>
                <w:szCs w:val="21"/>
              </w:rPr>
              <w:t>潜水搅拌机</w:t>
            </w:r>
            <w:r>
              <w:rPr>
                <w:szCs w:val="21"/>
              </w:rPr>
              <w:t>1</w:t>
            </w:r>
            <w:r>
              <w:rPr>
                <w:rFonts w:hint="eastAsia"/>
                <w:szCs w:val="21"/>
              </w:rPr>
              <w:t>台，叶轮直径：</w:t>
            </w:r>
            <w:r>
              <w:rPr>
                <w:rFonts w:hint="eastAsia"/>
                <w:color w:val="000000"/>
                <w:szCs w:val="21"/>
              </w:rPr>
              <w:t>D=400mm，叶轮转速：</w:t>
            </w:r>
            <w:r>
              <w:rPr>
                <w:color w:val="000000"/>
                <w:szCs w:val="21"/>
              </w:rPr>
              <w:t>98</w:t>
            </w:r>
            <w:r>
              <w:rPr>
                <w:rFonts w:hint="eastAsia"/>
                <w:color w:val="000000"/>
                <w:szCs w:val="21"/>
              </w:rPr>
              <w:t>0r/min，推力：</w:t>
            </w:r>
            <w:r>
              <w:rPr>
                <w:color w:val="000000"/>
                <w:szCs w:val="21"/>
              </w:rPr>
              <w:t>12</w:t>
            </w:r>
            <w:r>
              <w:rPr>
                <w:rFonts w:hint="eastAsia"/>
                <w:color w:val="000000"/>
                <w:szCs w:val="21"/>
              </w:rPr>
              <w:t>00N，功率：P=</w:t>
            </w:r>
            <w:r>
              <w:rPr>
                <w:color w:val="000000"/>
                <w:szCs w:val="21"/>
              </w:rPr>
              <w:t>4</w:t>
            </w:r>
            <w:r>
              <w:rPr>
                <w:rFonts w:hint="eastAsia"/>
                <w:color w:val="000000"/>
                <w:szCs w:val="21"/>
              </w:rPr>
              <w:t>KW，电流：</w:t>
            </w:r>
            <w:r>
              <w:rPr>
                <w:color w:val="000000"/>
                <w:szCs w:val="21"/>
              </w:rPr>
              <w:t>10.3A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tcMar>
              <w:top w:w="0" w:type="dxa"/>
              <w:left w:w="6" w:type="dxa"/>
              <w:bottom w:w="0" w:type="dxa"/>
              <w:right w:w="6" w:type="dxa"/>
            </w:tcMar>
            <w:vAlign w:val="center"/>
          </w:tcPr>
          <w:p>
            <w:pPr>
              <w:jc w:val="center"/>
              <w:rPr>
                <w:szCs w:val="21"/>
              </w:rPr>
            </w:pPr>
            <w:r>
              <w:rPr>
                <w:rFonts w:hint="eastAsia"/>
                <w:szCs w:val="21"/>
              </w:rPr>
              <w:t>8</w:t>
            </w:r>
          </w:p>
        </w:tc>
        <w:tc>
          <w:tcPr>
            <w:tcW w:w="1134" w:type="dxa"/>
            <w:tcMar>
              <w:top w:w="0" w:type="dxa"/>
              <w:left w:w="6" w:type="dxa"/>
              <w:bottom w:w="0" w:type="dxa"/>
              <w:right w:w="6" w:type="dxa"/>
            </w:tcMar>
            <w:vAlign w:val="center"/>
          </w:tcPr>
          <w:p>
            <w:pPr>
              <w:jc w:val="center"/>
              <w:rPr>
                <w:szCs w:val="21"/>
              </w:rPr>
            </w:pPr>
            <w:r>
              <w:rPr>
                <w:rFonts w:hint="eastAsia" w:ascii="宋体" w:hAnsi="宋体" w:cs="宋体"/>
                <w:color w:val="000000"/>
                <w:kern w:val="0"/>
                <w:szCs w:val="21"/>
                <w:lang w:bidi="ar"/>
              </w:rPr>
              <w:t>缺氧池</w:t>
            </w:r>
          </w:p>
        </w:tc>
        <w:tc>
          <w:tcPr>
            <w:tcW w:w="3261" w:type="dxa"/>
            <w:tcMar>
              <w:top w:w="0" w:type="dxa"/>
              <w:left w:w="6" w:type="dxa"/>
              <w:bottom w:w="0" w:type="dxa"/>
              <w:right w:w="6" w:type="dxa"/>
            </w:tcMar>
            <w:vAlign w:val="center"/>
          </w:tcPr>
          <w:p>
            <w:pPr>
              <w:jc w:val="center"/>
              <w:rPr>
                <w:szCs w:val="21"/>
              </w:rPr>
            </w:pPr>
            <w:r>
              <w:rPr>
                <w:rFonts w:hint="eastAsia"/>
                <w:color w:val="000000"/>
                <w:szCs w:val="21"/>
              </w:rPr>
              <w:t>池中的反硝化细菌以污水中未分解的含碳有机物为碳源，将好氧池内通过内循环回流进来的硝酸根还原为N</w:t>
            </w:r>
            <w:r>
              <w:rPr>
                <w:color w:val="000000"/>
                <w:szCs w:val="21"/>
              </w:rPr>
              <w:t>₂</w:t>
            </w:r>
            <w:r>
              <w:rPr>
                <w:rFonts w:hint="eastAsia" w:ascii="宋体" w:hAnsi="宋体" w:cs="宋体"/>
                <w:color w:val="000000"/>
                <w:szCs w:val="21"/>
              </w:rPr>
              <w:t>而释放</w:t>
            </w:r>
            <w:r>
              <w:rPr>
                <w:rFonts w:hint="eastAsia"/>
                <w:color w:val="000000"/>
                <w:szCs w:val="21"/>
              </w:rPr>
              <w:t>缺氧池有水解反应，在脱氮工艺中，其pH值升高。在脱氮工艺中，主要起反硝化去除硝态氮的作用，同时去除部分BOD。也有水解反应提高可生化性的作用</w:t>
            </w:r>
          </w:p>
        </w:tc>
        <w:tc>
          <w:tcPr>
            <w:tcW w:w="3758" w:type="dxa"/>
            <w:tcMar>
              <w:top w:w="0" w:type="dxa"/>
              <w:left w:w="6" w:type="dxa"/>
              <w:bottom w:w="0" w:type="dxa"/>
              <w:right w:w="6" w:type="dxa"/>
            </w:tcMar>
            <w:vAlign w:val="center"/>
          </w:tcPr>
          <w:p>
            <w:pPr>
              <w:jc w:val="center"/>
              <w:rPr>
                <w:szCs w:val="21"/>
              </w:rPr>
            </w:pPr>
            <w:r>
              <w:rPr>
                <w:rFonts w:hint="eastAsia"/>
                <w:szCs w:val="21"/>
              </w:rPr>
              <w:t>潜水搅拌机</w:t>
            </w:r>
            <w:r>
              <w:rPr>
                <w:szCs w:val="21"/>
              </w:rPr>
              <w:t>4</w:t>
            </w:r>
            <w:r>
              <w:rPr>
                <w:rFonts w:hint="eastAsia"/>
                <w:szCs w:val="21"/>
              </w:rPr>
              <w:t>台，叶轮直径：</w:t>
            </w:r>
            <w:r>
              <w:rPr>
                <w:rFonts w:hint="eastAsia"/>
                <w:color w:val="000000"/>
                <w:szCs w:val="21"/>
              </w:rPr>
              <w:t>D=400mm，叶轮转速：</w:t>
            </w:r>
            <w:r>
              <w:rPr>
                <w:color w:val="000000"/>
                <w:szCs w:val="21"/>
              </w:rPr>
              <w:t>98</w:t>
            </w:r>
            <w:r>
              <w:rPr>
                <w:rFonts w:hint="eastAsia"/>
                <w:color w:val="000000"/>
                <w:szCs w:val="21"/>
              </w:rPr>
              <w:t>0r/min，推力：</w:t>
            </w:r>
            <w:r>
              <w:rPr>
                <w:color w:val="000000"/>
                <w:szCs w:val="21"/>
              </w:rPr>
              <w:t>12</w:t>
            </w:r>
            <w:r>
              <w:rPr>
                <w:rFonts w:hint="eastAsia"/>
                <w:color w:val="000000"/>
                <w:szCs w:val="21"/>
              </w:rPr>
              <w:t>00N，功率：P=</w:t>
            </w:r>
            <w:r>
              <w:rPr>
                <w:color w:val="000000"/>
                <w:szCs w:val="21"/>
              </w:rPr>
              <w:t>4</w:t>
            </w:r>
            <w:r>
              <w:rPr>
                <w:rFonts w:hint="eastAsia"/>
                <w:color w:val="000000"/>
                <w:szCs w:val="21"/>
              </w:rPr>
              <w:t>KW，电流：</w:t>
            </w:r>
            <w:r>
              <w:rPr>
                <w:color w:val="000000"/>
                <w:szCs w:val="21"/>
              </w:rPr>
              <w:t>10.3A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tcMar>
              <w:top w:w="0" w:type="dxa"/>
              <w:left w:w="6" w:type="dxa"/>
              <w:bottom w:w="0" w:type="dxa"/>
              <w:right w:w="6" w:type="dxa"/>
            </w:tcMar>
            <w:vAlign w:val="center"/>
          </w:tcPr>
          <w:p>
            <w:pPr>
              <w:jc w:val="center"/>
              <w:rPr>
                <w:szCs w:val="21"/>
              </w:rPr>
            </w:pPr>
            <w:r>
              <w:rPr>
                <w:rFonts w:hint="eastAsia"/>
                <w:szCs w:val="21"/>
              </w:rPr>
              <w:t>9</w:t>
            </w:r>
          </w:p>
        </w:tc>
        <w:tc>
          <w:tcPr>
            <w:tcW w:w="1134" w:type="dxa"/>
            <w:tcMar>
              <w:top w:w="0" w:type="dxa"/>
              <w:left w:w="6" w:type="dxa"/>
              <w:bottom w:w="0" w:type="dxa"/>
              <w:right w:w="6" w:type="dxa"/>
            </w:tcMar>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好氧池</w:t>
            </w:r>
          </w:p>
        </w:tc>
        <w:tc>
          <w:tcPr>
            <w:tcW w:w="3261" w:type="dxa"/>
            <w:tcMar>
              <w:top w:w="0" w:type="dxa"/>
              <w:left w:w="6" w:type="dxa"/>
              <w:bottom w:w="0" w:type="dxa"/>
              <w:right w:w="6" w:type="dxa"/>
            </w:tcMar>
            <w:vAlign w:val="center"/>
          </w:tcPr>
          <w:p>
            <w:pPr>
              <w:jc w:val="center"/>
              <w:rPr>
                <w:szCs w:val="21"/>
              </w:rPr>
            </w:pPr>
            <w:r>
              <w:rPr>
                <w:rFonts w:hint="eastAsia"/>
                <w:szCs w:val="21"/>
              </w:rPr>
              <w:t>让活性污泥进行有氧呼吸，进一步把有机物分解成无机物。</w:t>
            </w:r>
            <w:r>
              <w:rPr>
                <w:rFonts w:hint="eastAsia" w:ascii="宋体" w:hAnsi="宋体" w:cs="宋体"/>
                <w:color w:val="000000"/>
                <w:szCs w:val="21"/>
              </w:rPr>
              <w:t>控制好含氧量及微生物的其他各需条件，微生物具有最大效益的进行有氧呼吸，进行正常硝化反应，达到有效去除氮磷的目的</w:t>
            </w:r>
          </w:p>
        </w:tc>
        <w:tc>
          <w:tcPr>
            <w:tcW w:w="3758" w:type="dxa"/>
            <w:tcMar>
              <w:top w:w="0" w:type="dxa"/>
              <w:left w:w="6" w:type="dxa"/>
              <w:bottom w:w="0" w:type="dxa"/>
              <w:right w:w="6" w:type="dxa"/>
            </w:tcMar>
            <w:vAlign w:val="center"/>
          </w:tcPr>
          <w:p>
            <w:pPr>
              <w:jc w:val="center"/>
              <w:rPr>
                <w:szCs w:val="21"/>
              </w:rPr>
            </w:pPr>
            <w:r>
              <w:rPr>
                <w:rFonts w:hint="eastAsia"/>
                <w:szCs w:val="21"/>
              </w:rPr>
              <w:t>（1）</w:t>
            </w:r>
            <w:r>
              <w:rPr>
                <w:rFonts w:hint="eastAsia" w:ascii="宋体" w:hAnsi="宋体" w:cs="宋体"/>
                <w:color w:val="000000"/>
                <w:kern w:val="0"/>
                <w:szCs w:val="21"/>
                <w:lang w:bidi="ar"/>
              </w:rPr>
              <w:t>罗茨风机</w:t>
            </w:r>
            <w:r>
              <w:rPr>
                <w:szCs w:val="21"/>
              </w:rPr>
              <w:t>3</w:t>
            </w:r>
            <w:r>
              <w:rPr>
                <w:rFonts w:hint="eastAsia"/>
                <w:szCs w:val="21"/>
              </w:rPr>
              <w:t>台（2用1备），</w:t>
            </w:r>
            <w:r>
              <w:rPr>
                <w:rFonts w:hint="eastAsia" w:ascii="宋体" w:hAnsi="宋体" w:cs="宋体"/>
                <w:color w:val="000000"/>
                <w:szCs w:val="21"/>
              </w:rPr>
              <w:t>流量：</w:t>
            </w:r>
            <w:r>
              <w:rPr>
                <w:rFonts w:hint="eastAsia"/>
                <w:szCs w:val="21"/>
              </w:rPr>
              <w:t>15.74m³/min，压力：0.07Mpa，功率：P=30kw；（2）管式曝气器</w:t>
            </w:r>
            <w:r>
              <w:rPr>
                <w:szCs w:val="21"/>
              </w:rPr>
              <w:t>660</w:t>
            </w:r>
            <w:r>
              <w:rPr>
                <w:rFonts w:hint="eastAsia"/>
                <w:szCs w:val="21"/>
              </w:rPr>
              <w:t>套，</w:t>
            </w:r>
            <w:r>
              <w:rPr>
                <w:rFonts w:hint="eastAsia"/>
                <w:color w:val="000000"/>
                <w:szCs w:val="21"/>
              </w:rPr>
              <w:t>形式：管式曝气，曝气器氧利用率：23-40%，曝气器通气量：3.4-13.6m³/h，曝</w:t>
            </w:r>
            <w:r>
              <w:rPr>
                <w:color w:val="000000"/>
                <w:szCs w:val="21"/>
              </w:rPr>
              <w:t>气器服务面积：0.98-2.11m</w:t>
            </w:r>
            <w:r>
              <w:rPr>
                <w:color w:val="000000"/>
                <w:szCs w:val="21"/>
                <w:vertAlign w:val="superscript"/>
              </w:rPr>
              <w:t>2</w:t>
            </w:r>
            <w:r>
              <w:rPr>
                <w:color w:val="000000"/>
                <w:szCs w:val="21"/>
              </w:rPr>
              <w:t>/m；</w:t>
            </w:r>
            <w:r>
              <w:rPr>
                <w:szCs w:val="21"/>
              </w:rPr>
              <w:t>（3）</w:t>
            </w:r>
            <w:r>
              <w:rPr>
                <w:rFonts w:hint="eastAsia"/>
                <w:szCs w:val="21"/>
              </w:rPr>
              <w:t>硝化液回流泵</w:t>
            </w:r>
            <w:r>
              <w:rPr>
                <w:szCs w:val="21"/>
              </w:rPr>
              <w:t>2台，</w:t>
            </w:r>
            <w:r>
              <w:rPr>
                <w:color w:val="000000"/>
                <w:szCs w:val="21"/>
              </w:rPr>
              <w:t>流量：Q=150m</w:t>
            </w:r>
            <w:r>
              <w:rPr>
                <w:color w:val="000000"/>
                <w:szCs w:val="21"/>
                <w:vertAlign w:val="superscript"/>
              </w:rPr>
              <w:t>3</w:t>
            </w:r>
            <w:r>
              <w:rPr>
                <w:color w:val="000000"/>
                <w:szCs w:val="21"/>
              </w:rPr>
              <w:t>/h，扬程：H=11m，功率：P=7.5KW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tcMar>
              <w:top w:w="0" w:type="dxa"/>
              <w:left w:w="6" w:type="dxa"/>
              <w:bottom w:w="0" w:type="dxa"/>
              <w:right w:w="6" w:type="dxa"/>
            </w:tcMar>
            <w:vAlign w:val="center"/>
          </w:tcPr>
          <w:p>
            <w:pPr>
              <w:jc w:val="center"/>
              <w:rPr>
                <w:szCs w:val="21"/>
              </w:rPr>
            </w:pPr>
            <w:r>
              <w:rPr>
                <w:rFonts w:hint="eastAsia"/>
                <w:szCs w:val="21"/>
              </w:rPr>
              <w:t>1</w:t>
            </w:r>
            <w:r>
              <w:rPr>
                <w:szCs w:val="21"/>
              </w:rPr>
              <w:t>0</w:t>
            </w:r>
          </w:p>
        </w:tc>
        <w:tc>
          <w:tcPr>
            <w:tcW w:w="1134" w:type="dxa"/>
            <w:tcMar>
              <w:top w:w="0" w:type="dxa"/>
              <w:left w:w="6" w:type="dxa"/>
              <w:bottom w:w="0" w:type="dxa"/>
              <w:right w:w="6" w:type="dxa"/>
            </w:tcMar>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二沉池</w:t>
            </w:r>
          </w:p>
        </w:tc>
        <w:tc>
          <w:tcPr>
            <w:tcW w:w="3261" w:type="dxa"/>
            <w:tcMar>
              <w:top w:w="0" w:type="dxa"/>
              <w:left w:w="6" w:type="dxa"/>
              <w:bottom w:w="0" w:type="dxa"/>
              <w:right w:w="6" w:type="dxa"/>
            </w:tcMar>
            <w:vAlign w:val="center"/>
          </w:tcPr>
          <w:p>
            <w:pPr>
              <w:jc w:val="center"/>
              <w:rPr>
                <w:szCs w:val="21"/>
              </w:rPr>
            </w:pPr>
            <w:r>
              <w:rPr>
                <w:rFonts w:hint="eastAsia"/>
                <w:szCs w:val="21"/>
              </w:rPr>
              <w:t>通过泥水分离沉淀生产清洁出水；提供浓缩和回流的活性污泥；根据水量、水质的变化暂时贮存活性污泥</w:t>
            </w:r>
          </w:p>
        </w:tc>
        <w:tc>
          <w:tcPr>
            <w:tcW w:w="3758" w:type="dxa"/>
            <w:tcMar>
              <w:top w:w="0" w:type="dxa"/>
              <w:left w:w="6" w:type="dxa"/>
              <w:bottom w:w="0" w:type="dxa"/>
              <w:right w:w="6" w:type="dxa"/>
            </w:tcMar>
            <w:vAlign w:val="center"/>
          </w:tcPr>
          <w:p>
            <w:pPr>
              <w:jc w:val="center"/>
              <w:rPr>
                <w:szCs w:val="21"/>
              </w:rPr>
            </w:pPr>
            <w:r>
              <w:rPr>
                <w:rFonts w:hint="eastAsia"/>
                <w:szCs w:val="21"/>
              </w:rPr>
              <w:t>（1）</w:t>
            </w:r>
            <w:r>
              <w:rPr>
                <w:rFonts w:hint="eastAsia" w:ascii="宋体" w:hAnsi="宋体" w:cs="宋体"/>
                <w:color w:val="000000"/>
                <w:kern w:val="0"/>
                <w:szCs w:val="21"/>
                <w:lang w:bidi="ar"/>
              </w:rPr>
              <w:t>中心布水装置</w:t>
            </w:r>
            <w:r>
              <w:rPr>
                <w:szCs w:val="21"/>
              </w:rPr>
              <w:t>2</w:t>
            </w:r>
            <w:r>
              <w:rPr>
                <w:rFonts w:hint="eastAsia"/>
                <w:szCs w:val="21"/>
              </w:rPr>
              <w:t>套；（</w:t>
            </w:r>
            <w:r>
              <w:rPr>
                <w:szCs w:val="21"/>
              </w:rPr>
              <w:t>2</w:t>
            </w:r>
            <w:r>
              <w:rPr>
                <w:rFonts w:hint="eastAsia"/>
                <w:szCs w:val="21"/>
              </w:rPr>
              <w:t>）潜污泵2台，流量：Q=50m³/h，</w:t>
            </w:r>
            <w:r>
              <w:rPr>
                <w:color w:val="000000"/>
                <w:szCs w:val="21"/>
              </w:rPr>
              <w:t>扬程：H=10m，功率：P=2.2KW</w:t>
            </w:r>
            <w:r>
              <w:rPr>
                <w:rFonts w:hint="eastAsia"/>
                <w:color w:val="000000"/>
                <w:szCs w:val="21"/>
              </w:rPr>
              <w:t>；（3）溢流堰板（含挡渣板）2套，</w:t>
            </w:r>
            <w:r>
              <w:rPr>
                <w:rFonts w:hint="eastAsia"/>
                <w:color w:val="000000"/>
                <w:spacing w:val="10"/>
                <w:szCs w:val="21"/>
              </w:rPr>
              <w:t>尺寸：宽0.2m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tcMar>
              <w:top w:w="0" w:type="dxa"/>
              <w:left w:w="6" w:type="dxa"/>
              <w:bottom w:w="0" w:type="dxa"/>
              <w:right w:w="6" w:type="dxa"/>
            </w:tcMar>
            <w:vAlign w:val="center"/>
          </w:tcPr>
          <w:p>
            <w:pPr>
              <w:jc w:val="center"/>
              <w:rPr>
                <w:szCs w:val="21"/>
              </w:rPr>
            </w:pPr>
            <w:r>
              <w:rPr>
                <w:rFonts w:hint="eastAsia"/>
                <w:szCs w:val="21"/>
              </w:rPr>
              <w:t>1</w:t>
            </w:r>
            <w:r>
              <w:rPr>
                <w:szCs w:val="21"/>
              </w:rPr>
              <w:t>1</w:t>
            </w:r>
          </w:p>
        </w:tc>
        <w:tc>
          <w:tcPr>
            <w:tcW w:w="1134" w:type="dxa"/>
            <w:tcMar>
              <w:top w:w="0" w:type="dxa"/>
              <w:left w:w="6" w:type="dxa"/>
              <w:bottom w:w="0" w:type="dxa"/>
              <w:right w:w="6" w:type="dxa"/>
            </w:tcMar>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三沉池</w:t>
            </w:r>
          </w:p>
        </w:tc>
        <w:tc>
          <w:tcPr>
            <w:tcW w:w="3261" w:type="dxa"/>
            <w:tcMar>
              <w:top w:w="0" w:type="dxa"/>
              <w:left w:w="6" w:type="dxa"/>
              <w:bottom w:w="0" w:type="dxa"/>
              <w:right w:w="6" w:type="dxa"/>
            </w:tcMar>
            <w:vAlign w:val="center"/>
          </w:tcPr>
          <w:p>
            <w:pPr>
              <w:jc w:val="center"/>
              <w:rPr>
                <w:szCs w:val="21"/>
              </w:rPr>
            </w:pPr>
            <w:r>
              <w:rPr>
                <w:rFonts w:hint="eastAsia"/>
                <w:szCs w:val="21"/>
              </w:rPr>
              <w:t>过向水中投加一些药剂（通常称为混凝剂及助凝剂），使水中难以沉淀的颗粒能互相聚合而形成胶体，然后与水体中的杂质结合形成更大的絮凝体。絮凝体具有强大吸附力，不仅能吸附悬浮物，还能吸附部分细菌和溶解性物质。絮凝体通过吸附，体积增大而下沉</w:t>
            </w:r>
          </w:p>
        </w:tc>
        <w:tc>
          <w:tcPr>
            <w:tcW w:w="3758" w:type="dxa"/>
            <w:tcMar>
              <w:top w:w="0" w:type="dxa"/>
              <w:left w:w="6" w:type="dxa"/>
              <w:bottom w:w="0" w:type="dxa"/>
              <w:right w:w="6" w:type="dxa"/>
            </w:tcMar>
            <w:vAlign w:val="center"/>
          </w:tcPr>
          <w:p>
            <w:pPr>
              <w:jc w:val="center"/>
              <w:rPr>
                <w:szCs w:val="21"/>
              </w:rPr>
            </w:pPr>
            <w:r>
              <w:rPr>
                <w:rFonts w:hint="eastAsia"/>
                <w:szCs w:val="21"/>
              </w:rPr>
              <w:t>（1）</w:t>
            </w:r>
            <w:r>
              <w:rPr>
                <w:rFonts w:hint="eastAsia" w:ascii="宋体" w:hAnsi="宋体" w:cs="宋体"/>
                <w:color w:val="000000"/>
                <w:kern w:val="0"/>
                <w:szCs w:val="21"/>
                <w:lang w:bidi="ar"/>
              </w:rPr>
              <w:t>中心布水装置</w:t>
            </w:r>
            <w:r>
              <w:rPr>
                <w:szCs w:val="21"/>
              </w:rPr>
              <w:t>1</w:t>
            </w:r>
            <w:r>
              <w:rPr>
                <w:rFonts w:hint="eastAsia"/>
                <w:szCs w:val="21"/>
              </w:rPr>
              <w:t>套；（2）潜污泵</w:t>
            </w:r>
            <w:r>
              <w:rPr>
                <w:szCs w:val="21"/>
              </w:rPr>
              <w:t>1</w:t>
            </w:r>
            <w:r>
              <w:rPr>
                <w:rFonts w:hint="eastAsia"/>
                <w:szCs w:val="21"/>
              </w:rPr>
              <w:t>台，流量：Q=50m³/h，</w:t>
            </w:r>
            <w:r>
              <w:rPr>
                <w:color w:val="000000"/>
                <w:szCs w:val="21"/>
              </w:rPr>
              <w:t>扬程：H=10m，功率：P=2.2KW</w:t>
            </w:r>
            <w:r>
              <w:rPr>
                <w:rFonts w:hint="eastAsia"/>
                <w:color w:val="000000"/>
                <w:szCs w:val="21"/>
              </w:rPr>
              <w:t>；（3）溢流堰板（含挡渣板）</w:t>
            </w:r>
            <w:r>
              <w:rPr>
                <w:color w:val="000000"/>
                <w:szCs w:val="21"/>
              </w:rPr>
              <w:t>1</w:t>
            </w:r>
            <w:r>
              <w:rPr>
                <w:rFonts w:hint="eastAsia"/>
                <w:color w:val="000000"/>
                <w:szCs w:val="21"/>
              </w:rPr>
              <w:t>套，</w:t>
            </w:r>
            <w:r>
              <w:rPr>
                <w:rFonts w:hint="eastAsia"/>
                <w:color w:val="000000"/>
                <w:spacing w:val="10"/>
                <w:szCs w:val="21"/>
              </w:rPr>
              <w:t>尺寸：宽0.2m；（4）</w:t>
            </w:r>
            <w:r>
              <w:rPr>
                <w:rFonts w:hint="eastAsia"/>
                <w:szCs w:val="21"/>
              </w:rPr>
              <w:t>溶药系统（除磷剂、PAM）2套，功率：</w:t>
            </w:r>
            <w:r>
              <w:rPr>
                <w:szCs w:val="21"/>
              </w:rPr>
              <w:t>P=1.5kw</w:t>
            </w:r>
            <w:r>
              <w:rPr>
                <w:rFonts w:hint="eastAsia"/>
                <w:szCs w:val="21"/>
              </w:rPr>
              <w:t>；（5）斜板填料，安装角度：75°；（6）计量泵</w:t>
            </w:r>
            <w:r>
              <w:rPr>
                <w:szCs w:val="21"/>
              </w:rPr>
              <w:t>2</w:t>
            </w:r>
            <w:r>
              <w:rPr>
                <w:rFonts w:hint="eastAsia"/>
                <w:szCs w:val="21"/>
              </w:rPr>
              <w:t>台，功率：P=0.2kw，压力：10Bar，流量：Q=44L/h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tcMar>
              <w:top w:w="0" w:type="dxa"/>
              <w:left w:w="6" w:type="dxa"/>
              <w:bottom w:w="0" w:type="dxa"/>
              <w:right w:w="6" w:type="dxa"/>
            </w:tcMar>
            <w:vAlign w:val="center"/>
          </w:tcPr>
          <w:p>
            <w:pPr>
              <w:jc w:val="center"/>
              <w:rPr>
                <w:szCs w:val="21"/>
              </w:rPr>
            </w:pPr>
            <w:r>
              <w:rPr>
                <w:rFonts w:hint="eastAsia"/>
                <w:szCs w:val="21"/>
              </w:rPr>
              <w:t>1</w:t>
            </w:r>
            <w:r>
              <w:rPr>
                <w:szCs w:val="21"/>
              </w:rPr>
              <w:t>2</w:t>
            </w:r>
          </w:p>
        </w:tc>
        <w:tc>
          <w:tcPr>
            <w:tcW w:w="1134" w:type="dxa"/>
            <w:tcMar>
              <w:top w:w="0" w:type="dxa"/>
              <w:left w:w="6" w:type="dxa"/>
              <w:bottom w:w="0" w:type="dxa"/>
              <w:right w:w="6" w:type="dxa"/>
            </w:tcMar>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污泥池</w:t>
            </w:r>
          </w:p>
        </w:tc>
        <w:tc>
          <w:tcPr>
            <w:tcW w:w="3261" w:type="dxa"/>
            <w:tcMar>
              <w:top w:w="0" w:type="dxa"/>
              <w:left w:w="6" w:type="dxa"/>
              <w:bottom w:w="0" w:type="dxa"/>
              <w:right w:w="6" w:type="dxa"/>
            </w:tcMar>
            <w:vAlign w:val="center"/>
          </w:tcPr>
          <w:p>
            <w:pPr>
              <w:jc w:val="center"/>
              <w:rPr>
                <w:szCs w:val="21"/>
              </w:rPr>
            </w:pPr>
            <w:r>
              <w:rPr>
                <w:rFonts w:hint="eastAsia"/>
                <w:color w:val="000000"/>
                <w:szCs w:val="21"/>
              </w:rPr>
              <w:t>储存污水处理系统中产生的剩余污泥，并将剩余污泥进行厌氧消化，从而使污泥得到稳定处理</w:t>
            </w:r>
          </w:p>
        </w:tc>
        <w:tc>
          <w:tcPr>
            <w:tcW w:w="3758" w:type="dxa"/>
            <w:tcMar>
              <w:top w:w="0" w:type="dxa"/>
              <w:left w:w="6" w:type="dxa"/>
              <w:bottom w:w="0" w:type="dxa"/>
              <w:right w:w="6" w:type="dxa"/>
            </w:tcMar>
            <w:vAlign w:val="center"/>
          </w:tcPr>
          <w:p>
            <w:pPr>
              <w:jc w:val="center"/>
              <w:rPr>
                <w:szCs w:val="21"/>
              </w:rPr>
            </w:pPr>
            <w:r>
              <w:rPr>
                <w:rFonts w:hint="eastAsia"/>
                <w:szCs w:val="21"/>
              </w:rPr>
              <w:t>（1）潜水搅拌机1台，叶轮直径：</w:t>
            </w:r>
            <w:r>
              <w:rPr>
                <w:rFonts w:hint="eastAsia"/>
                <w:color w:val="000000"/>
                <w:szCs w:val="21"/>
              </w:rPr>
              <w:t>D=400mm，叶轮转速：</w:t>
            </w:r>
            <w:r>
              <w:rPr>
                <w:color w:val="000000"/>
                <w:szCs w:val="21"/>
              </w:rPr>
              <w:t>98</w:t>
            </w:r>
            <w:r>
              <w:rPr>
                <w:rFonts w:hint="eastAsia"/>
                <w:color w:val="000000"/>
                <w:szCs w:val="21"/>
              </w:rPr>
              <w:t>0r/min，推力：</w:t>
            </w:r>
            <w:r>
              <w:rPr>
                <w:color w:val="000000"/>
                <w:szCs w:val="21"/>
              </w:rPr>
              <w:t>12</w:t>
            </w:r>
            <w:r>
              <w:rPr>
                <w:rFonts w:hint="eastAsia"/>
                <w:color w:val="000000"/>
                <w:szCs w:val="21"/>
              </w:rPr>
              <w:t>00N，功率：P=</w:t>
            </w:r>
            <w:r>
              <w:rPr>
                <w:color w:val="000000"/>
                <w:szCs w:val="21"/>
              </w:rPr>
              <w:t>4</w:t>
            </w:r>
            <w:r>
              <w:rPr>
                <w:rFonts w:hint="eastAsia"/>
                <w:color w:val="000000"/>
                <w:szCs w:val="21"/>
              </w:rPr>
              <w:t>KW，电流：</w:t>
            </w:r>
            <w:r>
              <w:rPr>
                <w:color w:val="000000"/>
                <w:szCs w:val="21"/>
              </w:rPr>
              <w:t>10.3A</w:t>
            </w:r>
            <w:r>
              <w:rPr>
                <w:rFonts w:hint="eastAsia"/>
                <w:szCs w:val="21"/>
              </w:rPr>
              <w:t>；（2）潜污泵</w:t>
            </w:r>
            <w:r>
              <w:rPr>
                <w:szCs w:val="21"/>
              </w:rPr>
              <w:t>1</w:t>
            </w:r>
            <w:r>
              <w:rPr>
                <w:rFonts w:hint="eastAsia"/>
                <w:szCs w:val="21"/>
              </w:rPr>
              <w:t>台，</w:t>
            </w:r>
            <w:r>
              <w:rPr>
                <w:rFonts w:hint="eastAsia"/>
                <w:color w:val="000000"/>
                <w:szCs w:val="24"/>
              </w:rPr>
              <w:t>流量：</w:t>
            </w:r>
            <w:r>
              <w:rPr>
                <w:rFonts w:hint="eastAsia"/>
                <w:color w:val="000000"/>
                <w:szCs w:val="21"/>
              </w:rPr>
              <w:t>Q=</w:t>
            </w:r>
            <w:r>
              <w:rPr>
                <w:color w:val="000000"/>
                <w:szCs w:val="21"/>
              </w:rPr>
              <w:t>3</w:t>
            </w:r>
            <w:r>
              <w:rPr>
                <w:rFonts w:hint="eastAsia"/>
                <w:color w:val="000000"/>
                <w:szCs w:val="21"/>
              </w:rPr>
              <w:t>0m³/h，</w:t>
            </w:r>
            <w:r>
              <w:rPr>
                <w:rFonts w:hint="eastAsia"/>
                <w:color w:val="000000"/>
                <w:szCs w:val="24"/>
              </w:rPr>
              <w:t>扬程：</w:t>
            </w:r>
            <w:r>
              <w:rPr>
                <w:rFonts w:hint="eastAsia"/>
                <w:color w:val="000000"/>
                <w:szCs w:val="21"/>
              </w:rPr>
              <w:t>H=1</w:t>
            </w:r>
            <w:r>
              <w:rPr>
                <w:color w:val="000000"/>
                <w:szCs w:val="21"/>
              </w:rPr>
              <w:t>4</w:t>
            </w:r>
            <w:r>
              <w:rPr>
                <w:rFonts w:hint="eastAsia"/>
                <w:color w:val="000000"/>
                <w:szCs w:val="21"/>
              </w:rPr>
              <w:t>m，</w:t>
            </w:r>
            <w:r>
              <w:rPr>
                <w:rFonts w:hint="eastAsia"/>
                <w:color w:val="000000"/>
                <w:szCs w:val="24"/>
              </w:rPr>
              <w:t>功率：P=2.2kw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tcMar>
              <w:top w:w="0" w:type="dxa"/>
              <w:left w:w="6" w:type="dxa"/>
              <w:bottom w:w="0" w:type="dxa"/>
              <w:right w:w="6" w:type="dxa"/>
            </w:tcMar>
            <w:vAlign w:val="center"/>
          </w:tcPr>
          <w:p>
            <w:pPr>
              <w:jc w:val="center"/>
              <w:rPr>
                <w:szCs w:val="21"/>
              </w:rPr>
            </w:pPr>
            <w:r>
              <w:rPr>
                <w:rFonts w:hint="eastAsia"/>
                <w:szCs w:val="21"/>
              </w:rPr>
              <w:t>1</w:t>
            </w:r>
            <w:r>
              <w:rPr>
                <w:szCs w:val="21"/>
              </w:rPr>
              <w:t>3</w:t>
            </w:r>
          </w:p>
        </w:tc>
        <w:tc>
          <w:tcPr>
            <w:tcW w:w="1134" w:type="dxa"/>
            <w:tcMar>
              <w:top w:w="0" w:type="dxa"/>
              <w:left w:w="6" w:type="dxa"/>
              <w:bottom w:w="0" w:type="dxa"/>
              <w:right w:w="6" w:type="dxa"/>
            </w:tcMar>
            <w:vAlign w:val="center"/>
          </w:tcPr>
          <w:p>
            <w:pPr>
              <w:jc w:val="center"/>
              <w:rPr>
                <w:rFonts w:ascii="宋体" w:hAnsi="宋体" w:cs="宋体"/>
                <w:color w:val="000000"/>
                <w:kern w:val="0"/>
                <w:szCs w:val="21"/>
                <w:lang w:bidi="ar"/>
              </w:rPr>
            </w:pPr>
            <w:r>
              <w:rPr>
                <w:rFonts w:hint="eastAsia" w:ascii="宋体" w:hAnsi="宋体" w:cs="宋体"/>
                <w:color w:val="000000"/>
                <w:kern w:val="0"/>
                <w:szCs w:val="21"/>
                <w:lang w:bidi="ar"/>
              </w:rPr>
              <w:t>污泥脱水系统</w:t>
            </w:r>
          </w:p>
        </w:tc>
        <w:tc>
          <w:tcPr>
            <w:tcW w:w="3261" w:type="dxa"/>
            <w:tcMar>
              <w:top w:w="0" w:type="dxa"/>
              <w:left w:w="6" w:type="dxa"/>
              <w:bottom w:w="0" w:type="dxa"/>
              <w:right w:w="6" w:type="dxa"/>
            </w:tcMar>
            <w:vAlign w:val="center"/>
          </w:tcPr>
          <w:p>
            <w:pPr>
              <w:jc w:val="center"/>
              <w:rPr>
                <w:szCs w:val="21"/>
              </w:rPr>
            </w:pPr>
            <w:r>
              <w:rPr>
                <w:szCs w:val="21"/>
              </w:rPr>
              <w:t>污泥在浓缩部经过</w:t>
            </w:r>
            <w:r>
              <w:fldChar w:fldCharType="begin"/>
            </w:r>
            <w:r>
              <w:instrText xml:space="preserve"> HYPERLINK "https://baike.baidu.com/item/%E9%87%8D%E5%8A%9B%E6%B5%93%E7%BC%A9/1982931?fromModule=lemma_inlink" \t "_blank" </w:instrText>
            </w:r>
            <w:r>
              <w:fldChar w:fldCharType="separate"/>
            </w:r>
            <w:r>
              <w:rPr>
                <w:color w:val="000000"/>
                <w:sz w:val="24"/>
                <w:szCs w:val="24"/>
              </w:rPr>
              <w:t>重力浓缩</w:t>
            </w:r>
            <w:r>
              <w:rPr>
                <w:color w:val="000000"/>
                <w:sz w:val="24"/>
                <w:szCs w:val="24"/>
              </w:rPr>
              <w:fldChar w:fldCharType="end"/>
            </w:r>
            <w:r>
              <w:rPr>
                <w:szCs w:val="21"/>
              </w:rPr>
              <w:t>后，被运输到脱水部，在前进的过程中随着滤缝及螺距的逐渐变小，以及背压板的阻挡作用下，产生极大的内压，容积不断缩小，达到充分脱水的目的</w:t>
            </w:r>
          </w:p>
        </w:tc>
        <w:tc>
          <w:tcPr>
            <w:tcW w:w="3758" w:type="dxa"/>
            <w:tcMar>
              <w:top w:w="0" w:type="dxa"/>
              <w:left w:w="6" w:type="dxa"/>
              <w:bottom w:w="0" w:type="dxa"/>
              <w:right w:w="6" w:type="dxa"/>
            </w:tcMar>
            <w:vAlign w:val="center"/>
          </w:tcPr>
          <w:p>
            <w:pPr>
              <w:jc w:val="center"/>
              <w:rPr>
                <w:szCs w:val="21"/>
              </w:rPr>
            </w:pPr>
            <w:r>
              <w:rPr>
                <w:rFonts w:hint="eastAsia"/>
                <w:szCs w:val="21"/>
              </w:rPr>
              <w:t>（1</w:t>
            </w:r>
            <w:r>
              <w:rPr>
                <w:szCs w:val="21"/>
              </w:rPr>
              <w:t>）</w:t>
            </w:r>
            <w:r>
              <w:rPr>
                <w:rFonts w:hint="eastAsia"/>
                <w:color w:val="000000"/>
                <w:kern w:val="0"/>
                <w:szCs w:val="21"/>
                <w:lang w:bidi="ar"/>
              </w:rPr>
              <w:t>叠螺污泥脱水机</w:t>
            </w:r>
            <w:r>
              <w:rPr>
                <w:color w:val="000000"/>
                <w:kern w:val="0"/>
                <w:szCs w:val="21"/>
                <w:lang w:bidi="ar"/>
              </w:rPr>
              <w:t>1</w:t>
            </w:r>
            <w:r>
              <w:rPr>
                <w:rFonts w:hint="eastAsia"/>
                <w:color w:val="000000"/>
                <w:kern w:val="0"/>
                <w:szCs w:val="21"/>
                <w:lang w:bidi="ar"/>
              </w:rPr>
              <w:t>台，总功率：</w:t>
            </w:r>
            <w:r>
              <w:rPr>
                <w:rFonts w:hint="eastAsia"/>
                <w:color w:val="000000"/>
                <w:szCs w:val="21"/>
              </w:rPr>
              <w:t>3.3kw，处理能力：260-360Kgds/h</w:t>
            </w:r>
            <w:r>
              <w:rPr>
                <w:color w:val="000000"/>
                <w:szCs w:val="21"/>
              </w:rPr>
              <w:t>；</w:t>
            </w:r>
            <w:r>
              <w:rPr>
                <w:rFonts w:hint="eastAsia"/>
                <w:color w:val="000000"/>
                <w:szCs w:val="21"/>
              </w:rPr>
              <w:t>（2）PAM自动泡药机1台，功率P：2.62kw，制备能力：2m³/h；（3）</w:t>
            </w:r>
            <w:r>
              <w:rPr>
                <w:rFonts w:hint="eastAsia" w:ascii="宋体" w:hAnsi="宋体" w:cs="宋体"/>
                <w:color w:val="000000"/>
                <w:kern w:val="0"/>
                <w:szCs w:val="21"/>
                <w:lang w:bidi="ar"/>
              </w:rPr>
              <w:t>加药泵，2台</w:t>
            </w:r>
            <w:r>
              <w:rPr>
                <w:rFonts w:hint="eastAsia"/>
                <w:color w:val="000000"/>
                <w:szCs w:val="21"/>
              </w:rPr>
              <w:t>（1用1备</w:t>
            </w:r>
            <w:r>
              <w:rPr>
                <w:rFonts w:hint="eastAsia" w:ascii="宋体" w:hAnsi="宋体" w:cs="宋体"/>
                <w:color w:val="000000"/>
                <w:kern w:val="0"/>
                <w:szCs w:val="21"/>
                <w:lang w:bidi="ar"/>
              </w:rPr>
              <w:t>），</w:t>
            </w:r>
            <w:r>
              <w:rPr>
                <w:rFonts w:hint="eastAsia"/>
                <w:color w:val="000000"/>
                <w:szCs w:val="21"/>
              </w:rPr>
              <w:t>流量：Q=1.5m³/h，功率：P=0.37kw</w:t>
            </w:r>
          </w:p>
        </w:tc>
      </w:tr>
    </w:tbl>
    <w:p>
      <w:pPr>
        <w:spacing w:line="520" w:lineRule="exact"/>
        <w:ind w:firstLine="480" w:firstLineChars="200"/>
        <w:rPr>
          <w:bCs/>
          <w:sz w:val="24"/>
        </w:rPr>
      </w:pPr>
    </w:p>
    <w:p>
      <w:pPr>
        <w:keepNext/>
        <w:keepLines/>
        <w:spacing w:line="520" w:lineRule="exact"/>
        <w:outlineLvl w:val="2"/>
        <w:rPr>
          <w:rFonts w:eastAsia="黑体"/>
          <w:bCs/>
          <w:sz w:val="28"/>
          <w:szCs w:val="28"/>
        </w:rPr>
      </w:pPr>
      <w:r>
        <w:rPr>
          <w:rFonts w:eastAsia="黑体"/>
          <w:bCs/>
          <w:sz w:val="28"/>
          <w:szCs w:val="28"/>
        </w:rPr>
        <w:t>3.1.3 工程原辅料</w:t>
      </w:r>
    </w:p>
    <w:p>
      <w:pPr>
        <w:spacing w:line="520" w:lineRule="exact"/>
        <w:ind w:firstLine="480" w:firstLineChars="200"/>
        <w:jc w:val="left"/>
      </w:pPr>
      <w:r>
        <w:rPr>
          <w:rFonts w:hint="eastAsia"/>
          <w:sz w:val="24"/>
        </w:rPr>
        <w:t>本工程投加的药剂主要为混凝剂（P</w:t>
      </w:r>
      <w:r>
        <w:rPr>
          <w:sz w:val="24"/>
        </w:rPr>
        <w:t>AC</w:t>
      </w:r>
      <w:r>
        <w:rPr>
          <w:rFonts w:hint="eastAsia"/>
          <w:sz w:val="24"/>
        </w:rPr>
        <w:t>）、絮凝剂（PAM）、除磷剂等，</w:t>
      </w:r>
      <w:bookmarkStart w:id="68" w:name="_Hlk108601102"/>
      <w:r>
        <w:rPr>
          <w:sz w:val="24"/>
        </w:rPr>
        <w:t>原辅材料消耗情况一览表见下表：</w:t>
      </w:r>
    </w:p>
    <w:p>
      <w:pPr>
        <w:spacing w:line="520" w:lineRule="exact"/>
        <w:ind w:firstLine="480" w:firstLineChars="200"/>
        <w:rPr>
          <w:rFonts w:eastAsia="黑体"/>
          <w:sz w:val="24"/>
          <w:szCs w:val="24"/>
        </w:rPr>
      </w:pPr>
      <w:r>
        <w:rPr>
          <w:rFonts w:eastAsia="黑体"/>
          <w:sz w:val="24"/>
          <w:szCs w:val="24"/>
        </w:rPr>
        <w:t>表3.1-4              工程原辅材料消耗一览表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2415"/>
        <w:gridCol w:w="2177"/>
        <w:gridCol w:w="1149"/>
        <w:gridCol w:w="16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jc w:val="center"/>
              <w:rPr>
                <w:b/>
                <w:bCs/>
                <w:szCs w:val="21"/>
              </w:rPr>
            </w:pPr>
            <w:r>
              <w:rPr>
                <w:rFonts w:hint="eastAsia"/>
                <w:b/>
                <w:bCs/>
                <w:szCs w:val="21"/>
              </w:rPr>
              <w:t>药剂名称</w:t>
            </w:r>
          </w:p>
        </w:tc>
        <w:tc>
          <w:tcPr>
            <w:tcW w:w="2351" w:type="dxa"/>
            <w:vAlign w:val="center"/>
          </w:tcPr>
          <w:p>
            <w:pPr>
              <w:jc w:val="center"/>
              <w:rPr>
                <w:b/>
                <w:bCs/>
                <w:szCs w:val="21"/>
              </w:rPr>
            </w:pPr>
            <w:r>
              <w:rPr>
                <w:b/>
                <w:bCs/>
                <w:szCs w:val="21"/>
              </w:rPr>
              <w:t>年消耗量</w:t>
            </w:r>
          </w:p>
        </w:tc>
        <w:tc>
          <w:tcPr>
            <w:tcW w:w="2120" w:type="dxa"/>
            <w:vAlign w:val="center"/>
          </w:tcPr>
          <w:p>
            <w:pPr>
              <w:jc w:val="center"/>
              <w:rPr>
                <w:b/>
                <w:bCs/>
                <w:szCs w:val="21"/>
              </w:rPr>
            </w:pPr>
            <w:r>
              <w:rPr>
                <w:rFonts w:hint="eastAsia"/>
                <w:b/>
                <w:bCs/>
                <w:szCs w:val="21"/>
              </w:rPr>
              <w:t>主要化学成分</w:t>
            </w:r>
          </w:p>
        </w:tc>
        <w:tc>
          <w:tcPr>
            <w:tcW w:w="1119" w:type="dxa"/>
            <w:vAlign w:val="center"/>
          </w:tcPr>
          <w:p>
            <w:pPr>
              <w:jc w:val="center"/>
              <w:rPr>
                <w:b/>
                <w:bCs/>
                <w:szCs w:val="21"/>
              </w:rPr>
            </w:pPr>
            <w:r>
              <w:rPr>
                <w:rFonts w:hint="eastAsia"/>
                <w:b/>
                <w:bCs/>
                <w:szCs w:val="21"/>
              </w:rPr>
              <w:t>来源</w:t>
            </w:r>
          </w:p>
        </w:tc>
        <w:tc>
          <w:tcPr>
            <w:tcW w:w="1633" w:type="dxa"/>
            <w:vAlign w:val="center"/>
          </w:tcPr>
          <w:p>
            <w:pPr>
              <w:jc w:val="center"/>
              <w:rPr>
                <w:b/>
                <w:bCs/>
                <w:szCs w:val="21"/>
              </w:rPr>
            </w:pPr>
            <w:r>
              <w:rPr>
                <w:b/>
                <w:bCs/>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jc w:val="center"/>
              <w:rPr>
                <w:szCs w:val="21"/>
              </w:rPr>
            </w:pPr>
            <w:r>
              <w:rPr>
                <w:rFonts w:hint="eastAsia"/>
                <w:szCs w:val="21"/>
              </w:rPr>
              <w:t>混凝剂</w:t>
            </w:r>
          </w:p>
        </w:tc>
        <w:tc>
          <w:tcPr>
            <w:tcW w:w="2351" w:type="dxa"/>
            <w:vAlign w:val="center"/>
          </w:tcPr>
          <w:p>
            <w:pPr>
              <w:jc w:val="center"/>
              <w:rPr>
                <w:szCs w:val="21"/>
              </w:rPr>
            </w:pPr>
            <w:r>
              <w:rPr>
                <w:rFonts w:hint="eastAsia"/>
                <w:szCs w:val="21"/>
              </w:rPr>
              <w:t>1</w:t>
            </w:r>
            <w:r>
              <w:rPr>
                <w:szCs w:val="21"/>
              </w:rPr>
              <w:t>46t/a</w:t>
            </w:r>
          </w:p>
        </w:tc>
        <w:tc>
          <w:tcPr>
            <w:tcW w:w="2120" w:type="dxa"/>
            <w:vAlign w:val="center"/>
          </w:tcPr>
          <w:p>
            <w:pPr>
              <w:spacing w:line="400" w:lineRule="exact"/>
              <w:jc w:val="center"/>
            </w:pPr>
            <w:r>
              <w:rPr>
                <w:rFonts w:hint="eastAsia"/>
                <w:kern w:val="0"/>
              </w:rPr>
              <w:t>聚合氯化铝</w:t>
            </w:r>
          </w:p>
        </w:tc>
        <w:tc>
          <w:tcPr>
            <w:tcW w:w="1119" w:type="dxa"/>
            <w:vAlign w:val="center"/>
          </w:tcPr>
          <w:p>
            <w:pPr>
              <w:spacing w:line="400" w:lineRule="exact"/>
              <w:jc w:val="center"/>
              <w:rPr>
                <w:kern w:val="0"/>
              </w:rPr>
            </w:pPr>
            <w:r>
              <w:rPr>
                <w:rFonts w:hint="eastAsia"/>
                <w:kern w:val="0"/>
              </w:rPr>
              <w:t>外购</w:t>
            </w:r>
          </w:p>
        </w:tc>
        <w:tc>
          <w:tcPr>
            <w:tcW w:w="1633" w:type="dxa"/>
            <w:vAlign w:val="center"/>
          </w:tcPr>
          <w:p>
            <w:pPr>
              <w:jc w:val="center"/>
              <w:rPr>
                <w:szCs w:val="21"/>
              </w:rPr>
            </w:pPr>
            <w:r>
              <w:rPr>
                <w:rFonts w:hint="eastAsia"/>
                <w:szCs w:val="21"/>
              </w:rPr>
              <w:t>袋装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jc w:val="center"/>
              <w:rPr>
                <w:szCs w:val="21"/>
              </w:rPr>
            </w:pPr>
            <w:r>
              <w:rPr>
                <w:rFonts w:hint="eastAsia"/>
                <w:szCs w:val="21"/>
              </w:rPr>
              <w:t>絮凝剂</w:t>
            </w:r>
          </w:p>
        </w:tc>
        <w:tc>
          <w:tcPr>
            <w:tcW w:w="2351" w:type="dxa"/>
            <w:vAlign w:val="center"/>
          </w:tcPr>
          <w:p>
            <w:pPr>
              <w:jc w:val="center"/>
              <w:rPr>
                <w:szCs w:val="21"/>
              </w:rPr>
            </w:pPr>
            <w:r>
              <w:rPr>
                <w:rFonts w:hint="eastAsia"/>
                <w:szCs w:val="21"/>
              </w:rPr>
              <w:t>1</w:t>
            </w:r>
            <w:r>
              <w:rPr>
                <w:szCs w:val="21"/>
              </w:rPr>
              <w:t>1t/a</w:t>
            </w:r>
          </w:p>
        </w:tc>
        <w:tc>
          <w:tcPr>
            <w:tcW w:w="2120" w:type="dxa"/>
            <w:vAlign w:val="center"/>
          </w:tcPr>
          <w:p>
            <w:pPr>
              <w:spacing w:line="400" w:lineRule="exact"/>
              <w:jc w:val="center"/>
            </w:pPr>
            <w:r>
              <w:rPr>
                <w:kern w:val="0"/>
              </w:rPr>
              <w:t>聚丙烯酰胺</w:t>
            </w:r>
          </w:p>
        </w:tc>
        <w:tc>
          <w:tcPr>
            <w:tcW w:w="1119" w:type="dxa"/>
            <w:vAlign w:val="center"/>
          </w:tcPr>
          <w:p>
            <w:pPr>
              <w:spacing w:line="400" w:lineRule="exact"/>
              <w:jc w:val="center"/>
              <w:rPr>
                <w:kern w:val="0"/>
              </w:rPr>
            </w:pPr>
            <w:r>
              <w:rPr>
                <w:rFonts w:hint="eastAsia"/>
                <w:kern w:val="0"/>
              </w:rPr>
              <w:t>外购</w:t>
            </w:r>
          </w:p>
        </w:tc>
        <w:tc>
          <w:tcPr>
            <w:tcW w:w="1633" w:type="dxa"/>
            <w:vAlign w:val="center"/>
          </w:tcPr>
          <w:p>
            <w:pPr>
              <w:jc w:val="center"/>
              <w:rPr>
                <w:szCs w:val="21"/>
              </w:rPr>
            </w:pPr>
            <w:r>
              <w:rPr>
                <w:rFonts w:hint="eastAsia"/>
                <w:szCs w:val="21"/>
              </w:rPr>
              <w:t>桶装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jc w:val="center"/>
              <w:rPr>
                <w:szCs w:val="21"/>
              </w:rPr>
            </w:pPr>
            <w:r>
              <w:rPr>
                <w:rFonts w:hint="eastAsia"/>
                <w:szCs w:val="21"/>
              </w:rPr>
              <w:t>除磷剂</w:t>
            </w:r>
          </w:p>
        </w:tc>
        <w:tc>
          <w:tcPr>
            <w:tcW w:w="2351" w:type="dxa"/>
            <w:vAlign w:val="center"/>
          </w:tcPr>
          <w:p>
            <w:pPr>
              <w:jc w:val="center"/>
              <w:rPr>
                <w:szCs w:val="21"/>
              </w:rPr>
            </w:pPr>
            <w:r>
              <w:rPr>
                <w:rFonts w:hint="eastAsia"/>
                <w:szCs w:val="21"/>
              </w:rPr>
              <w:t>7</w:t>
            </w:r>
            <w:r>
              <w:rPr>
                <w:szCs w:val="21"/>
              </w:rPr>
              <w:t>.</w:t>
            </w:r>
            <w:r>
              <w:rPr>
                <w:rFonts w:hint="eastAsia"/>
                <w:szCs w:val="21"/>
              </w:rPr>
              <w:t>3</w:t>
            </w:r>
            <w:r>
              <w:rPr>
                <w:szCs w:val="21"/>
              </w:rPr>
              <w:t>t/a</w:t>
            </w:r>
          </w:p>
        </w:tc>
        <w:tc>
          <w:tcPr>
            <w:tcW w:w="2120" w:type="dxa"/>
            <w:vAlign w:val="center"/>
          </w:tcPr>
          <w:p>
            <w:pPr>
              <w:spacing w:line="400" w:lineRule="exact"/>
              <w:jc w:val="center"/>
              <w:rPr>
                <w:kern w:val="0"/>
              </w:rPr>
            </w:pPr>
            <w:r>
              <w:rPr>
                <w:rFonts w:hint="eastAsia"/>
                <w:kern w:val="0"/>
              </w:rPr>
              <w:t>/</w:t>
            </w:r>
          </w:p>
        </w:tc>
        <w:tc>
          <w:tcPr>
            <w:tcW w:w="1119" w:type="dxa"/>
            <w:vAlign w:val="center"/>
          </w:tcPr>
          <w:p>
            <w:pPr>
              <w:spacing w:line="400" w:lineRule="exact"/>
              <w:jc w:val="center"/>
              <w:rPr>
                <w:kern w:val="0"/>
              </w:rPr>
            </w:pPr>
            <w:r>
              <w:rPr>
                <w:rFonts w:hint="eastAsia"/>
                <w:kern w:val="0"/>
              </w:rPr>
              <w:t>外购</w:t>
            </w:r>
          </w:p>
        </w:tc>
        <w:tc>
          <w:tcPr>
            <w:tcW w:w="1633" w:type="dxa"/>
            <w:vAlign w:val="center"/>
          </w:tcPr>
          <w:p>
            <w:pPr>
              <w:jc w:val="center"/>
              <w:rPr>
                <w:szCs w:val="21"/>
              </w:rPr>
            </w:pPr>
            <w:r>
              <w:rPr>
                <w:rFonts w:hint="eastAsia"/>
                <w:szCs w:val="21"/>
              </w:rPr>
              <w:t>桶装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jc w:val="center"/>
              <w:rPr>
                <w:szCs w:val="21"/>
              </w:rPr>
            </w:pPr>
            <w:r>
              <w:rPr>
                <w:rFonts w:hint="eastAsia"/>
                <w:szCs w:val="21"/>
              </w:rPr>
              <w:t>片碱</w:t>
            </w:r>
          </w:p>
        </w:tc>
        <w:tc>
          <w:tcPr>
            <w:tcW w:w="2351" w:type="dxa"/>
            <w:vAlign w:val="center"/>
          </w:tcPr>
          <w:p>
            <w:pPr>
              <w:jc w:val="center"/>
              <w:rPr>
                <w:szCs w:val="21"/>
              </w:rPr>
            </w:pPr>
            <w:r>
              <w:rPr>
                <w:szCs w:val="21"/>
              </w:rPr>
              <w:t>0.6t/a</w:t>
            </w:r>
          </w:p>
        </w:tc>
        <w:tc>
          <w:tcPr>
            <w:tcW w:w="2120" w:type="dxa"/>
            <w:vAlign w:val="center"/>
          </w:tcPr>
          <w:p>
            <w:pPr>
              <w:spacing w:line="400" w:lineRule="exact"/>
              <w:jc w:val="center"/>
              <w:rPr>
                <w:kern w:val="0"/>
              </w:rPr>
            </w:pPr>
            <w:r>
              <w:rPr>
                <w:rFonts w:hint="eastAsia"/>
                <w:kern w:val="0"/>
              </w:rPr>
              <w:t>Na</w:t>
            </w:r>
            <w:r>
              <w:rPr>
                <w:kern w:val="0"/>
              </w:rPr>
              <w:t>OH</w:t>
            </w:r>
          </w:p>
        </w:tc>
        <w:tc>
          <w:tcPr>
            <w:tcW w:w="1119" w:type="dxa"/>
            <w:vAlign w:val="center"/>
          </w:tcPr>
          <w:p>
            <w:pPr>
              <w:spacing w:line="400" w:lineRule="exact"/>
              <w:jc w:val="center"/>
              <w:rPr>
                <w:kern w:val="0"/>
              </w:rPr>
            </w:pPr>
            <w:r>
              <w:rPr>
                <w:rFonts w:hint="eastAsia"/>
                <w:kern w:val="0"/>
              </w:rPr>
              <w:t>外购</w:t>
            </w:r>
          </w:p>
        </w:tc>
        <w:tc>
          <w:tcPr>
            <w:tcW w:w="1633" w:type="dxa"/>
            <w:vAlign w:val="center"/>
          </w:tcPr>
          <w:p>
            <w:pPr>
              <w:jc w:val="center"/>
              <w:rPr>
                <w:szCs w:val="21"/>
              </w:rPr>
            </w:pPr>
            <w:r>
              <w:rPr>
                <w:rFonts w:hint="eastAsia"/>
                <w:szCs w:val="21"/>
              </w:rPr>
              <w:t>袋装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jc w:val="center"/>
              <w:rPr>
                <w:szCs w:val="21"/>
              </w:rPr>
            </w:pPr>
            <w:r>
              <w:rPr>
                <w:rFonts w:hint="eastAsia"/>
                <w:szCs w:val="21"/>
              </w:rPr>
              <w:t>生物除臭剂</w:t>
            </w:r>
          </w:p>
        </w:tc>
        <w:tc>
          <w:tcPr>
            <w:tcW w:w="2351" w:type="dxa"/>
            <w:vAlign w:val="center"/>
          </w:tcPr>
          <w:p>
            <w:pPr>
              <w:jc w:val="center"/>
              <w:rPr>
                <w:szCs w:val="21"/>
              </w:rPr>
            </w:pPr>
            <w:r>
              <w:rPr>
                <w:rFonts w:hint="eastAsia"/>
                <w:szCs w:val="21"/>
              </w:rPr>
              <w:t>1</w:t>
            </w:r>
            <w:r>
              <w:rPr>
                <w:szCs w:val="21"/>
              </w:rPr>
              <w:t>15L/a</w:t>
            </w:r>
          </w:p>
        </w:tc>
        <w:tc>
          <w:tcPr>
            <w:tcW w:w="2120" w:type="dxa"/>
            <w:vAlign w:val="center"/>
          </w:tcPr>
          <w:p>
            <w:pPr>
              <w:spacing w:line="400" w:lineRule="exact"/>
              <w:jc w:val="center"/>
              <w:rPr>
                <w:kern w:val="0"/>
              </w:rPr>
            </w:pPr>
            <w:r>
              <w:rPr>
                <w:rFonts w:hint="eastAsia"/>
                <w:kern w:val="0"/>
              </w:rPr>
              <w:t>/</w:t>
            </w:r>
          </w:p>
        </w:tc>
        <w:tc>
          <w:tcPr>
            <w:tcW w:w="1119" w:type="dxa"/>
            <w:vAlign w:val="center"/>
          </w:tcPr>
          <w:p>
            <w:pPr>
              <w:spacing w:line="400" w:lineRule="exact"/>
              <w:jc w:val="center"/>
              <w:rPr>
                <w:kern w:val="0"/>
              </w:rPr>
            </w:pPr>
            <w:r>
              <w:rPr>
                <w:rFonts w:hint="eastAsia"/>
                <w:kern w:val="0"/>
              </w:rPr>
              <w:t>外购</w:t>
            </w:r>
          </w:p>
        </w:tc>
        <w:tc>
          <w:tcPr>
            <w:tcW w:w="1633" w:type="dxa"/>
            <w:vAlign w:val="center"/>
          </w:tcPr>
          <w:p>
            <w:pPr>
              <w:jc w:val="center"/>
              <w:rPr>
                <w:szCs w:val="21"/>
              </w:rPr>
            </w:pPr>
            <w:r>
              <w:rPr>
                <w:rFonts w:hint="eastAsia"/>
                <w:szCs w:val="21"/>
              </w:rPr>
              <w:t>桶装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jc w:val="center"/>
              <w:rPr>
                <w:szCs w:val="21"/>
              </w:rPr>
            </w:pPr>
            <w:r>
              <w:rPr>
                <w:rFonts w:hint="eastAsia"/>
                <w:szCs w:val="21"/>
              </w:rPr>
              <w:t>水</w:t>
            </w:r>
          </w:p>
        </w:tc>
        <w:tc>
          <w:tcPr>
            <w:tcW w:w="2351" w:type="dxa"/>
            <w:vAlign w:val="center"/>
          </w:tcPr>
          <w:p>
            <w:pPr>
              <w:jc w:val="center"/>
              <w:rPr>
                <w:szCs w:val="21"/>
              </w:rPr>
            </w:pPr>
            <w:r>
              <w:rPr>
                <w:szCs w:val="21"/>
              </w:rPr>
              <w:t>219m</w:t>
            </w:r>
            <w:r>
              <w:rPr>
                <w:szCs w:val="21"/>
                <w:vertAlign w:val="superscript"/>
              </w:rPr>
              <w:t>3</w:t>
            </w:r>
            <w:r>
              <w:rPr>
                <w:szCs w:val="21"/>
              </w:rPr>
              <w:t>/</w:t>
            </w:r>
            <w:r>
              <w:rPr>
                <w:rFonts w:hint="eastAsia"/>
                <w:szCs w:val="21"/>
              </w:rPr>
              <w:t>a</w:t>
            </w:r>
          </w:p>
        </w:tc>
        <w:tc>
          <w:tcPr>
            <w:tcW w:w="2120" w:type="dxa"/>
            <w:vAlign w:val="center"/>
          </w:tcPr>
          <w:p>
            <w:pPr>
              <w:spacing w:line="400" w:lineRule="exact"/>
              <w:jc w:val="center"/>
              <w:rPr>
                <w:kern w:val="0"/>
              </w:rPr>
            </w:pPr>
            <w:r>
              <w:rPr>
                <w:rFonts w:hint="eastAsia"/>
                <w:kern w:val="0"/>
              </w:rPr>
              <w:t>/</w:t>
            </w:r>
          </w:p>
        </w:tc>
        <w:tc>
          <w:tcPr>
            <w:tcW w:w="1119" w:type="dxa"/>
            <w:vAlign w:val="center"/>
          </w:tcPr>
          <w:p>
            <w:pPr>
              <w:spacing w:line="400" w:lineRule="exact"/>
              <w:jc w:val="center"/>
              <w:rPr>
                <w:kern w:val="0"/>
              </w:rPr>
            </w:pPr>
            <w:r>
              <w:rPr>
                <w:rFonts w:hint="eastAsia"/>
                <w:kern w:val="0"/>
              </w:rPr>
              <w:t>外购</w:t>
            </w:r>
          </w:p>
        </w:tc>
        <w:tc>
          <w:tcPr>
            <w:tcW w:w="163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7" w:type="dxa"/>
            <w:vAlign w:val="center"/>
          </w:tcPr>
          <w:p>
            <w:pPr>
              <w:jc w:val="center"/>
              <w:rPr>
                <w:szCs w:val="21"/>
              </w:rPr>
            </w:pPr>
            <w:r>
              <w:rPr>
                <w:rFonts w:hint="eastAsia"/>
                <w:szCs w:val="21"/>
              </w:rPr>
              <w:t>电</w:t>
            </w:r>
          </w:p>
        </w:tc>
        <w:tc>
          <w:tcPr>
            <w:tcW w:w="2351" w:type="dxa"/>
            <w:vAlign w:val="center"/>
          </w:tcPr>
          <w:p>
            <w:pPr>
              <w:jc w:val="center"/>
              <w:rPr>
                <w:szCs w:val="21"/>
              </w:rPr>
            </w:pPr>
            <w:r>
              <w:rPr>
                <w:rFonts w:hint="eastAsia"/>
                <w:szCs w:val="21"/>
              </w:rPr>
              <w:t>6</w:t>
            </w:r>
            <w:r>
              <w:rPr>
                <w:szCs w:val="21"/>
              </w:rPr>
              <w:t>0</w:t>
            </w:r>
            <w:r>
              <w:rPr>
                <w:rFonts w:hint="eastAsia"/>
                <w:szCs w:val="21"/>
              </w:rPr>
              <w:t>万</w:t>
            </w:r>
            <w:r>
              <w:rPr>
                <w:szCs w:val="21"/>
              </w:rPr>
              <w:t>KW▪</w:t>
            </w:r>
            <w:r>
              <w:rPr>
                <w:rFonts w:hint="eastAsia"/>
                <w:szCs w:val="21"/>
              </w:rPr>
              <w:t>h</w:t>
            </w:r>
          </w:p>
        </w:tc>
        <w:tc>
          <w:tcPr>
            <w:tcW w:w="2120" w:type="dxa"/>
            <w:vAlign w:val="center"/>
          </w:tcPr>
          <w:p>
            <w:pPr>
              <w:spacing w:line="400" w:lineRule="exact"/>
              <w:jc w:val="center"/>
              <w:rPr>
                <w:kern w:val="0"/>
              </w:rPr>
            </w:pPr>
            <w:r>
              <w:rPr>
                <w:rFonts w:hint="eastAsia"/>
                <w:kern w:val="0"/>
              </w:rPr>
              <w:t>/</w:t>
            </w:r>
          </w:p>
        </w:tc>
        <w:tc>
          <w:tcPr>
            <w:tcW w:w="1119" w:type="dxa"/>
            <w:vAlign w:val="center"/>
          </w:tcPr>
          <w:p>
            <w:pPr>
              <w:spacing w:line="400" w:lineRule="exact"/>
              <w:jc w:val="center"/>
              <w:rPr>
                <w:kern w:val="0"/>
              </w:rPr>
            </w:pPr>
            <w:r>
              <w:rPr>
                <w:rFonts w:hint="eastAsia"/>
                <w:kern w:val="0"/>
              </w:rPr>
              <w:t>外购</w:t>
            </w:r>
          </w:p>
        </w:tc>
        <w:tc>
          <w:tcPr>
            <w:tcW w:w="1633" w:type="dxa"/>
            <w:vAlign w:val="center"/>
          </w:tcPr>
          <w:p>
            <w:pPr>
              <w:jc w:val="center"/>
              <w:rPr>
                <w:szCs w:val="21"/>
              </w:rPr>
            </w:pPr>
            <w:r>
              <w:rPr>
                <w:rFonts w:hint="eastAsia"/>
                <w:szCs w:val="21"/>
              </w:rPr>
              <w:t>/</w:t>
            </w:r>
          </w:p>
        </w:tc>
      </w:tr>
    </w:tbl>
    <w:p>
      <w:pPr>
        <w:spacing w:line="520" w:lineRule="exact"/>
        <w:ind w:firstLine="480" w:firstLineChars="200"/>
        <w:jc w:val="left"/>
        <w:rPr>
          <w:sz w:val="24"/>
        </w:rPr>
      </w:pPr>
      <w:r>
        <w:rPr>
          <w:sz w:val="24"/>
        </w:rPr>
        <w:t>本工程原辅材料理化性质一览表见下表：</w:t>
      </w:r>
    </w:p>
    <w:bookmarkEnd w:id="68"/>
    <w:p>
      <w:pPr>
        <w:spacing w:line="520" w:lineRule="exact"/>
        <w:ind w:firstLine="480" w:firstLineChars="200"/>
        <w:rPr>
          <w:rFonts w:eastAsia="黑体"/>
          <w:bCs/>
          <w:sz w:val="24"/>
          <w:szCs w:val="24"/>
        </w:rPr>
      </w:pPr>
      <w:r>
        <w:rPr>
          <w:rFonts w:eastAsia="黑体"/>
          <w:bCs/>
          <w:sz w:val="24"/>
          <w:szCs w:val="24"/>
        </w:rPr>
        <w:t>表3.1-5         工程所用主要化学品原料理化性质一览表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28" w:type="dxa"/>
          <w:bottom w:w="57" w:type="dxa"/>
          <w:right w:w="28" w:type="dxa"/>
        </w:tblCellMar>
      </w:tblPr>
      <w:tblGrid>
        <w:gridCol w:w="563"/>
        <w:gridCol w:w="1575"/>
        <w:gridCol w:w="66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568" w:type="dxa"/>
            <w:tcMar>
              <w:top w:w="0" w:type="dxa"/>
              <w:left w:w="28" w:type="dxa"/>
              <w:bottom w:w="0" w:type="dxa"/>
              <w:right w:w="28" w:type="dxa"/>
            </w:tcMar>
            <w:vAlign w:val="center"/>
          </w:tcPr>
          <w:p>
            <w:pPr>
              <w:jc w:val="center"/>
              <w:rPr>
                <w:b/>
                <w:bCs/>
                <w:snapToGrid w:val="0"/>
                <w:szCs w:val="21"/>
              </w:rPr>
            </w:pPr>
            <w:r>
              <w:rPr>
                <w:b/>
                <w:bCs/>
                <w:snapToGrid w:val="0"/>
                <w:szCs w:val="21"/>
              </w:rPr>
              <w:t>序号</w:t>
            </w:r>
          </w:p>
        </w:tc>
        <w:tc>
          <w:tcPr>
            <w:tcW w:w="1591" w:type="dxa"/>
            <w:tcMar>
              <w:top w:w="0" w:type="dxa"/>
              <w:left w:w="28" w:type="dxa"/>
              <w:bottom w:w="0" w:type="dxa"/>
              <w:right w:w="28" w:type="dxa"/>
            </w:tcMar>
            <w:vAlign w:val="center"/>
          </w:tcPr>
          <w:p>
            <w:pPr>
              <w:jc w:val="center"/>
              <w:rPr>
                <w:b/>
                <w:bCs/>
                <w:snapToGrid w:val="0"/>
                <w:szCs w:val="21"/>
              </w:rPr>
            </w:pPr>
            <w:r>
              <w:rPr>
                <w:b/>
                <w:bCs/>
                <w:snapToGrid w:val="0"/>
                <w:szCs w:val="21"/>
              </w:rPr>
              <w:t>物料</w:t>
            </w:r>
          </w:p>
        </w:tc>
        <w:tc>
          <w:tcPr>
            <w:tcW w:w="6725" w:type="dxa"/>
            <w:tcMar>
              <w:top w:w="0" w:type="dxa"/>
              <w:left w:w="28" w:type="dxa"/>
              <w:bottom w:w="0" w:type="dxa"/>
              <w:right w:w="28" w:type="dxa"/>
            </w:tcMar>
            <w:vAlign w:val="center"/>
          </w:tcPr>
          <w:p>
            <w:pPr>
              <w:jc w:val="center"/>
              <w:rPr>
                <w:b/>
                <w:bCs/>
                <w:snapToGrid w:val="0"/>
                <w:szCs w:val="21"/>
              </w:rPr>
            </w:pPr>
            <w:r>
              <w:rPr>
                <w:b/>
                <w:bCs/>
                <w:snapToGrid w:val="0"/>
                <w:szCs w:val="21"/>
              </w:rPr>
              <w:t>物化性质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568" w:type="dxa"/>
            <w:tcMar>
              <w:top w:w="0" w:type="dxa"/>
              <w:left w:w="28" w:type="dxa"/>
              <w:bottom w:w="0" w:type="dxa"/>
              <w:right w:w="28" w:type="dxa"/>
            </w:tcMar>
            <w:vAlign w:val="center"/>
          </w:tcPr>
          <w:p>
            <w:pPr>
              <w:jc w:val="center"/>
              <w:rPr>
                <w:snapToGrid w:val="0"/>
                <w:szCs w:val="21"/>
              </w:rPr>
            </w:pPr>
            <w:r>
              <w:rPr>
                <w:snapToGrid w:val="0"/>
                <w:szCs w:val="21"/>
              </w:rPr>
              <w:t>1</w:t>
            </w:r>
          </w:p>
        </w:tc>
        <w:tc>
          <w:tcPr>
            <w:tcW w:w="1591" w:type="dxa"/>
            <w:tcMar>
              <w:top w:w="0" w:type="dxa"/>
              <w:left w:w="28" w:type="dxa"/>
              <w:bottom w:w="0" w:type="dxa"/>
              <w:right w:w="28" w:type="dxa"/>
            </w:tcMar>
            <w:vAlign w:val="center"/>
          </w:tcPr>
          <w:p>
            <w:pPr>
              <w:jc w:val="center"/>
              <w:rPr>
                <w:szCs w:val="21"/>
              </w:rPr>
            </w:pPr>
            <w:r>
              <w:rPr>
                <w:rFonts w:hint="eastAsia"/>
                <w:szCs w:val="21"/>
              </w:rPr>
              <w:t>P</w:t>
            </w:r>
            <w:r>
              <w:rPr>
                <w:szCs w:val="21"/>
              </w:rPr>
              <w:t>AC</w:t>
            </w:r>
          </w:p>
          <w:p>
            <w:pPr>
              <w:jc w:val="center"/>
              <w:rPr>
                <w:snapToGrid w:val="0"/>
                <w:szCs w:val="21"/>
              </w:rPr>
            </w:pPr>
            <w:r>
              <w:rPr>
                <w:rFonts w:hint="eastAsia"/>
                <w:szCs w:val="21"/>
              </w:rPr>
              <w:t>（</w:t>
            </w:r>
            <w:r>
              <w:rPr>
                <w:szCs w:val="21"/>
              </w:rPr>
              <w:t>聚合</w:t>
            </w:r>
            <w:r>
              <w:rPr>
                <w:rFonts w:hint="eastAsia"/>
                <w:szCs w:val="21"/>
              </w:rPr>
              <w:t>氯化铝）</w:t>
            </w:r>
          </w:p>
        </w:tc>
        <w:tc>
          <w:tcPr>
            <w:tcW w:w="6725" w:type="dxa"/>
            <w:tcMar>
              <w:top w:w="0" w:type="dxa"/>
              <w:left w:w="28" w:type="dxa"/>
              <w:bottom w:w="0" w:type="dxa"/>
              <w:right w:w="28" w:type="dxa"/>
            </w:tcMar>
            <w:vAlign w:val="center"/>
          </w:tcPr>
          <w:p>
            <w:pPr>
              <w:rPr>
                <w:snapToGrid w:val="0"/>
                <w:szCs w:val="21"/>
              </w:rPr>
            </w:pPr>
            <w:r>
              <w:rPr>
                <w:snapToGrid w:val="0"/>
                <w:szCs w:val="21"/>
              </w:rPr>
              <w:t>固体产品是黄色或灰色</w:t>
            </w:r>
            <w:r>
              <w:rPr>
                <w:rFonts w:hint="eastAsia"/>
                <w:snapToGrid w:val="0"/>
                <w:szCs w:val="21"/>
              </w:rPr>
              <w:t>粉状，</w:t>
            </w:r>
            <w:r>
              <w:rPr>
                <w:snapToGrid w:val="0"/>
                <w:szCs w:val="21"/>
              </w:rPr>
              <w:t>是一种无机高分子混凝剂</w:t>
            </w:r>
            <w:r>
              <w:rPr>
                <w:rFonts w:hint="eastAsia"/>
                <w:snapToGrid w:val="0"/>
                <w:szCs w:val="21"/>
              </w:rPr>
              <w:t>。</w:t>
            </w:r>
            <w:r>
              <w:rPr>
                <w:snapToGrid w:val="0"/>
                <w:szCs w:val="21"/>
              </w:rPr>
              <w:t>主要通过压缩双</w:t>
            </w:r>
            <w:r>
              <w:rPr>
                <w:rFonts w:hint="eastAsia"/>
                <w:snapToGrid w:val="0"/>
                <w:szCs w:val="21"/>
              </w:rPr>
              <w:t>电</w:t>
            </w:r>
            <w:r>
              <w:rPr>
                <w:snapToGrid w:val="0"/>
                <w:szCs w:val="21"/>
              </w:rPr>
              <w:t>层、吸附电中和、吸附架桥、沉淀物网捕等机理作用，使水中细微悬浮粒子和胶体离子脱稳，聚集、絮凝、混凝、沉淀，达到净化处理效果。广泛应用于饮用水、工业用水、各种工业废水、城市污水等的净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568" w:type="dxa"/>
            <w:tcMar>
              <w:top w:w="0" w:type="dxa"/>
              <w:left w:w="28" w:type="dxa"/>
              <w:bottom w:w="0" w:type="dxa"/>
              <w:right w:w="28" w:type="dxa"/>
            </w:tcMar>
            <w:vAlign w:val="center"/>
          </w:tcPr>
          <w:p>
            <w:pPr>
              <w:jc w:val="center"/>
              <w:rPr>
                <w:snapToGrid w:val="0"/>
                <w:szCs w:val="21"/>
              </w:rPr>
            </w:pPr>
            <w:r>
              <w:rPr>
                <w:snapToGrid w:val="0"/>
                <w:szCs w:val="21"/>
              </w:rPr>
              <w:t>2</w:t>
            </w:r>
          </w:p>
        </w:tc>
        <w:tc>
          <w:tcPr>
            <w:tcW w:w="1591" w:type="dxa"/>
            <w:tcMar>
              <w:top w:w="0" w:type="dxa"/>
              <w:left w:w="28" w:type="dxa"/>
              <w:bottom w:w="0" w:type="dxa"/>
              <w:right w:w="28" w:type="dxa"/>
            </w:tcMar>
            <w:vAlign w:val="center"/>
          </w:tcPr>
          <w:p>
            <w:pPr>
              <w:jc w:val="center"/>
              <w:rPr>
                <w:snapToGrid w:val="0"/>
                <w:szCs w:val="21"/>
              </w:rPr>
            </w:pPr>
            <w:r>
              <w:rPr>
                <w:snapToGrid w:val="0"/>
                <w:szCs w:val="21"/>
              </w:rPr>
              <w:t>PAM</w:t>
            </w:r>
          </w:p>
          <w:p>
            <w:pPr>
              <w:jc w:val="center"/>
              <w:rPr>
                <w:snapToGrid w:val="0"/>
                <w:szCs w:val="21"/>
              </w:rPr>
            </w:pPr>
            <w:r>
              <w:rPr>
                <w:rFonts w:hint="eastAsia"/>
                <w:snapToGrid w:val="0"/>
                <w:szCs w:val="21"/>
              </w:rPr>
              <w:t>（</w:t>
            </w:r>
            <w:r>
              <w:rPr>
                <w:snapToGrid w:val="0"/>
                <w:szCs w:val="21"/>
              </w:rPr>
              <w:t>聚丙烯酰胺</w:t>
            </w:r>
            <w:r>
              <w:rPr>
                <w:rFonts w:hint="eastAsia"/>
                <w:snapToGrid w:val="0"/>
                <w:szCs w:val="21"/>
              </w:rPr>
              <w:t>）</w:t>
            </w:r>
          </w:p>
        </w:tc>
        <w:tc>
          <w:tcPr>
            <w:tcW w:w="6725" w:type="dxa"/>
            <w:tcMar>
              <w:top w:w="0" w:type="dxa"/>
              <w:left w:w="28" w:type="dxa"/>
              <w:bottom w:w="0" w:type="dxa"/>
              <w:right w:w="28" w:type="dxa"/>
            </w:tcMar>
            <w:vAlign w:val="center"/>
          </w:tcPr>
          <w:p>
            <w:pPr>
              <w:rPr>
                <w:snapToGrid w:val="0"/>
                <w:szCs w:val="21"/>
              </w:rPr>
            </w:pPr>
            <w:r>
              <w:rPr>
                <w:snapToGrid w:val="0"/>
                <w:szCs w:val="21"/>
              </w:rPr>
              <w:t>俗称絮凝剂或凝聚剂，是线状高分子聚合物，分子量在300-2500万之间，密度=1.3 g/cm³。固体产品外观为白色粉颗，液态为无色粘稠胶体状，易溶于水，几乎不溶于有机溶剂。该产品的分子能与分散于溶液中的悬浮粒子架桥吸附，有着极强的絮凝作用。属非危险品、无毒、无腐蚀性。固体PAM有吸湿性、絮凝性、粘合性、降阻性、增稠性、同时稳定性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28" w:type="dxa"/>
            <w:bottom w:w="57" w:type="dxa"/>
            <w:right w:w="28" w:type="dxa"/>
          </w:tblCellMar>
        </w:tblPrEx>
        <w:trPr>
          <w:trHeight w:val="454" w:hRule="atLeast"/>
          <w:jc w:val="center"/>
        </w:trPr>
        <w:tc>
          <w:tcPr>
            <w:tcW w:w="568" w:type="dxa"/>
            <w:tcMar>
              <w:top w:w="0" w:type="dxa"/>
              <w:left w:w="28" w:type="dxa"/>
              <w:bottom w:w="0" w:type="dxa"/>
              <w:right w:w="28" w:type="dxa"/>
            </w:tcMar>
            <w:vAlign w:val="center"/>
          </w:tcPr>
          <w:p>
            <w:pPr>
              <w:jc w:val="center"/>
              <w:rPr>
                <w:snapToGrid w:val="0"/>
                <w:szCs w:val="21"/>
              </w:rPr>
            </w:pPr>
            <w:r>
              <w:rPr>
                <w:rFonts w:hint="eastAsia"/>
                <w:snapToGrid w:val="0"/>
                <w:szCs w:val="21"/>
              </w:rPr>
              <w:t>3</w:t>
            </w:r>
          </w:p>
        </w:tc>
        <w:tc>
          <w:tcPr>
            <w:tcW w:w="1591" w:type="dxa"/>
            <w:tcMar>
              <w:top w:w="0" w:type="dxa"/>
              <w:left w:w="28" w:type="dxa"/>
              <w:bottom w:w="0" w:type="dxa"/>
              <w:right w:w="28" w:type="dxa"/>
            </w:tcMar>
            <w:vAlign w:val="center"/>
          </w:tcPr>
          <w:p>
            <w:pPr>
              <w:jc w:val="center"/>
              <w:rPr>
                <w:snapToGrid w:val="0"/>
                <w:szCs w:val="21"/>
              </w:rPr>
            </w:pPr>
            <w:r>
              <w:rPr>
                <w:rFonts w:hint="eastAsia"/>
                <w:snapToGrid w:val="0"/>
                <w:szCs w:val="21"/>
              </w:rPr>
              <w:t>氢氧化钠</w:t>
            </w:r>
          </w:p>
        </w:tc>
        <w:tc>
          <w:tcPr>
            <w:tcW w:w="6725" w:type="dxa"/>
            <w:tcMar>
              <w:top w:w="0" w:type="dxa"/>
              <w:left w:w="28" w:type="dxa"/>
              <w:bottom w:w="0" w:type="dxa"/>
              <w:right w:w="28" w:type="dxa"/>
            </w:tcMar>
            <w:vAlign w:val="center"/>
          </w:tcPr>
          <w:p>
            <w:pPr>
              <w:rPr>
                <w:snapToGrid w:val="0"/>
                <w:szCs w:val="21"/>
              </w:rPr>
            </w:pPr>
            <w:r>
              <w:rPr>
                <w:snapToGrid w:val="0"/>
                <w:szCs w:val="21"/>
              </w:rPr>
              <w:t>白色结晶性粉末，易溶于水、乙醇、甘油，不溶于丙酮、乙醚</w:t>
            </w:r>
            <w:r>
              <w:rPr>
                <w:rFonts w:hint="eastAsia"/>
                <w:snapToGrid w:val="0"/>
                <w:szCs w:val="21"/>
              </w:rPr>
              <w:t>；</w:t>
            </w:r>
            <w:r>
              <w:rPr>
                <w:snapToGrid w:val="0"/>
                <w:szCs w:val="21"/>
              </w:rPr>
              <w:t>密度2.13g/cm3，沸点1388℃，熔点318℃，饱和蒸气压0.13kPa（739℃）</w:t>
            </w:r>
            <w:r>
              <w:rPr>
                <w:rFonts w:hint="eastAsia"/>
                <w:snapToGrid w:val="0"/>
                <w:szCs w:val="21"/>
              </w:rPr>
              <w:t>；与</w:t>
            </w:r>
            <w:r>
              <w:rPr>
                <w:snapToGrid w:val="0"/>
                <w:szCs w:val="21"/>
              </w:rPr>
              <w:t>溶解或浓溶液稀释时会放出热量；与无机酸发生中和反应也能产生大量热，生成相应的盐类；与金属铝和锌、非金属硼和硅等反应放出氢；与氯、溴、碘等卤素发生歧化反应。能从水溶液中沉淀金属离子成为氢氧化物；能使油脂发生皂化反应，生成相应的有机酸的钠盐和醇</w:t>
            </w:r>
            <w:r>
              <w:rPr>
                <w:rFonts w:hint="eastAsia"/>
                <w:snapToGrid w:val="0"/>
                <w:szCs w:val="21"/>
              </w:rPr>
              <w:t>。</w:t>
            </w:r>
          </w:p>
        </w:tc>
      </w:tr>
    </w:tbl>
    <w:p>
      <w:pPr>
        <w:rPr>
          <w:rFonts w:ascii="宋体" w:hAnsi="Courier New" w:cs="Courier New"/>
          <w:highlight w:val="yellow"/>
        </w:rPr>
      </w:pPr>
    </w:p>
    <w:p>
      <w:pPr>
        <w:keepNext/>
        <w:keepLines/>
        <w:spacing w:line="520" w:lineRule="exact"/>
        <w:outlineLvl w:val="2"/>
        <w:rPr>
          <w:rFonts w:eastAsia="黑体"/>
          <w:bCs/>
          <w:sz w:val="28"/>
          <w:szCs w:val="28"/>
        </w:rPr>
      </w:pPr>
      <w:r>
        <w:rPr>
          <w:rFonts w:eastAsia="黑体"/>
          <w:bCs/>
          <w:sz w:val="28"/>
          <w:szCs w:val="28"/>
        </w:rPr>
        <w:t xml:space="preserve">3.1.4 </w:t>
      </w:r>
      <w:r>
        <w:rPr>
          <w:rFonts w:hint="eastAsia" w:eastAsia="黑体"/>
          <w:bCs/>
          <w:sz w:val="28"/>
          <w:szCs w:val="28"/>
        </w:rPr>
        <w:t>平面布置合理性</w:t>
      </w:r>
    </w:p>
    <w:p>
      <w:pPr>
        <w:snapToGrid w:val="0"/>
        <w:spacing w:line="520" w:lineRule="exact"/>
        <w:ind w:firstLine="480" w:firstLineChars="200"/>
        <w:rPr>
          <w:sz w:val="24"/>
          <w:szCs w:val="24"/>
        </w:rPr>
      </w:pPr>
      <w:r>
        <w:rPr>
          <w:sz w:val="24"/>
          <w:szCs w:val="24"/>
        </w:rPr>
        <w:t>（1）本项目处理设施布置紧凑，节约占地。</w:t>
      </w:r>
    </w:p>
    <w:p>
      <w:pPr>
        <w:snapToGrid w:val="0"/>
        <w:spacing w:line="520" w:lineRule="exact"/>
        <w:ind w:firstLine="480" w:firstLineChars="200"/>
        <w:rPr>
          <w:sz w:val="24"/>
          <w:szCs w:val="24"/>
        </w:rPr>
      </w:pPr>
      <w:r>
        <w:rPr>
          <w:sz w:val="24"/>
          <w:szCs w:val="24"/>
        </w:rPr>
        <w:t>（2）本项目按不同的功能分区，既有利于生产又方便管理。</w:t>
      </w:r>
    </w:p>
    <w:p>
      <w:pPr>
        <w:snapToGrid w:val="0"/>
        <w:spacing w:line="520" w:lineRule="exact"/>
        <w:ind w:firstLine="480" w:firstLineChars="200"/>
        <w:rPr>
          <w:sz w:val="24"/>
          <w:szCs w:val="24"/>
        </w:rPr>
      </w:pPr>
      <w:r>
        <w:rPr>
          <w:rFonts w:hint="eastAsia"/>
          <w:sz w:val="24"/>
          <w:szCs w:val="24"/>
        </w:rPr>
        <w:t>本项目主要包括标准化厂房、污水处理站。项目污水处理站位于园区东北角，污水处理站产生的恶臭单元加盖密闭，恶臭气体经废气治理措施治理后达标排放，且污水处理站周围加强绿化，喷洒除臭剂，恶臭气体得到有效的去除，减少了恶臭气体对周边的影响。其余均为标准化厂房，供入住企业使用。</w:t>
      </w:r>
    </w:p>
    <w:p>
      <w:pPr>
        <w:snapToGrid w:val="0"/>
        <w:spacing w:line="520" w:lineRule="exact"/>
        <w:ind w:firstLine="480" w:firstLineChars="200"/>
        <w:rPr>
          <w:sz w:val="24"/>
          <w:szCs w:val="24"/>
          <w:highlight w:val="yellow"/>
        </w:rPr>
      </w:pPr>
      <w:r>
        <w:rPr>
          <w:rFonts w:hint="eastAsia"/>
          <w:sz w:val="24"/>
          <w:szCs w:val="24"/>
        </w:rPr>
        <w:t>污水设计总平面图布置中，将污水处理系统分别按工艺流程依次布置，污水处理设施布置集中，</w:t>
      </w:r>
      <w:r>
        <w:rPr>
          <w:sz w:val="24"/>
          <w:szCs w:val="24"/>
        </w:rPr>
        <w:t>生产工艺流程简捷、流畅的前提下，力求做到功能分区明确，布局合理、紧凑，管线短捷、尽量少交叉、避免迂回重复，交通顺畅</w:t>
      </w:r>
      <w:r>
        <w:rPr>
          <w:rFonts w:hint="eastAsia"/>
          <w:sz w:val="24"/>
          <w:szCs w:val="24"/>
        </w:rPr>
        <w:t>。</w:t>
      </w:r>
    </w:p>
    <w:p>
      <w:pPr>
        <w:snapToGrid w:val="0"/>
        <w:spacing w:line="520" w:lineRule="exact"/>
        <w:ind w:firstLine="480" w:firstLineChars="200"/>
        <w:rPr>
          <w:sz w:val="24"/>
          <w:szCs w:val="24"/>
          <w:highlight w:val="yellow"/>
        </w:rPr>
      </w:pPr>
      <w:r>
        <w:rPr>
          <w:rFonts w:hint="eastAsia"/>
          <w:sz w:val="24"/>
          <w:szCs w:val="24"/>
        </w:rPr>
        <w:t>此外，人流入口、物流入口分开布设，实现人物分流，方便管理和安全生产，交通便利，也便于保护厂区内的生产环境。</w:t>
      </w:r>
    </w:p>
    <w:p>
      <w:pPr>
        <w:snapToGrid w:val="0"/>
        <w:spacing w:line="520" w:lineRule="exact"/>
        <w:ind w:firstLine="480" w:firstLineChars="200"/>
        <w:rPr>
          <w:sz w:val="24"/>
          <w:szCs w:val="24"/>
          <w:highlight w:val="yellow"/>
        </w:rPr>
      </w:pPr>
      <w:r>
        <w:rPr>
          <w:sz w:val="24"/>
          <w:szCs w:val="24"/>
        </w:rPr>
        <w:t>（3）在污水处理厂周围设置较宽的绿化带，种植可以吸收臭气和噪音的树木，全厂空地进行充分绿化，可有效降低恶臭气体和噪声对外环境的影响，同时还可以美化环境</w:t>
      </w:r>
      <w:r>
        <w:rPr>
          <w:rFonts w:hint="eastAsia"/>
          <w:sz w:val="24"/>
          <w:szCs w:val="24"/>
        </w:rPr>
        <w:t>，与周围生产企业更相容</w:t>
      </w:r>
      <w:r>
        <w:rPr>
          <w:sz w:val="24"/>
          <w:szCs w:val="24"/>
        </w:rPr>
        <w:t>。本项目平面布置图见附图</w:t>
      </w:r>
      <w:r>
        <w:rPr>
          <w:rFonts w:hint="eastAsia"/>
          <w:sz w:val="24"/>
          <w:szCs w:val="24"/>
        </w:rPr>
        <w:t>三</w:t>
      </w:r>
      <w:r>
        <w:rPr>
          <w:sz w:val="24"/>
          <w:szCs w:val="24"/>
        </w:rPr>
        <w:t>。</w:t>
      </w:r>
    </w:p>
    <w:p>
      <w:pPr>
        <w:snapToGrid w:val="0"/>
        <w:spacing w:line="520" w:lineRule="exact"/>
        <w:ind w:firstLine="480" w:firstLineChars="200"/>
        <w:rPr>
          <w:sz w:val="24"/>
          <w:szCs w:val="24"/>
        </w:rPr>
      </w:pPr>
      <w:r>
        <w:rPr>
          <w:sz w:val="24"/>
          <w:szCs w:val="24"/>
        </w:rPr>
        <w:t>综上分析，从总体上讲，厂区平面布置符合安全防护、工业卫生、绿化以及长远发展等要求。评价认为本项目厂区平面布置是合理的。</w:t>
      </w:r>
    </w:p>
    <w:p>
      <w:pPr>
        <w:keepNext/>
        <w:keepLines/>
        <w:spacing w:line="520" w:lineRule="exact"/>
        <w:outlineLvl w:val="2"/>
        <w:rPr>
          <w:rFonts w:eastAsia="黑体"/>
          <w:bCs/>
          <w:sz w:val="28"/>
          <w:szCs w:val="28"/>
        </w:rPr>
      </w:pPr>
      <w:r>
        <w:rPr>
          <w:rFonts w:eastAsia="黑体"/>
          <w:bCs/>
          <w:sz w:val="28"/>
          <w:szCs w:val="28"/>
        </w:rPr>
        <w:t>3.1.5 工程生产设备</w:t>
      </w:r>
    </w:p>
    <w:p>
      <w:pPr>
        <w:spacing w:line="520" w:lineRule="exact"/>
        <w:ind w:firstLine="480" w:firstLineChars="200"/>
        <w:rPr>
          <w:sz w:val="24"/>
        </w:rPr>
      </w:pPr>
      <w:r>
        <w:rPr>
          <w:sz w:val="24"/>
        </w:rPr>
        <w:t>本次工程生产设备的具体情况见表3.1-6：</w:t>
      </w:r>
    </w:p>
    <w:p>
      <w:pPr>
        <w:spacing w:line="520" w:lineRule="exact"/>
        <w:ind w:firstLine="480" w:firstLineChars="200"/>
        <w:rPr>
          <w:rFonts w:eastAsia="黑体"/>
          <w:sz w:val="24"/>
        </w:rPr>
      </w:pPr>
      <w:r>
        <w:rPr>
          <w:rFonts w:eastAsia="黑体"/>
          <w:sz w:val="24"/>
        </w:rPr>
        <w:t>表3.1-6               本工程</w:t>
      </w:r>
      <w:r>
        <w:rPr>
          <w:rFonts w:hint="eastAsia" w:eastAsia="黑体"/>
          <w:sz w:val="24"/>
        </w:rPr>
        <w:t>主要</w:t>
      </w:r>
      <w:r>
        <w:rPr>
          <w:rFonts w:eastAsia="黑体"/>
          <w:sz w:val="24"/>
        </w:rPr>
        <w:t>设备一览表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565"/>
        <w:gridCol w:w="1979"/>
        <w:gridCol w:w="2146"/>
        <w:gridCol w:w="1556"/>
        <w:gridCol w:w="1428"/>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b/>
                <w:bCs/>
                <w:kern w:val="0"/>
                <w:szCs w:val="21"/>
                <w:lang w:val="zh-CN"/>
              </w:rPr>
            </w:pPr>
            <w:r>
              <w:rPr>
                <w:b/>
                <w:bCs/>
                <w:kern w:val="0"/>
                <w:szCs w:val="21"/>
                <w:lang w:val="zh-CN"/>
              </w:rPr>
              <w:t>序号</w:t>
            </w:r>
          </w:p>
        </w:tc>
        <w:tc>
          <w:tcPr>
            <w:tcW w:w="1131" w:type="pct"/>
            <w:vAlign w:val="center"/>
          </w:tcPr>
          <w:p>
            <w:pPr>
              <w:autoSpaceDE w:val="0"/>
              <w:autoSpaceDN w:val="0"/>
              <w:adjustRightInd w:val="0"/>
              <w:jc w:val="center"/>
              <w:rPr>
                <w:b/>
                <w:bCs/>
                <w:kern w:val="0"/>
                <w:szCs w:val="21"/>
                <w:lang w:val="zh-CN"/>
              </w:rPr>
            </w:pPr>
            <w:r>
              <w:rPr>
                <w:b/>
                <w:bCs/>
                <w:kern w:val="0"/>
                <w:szCs w:val="21"/>
                <w:lang w:val="zh-CN"/>
              </w:rPr>
              <w:t>设备名称</w:t>
            </w:r>
          </w:p>
        </w:tc>
        <w:tc>
          <w:tcPr>
            <w:tcW w:w="1226" w:type="pct"/>
            <w:vAlign w:val="center"/>
          </w:tcPr>
          <w:p>
            <w:pPr>
              <w:autoSpaceDE w:val="0"/>
              <w:autoSpaceDN w:val="0"/>
              <w:adjustRightInd w:val="0"/>
              <w:jc w:val="center"/>
              <w:rPr>
                <w:b/>
                <w:bCs/>
                <w:kern w:val="0"/>
                <w:szCs w:val="21"/>
                <w:lang w:val="zh-CN"/>
              </w:rPr>
            </w:pPr>
            <w:r>
              <w:rPr>
                <w:b/>
                <w:bCs/>
                <w:kern w:val="0"/>
                <w:szCs w:val="21"/>
                <w:lang w:val="zh-CN"/>
              </w:rPr>
              <w:t>型号及规格</w:t>
            </w:r>
          </w:p>
        </w:tc>
        <w:tc>
          <w:tcPr>
            <w:tcW w:w="889" w:type="pct"/>
            <w:vAlign w:val="center"/>
          </w:tcPr>
          <w:p>
            <w:pPr>
              <w:autoSpaceDE w:val="0"/>
              <w:autoSpaceDN w:val="0"/>
              <w:adjustRightInd w:val="0"/>
              <w:jc w:val="center"/>
              <w:rPr>
                <w:b/>
                <w:bCs/>
                <w:kern w:val="0"/>
                <w:szCs w:val="21"/>
                <w:lang w:val="zh-CN"/>
              </w:rPr>
            </w:pPr>
            <w:r>
              <w:rPr>
                <w:b/>
                <w:bCs/>
                <w:kern w:val="0"/>
                <w:szCs w:val="21"/>
                <w:lang w:val="zh-CN"/>
              </w:rPr>
              <w:t>材质</w:t>
            </w:r>
          </w:p>
        </w:tc>
        <w:tc>
          <w:tcPr>
            <w:tcW w:w="816" w:type="pct"/>
            <w:vAlign w:val="center"/>
          </w:tcPr>
          <w:p>
            <w:pPr>
              <w:autoSpaceDE w:val="0"/>
              <w:autoSpaceDN w:val="0"/>
              <w:adjustRightInd w:val="0"/>
              <w:jc w:val="center"/>
              <w:rPr>
                <w:b/>
                <w:bCs/>
                <w:kern w:val="0"/>
                <w:szCs w:val="21"/>
                <w:lang w:val="zh-CN"/>
              </w:rPr>
            </w:pPr>
            <w:r>
              <w:rPr>
                <w:b/>
                <w:bCs/>
                <w:kern w:val="0"/>
                <w:szCs w:val="21"/>
                <w:lang w:val="zh-CN"/>
              </w:rPr>
              <w:t>数量（台/套）</w:t>
            </w:r>
          </w:p>
        </w:tc>
        <w:tc>
          <w:tcPr>
            <w:tcW w:w="615" w:type="pct"/>
            <w:vAlign w:val="center"/>
          </w:tcPr>
          <w:p>
            <w:pPr>
              <w:autoSpaceDE w:val="0"/>
              <w:autoSpaceDN w:val="0"/>
              <w:adjustRightInd w:val="0"/>
              <w:jc w:val="center"/>
              <w:rPr>
                <w:b/>
                <w:bCs/>
                <w:kern w:val="0"/>
                <w:szCs w:val="21"/>
                <w:lang w:val="zh-CN"/>
              </w:rPr>
            </w:pPr>
            <w:r>
              <w:rPr>
                <w:b/>
                <w:bCs/>
                <w:kern w:val="0"/>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b/>
                <w:bCs/>
                <w:szCs w:val="21"/>
                <w:lang w:val="zh-CN"/>
              </w:rPr>
            </w:pPr>
            <w:r>
              <w:rPr>
                <w:b/>
                <w:bCs/>
                <w:szCs w:val="21"/>
                <w:lang w:val="zh-CN"/>
              </w:rPr>
              <w:t>一</w:t>
            </w:r>
          </w:p>
        </w:tc>
        <w:tc>
          <w:tcPr>
            <w:tcW w:w="4677" w:type="pct"/>
            <w:gridSpan w:val="5"/>
            <w:vAlign w:val="center"/>
          </w:tcPr>
          <w:p>
            <w:pPr>
              <w:autoSpaceDE w:val="0"/>
              <w:autoSpaceDN w:val="0"/>
              <w:adjustRightInd w:val="0"/>
              <w:jc w:val="center"/>
              <w:rPr>
                <w:b/>
                <w:bCs/>
                <w:szCs w:val="21"/>
              </w:rPr>
            </w:pPr>
            <w:r>
              <w:rPr>
                <w:b/>
                <w:bCs/>
                <w:szCs w:val="21"/>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1</w:t>
            </w:r>
          </w:p>
        </w:tc>
        <w:tc>
          <w:tcPr>
            <w:tcW w:w="1131" w:type="pct"/>
            <w:vAlign w:val="center"/>
          </w:tcPr>
          <w:p>
            <w:pPr>
              <w:jc w:val="center"/>
              <w:rPr>
                <w:szCs w:val="21"/>
              </w:rPr>
            </w:pPr>
            <w:r>
              <w:rPr>
                <w:szCs w:val="21"/>
              </w:rPr>
              <w:t>机械格栅</w:t>
            </w:r>
          </w:p>
        </w:tc>
        <w:tc>
          <w:tcPr>
            <w:tcW w:w="1226" w:type="pct"/>
            <w:vAlign w:val="center"/>
          </w:tcPr>
          <w:p>
            <w:pPr>
              <w:jc w:val="center"/>
              <w:rPr>
                <w:szCs w:val="21"/>
              </w:rPr>
            </w:pPr>
            <w:r>
              <w:rPr>
                <w:szCs w:val="21"/>
              </w:rPr>
              <w:t>HZGS-1000</w:t>
            </w:r>
          </w:p>
        </w:tc>
        <w:tc>
          <w:tcPr>
            <w:tcW w:w="889" w:type="pct"/>
            <w:vAlign w:val="center"/>
          </w:tcPr>
          <w:p>
            <w:pPr>
              <w:autoSpaceDE w:val="0"/>
              <w:autoSpaceDN w:val="0"/>
              <w:adjustRightInd w:val="0"/>
              <w:jc w:val="center"/>
              <w:rPr>
                <w:szCs w:val="21"/>
              </w:rPr>
            </w:pPr>
            <w:r>
              <w:rPr>
                <w:rFonts w:hint="eastAsia"/>
                <w:szCs w:val="21"/>
              </w:rPr>
              <w:t>/</w:t>
            </w:r>
          </w:p>
        </w:tc>
        <w:tc>
          <w:tcPr>
            <w:tcW w:w="816" w:type="pct"/>
            <w:vAlign w:val="center"/>
          </w:tcPr>
          <w:p>
            <w:pPr>
              <w:jc w:val="center"/>
              <w:rPr>
                <w:szCs w:val="21"/>
              </w:rPr>
            </w:pPr>
            <w:r>
              <w:rPr>
                <w:szCs w:val="21"/>
              </w:rPr>
              <w:t>1</w:t>
            </w:r>
          </w:p>
        </w:tc>
        <w:tc>
          <w:tcPr>
            <w:tcW w:w="615" w:type="pct"/>
            <w:vAlign w:val="center"/>
          </w:tcPr>
          <w:p>
            <w:pPr>
              <w:autoSpaceDE w:val="0"/>
              <w:autoSpaceDN w:val="0"/>
              <w:adjustRightInd w:val="0"/>
              <w:jc w:val="center"/>
              <w:rPr>
                <w:szCs w:val="21"/>
                <w:lang w:val="zh-CN"/>
              </w:rPr>
            </w:pPr>
            <w:r>
              <w:t>格栅渠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2</w:t>
            </w:r>
          </w:p>
        </w:tc>
        <w:tc>
          <w:tcPr>
            <w:tcW w:w="1131" w:type="pct"/>
            <w:vAlign w:val="center"/>
          </w:tcPr>
          <w:p>
            <w:pPr>
              <w:jc w:val="center"/>
              <w:rPr>
                <w:szCs w:val="21"/>
              </w:rPr>
            </w:pPr>
            <w:r>
              <w:rPr>
                <w:color w:val="000000"/>
                <w:kern w:val="0"/>
                <w:szCs w:val="21"/>
                <w:lang w:bidi="ar"/>
              </w:rPr>
              <w:t>潜污泵</w:t>
            </w:r>
          </w:p>
        </w:tc>
        <w:tc>
          <w:tcPr>
            <w:tcW w:w="1226" w:type="pct"/>
            <w:vAlign w:val="center"/>
          </w:tcPr>
          <w:p>
            <w:pPr>
              <w:jc w:val="center"/>
              <w:rPr>
                <w:szCs w:val="21"/>
              </w:rPr>
            </w:pPr>
            <w:r>
              <w:rPr>
                <w:szCs w:val="21"/>
              </w:rPr>
              <w:t>100GNWQ100-15-7.5</w:t>
            </w:r>
          </w:p>
        </w:tc>
        <w:tc>
          <w:tcPr>
            <w:tcW w:w="889" w:type="pct"/>
            <w:vAlign w:val="center"/>
          </w:tcPr>
          <w:p>
            <w:pPr>
              <w:autoSpaceDE w:val="0"/>
              <w:autoSpaceDN w:val="0"/>
              <w:adjustRightInd w:val="0"/>
              <w:jc w:val="center"/>
              <w:rPr>
                <w:szCs w:val="21"/>
              </w:rPr>
            </w:pPr>
            <w:r>
              <w:rPr>
                <w:rFonts w:hint="eastAsia"/>
                <w:szCs w:val="21"/>
              </w:rPr>
              <w:t>/</w:t>
            </w:r>
          </w:p>
        </w:tc>
        <w:tc>
          <w:tcPr>
            <w:tcW w:w="816" w:type="pct"/>
            <w:vAlign w:val="center"/>
          </w:tcPr>
          <w:p>
            <w:pPr>
              <w:jc w:val="center"/>
              <w:rPr>
                <w:szCs w:val="21"/>
              </w:rPr>
            </w:pPr>
            <w:r>
              <w:rPr>
                <w:szCs w:val="21"/>
              </w:rPr>
              <w:t>3</w:t>
            </w:r>
            <w:r>
              <w:rPr>
                <w:rFonts w:hint="eastAsia"/>
                <w:szCs w:val="21"/>
              </w:rPr>
              <w:t>（</w:t>
            </w:r>
            <w:r>
              <w:rPr>
                <w:szCs w:val="21"/>
              </w:rPr>
              <w:t>2</w:t>
            </w:r>
            <w:r>
              <w:rPr>
                <w:rFonts w:hint="eastAsia"/>
                <w:szCs w:val="21"/>
              </w:rPr>
              <w:t>用1备）</w:t>
            </w:r>
          </w:p>
        </w:tc>
        <w:tc>
          <w:tcPr>
            <w:tcW w:w="615" w:type="pct"/>
            <w:vMerge w:val="restart"/>
            <w:vAlign w:val="center"/>
          </w:tcPr>
          <w:p>
            <w:pPr>
              <w:autoSpaceDE w:val="0"/>
              <w:autoSpaceDN w:val="0"/>
              <w:adjustRightInd w:val="0"/>
              <w:jc w:val="center"/>
              <w:rPr>
                <w:szCs w:val="21"/>
                <w:lang w:val="zh-CN"/>
              </w:rPr>
            </w:pPr>
            <w:r>
              <w:rPr>
                <w:color w:val="000000"/>
                <w:kern w:val="0"/>
                <w:szCs w:val="21"/>
                <w:lang w:bidi="ar"/>
              </w:rPr>
              <w:t>集水池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3</w:t>
            </w:r>
          </w:p>
        </w:tc>
        <w:tc>
          <w:tcPr>
            <w:tcW w:w="1131" w:type="pct"/>
            <w:vAlign w:val="center"/>
          </w:tcPr>
          <w:p>
            <w:pPr>
              <w:jc w:val="center"/>
              <w:rPr>
                <w:szCs w:val="21"/>
              </w:rPr>
            </w:pPr>
            <w:r>
              <w:rPr>
                <w:szCs w:val="21"/>
              </w:rPr>
              <w:t>潜水搅拌机</w:t>
            </w:r>
          </w:p>
        </w:tc>
        <w:tc>
          <w:tcPr>
            <w:tcW w:w="1226" w:type="pct"/>
            <w:vAlign w:val="center"/>
          </w:tcPr>
          <w:p>
            <w:pPr>
              <w:jc w:val="center"/>
              <w:rPr>
                <w:szCs w:val="21"/>
              </w:rPr>
            </w:pPr>
            <w:r>
              <w:rPr>
                <w:szCs w:val="21"/>
              </w:rPr>
              <w:t>QJB2.5/8-400/3-740S</w:t>
            </w:r>
          </w:p>
        </w:tc>
        <w:tc>
          <w:tcPr>
            <w:tcW w:w="889" w:type="pct"/>
            <w:vAlign w:val="center"/>
          </w:tcPr>
          <w:p>
            <w:pPr>
              <w:autoSpaceDE w:val="0"/>
              <w:autoSpaceDN w:val="0"/>
              <w:adjustRightInd w:val="0"/>
              <w:jc w:val="center"/>
              <w:rPr>
                <w:szCs w:val="21"/>
              </w:rPr>
            </w:pPr>
            <w:r>
              <w:rPr>
                <w:szCs w:val="21"/>
              </w:rPr>
              <w:t>SS304</w:t>
            </w:r>
          </w:p>
        </w:tc>
        <w:tc>
          <w:tcPr>
            <w:tcW w:w="816" w:type="pct"/>
            <w:vAlign w:val="center"/>
          </w:tcPr>
          <w:p>
            <w:pPr>
              <w:jc w:val="center"/>
              <w:rPr>
                <w:szCs w:val="21"/>
              </w:rPr>
            </w:pPr>
            <w:r>
              <w:rPr>
                <w:szCs w:val="21"/>
              </w:rPr>
              <w:t>1</w:t>
            </w:r>
          </w:p>
        </w:tc>
        <w:tc>
          <w:tcPr>
            <w:tcW w:w="615" w:type="pct"/>
            <w:vMerge w:val="continue"/>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4</w:t>
            </w:r>
          </w:p>
        </w:tc>
        <w:tc>
          <w:tcPr>
            <w:tcW w:w="1131" w:type="pct"/>
            <w:vAlign w:val="center"/>
          </w:tcPr>
          <w:p>
            <w:pPr>
              <w:jc w:val="center"/>
              <w:rPr>
                <w:szCs w:val="21"/>
              </w:rPr>
            </w:pPr>
            <w:r>
              <w:rPr>
                <w:szCs w:val="21"/>
              </w:rPr>
              <w:t>超微过滤机</w:t>
            </w:r>
          </w:p>
        </w:tc>
        <w:tc>
          <w:tcPr>
            <w:tcW w:w="1226" w:type="pct"/>
            <w:vAlign w:val="center"/>
          </w:tcPr>
          <w:p>
            <w:pPr>
              <w:jc w:val="center"/>
              <w:rPr>
                <w:szCs w:val="21"/>
              </w:rPr>
            </w:pPr>
            <w:r>
              <w:rPr>
                <w:szCs w:val="21"/>
              </w:rPr>
              <w:t>LFCWK1-150</w:t>
            </w:r>
          </w:p>
        </w:tc>
        <w:tc>
          <w:tcPr>
            <w:tcW w:w="889" w:type="pct"/>
            <w:vAlign w:val="center"/>
          </w:tcPr>
          <w:p>
            <w:pPr>
              <w:autoSpaceDE w:val="0"/>
              <w:autoSpaceDN w:val="0"/>
              <w:adjustRightInd w:val="0"/>
              <w:jc w:val="center"/>
              <w:rPr>
                <w:szCs w:val="21"/>
              </w:rPr>
            </w:pPr>
            <w:r>
              <w:rPr>
                <w:szCs w:val="21"/>
              </w:rPr>
              <w:t>SS304</w:t>
            </w:r>
          </w:p>
        </w:tc>
        <w:tc>
          <w:tcPr>
            <w:tcW w:w="816" w:type="pct"/>
            <w:vAlign w:val="center"/>
          </w:tcPr>
          <w:p>
            <w:pPr>
              <w:jc w:val="center"/>
              <w:rPr>
                <w:szCs w:val="21"/>
              </w:rPr>
            </w:pPr>
            <w:r>
              <w:rPr>
                <w:szCs w:val="21"/>
              </w:rPr>
              <w:t>1</w:t>
            </w:r>
          </w:p>
        </w:tc>
        <w:tc>
          <w:tcPr>
            <w:tcW w:w="615" w:type="pct"/>
            <w:vAlign w:val="center"/>
          </w:tcPr>
          <w:p>
            <w:pPr>
              <w:autoSpaceDE w:val="0"/>
              <w:autoSpaceDN w:val="0"/>
              <w:adjustRightInd w:val="0"/>
              <w:jc w:val="center"/>
              <w:rPr>
                <w:szCs w:val="21"/>
                <w:lang w:val="zh-CN"/>
              </w:rPr>
            </w:pPr>
            <w:r>
              <w:rPr>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5</w:t>
            </w:r>
          </w:p>
        </w:tc>
        <w:tc>
          <w:tcPr>
            <w:tcW w:w="1131" w:type="pct"/>
            <w:vAlign w:val="center"/>
          </w:tcPr>
          <w:p>
            <w:pPr>
              <w:jc w:val="center"/>
              <w:rPr>
                <w:szCs w:val="21"/>
              </w:rPr>
            </w:pPr>
            <w:r>
              <w:rPr>
                <w:rFonts w:hint="eastAsia"/>
                <w:szCs w:val="21"/>
              </w:rPr>
              <w:t>刮吸泥机</w:t>
            </w:r>
          </w:p>
        </w:tc>
        <w:tc>
          <w:tcPr>
            <w:tcW w:w="1226" w:type="pct"/>
            <w:vAlign w:val="center"/>
          </w:tcPr>
          <w:p>
            <w:pPr>
              <w:jc w:val="center"/>
              <w:rPr>
                <w:szCs w:val="21"/>
              </w:rPr>
            </w:pPr>
            <w:r>
              <w:rPr>
                <w:rFonts w:hint="eastAsia"/>
                <w:szCs w:val="21"/>
              </w:rPr>
              <w:t>LFGXN-5.0</w:t>
            </w:r>
          </w:p>
        </w:tc>
        <w:tc>
          <w:tcPr>
            <w:tcW w:w="889" w:type="pct"/>
            <w:vAlign w:val="center"/>
          </w:tcPr>
          <w:p>
            <w:pPr>
              <w:autoSpaceDE w:val="0"/>
              <w:autoSpaceDN w:val="0"/>
              <w:adjustRightInd w:val="0"/>
              <w:jc w:val="center"/>
              <w:rPr>
                <w:szCs w:val="21"/>
              </w:rPr>
            </w:pPr>
            <w:r>
              <w:rPr>
                <w:rFonts w:hint="eastAsia"/>
                <w:szCs w:val="21"/>
              </w:rPr>
              <w:t>水下SS304</w:t>
            </w:r>
          </w:p>
        </w:tc>
        <w:tc>
          <w:tcPr>
            <w:tcW w:w="816" w:type="pct"/>
            <w:vAlign w:val="center"/>
          </w:tcPr>
          <w:p>
            <w:pPr>
              <w:jc w:val="center"/>
              <w:rPr>
                <w:szCs w:val="21"/>
              </w:rPr>
            </w:pPr>
            <w:r>
              <w:rPr>
                <w:rFonts w:hint="eastAsia"/>
                <w:szCs w:val="21"/>
              </w:rPr>
              <w:t>1</w:t>
            </w:r>
          </w:p>
        </w:tc>
        <w:tc>
          <w:tcPr>
            <w:tcW w:w="615" w:type="pct"/>
            <w:vMerge w:val="restart"/>
            <w:vAlign w:val="center"/>
          </w:tcPr>
          <w:p>
            <w:pPr>
              <w:autoSpaceDE w:val="0"/>
              <w:autoSpaceDN w:val="0"/>
              <w:adjustRightInd w:val="0"/>
              <w:jc w:val="center"/>
              <w:rPr>
                <w:szCs w:val="21"/>
                <w:lang w:val="zh-CN"/>
              </w:rPr>
            </w:pPr>
            <w:r>
              <w:rPr>
                <w:rFonts w:hint="eastAsia"/>
                <w:szCs w:val="21"/>
              </w:rPr>
              <w:t>初沉池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6</w:t>
            </w:r>
          </w:p>
        </w:tc>
        <w:tc>
          <w:tcPr>
            <w:tcW w:w="1131" w:type="pct"/>
            <w:vAlign w:val="center"/>
          </w:tcPr>
          <w:p>
            <w:pPr>
              <w:jc w:val="center"/>
              <w:rPr>
                <w:szCs w:val="21"/>
              </w:rPr>
            </w:pPr>
            <w:r>
              <w:rPr>
                <w:rFonts w:hint="eastAsia"/>
                <w:szCs w:val="21"/>
              </w:rPr>
              <w:t>潜污泵</w:t>
            </w:r>
          </w:p>
        </w:tc>
        <w:tc>
          <w:tcPr>
            <w:tcW w:w="1226" w:type="pct"/>
            <w:vAlign w:val="center"/>
          </w:tcPr>
          <w:p>
            <w:pPr>
              <w:jc w:val="center"/>
              <w:rPr>
                <w:szCs w:val="21"/>
              </w:rPr>
            </w:pPr>
            <w:r>
              <w:rPr>
                <w:rFonts w:hint="eastAsia"/>
                <w:szCs w:val="21"/>
              </w:rPr>
              <w:t>80WQ/E50-10-2.2</w:t>
            </w:r>
          </w:p>
        </w:tc>
        <w:tc>
          <w:tcPr>
            <w:tcW w:w="889" w:type="pct"/>
            <w:vAlign w:val="center"/>
          </w:tcPr>
          <w:p>
            <w:pPr>
              <w:autoSpaceDE w:val="0"/>
              <w:autoSpaceDN w:val="0"/>
              <w:adjustRightInd w:val="0"/>
              <w:jc w:val="center"/>
              <w:rPr>
                <w:szCs w:val="21"/>
              </w:rPr>
            </w:pPr>
            <w:r>
              <w:rPr>
                <w:rFonts w:hint="eastAsia"/>
                <w:szCs w:val="21"/>
              </w:rPr>
              <w:t>/</w:t>
            </w:r>
          </w:p>
        </w:tc>
        <w:tc>
          <w:tcPr>
            <w:tcW w:w="816" w:type="pct"/>
            <w:vAlign w:val="center"/>
          </w:tcPr>
          <w:p>
            <w:pPr>
              <w:jc w:val="center"/>
              <w:rPr>
                <w:szCs w:val="21"/>
              </w:rPr>
            </w:pPr>
            <w:r>
              <w:rPr>
                <w:rFonts w:hint="eastAsia"/>
                <w:szCs w:val="21"/>
              </w:rPr>
              <w:t>1</w:t>
            </w:r>
          </w:p>
        </w:tc>
        <w:tc>
          <w:tcPr>
            <w:tcW w:w="615" w:type="pct"/>
            <w:vMerge w:val="continue"/>
            <w:vAlign w:val="center"/>
          </w:tcPr>
          <w:p>
            <w:pPr>
              <w:autoSpaceDE w:val="0"/>
              <w:autoSpaceDN w:val="0"/>
              <w:adjustRightInd w:val="0"/>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7</w:t>
            </w:r>
          </w:p>
        </w:tc>
        <w:tc>
          <w:tcPr>
            <w:tcW w:w="1131" w:type="pct"/>
            <w:vAlign w:val="center"/>
          </w:tcPr>
          <w:p>
            <w:pPr>
              <w:jc w:val="center"/>
              <w:rPr>
                <w:szCs w:val="21"/>
              </w:rPr>
            </w:pPr>
            <w:r>
              <w:rPr>
                <w:rFonts w:hint="eastAsia"/>
                <w:szCs w:val="21"/>
              </w:rPr>
              <w:t>溢流堰板（含挡渣板）</w:t>
            </w:r>
          </w:p>
        </w:tc>
        <w:tc>
          <w:tcPr>
            <w:tcW w:w="1226" w:type="pct"/>
            <w:vAlign w:val="center"/>
          </w:tcPr>
          <w:p>
            <w:pPr>
              <w:jc w:val="center"/>
              <w:rPr>
                <w:szCs w:val="21"/>
              </w:rPr>
            </w:pPr>
            <w:r>
              <w:rPr>
                <w:rFonts w:hint="eastAsia"/>
                <w:szCs w:val="21"/>
              </w:rPr>
              <w:t>LFJS-200</w:t>
            </w:r>
          </w:p>
        </w:tc>
        <w:tc>
          <w:tcPr>
            <w:tcW w:w="889" w:type="pct"/>
            <w:vAlign w:val="center"/>
          </w:tcPr>
          <w:p>
            <w:pPr>
              <w:autoSpaceDE w:val="0"/>
              <w:autoSpaceDN w:val="0"/>
              <w:adjustRightInd w:val="0"/>
              <w:jc w:val="center"/>
              <w:rPr>
                <w:szCs w:val="21"/>
              </w:rPr>
            </w:pPr>
            <w:r>
              <w:rPr>
                <w:szCs w:val="21"/>
              </w:rPr>
              <w:t>SS304</w:t>
            </w:r>
          </w:p>
        </w:tc>
        <w:tc>
          <w:tcPr>
            <w:tcW w:w="816" w:type="pct"/>
            <w:vAlign w:val="center"/>
          </w:tcPr>
          <w:p>
            <w:pPr>
              <w:jc w:val="center"/>
              <w:rPr>
                <w:szCs w:val="21"/>
              </w:rPr>
            </w:pPr>
            <w:r>
              <w:rPr>
                <w:szCs w:val="21"/>
              </w:rPr>
              <w:t>1</w:t>
            </w:r>
          </w:p>
        </w:tc>
        <w:tc>
          <w:tcPr>
            <w:tcW w:w="615" w:type="pct"/>
            <w:vMerge w:val="continue"/>
            <w:vAlign w:val="center"/>
          </w:tcPr>
          <w:p>
            <w:pPr>
              <w:autoSpaceDE w:val="0"/>
              <w:autoSpaceDN w:val="0"/>
              <w:adjustRightInd w:val="0"/>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8</w:t>
            </w:r>
          </w:p>
        </w:tc>
        <w:tc>
          <w:tcPr>
            <w:tcW w:w="1131" w:type="pct"/>
            <w:vAlign w:val="center"/>
          </w:tcPr>
          <w:p>
            <w:pPr>
              <w:jc w:val="center"/>
              <w:rPr>
                <w:szCs w:val="21"/>
              </w:rPr>
            </w:pPr>
            <w:r>
              <w:rPr>
                <w:rFonts w:hint="eastAsia"/>
                <w:szCs w:val="21"/>
              </w:rPr>
              <w:t>溶药系统（PAC/PAM）</w:t>
            </w:r>
          </w:p>
        </w:tc>
        <w:tc>
          <w:tcPr>
            <w:tcW w:w="1226" w:type="pct"/>
            <w:vAlign w:val="center"/>
          </w:tcPr>
          <w:p>
            <w:pPr>
              <w:jc w:val="center"/>
              <w:rPr>
                <w:szCs w:val="21"/>
              </w:rPr>
            </w:pPr>
            <w:r>
              <w:rPr>
                <w:rFonts w:hint="eastAsia"/>
                <w:szCs w:val="21"/>
              </w:rPr>
              <w:t>LFJB-1.5</w:t>
            </w:r>
          </w:p>
        </w:tc>
        <w:tc>
          <w:tcPr>
            <w:tcW w:w="889" w:type="pct"/>
            <w:vAlign w:val="center"/>
          </w:tcPr>
          <w:p>
            <w:pPr>
              <w:autoSpaceDE w:val="0"/>
              <w:autoSpaceDN w:val="0"/>
              <w:adjustRightInd w:val="0"/>
              <w:jc w:val="center"/>
              <w:rPr>
                <w:szCs w:val="21"/>
              </w:rPr>
            </w:pPr>
            <w:r>
              <w:rPr>
                <w:rFonts w:hint="eastAsia"/>
                <w:szCs w:val="21"/>
              </w:rPr>
              <w:t>/</w:t>
            </w:r>
          </w:p>
        </w:tc>
        <w:tc>
          <w:tcPr>
            <w:tcW w:w="816" w:type="pct"/>
            <w:vAlign w:val="center"/>
          </w:tcPr>
          <w:p>
            <w:pPr>
              <w:jc w:val="center"/>
              <w:rPr>
                <w:szCs w:val="21"/>
              </w:rPr>
            </w:pPr>
            <w:r>
              <w:rPr>
                <w:rFonts w:hint="eastAsia"/>
                <w:szCs w:val="21"/>
              </w:rPr>
              <w:t>2</w:t>
            </w:r>
          </w:p>
        </w:tc>
        <w:tc>
          <w:tcPr>
            <w:tcW w:w="615" w:type="pct"/>
            <w:vMerge w:val="continue"/>
            <w:vAlign w:val="center"/>
          </w:tcPr>
          <w:p>
            <w:pPr>
              <w:autoSpaceDE w:val="0"/>
              <w:autoSpaceDN w:val="0"/>
              <w:adjustRightInd w:val="0"/>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9</w:t>
            </w:r>
          </w:p>
        </w:tc>
        <w:tc>
          <w:tcPr>
            <w:tcW w:w="1131" w:type="pct"/>
            <w:vAlign w:val="center"/>
          </w:tcPr>
          <w:p>
            <w:pPr>
              <w:jc w:val="center"/>
              <w:rPr>
                <w:szCs w:val="21"/>
              </w:rPr>
            </w:pPr>
            <w:r>
              <w:rPr>
                <w:rFonts w:hint="eastAsia"/>
                <w:szCs w:val="21"/>
              </w:rPr>
              <w:t>计量泵</w:t>
            </w:r>
          </w:p>
        </w:tc>
        <w:tc>
          <w:tcPr>
            <w:tcW w:w="1226" w:type="pct"/>
            <w:vAlign w:val="center"/>
          </w:tcPr>
          <w:p>
            <w:pPr>
              <w:jc w:val="center"/>
              <w:rPr>
                <w:szCs w:val="21"/>
              </w:rPr>
            </w:pPr>
            <w:r>
              <w:rPr>
                <w:rFonts w:hint="eastAsia"/>
                <w:szCs w:val="21"/>
              </w:rPr>
              <w:t>GD130</w:t>
            </w:r>
          </w:p>
        </w:tc>
        <w:tc>
          <w:tcPr>
            <w:tcW w:w="889" w:type="pct"/>
            <w:vAlign w:val="center"/>
          </w:tcPr>
          <w:p>
            <w:pPr>
              <w:autoSpaceDE w:val="0"/>
              <w:autoSpaceDN w:val="0"/>
              <w:adjustRightInd w:val="0"/>
              <w:jc w:val="center"/>
              <w:rPr>
                <w:szCs w:val="21"/>
              </w:rPr>
            </w:pPr>
            <w:r>
              <w:rPr>
                <w:rFonts w:hint="eastAsia"/>
                <w:szCs w:val="21"/>
              </w:rPr>
              <w:t>PVC泵头</w:t>
            </w:r>
          </w:p>
        </w:tc>
        <w:tc>
          <w:tcPr>
            <w:tcW w:w="816" w:type="pct"/>
            <w:vAlign w:val="center"/>
          </w:tcPr>
          <w:p>
            <w:pPr>
              <w:jc w:val="center"/>
              <w:rPr>
                <w:szCs w:val="21"/>
              </w:rPr>
            </w:pPr>
            <w:r>
              <w:rPr>
                <w:rFonts w:hint="eastAsia"/>
                <w:szCs w:val="21"/>
              </w:rPr>
              <w:t>2</w:t>
            </w:r>
          </w:p>
        </w:tc>
        <w:tc>
          <w:tcPr>
            <w:tcW w:w="615" w:type="pct"/>
            <w:vMerge w:val="continue"/>
            <w:vAlign w:val="center"/>
          </w:tcPr>
          <w:p>
            <w:pPr>
              <w:autoSpaceDE w:val="0"/>
              <w:autoSpaceDN w:val="0"/>
              <w:adjustRightInd w:val="0"/>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kern w:val="0"/>
                <w:szCs w:val="21"/>
              </w:rPr>
              <w:t>10</w:t>
            </w:r>
          </w:p>
        </w:tc>
        <w:tc>
          <w:tcPr>
            <w:tcW w:w="1131" w:type="pct"/>
            <w:vAlign w:val="center"/>
          </w:tcPr>
          <w:p>
            <w:pPr>
              <w:jc w:val="center"/>
              <w:rPr>
                <w:szCs w:val="21"/>
              </w:rPr>
            </w:pPr>
            <w:r>
              <w:rPr>
                <w:rFonts w:hint="eastAsia"/>
                <w:szCs w:val="21"/>
              </w:rPr>
              <w:t>搅拌装置</w:t>
            </w:r>
          </w:p>
        </w:tc>
        <w:tc>
          <w:tcPr>
            <w:tcW w:w="1226" w:type="pct"/>
            <w:vAlign w:val="center"/>
          </w:tcPr>
          <w:p>
            <w:pPr>
              <w:jc w:val="center"/>
              <w:rPr>
                <w:szCs w:val="21"/>
              </w:rPr>
            </w:pPr>
            <w:r>
              <w:rPr>
                <w:rFonts w:hint="eastAsia"/>
                <w:szCs w:val="21"/>
              </w:rPr>
              <w:t>LFJB-1.1</w:t>
            </w:r>
          </w:p>
        </w:tc>
        <w:tc>
          <w:tcPr>
            <w:tcW w:w="889" w:type="pct"/>
            <w:vAlign w:val="center"/>
          </w:tcPr>
          <w:p>
            <w:pPr>
              <w:autoSpaceDE w:val="0"/>
              <w:autoSpaceDN w:val="0"/>
              <w:adjustRightInd w:val="0"/>
              <w:jc w:val="center"/>
              <w:rPr>
                <w:szCs w:val="21"/>
              </w:rPr>
            </w:pPr>
            <w:r>
              <w:rPr>
                <w:rFonts w:hint="eastAsia"/>
                <w:szCs w:val="21"/>
              </w:rPr>
              <w:t>/</w:t>
            </w:r>
          </w:p>
        </w:tc>
        <w:tc>
          <w:tcPr>
            <w:tcW w:w="816" w:type="pct"/>
            <w:vAlign w:val="center"/>
          </w:tcPr>
          <w:p>
            <w:pPr>
              <w:jc w:val="center"/>
              <w:rPr>
                <w:szCs w:val="21"/>
              </w:rPr>
            </w:pPr>
            <w:r>
              <w:rPr>
                <w:rFonts w:hint="eastAsia"/>
                <w:szCs w:val="21"/>
              </w:rPr>
              <w:t>2</w:t>
            </w:r>
          </w:p>
        </w:tc>
        <w:tc>
          <w:tcPr>
            <w:tcW w:w="615" w:type="pct"/>
            <w:vMerge w:val="continue"/>
            <w:vAlign w:val="center"/>
          </w:tcPr>
          <w:p>
            <w:pPr>
              <w:autoSpaceDE w:val="0"/>
              <w:autoSpaceDN w:val="0"/>
              <w:adjustRightInd w:val="0"/>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11</w:t>
            </w:r>
          </w:p>
        </w:tc>
        <w:tc>
          <w:tcPr>
            <w:tcW w:w="1131" w:type="pct"/>
            <w:vAlign w:val="center"/>
          </w:tcPr>
          <w:p>
            <w:pPr>
              <w:jc w:val="center"/>
              <w:rPr>
                <w:szCs w:val="21"/>
              </w:rPr>
            </w:pPr>
            <w:r>
              <w:rPr>
                <w:color w:val="000000"/>
                <w:kern w:val="0"/>
                <w:szCs w:val="21"/>
                <w:lang w:bidi="ar"/>
              </w:rPr>
              <w:t>潜污泵</w:t>
            </w:r>
          </w:p>
        </w:tc>
        <w:tc>
          <w:tcPr>
            <w:tcW w:w="1226" w:type="pct"/>
            <w:vAlign w:val="center"/>
          </w:tcPr>
          <w:p>
            <w:pPr>
              <w:jc w:val="center"/>
              <w:rPr>
                <w:szCs w:val="21"/>
              </w:rPr>
            </w:pPr>
            <w:r>
              <w:t>100WQ/E80-11-4</w:t>
            </w:r>
          </w:p>
        </w:tc>
        <w:tc>
          <w:tcPr>
            <w:tcW w:w="889" w:type="pct"/>
            <w:vAlign w:val="center"/>
          </w:tcPr>
          <w:p>
            <w:pPr>
              <w:autoSpaceDE w:val="0"/>
              <w:autoSpaceDN w:val="0"/>
              <w:adjustRightInd w:val="0"/>
              <w:jc w:val="center"/>
              <w:rPr>
                <w:szCs w:val="21"/>
              </w:rPr>
            </w:pPr>
            <w:r>
              <w:rPr>
                <w:rFonts w:hint="eastAsia"/>
                <w:szCs w:val="21"/>
              </w:rPr>
              <w:t>/</w:t>
            </w:r>
          </w:p>
        </w:tc>
        <w:tc>
          <w:tcPr>
            <w:tcW w:w="816" w:type="pct"/>
            <w:vAlign w:val="center"/>
          </w:tcPr>
          <w:p>
            <w:pPr>
              <w:jc w:val="center"/>
              <w:rPr>
                <w:szCs w:val="21"/>
              </w:rPr>
            </w:pPr>
            <w:r>
              <w:rPr>
                <w:color w:val="000000"/>
                <w:kern w:val="0"/>
                <w:szCs w:val="21"/>
                <w:lang w:bidi="ar"/>
              </w:rPr>
              <w:t>2</w:t>
            </w:r>
          </w:p>
        </w:tc>
        <w:tc>
          <w:tcPr>
            <w:tcW w:w="615" w:type="pct"/>
            <w:vMerge w:val="restart"/>
            <w:vAlign w:val="center"/>
          </w:tcPr>
          <w:p>
            <w:pPr>
              <w:autoSpaceDE w:val="0"/>
              <w:autoSpaceDN w:val="0"/>
              <w:adjustRightInd w:val="0"/>
              <w:jc w:val="center"/>
              <w:rPr>
                <w:szCs w:val="21"/>
                <w:lang w:val="zh-CN"/>
              </w:rPr>
            </w:pPr>
            <w:r>
              <w:rPr>
                <w:color w:val="000000"/>
                <w:kern w:val="0"/>
                <w:szCs w:val="21"/>
                <w:lang w:bidi="ar"/>
              </w:rPr>
              <w:t>调节池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12</w:t>
            </w:r>
          </w:p>
        </w:tc>
        <w:tc>
          <w:tcPr>
            <w:tcW w:w="1131" w:type="pct"/>
            <w:vAlign w:val="center"/>
          </w:tcPr>
          <w:p>
            <w:pPr>
              <w:jc w:val="center"/>
              <w:rPr>
                <w:szCs w:val="21"/>
              </w:rPr>
            </w:pPr>
            <w:r>
              <w:rPr>
                <w:color w:val="000000"/>
                <w:kern w:val="0"/>
                <w:szCs w:val="21"/>
                <w:lang w:bidi="ar"/>
              </w:rPr>
              <w:t>潜水搅拌机</w:t>
            </w:r>
          </w:p>
        </w:tc>
        <w:tc>
          <w:tcPr>
            <w:tcW w:w="1226" w:type="pct"/>
            <w:vAlign w:val="center"/>
          </w:tcPr>
          <w:p>
            <w:pPr>
              <w:jc w:val="center"/>
              <w:rPr>
                <w:szCs w:val="21"/>
              </w:rPr>
            </w:pPr>
            <w:r>
              <w:rPr>
                <w:szCs w:val="21"/>
              </w:rPr>
              <w:t>QJB4/6-400/3-980S</w:t>
            </w:r>
          </w:p>
        </w:tc>
        <w:tc>
          <w:tcPr>
            <w:tcW w:w="889" w:type="pct"/>
            <w:vAlign w:val="center"/>
          </w:tcPr>
          <w:p>
            <w:pPr>
              <w:autoSpaceDE w:val="0"/>
              <w:autoSpaceDN w:val="0"/>
              <w:adjustRightInd w:val="0"/>
              <w:jc w:val="center"/>
              <w:rPr>
                <w:szCs w:val="21"/>
              </w:rPr>
            </w:pPr>
            <w:r>
              <w:rPr>
                <w:szCs w:val="21"/>
              </w:rPr>
              <w:t>SS304</w:t>
            </w:r>
          </w:p>
        </w:tc>
        <w:tc>
          <w:tcPr>
            <w:tcW w:w="816" w:type="pct"/>
            <w:vAlign w:val="center"/>
          </w:tcPr>
          <w:p>
            <w:pPr>
              <w:jc w:val="center"/>
              <w:rPr>
                <w:szCs w:val="21"/>
              </w:rPr>
            </w:pPr>
            <w:r>
              <w:rPr>
                <w:color w:val="000000"/>
                <w:kern w:val="0"/>
                <w:szCs w:val="21"/>
                <w:lang w:bidi="ar"/>
              </w:rPr>
              <w:t>2</w:t>
            </w:r>
          </w:p>
        </w:tc>
        <w:tc>
          <w:tcPr>
            <w:tcW w:w="615" w:type="pct"/>
            <w:vMerge w:val="continue"/>
            <w:vAlign w:val="center"/>
          </w:tcPr>
          <w:p>
            <w:pPr>
              <w:autoSpaceDE w:val="0"/>
              <w:autoSpaceDN w:val="0"/>
              <w:adjustRightInd w:val="0"/>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rFonts w:hint="eastAsia"/>
                <w:szCs w:val="21"/>
                <w:lang w:val="zh-CN"/>
              </w:rPr>
              <w:t>1</w:t>
            </w:r>
            <w:r>
              <w:rPr>
                <w:szCs w:val="21"/>
                <w:lang w:val="zh-CN"/>
              </w:rPr>
              <w:t>3</w:t>
            </w:r>
          </w:p>
        </w:tc>
        <w:tc>
          <w:tcPr>
            <w:tcW w:w="1131" w:type="pct"/>
            <w:vAlign w:val="center"/>
          </w:tcPr>
          <w:p>
            <w:pPr>
              <w:jc w:val="center"/>
              <w:rPr>
                <w:szCs w:val="21"/>
              </w:rPr>
            </w:pPr>
            <w:r>
              <w:rPr>
                <w:color w:val="000000"/>
                <w:kern w:val="0"/>
                <w:szCs w:val="21"/>
                <w:lang w:bidi="ar"/>
              </w:rPr>
              <w:t>电磁流量计</w:t>
            </w:r>
          </w:p>
        </w:tc>
        <w:tc>
          <w:tcPr>
            <w:tcW w:w="1226" w:type="pct"/>
            <w:vAlign w:val="center"/>
          </w:tcPr>
          <w:p>
            <w:pPr>
              <w:jc w:val="center"/>
              <w:rPr>
                <w:szCs w:val="21"/>
              </w:rPr>
            </w:pPr>
            <w:r>
              <w:rPr>
                <w:color w:val="000000"/>
                <w:kern w:val="0"/>
                <w:szCs w:val="21"/>
                <w:lang w:bidi="ar"/>
              </w:rPr>
              <w:t>DN150</w:t>
            </w:r>
          </w:p>
        </w:tc>
        <w:tc>
          <w:tcPr>
            <w:tcW w:w="889" w:type="pct"/>
            <w:vAlign w:val="center"/>
          </w:tcPr>
          <w:p>
            <w:pPr>
              <w:autoSpaceDE w:val="0"/>
              <w:autoSpaceDN w:val="0"/>
              <w:adjustRightInd w:val="0"/>
              <w:jc w:val="center"/>
              <w:rPr>
                <w:szCs w:val="21"/>
              </w:rPr>
            </w:pPr>
            <w:r>
              <w:rPr>
                <w:rFonts w:hint="eastAsia"/>
                <w:szCs w:val="21"/>
              </w:rPr>
              <w:t>四氟衬里</w:t>
            </w:r>
          </w:p>
        </w:tc>
        <w:tc>
          <w:tcPr>
            <w:tcW w:w="816" w:type="pct"/>
            <w:vAlign w:val="center"/>
          </w:tcPr>
          <w:p>
            <w:pPr>
              <w:jc w:val="center"/>
              <w:rPr>
                <w:szCs w:val="21"/>
              </w:rPr>
            </w:pPr>
            <w:r>
              <w:rPr>
                <w:color w:val="000000"/>
                <w:kern w:val="0"/>
                <w:szCs w:val="21"/>
                <w:lang w:bidi="ar"/>
              </w:rPr>
              <w:t>1</w:t>
            </w:r>
          </w:p>
        </w:tc>
        <w:tc>
          <w:tcPr>
            <w:tcW w:w="615" w:type="pct"/>
            <w:vMerge w:val="continue"/>
            <w:vAlign w:val="center"/>
          </w:tcPr>
          <w:p>
            <w:pPr>
              <w:autoSpaceDE w:val="0"/>
              <w:autoSpaceDN w:val="0"/>
              <w:adjustRightInd w:val="0"/>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14</w:t>
            </w:r>
          </w:p>
        </w:tc>
        <w:tc>
          <w:tcPr>
            <w:tcW w:w="1131" w:type="pct"/>
            <w:vAlign w:val="center"/>
          </w:tcPr>
          <w:p>
            <w:pPr>
              <w:jc w:val="center"/>
              <w:rPr>
                <w:szCs w:val="21"/>
              </w:rPr>
            </w:pPr>
            <w:r>
              <w:rPr>
                <w:rFonts w:hint="eastAsia"/>
                <w:szCs w:val="21"/>
              </w:rPr>
              <w:t>潜水搅拌机</w:t>
            </w:r>
          </w:p>
        </w:tc>
        <w:tc>
          <w:tcPr>
            <w:tcW w:w="1226" w:type="pct"/>
            <w:vAlign w:val="center"/>
          </w:tcPr>
          <w:p>
            <w:pPr>
              <w:jc w:val="center"/>
              <w:rPr>
                <w:szCs w:val="21"/>
              </w:rPr>
            </w:pPr>
            <w:r>
              <w:rPr>
                <w:rFonts w:hint="eastAsia"/>
                <w:szCs w:val="21"/>
              </w:rPr>
              <w:t>QJB4/6-400/3-980S</w:t>
            </w:r>
          </w:p>
        </w:tc>
        <w:tc>
          <w:tcPr>
            <w:tcW w:w="889" w:type="pct"/>
            <w:vAlign w:val="center"/>
          </w:tcPr>
          <w:p>
            <w:pPr>
              <w:autoSpaceDE w:val="0"/>
              <w:autoSpaceDN w:val="0"/>
              <w:adjustRightInd w:val="0"/>
              <w:jc w:val="center"/>
              <w:rPr>
                <w:szCs w:val="21"/>
              </w:rPr>
            </w:pPr>
            <w:r>
              <w:rPr>
                <w:rFonts w:hint="eastAsia"/>
                <w:szCs w:val="21"/>
              </w:rPr>
              <w:t>SS304</w:t>
            </w:r>
          </w:p>
        </w:tc>
        <w:tc>
          <w:tcPr>
            <w:tcW w:w="816" w:type="pct"/>
            <w:vAlign w:val="center"/>
          </w:tcPr>
          <w:p>
            <w:pPr>
              <w:jc w:val="center"/>
              <w:rPr>
                <w:szCs w:val="21"/>
              </w:rPr>
            </w:pPr>
            <w:r>
              <w:rPr>
                <w:color w:val="000000"/>
                <w:szCs w:val="21"/>
              </w:rPr>
              <w:t>1</w:t>
            </w:r>
          </w:p>
        </w:tc>
        <w:tc>
          <w:tcPr>
            <w:tcW w:w="615" w:type="pct"/>
            <w:vAlign w:val="center"/>
          </w:tcPr>
          <w:p>
            <w:pPr>
              <w:autoSpaceDE w:val="0"/>
              <w:autoSpaceDN w:val="0"/>
              <w:adjustRightInd w:val="0"/>
              <w:jc w:val="center"/>
              <w:rPr>
                <w:szCs w:val="21"/>
                <w:lang w:val="zh-CN"/>
              </w:rPr>
            </w:pPr>
            <w:r>
              <w:rPr>
                <w:rFonts w:hint="eastAsia"/>
                <w:color w:val="000000"/>
                <w:szCs w:val="21"/>
              </w:rPr>
              <w:t>水解酸化</w:t>
            </w:r>
            <w:r>
              <w:rPr>
                <w:color w:val="000000"/>
                <w:szCs w:val="21"/>
              </w:rPr>
              <w:t>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15</w:t>
            </w:r>
          </w:p>
        </w:tc>
        <w:tc>
          <w:tcPr>
            <w:tcW w:w="1131" w:type="pct"/>
            <w:vAlign w:val="center"/>
          </w:tcPr>
          <w:p>
            <w:pPr>
              <w:jc w:val="center"/>
              <w:rPr>
                <w:szCs w:val="21"/>
              </w:rPr>
            </w:pPr>
            <w:r>
              <w:rPr>
                <w:color w:val="000000"/>
                <w:kern w:val="0"/>
                <w:szCs w:val="21"/>
                <w:lang w:bidi="ar"/>
              </w:rPr>
              <w:t>潜水搅拌机</w:t>
            </w:r>
          </w:p>
        </w:tc>
        <w:tc>
          <w:tcPr>
            <w:tcW w:w="1226" w:type="pct"/>
            <w:vAlign w:val="center"/>
          </w:tcPr>
          <w:p>
            <w:pPr>
              <w:jc w:val="center"/>
              <w:rPr>
                <w:szCs w:val="21"/>
              </w:rPr>
            </w:pPr>
            <w:r>
              <w:rPr>
                <w:szCs w:val="21"/>
              </w:rPr>
              <w:t>QJB4/6-400/3-980S</w:t>
            </w:r>
          </w:p>
        </w:tc>
        <w:tc>
          <w:tcPr>
            <w:tcW w:w="889" w:type="pct"/>
            <w:vAlign w:val="center"/>
          </w:tcPr>
          <w:p>
            <w:pPr>
              <w:jc w:val="center"/>
              <w:rPr>
                <w:szCs w:val="21"/>
              </w:rPr>
            </w:pPr>
            <w:r>
              <w:rPr>
                <w:rFonts w:hint="eastAsia"/>
                <w:szCs w:val="21"/>
              </w:rPr>
              <w:t>SS304</w:t>
            </w:r>
          </w:p>
        </w:tc>
        <w:tc>
          <w:tcPr>
            <w:tcW w:w="816" w:type="pct"/>
            <w:vAlign w:val="center"/>
          </w:tcPr>
          <w:p>
            <w:pPr>
              <w:jc w:val="center"/>
              <w:rPr>
                <w:szCs w:val="21"/>
              </w:rPr>
            </w:pPr>
            <w:r>
              <w:rPr>
                <w:szCs w:val="21"/>
              </w:rPr>
              <w:t>1</w:t>
            </w:r>
          </w:p>
        </w:tc>
        <w:tc>
          <w:tcPr>
            <w:tcW w:w="615" w:type="pct"/>
            <w:vAlign w:val="center"/>
          </w:tcPr>
          <w:p>
            <w:pPr>
              <w:autoSpaceDE w:val="0"/>
              <w:autoSpaceDN w:val="0"/>
              <w:adjustRightInd w:val="0"/>
              <w:jc w:val="center"/>
              <w:rPr>
                <w:szCs w:val="21"/>
                <w:lang w:val="zh-CN"/>
              </w:rPr>
            </w:pPr>
            <w:r>
              <w:rPr>
                <w:color w:val="000000"/>
                <w:szCs w:val="21"/>
              </w:rPr>
              <w:t>厌氧池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16</w:t>
            </w:r>
          </w:p>
        </w:tc>
        <w:tc>
          <w:tcPr>
            <w:tcW w:w="1131" w:type="pct"/>
            <w:vAlign w:val="center"/>
          </w:tcPr>
          <w:p>
            <w:pPr>
              <w:jc w:val="center"/>
              <w:rPr>
                <w:szCs w:val="21"/>
              </w:rPr>
            </w:pPr>
            <w:r>
              <w:rPr>
                <w:color w:val="000000"/>
                <w:kern w:val="0"/>
                <w:szCs w:val="21"/>
                <w:lang w:bidi="ar"/>
              </w:rPr>
              <w:t>潜水搅拌机</w:t>
            </w:r>
          </w:p>
        </w:tc>
        <w:tc>
          <w:tcPr>
            <w:tcW w:w="1226" w:type="pct"/>
            <w:vAlign w:val="center"/>
          </w:tcPr>
          <w:p>
            <w:pPr>
              <w:jc w:val="center"/>
              <w:rPr>
                <w:szCs w:val="21"/>
              </w:rPr>
            </w:pPr>
            <w:r>
              <w:rPr>
                <w:szCs w:val="21"/>
              </w:rPr>
              <w:t>QJB4/6-400/3-980S</w:t>
            </w:r>
          </w:p>
        </w:tc>
        <w:tc>
          <w:tcPr>
            <w:tcW w:w="889" w:type="pct"/>
            <w:vAlign w:val="center"/>
          </w:tcPr>
          <w:p>
            <w:pPr>
              <w:jc w:val="center"/>
              <w:rPr>
                <w:szCs w:val="21"/>
              </w:rPr>
            </w:pPr>
            <w:r>
              <w:rPr>
                <w:rFonts w:hint="eastAsia"/>
                <w:szCs w:val="21"/>
              </w:rPr>
              <w:t>SS304</w:t>
            </w:r>
          </w:p>
        </w:tc>
        <w:tc>
          <w:tcPr>
            <w:tcW w:w="816" w:type="pct"/>
            <w:vAlign w:val="center"/>
          </w:tcPr>
          <w:p>
            <w:pPr>
              <w:jc w:val="center"/>
              <w:rPr>
                <w:szCs w:val="21"/>
              </w:rPr>
            </w:pPr>
            <w:r>
              <w:rPr>
                <w:szCs w:val="21"/>
              </w:rPr>
              <w:t>4</w:t>
            </w:r>
          </w:p>
        </w:tc>
        <w:tc>
          <w:tcPr>
            <w:tcW w:w="615" w:type="pct"/>
            <w:vAlign w:val="center"/>
          </w:tcPr>
          <w:p>
            <w:pPr>
              <w:autoSpaceDE w:val="0"/>
              <w:autoSpaceDN w:val="0"/>
              <w:adjustRightInd w:val="0"/>
              <w:jc w:val="center"/>
              <w:rPr>
                <w:szCs w:val="21"/>
                <w:lang w:val="zh-CN"/>
              </w:rPr>
            </w:pPr>
            <w:r>
              <w:rPr>
                <w:color w:val="000000"/>
                <w:kern w:val="0"/>
                <w:szCs w:val="21"/>
                <w:lang w:bidi="ar"/>
              </w:rPr>
              <w:t>缺氧池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17</w:t>
            </w:r>
          </w:p>
        </w:tc>
        <w:tc>
          <w:tcPr>
            <w:tcW w:w="1131" w:type="pct"/>
            <w:vAlign w:val="center"/>
          </w:tcPr>
          <w:p>
            <w:pPr>
              <w:jc w:val="center"/>
              <w:rPr>
                <w:szCs w:val="21"/>
              </w:rPr>
            </w:pPr>
            <w:r>
              <w:rPr>
                <w:color w:val="000000"/>
                <w:kern w:val="0"/>
                <w:szCs w:val="21"/>
                <w:lang w:bidi="ar"/>
              </w:rPr>
              <w:t>罗茨风机</w:t>
            </w:r>
          </w:p>
        </w:tc>
        <w:tc>
          <w:tcPr>
            <w:tcW w:w="1226" w:type="pct"/>
            <w:vAlign w:val="center"/>
          </w:tcPr>
          <w:p>
            <w:pPr>
              <w:jc w:val="center"/>
              <w:rPr>
                <w:szCs w:val="21"/>
              </w:rPr>
            </w:pPr>
            <w:r>
              <w:rPr>
                <w:szCs w:val="21"/>
              </w:rPr>
              <w:t>BK6008-1650</w:t>
            </w:r>
          </w:p>
        </w:tc>
        <w:tc>
          <w:tcPr>
            <w:tcW w:w="889" w:type="pct"/>
            <w:vAlign w:val="center"/>
          </w:tcPr>
          <w:p>
            <w:pPr>
              <w:jc w:val="center"/>
              <w:rPr>
                <w:szCs w:val="21"/>
              </w:rPr>
            </w:pPr>
            <w:r>
              <w:rPr>
                <w:rFonts w:hint="eastAsia"/>
                <w:szCs w:val="21"/>
              </w:rPr>
              <w:t>/</w:t>
            </w:r>
          </w:p>
        </w:tc>
        <w:tc>
          <w:tcPr>
            <w:tcW w:w="816" w:type="pct"/>
            <w:vAlign w:val="center"/>
          </w:tcPr>
          <w:p>
            <w:pPr>
              <w:jc w:val="center"/>
              <w:rPr>
                <w:szCs w:val="21"/>
              </w:rPr>
            </w:pPr>
            <w:r>
              <w:rPr>
                <w:color w:val="000000"/>
                <w:kern w:val="0"/>
                <w:szCs w:val="21"/>
                <w:lang w:bidi="ar"/>
              </w:rPr>
              <w:t>3</w:t>
            </w:r>
            <w:r>
              <w:rPr>
                <w:rFonts w:hint="eastAsia"/>
                <w:color w:val="000000"/>
                <w:kern w:val="0"/>
                <w:szCs w:val="21"/>
                <w:lang w:bidi="ar"/>
              </w:rPr>
              <w:t>（2用1备）</w:t>
            </w:r>
          </w:p>
        </w:tc>
        <w:tc>
          <w:tcPr>
            <w:tcW w:w="615" w:type="pct"/>
            <w:vMerge w:val="restart"/>
            <w:vAlign w:val="center"/>
          </w:tcPr>
          <w:p>
            <w:pPr>
              <w:autoSpaceDE w:val="0"/>
              <w:autoSpaceDN w:val="0"/>
              <w:adjustRightInd w:val="0"/>
              <w:jc w:val="center"/>
              <w:rPr>
                <w:szCs w:val="21"/>
                <w:lang w:val="zh-CN"/>
              </w:rPr>
            </w:pPr>
            <w:r>
              <w:rPr>
                <w:color w:val="000000"/>
                <w:kern w:val="0"/>
                <w:szCs w:val="21"/>
                <w:lang w:bidi="ar"/>
              </w:rPr>
              <w:t>好氧池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18</w:t>
            </w:r>
          </w:p>
        </w:tc>
        <w:tc>
          <w:tcPr>
            <w:tcW w:w="1131" w:type="pct"/>
            <w:vAlign w:val="center"/>
          </w:tcPr>
          <w:p>
            <w:pPr>
              <w:jc w:val="center"/>
              <w:rPr>
                <w:kern w:val="0"/>
                <w:szCs w:val="21"/>
              </w:rPr>
            </w:pPr>
            <w:r>
              <w:rPr>
                <w:color w:val="000000"/>
                <w:kern w:val="0"/>
                <w:szCs w:val="21"/>
                <w:lang w:bidi="ar"/>
              </w:rPr>
              <w:t>可提升</w:t>
            </w:r>
            <w:r>
              <w:rPr>
                <w:rFonts w:hint="eastAsia"/>
                <w:color w:val="000000"/>
                <w:kern w:val="0"/>
                <w:szCs w:val="21"/>
                <w:lang w:bidi="ar"/>
              </w:rPr>
              <w:t>式</w:t>
            </w:r>
            <w:r>
              <w:rPr>
                <w:color w:val="000000"/>
                <w:kern w:val="0"/>
                <w:szCs w:val="21"/>
                <w:lang w:bidi="ar"/>
              </w:rPr>
              <w:t>管式曝气器</w:t>
            </w:r>
          </w:p>
        </w:tc>
        <w:tc>
          <w:tcPr>
            <w:tcW w:w="1226" w:type="pct"/>
            <w:vAlign w:val="center"/>
          </w:tcPr>
          <w:p>
            <w:pPr>
              <w:jc w:val="center"/>
              <w:rPr>
                <w:kern w:val="0"/>
                <w:szCs w:val="21"/>
              </w:rPr>
            </w:pPr>
            <w:r>
              <w:rPr>
                <w:color w:val="000000"/>
                <w:kern w:val="0"/>
                <w:szCs w:val="21"/>
                <w:lang w:bidi="ar"/>
              </w:rPr>
              <w:t>Φ67</w:t>
            </w:r>
          </w:p>
        </w:tc>
        <w:tc>
          <w:tcPr>
            <w:tcW w:w="889" w:type="pct"/>
            <w:vAlign w:val="center"/>
          </w:tcPr>
          <w:p>
            <w:pPr>
              <w:jc w:val="center"/>
              <w:rPr>
                <w:szCs w:val="21"/>
              </w:rPr>
            </w:pPr>
            <w:r>
              <w:rPr>
                <w:rFonts w:hint="eastAsia"/>
                <w:szCs w:val="21"/>
              </w:rPr>
              <w:t>ABS</w:t>
            </w:r>
          </w:p>
        </w:tc>
        <w:tc>
          <w:tcPr>
            <w:tcW w:w="816" w:type="pct"/>
            <w:vAlign w:val="center"/>
          </w:tcPr>
          <w:p>
            <w:pPr>
              <w:jc w:val="center"/>
              <w:rPr>
                <w:b/>
                <w:bCs/>
                <w:szCs w:val="21"/>
                <w:u w:val="single"/>
              </w:rPr>
            </w:pPr>
            <w:r>
              <w:rPr>
                <w:color w:val="000000"/>
                <w:kern w:val="0"/>
                <w:szCs w:val="21"/>
                <w:lang w:bidi="ar"/>
              </w:rPr>
              <w:t>660</w:t>
            </w:r>
          </w:p>
        </w:tc>
        <w:tc>
          <w:tcPr>
            <w:tcW w:w="615" w:type="pct"/>
            <w:vMerge w:val="continue"/>
            <w:vAlign w:val="center"/>
          </w:tcPr>
          <w:p>
            <w:pPr>
              <w:autoSpaceDE w:val="0"/>
              <w:autoSpaceDN w:val="0"/>
              <w:adjustRightInd w:val="0"/>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szCs w:val="21"/>
                <w:lang w:val="zh-CN"/>
              </w:rPr>
              <w:t>19</w:t>
            </w:r>
          </w:p>
        </w:tc>
        <w:tc>
          <w:tcPr>
            <w:tcW w:w="1131" w:type="pct"/>
            <w:vAlign w:val="center"/>
          </w:tcPr>
          <w:p>
            <w:pPr>
              <w:jc w:val="center"/>
              <w:rPr>
                <w:kern w:val="0"/>
                <w:szCs w:val="21"/>
              </w:rPr>
            </w:pPr>
            <w:r>
              <w:rPr>
                <w:rFonts w:hint="eastAsia"/>
                <w:color w:val="000000"/>
                <w:kern w:val="0"/>
                <w:szCs w:val="21"/>
                <w:lang w:bidi="ar"/>
              </w:rPr>
              <w:t>硝化液回流泵</w:t>
            </w:r>
          </w:p>
        </w:tc>
        <w:tc>
          <w:tcPr>
            <w:tcW w:w="1226" w:type="pct"/>
            <w:vAlign w:val="center"/>
          </w:tcPr>
          <w:p>
            <w:pPr>
              <w:jc w:val="center"/>
              <w:rPr>
                <w:kern w:val="0"/>
                <w:szCs w:val="21"/>
              </w:rPr>
            </w:pPr>
            <w:r>
              <w:t>100WQ/E150-11-7.5</w:t>
            </w:r>
          </w:p>
        </w:tc>
        <w:tc>
          <w:tcPr>
            <w:tcW w:w="889" w:type="pct"/>
            <w:vAlign w:val="center"/>
          </w:tcPr>
          <w:p>
            <w:pPr>
              <w:jc w:val="center"/>
              <w:rPr>
                <w:kern w:val="0"/>
                <w:szCs w:val="21"/>
              </w:rPr>
            </w:pPr>
            <w:r>
              <w:rPr>
                <w:rFonts w:hint="eastAsia"/>
                <w:kern w:val="0"/>
                <w:szCs w:val="21"/>
              </w:rPr>
              <w:t>/</w:t>
            </w:r>
          </w:p>
        </w:tc>
        <w:tc>
          <w:tcPr>
            <w:tcW w:w="816" w:type="pct"/>
            <w:vAlign w:val="center"/>
          </w:tcPr>
          <w:p>
            <w:pPr>
              <w:jc w:val="center"/>
              <w:rPr>
                <w:szCs w:val="21"/>
                <w:lang w:val="zh-CN"/>
              </w:rPr>
            </w:pPr>
            <w:r>
              <w:rPr>
                <w:color w:val="000000"/>
                <w:kern w:val="0"/>
                <w:szCs w:val="21"/>
                <w:lang w:bidi="ar"/>
              </w:rPr>
              <w:t>2</w:t>
            </w:r>
          </w:p>
        </w:tc>
        <w:tc>
          <w:tcPr>
            <w:tcW w:w="615" w:type="pct"/>
            <w:vMerge w:val="continue"/>
            <w:vAlign w:val="center"/>
          </w:tcPr>
          <w:p>
            <w:pPr>
              <w:autoSpaceDE w:val="0"/>
              <w:autoSpaceDN w:val="0"/>
              <w:adjustRightInd w:val="0"/>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kern w:val="0"/>
                <w:szCs w:val="21"/>
              </w:rPr>
              <w:t>20</w:t>
            </w:r>
          </w:p>
        </w:tc>
        <w:tc>
          <w:tcPr>
            <w:tcW w:w="1131" w:type="pct"/>
            <w:vAlign w:val="center"/>
          </w:tcPr>
          <w:p>
            <w:pPr>
              <w:widowControl/>
              <w:jc w:val="center"/>
              <w:textAlignment w:val="center"/>
              <w:rPr>
                <w:kern w:val="0"/>
                <w:szCs w:val="21"/>
              </w:rPr>
            </w:pPr>
            <w:r>
              <w:rPr>
                <w:color w:val="000000"/>
                <w:kern w:val="0"/>
                <w:szCs w:val="21"/>
                <w:lang w:bidi="ar"/>
              </w:rPr>
              <w:t>中心布水装置</w:t>
            </w:r>
          </w:p>
        </w:tc>
        <w:tc>
          <w:tcPr>
            <w:tcW w:w="1226" w:type="pct"/>
            <w:vAlign w:val="center"/>
          </w:tcPr>
          <w:p>
            <w:pPr>
              <w:widowControl/>
              <w:jc w:val="center"/>
              <w:textAlignment w:val="center"/>
              <w:rPr>
                <w:kern w:val="0"/>
                <w:szCs w:val="21"/>
              </w:rPr>
            </w:pPr>
            <w:r>
              <w:rPr>
                <w:color w:val="000000"/>
                <w:kern w:val="0"/>
                <w:szCs w:val="21"/>
                <w:lang w:bidi="ar"/>
              </w:rPr>
              <w:t>LFBS-800</w:t>
            </w:r>
          </w:p>
        </w:tc>
        <w:tc>
          <w:tcPr>
            <w:tcW w:w="889" w:type="pct"/>
            <w:vAlign w:val="center"/>
          </w:tcPr>
          <w:p>
            <w:pPr>
              <w:widowControl/>
              <w:jc w:val="center"/>
              <w:textAlignment w:val="center"/>
              <w:rPr>
                <w:kern w:val="0"/>
                <w:szCs w:val="21"/>
              </w:rPr>
            </w:pPr>
            <w:r>
              <w:rPr>
                <w:rFonts w:hint="eastAsia"/>
                <w:kern w:val="0"/>
                <w:szCs w:val="21"/>
              </w:rPr>
              <w:t>SS304</w:t>
            </w:r>
          </w:p>
        </w:tc>
        <w:tc>
          <w:tcPr>
            <w:tcW w:w="816" w:type="pct"/>
            <w:vAlign w:val="center"/>
          </w:tcPr>
          <w:p>
            <w:pPr>
              <w:autoSpaceDE w:val="0"/>
              <w:autoSpaceDN w:val="0"/>
              <w:adjustRightInd w:val="0"/>
              <w:jc w:val="center"/>
              <w:rPr>
                <w:szCs w:val="21"/>
                <w:lang w:val="zh-CN"/>
              </w:rPr>
            </w:pPr>
            <w:r>
              <w:rPr>
                <w:szCs w:val="21"/>
                <w:lang w:val="zh-CN"/>
              </w:rPr>
              <w:t>2</w:t>
            </w:r>
          </w:p>
        </w:tc>
        <w:tc>
          <w:tcPr>
            <w:tcW w:w="615" w:type="pct"/>
            <w:vMerge w:val="restart"/>
            <w:vAlign w:val="center"/>
          </w:tcPr>
          <w:p>
            <w:pPr>
              <w:autoSpaceDE w:val="0"/>
              <w:autoSpaceDN w:val="0"/>
              <w:adjustRightInd w:val="0"/>
              <w:jc w:val="center"/>
              <w:rPr>
                <w:szCs w:val="21"/>
                <w:lang w:val="zh-CN"/>
              </w:rPr>
            </w:pPr>
            <w:r>
              <w:rPr>
                <w:color w:val="000000"/>
                <w:kern w:val="0"/>
                <w:szCs w:val="21"/>
                <w:lang w:bidi="ar"/>
              </w:rPr>
              <w:t>二沉池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autoSpaceDE w:val="0"/>
              <w:autoSpaceDN w:val="0"/>
              <w:adjustRightInd w:val="0"/>
              <w:jc w:val="center"/>
              <w:rPr>
                <w:szCs w:val="21"/>
                <w:lang w:val="zh-CN"/>
              </w:rPr>
            </w:pPr>
            <w:r>
              <w:rPr>
                <w:kern w:val="0"/>
                <w:szCs w:val="21"/>
              </w:rPr>
              <w:t>21</w:t>
            </w:r>
          </w:p>
        </w:tc>
        <w:tc>
          <w:tcPr>
            <w:tcW w:w="1131" w:type="pct"/>
            <w:vAlign w:val="center"/>
          </w:tcPr>
          <w:p>
            <w:pPr>
              <w:widowControl/>
              <w:jc w:val="center"/>
              <w:textAlignment w:val="center"/>
              <w:rPr>
                <w:kern w:val="0"/>
                <w:szCs w:val="21"/>
              </w:rPr>
            </w:pPr>
            <w:r>
              <w:rPr>
                <w:rFonts w:hint="eastAsia"/>
                <w:color w:val="000000"/>
                <w:kern w:val="0"/>
                <w:szCs w:val="21"/>
                <w:lang w:bidi="ar"/>
              </w:rPr>
              <w:t>潜污泵</w:t>
            </w:r>
          </w:p>
        </w:tc>
        <w:tc>
          <w:tcPr>
            <w:tcW w:w="1226" w:type="pct"/>
            <w:vAlign w:val="center"/>
          </w:tcPr>
          <w:p>
            <w:pPr>
              <w:widowControl/>
              <w:jc w:val="center"/>
              <w:textAlignment w:val="center"/>
              <w:rPr>
                <w:kern w:val="0"/>
                <w:szCs w:val="21"/>
              </w:rPr>
            </w:pPr>
            <w:r>
              <w:rPr>
                <w:rFonts w:hint="eastAsia"/>
                <w:color w:val="000000"/>
                <w:kern w:val="0"/>
                <w:szCs w:val="21"/>
                <w:lang w:bidi="ar"/>
              </w:rPr>
              <w:t>80WQ/E50-10-2.2</w:t>
            </w:r>
          </w:p>
        </w:tc>
        <w:tc>
          <w:tcPr>
            <w:tcW w:w="889" w:type="pct"/>
            <w:vAlign w:val="center"/>
          </w:tcPr>
          <w:p>
            <w:pPr>
              <w:widowControl/>
              <w:jc w:val="center"/>
              <w:textAlignment w:val="center"/>
              <w:rPr>
                <w:kern w:val="0"/>
                <w:szCs w:val="21"/>
              </w:rPr>
            </w:pPr>
            <w:r>
              <w:rPr>
                <w:szCs w:val="21"/>
              </w:rPr>
              <w:t>/</w:t>
            </w:r>
          </w:p>
        </w:tc>
        <w:tc>
          <w:tcPr>
            <w:tcW w:w="816" w:type="pct"/>
            <w:vAlign w:val="center"/>
          </w:tcPr>
          <w:p>
            <w:pPr>
              <w:autoSpaceDE w:val="0"/>
              <w:autoSpaceDN w:val="0"/>
              <w:adjustRightInd w:val="0"/>
              <w:jc w:val="center"/>
              <w:rPr>
                <w:szCs w:val="21"/>
                <w:lang w:val="zh-CN"/>
              </w:rPr>
            </w:pPr>
            <w:r>
              <w:rPr>
                <w:szCs w:val="21"/>
                <w:lang w:val="zh-CN"/>
              </w:rPr>
              <w:t>2</w:t>
            </w:r>
          </w:p>
        </w:tc>
        <w:tc>
          <w:tcPr>
            <w:tcW w:w="615" w:type="pct"/>
            <w:vMerge w:val="continue"/>
            <w:vAlign w:val="center"/>
          </w:tcPr>
          <w:p>
            <w:pPr>
              <w:autoSpaceDE w:val="0"/>
              <w:autoSpaceDN w:val="0"/>
              <w:adjustRightInd w:val="0"/>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widowControl/>
              <w:jc w:val="center"/>
              <w:rPr>
                <w:rFonts w:eastAsia="等线"/>
                <w:sz w:val="22"/>
                <w:lang w:val="zh-CN"/>
              </w:rPr>
            </w:pPr>
            <w:r>
              <w:rPr>
                <w:kern w:val="0"/>
                <w:szCs w:val="21"/>
              </w:rPr>
              <w:t>22</w:t>
            </w:r>
          </w:p>
        </w:tc>
        <w:tc>
          <w:tcPr>
            <w:tcW w:w="1131" w:type="pct"/>
            <w:vAlign w:val="center"/>
          </w:tcPr>
          <w:p>
            <w:pPr>
              <w:widowControl/>
              <w:jc w:val="center"/>
              <w:textAlignment w:val="center"/>
              <w:rPr>
                <w:kern w:val="0"/>
                <w:szCs w:val="21"/>
              </w:rPr>
            </w:pPr>
            <w:r>
              <w:rPr>
                <w:rFonts w:hint="eastAsia"/>
                <w:color w:val="000000"/>
                <w:kern w:val="0"/>
                <w:szCs w:val="21"/>
                <w:lang w:bidi="ar"/>
              </w:rPr>
              <w:t>溢流堰板（含挡渣板）</w:t>
            </w:r>
          </w:p>
        </w:tc>
        <w:tc>
          <w:tcPr>
            <w:tcW w:w="1226" w:type="pct"/>
            <w:vAlign w:val="center"/>
          </w:tcPr>
          <w:p>
            <w:pPr>
              <w:widowControl/>
              <w:jc w:val="center"/>
              <w:textAlignment w:val="center"/>
              <w:rPr>
                <w:kern w:val="0"/>
                <w:szCs w:val="21"/>
              </w:rPr>
            </w:pPr>
            <w:r>
              <w:rPr>
                <w:rFonts w:hint="eastAsia"/>
                <w:kern w:val="0"/>
                <w:szCs w:val="21"/>
              </w:rPr>
              <w:t>LFJS-200</w:t>
            </w:r>
          </w:p>
        </w:tc>
        <w:tc>
          <w:tcPr>
            <w:tcW w:w="889" w:type="pct"/>
            <w:vAlign w:val="center"/>
          </w:tcPr>
          <w:p>
            <w:pPr>
              <w:widowControl/>
              <w:jc w:val="center"/>
              <w:textAlignment w:val="center"/>
              <w:rPr>
                <w:kern w:val="0"/>
                <w:szCs w:val="21"/>
              </w:rPr>
            </w:pPr>
            <w:r>
              <w:rPr>
                <w:rFonts w:hint="eastAsia"/>
                <w:kern w:val="0"/>
                <w:szCs w:val="21"/>
              </w:rPr>
              <w:t>SS304</w:t>
            </w:r>
          </w:p>
        </w:tc>
        <w:tc>
          <w:tcPr>
            <w:tcW w:w="816" w:type="pct"/>
            <w:vAlign w:val="center"/>
          </w:tcPr>
          <w:p>
            <w:pPr>
              <w:autoSpaceDE w:val="0"/>
              <w:autoSpaceDN w:val="0"/>
              <w:adjustRightInd w:val="0"/>
              <w:jc w:val="center"/>
              <w:rPr>
                <w:szCs w:val="21"/>
                <w:lang w:val="zh-CN"/>
              </w:rPr>
            </w:pPr>
            <w:r>
              <w:rPr>
                <w:szCs w:val="21"/>
                <w:lang w:val="zh-CN"/>
              </w:rPr>
              <w:t>2</w:t>
            </w:r>
          </w:p>
        </w:tc>
        <w:tc>
          <w:tcPr>
            <w:tcW w:w="615" w:type="pct"/>
            <w:vMerge w:val="continue"/>
            <w:vAlign w:val="center"/>
          </w:tcPr>
          <w:p>
            <w:pPr>
              <w:autoSpaceDE w:val="0"/>
              <w:autoSpaceDN w:val="0"/>
              <w:adjustRightInd w:val="0"/>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widowControl/>
              <w:jc w:val="center"/>
              <w:rPr>
                <w:rFonts w:eastAsia="等线"/>
                <w:sz w:val="22"/>
              </w:rPr>
            </w:pPr>
            <w:r>
              <w:rPr>
                <w:kern w:val="0"/>
                <w:szCs w:val="21"/>
              </w:rPr>
              <w:t>23</w:t>
            </w:r>
          </w:p>
        </w:tc>
        <w:tc>
          <w:tcPr>
            <w:tcW w:w="1131" w:type="pct"/>
            <w:vAlign w:val="center"/>
          </w:tcPr>
          <w:p>
            <w:pPr>
              <w:widowControl/>
              <w:jc w:val="center"/>
              <w:textAlignment w:val="center"/>
              <w:rPr>
                <w:szCs w:val="21"/>
              </w:rPr>
            </w:pPr>
            <w:r>
              <w:rPr>
                <w:color w:val="000000"/>
                <w:kern w:val="0"/>
                <w:szCs w:val="21"/>
                <w:lang w:bidi="ar"/>
              </w:rPr>
              <w:t>中心布水装置</w:t>
            </w:r>
          </w:p>
        </w:tc>
        <w:tc>
          <w:tcPr>
            <w:tcW w:w="1226" w:type="pct"/>
            <w:vAlign w:val="center"/>
          </w:tcPr>
          <w:p>
            <w:pPr>
              <w:widowControl/>
              <w:jc w:val="center"/>
              <w:textAlignment w:val="center"/>
              <w:rPr>
                <w:kern w:val="0"/>
                <w:szCs w:val="21"/>
              </w:rPr>
            </w:pPr>
            <w:r>
              <w:rPr>
                <w:color w:val="000000"/>
                <w:kern w:val="0"/>
                <w:szCs w:val="21"/>
                <w:lang w:bidi="ar"/>
              </w:rPr>
              <w:t>LFBS-800</w:t>
            </w:r>
          </w:p>
        </w:tc>
        <w:tc>
          <w:tcPr>
            <w:tcW w:w="889" w:type="pct"/>
            <w:vAlign w:val="center"/>
          </w:tcPr>
          <w:p>
            <w:pPr>
              <w:widowControl/>
              <w:jc w:val="center"/>
              <w:textAlignment w:val="center"/>
              <w:rPr>
                <w:kern w:val="0"/>
                <w:szCs w:val="21"/>
              </w:rPr>
            </w:pPr>
            <w:r>
              <w:rPr>
                <w:rFonts w:hint="eastAsia"/>
                <w:szCs w:val="21"/>
              </w:rPr>
              <w:t>SS304</w:t>
            </w:r>
          </w:p>
        </w:tc>
        <w:tc>
          <w:tcPr>
            <w:tcW w:w="816" w:type="pct"/>
            <w:vAlign w:val="center"/>
          </w:tcPr>
          <w:p>
            <w:pPr>
              <w:jc w:val="center"/>
              <w:rPr>
                <w:kern w:val="0"/>
                <w:szCs w:val="21"/>
              </w:rPr>
            </w:pPr>
            <w:r>
              <w:rPr>
                <w:color w:val="000000"/>
                <w:kern w:val="0"/>
                <w:szCs w:val="21"/>
                <w:lang w:bidi="ar"/>
              </w:rPr>
              <w:t>1</w:t>
            </w:r>
          </w:p>
        </w:tc>
        <w:tc>
          <w:tcPr>
            <w:tcW w:w="615" w:type="pct"/>
            <w:vMerge w:val="restart"/>
            <w:vAlign w:val="center"/>
          </w:tcPr>
          <w:p>
            <w:pPr>
              <w:jc w:val="center"/>
              <w:rPr>
                <w:szCs w:val="21"/>
                <w:lang w:val="zh-CN"/>
              </w:rPr>
            </w:pPr>
            <w:r>
              <w:rPr>
                <w:szCs w:val="21"/>
                <w:lang w:val="zh-CN"/>
              </w:rPr>
              <w:t>三沉池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widowControl/>
              <w:jc w:val="center"/>
              <w:rPr>
                <w:rFonts w:eastAsia="等线"/>
                <w:sz w:val="22"/>
              </w:rPr>
            </w:pPr>
            <w:r>
              <w:rPr>
                <w:kern w:val="0"/>
                <w:szCs w:val="21"/>
              </w:rPr>
              <w:t>24</w:t>
            </w:r>
          </w:p>
        </w:tc>
        <w:tc>
          <w:tcPr>
            <w:tcW w:w="1131" w:type="pct"/>
            <w:vAlign w:val="center"/>
          </w:tcPr>
          <w:p>
            <w:pPr>
              <w:widowControl/>
              <w:jc w:val="center"/>
              <w:textAlignment w:val="center"/>
              <w:rPr>
                <w:szCs w:val="21"/>
              </w:rPr>
            </w:pPr>
            <w:r>
              <w:rPr>
                <w:rFonts w:hint="eastAsia"/>
                <w:color w:val="000000"/>
                <w:kern w:val="0"/>
                <w:szCs w:val="21"/>
                <w:lang w:bidi="ar"/>
              </w:rPr>
              <w:t>溢流堰板（含挡渣板）</w:t>
            </w:r>
          </w:p>
        </w:tc>
        <w:tc>
          <w:tcPr>
            <w:tcW w:w="1226" w:type="pct"/>
            <w:vAlign w:val="center"/>
          </w:tcPr>
          <w:p>
            <w:pPr>
              <w:widowControl/>
              <w:jc w:val="center"/>
              <w:textAlignment w:val="center"/>
              <w:rPr>
                <w:kern w:val="0"/>
                <w:szCs w:val="21"/>
              </w:rPr>
            </w:pPr>
            <w:r>
              <w:rPr>
                <w:color w:val="000000"/>
                <w:kern w:val="0"/>
                <w:szCs w:val="21"/>
                <w:lang w:bidi="ar"/>
              </w:rPr>
              <w:t>LFJS-200</w:t>
            </w:r>
          </w:p>
        </w:tc>
        <w:tc>
          <w:tcPr>
            <w:tcW w:w="889" w:type="pct"/>
            <w:vAlign w:val="center"/>
          </w:tcPr>
          <w:p>
            <w:pPr>
              <w:widowControl/>
              <w:jc w:val="center"/>
              <w:textAlignment w:val="center"/>
              <w:rPr>
                <w:kern w:val="0"/>
                <w:szCs w:val="21"/>
              </w:rPr>
            </w:pPr>
            <w:r>
              <w:rPr>
                <w:rFonts w:hint="eastAsia"/>
                <w:szCs w:val="21"/>
              </w:rPr>
              <w:t>SS304</w:t>
            </w:r>
          </w:p>
        </w:tc>
        <w:tc>
          <w:tcPr>
            <w:tcW w:w="816" w:type="pct"/>
            <w:vAlign w:val="center"/>
          </w:tcPr>
          <w:p>
            <w:pPr>
              <w:jc w:val="center"/>
              <w:rPr>
                <w:kern w:val="0"/>
                <w:szCs w:val="21"/>
              </w:rPr>
            </w:pPr>
            <w:r>
              <w:rPr>
                <w:color w:val="000000"/>
                <w:kern w:val="0"/>
                <w:szCs w:val="21"/>
                <w:lang w:bidi="ar"/>
              </w:rPr>
              <w:t>1</w:t>
            </w:r>
          </w:p>
        </w:tc>
        <w:tc>
          <w:tcPr>
            <w:tcW w:w="615" w:type="pct"/>
            <w:vMerge w:val="continue"/>
            <w:vAlign w:val="center"/>
          </w:tcPr>
          <w:p>
            <w:pPr>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widowControl/>
              <w:jc w:val="center"/>
              <w:rPr>
                <w:rFonts w:eastAsia="等线"/>
                <w:sz w:val="22"/>
              </w:rPr>
            </w:pPr>
            <w:r>
              <w:rPr>
                <w:kern w:val="0"/>
                <w:szCs w:val="21"/>
              </w:rPr>
              <w:t>25</w:t>
            </w:r>
          </w:p>
        </w:tc>
        <w:tc>
          <w:tcPr>
            <w:tcW w:w="1131" w:type="pct"/>
            <w:vAlign w:val="center"/>
          </w:tcPr>
          <w:p>
            <w:pPr>
              <w:widowControl/>
              <w:jc w:val="center"/>
              <w:textAlignment w:val="center"/>
              <w:rPr>
                <w:szCs w:val="21"/>
              </w:rPr>
            </w:pPr>
            <w:r>
              <w:rPr>
                <w:rFonts w:hint="eastAsia"/>
                <w:color w:val="000000"/>
                <w:kern w:val="0"/>
                <w:szCs w:val="21"/>
                <w:lang w:bidi="ar"/>
              </w:rPr>
              <w:t>潜污泵</w:t>
            </w:r>
          </w:p>
        </w:tc>
        <w:tc>
          <w:tcPr>
            <w:tcW w:w="1226" w:type="pct"/>
            <w:vAlign w:val="center"/>
          </w:tcPr>
          <w:p>
            <w:pPr>
              <w:widowControl/>
              <w:jc w:val="center"/>
              <w:textAlignment w:val="center"/>
              <w:rPr>
                <w:kern w:val="0"/>
                <w:szCs w:val="21"/>
              </w:rPr>
            </w:pPr>
            <w:r>
              <w:rPr>
                <w:color w:val="000000"/>
                <w:kern w:val="0"/>
                <w:szCs w:val="21"/>
                <w:lang w:bidi="ar"/>
              </w:rPr>
              <w:t>80WQ/E50-10-2.2</w:t>
            </w:r>
          </w:p>
        </w:tc>
        <w:tc>
          <w:tcPr>
            <w:tcW w:w="889" w:type="pct"/>
            <w:vAlign w:val="center"/>
          </w:tcPr>
          <w:p>
            <w:pPr>
              <w:widowControl/>
              <w:jc w:val="center"/>
              <w:textAlignment w:val="center"/>
              <w:rPr>
                <w:kern w:val="0"/>
                <w:szCs w:val="21"/>
              </w:rPr>
            </w:pPr>
            <w:r>
              <w:rPr>
                <w:rFonts w:hint="eastAsia"/>
                <w:kern w:val="0"/>
                <w:szCs w:val="21"/>
              </w:rPr>
              <w:t>/</w:t>
            </w:r>
          </w:p>
        </w:tc>
        <w:tc>
          <w:tcPr>
            <w:tcW w:w="816" w:type="pct"/>
            <w:vAlign w:val="center"/>
          </w:tcPr>
          <w:p>
            <w:pPr>
              <w:jc w:val="center"/>
              <w:rPr>
                <w:kern w:val="0"/>
                <w:szCs w:val="21"/>
              </w:rPr>
            </w:pPr>
            <w:r>
              <w:rPr>
                <w:color w:val="000000"/>
                <w:kern w:val="0"/>
                <w:szCs w:val="21"/>
                <w:lang w:bidi="ar"/>
              </w:rPr>
              <w:t>1</w:t>
            </w:r>
          </w:p>
        </w:tc>
        <w:tc>
          <w:tcPr>
            <w:tcW w:w="615" w:type="pct"/>
            <w:vMerge w:val="continue"/>
            <w:vAlign w:val="center"/>
          </w:tcPr>
          <w:p>
            <w:pPr>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widowControl/>
              <w:jc w:val="center"/>
              <w:rPr>
                <w:rFonts w:eastAsia="等线"/>
                <w:sz w:val="22"/>
              </w:rPr>
            </w:pPr>
            <w:r>
              <w:rPr>
                <w:kern w:val="0"/>
                <w:szCs w:val="21"/>
              </w:rPr>
              <w:t>26</w:t>
            </w:r>
          </w:p>
        </w:tc>
        <w:tc>
          <w:tcPr>
            <w:tcW w:w="1131" w:type="pct"/>
            <w:vAlign w:val="center"/>
          </w:tcPr>
          <w:p>
            <w:pPr>
              <w:widowControl/>
              <w:jc w:val="center"/>
              <w:textAlignment w:val="center"/>
              <w:rPr>
                <w:szCs w:val="21"/>
              </w:rPr>
            </w:pPr>
            <w:r>
              <w:rPr>
                <w:color w:val="000000"/>
                <w:kern w:val="0"/>
                <w:szCs w:val="21"/>
                <w:lang w:bidi="ar"/>
              </w:rPr>
              <w:t>溶药系统（除磷剂、PAM）</w:t>
            </w:r>
          </w:p>
        </w:tc>
        <w:tc>
          <w:tcPr>
            <w:tcW w:w="1226" w:type="pct"/>
            <w:vAlign w:val="center"/>
          </w:tcPr>
          <w:p>
            <w:pPr>
              <w:widowControl/>
              <w:jc w:val="center"/>
              <w:textAlignment w:val="center"/>
              <w:rPr>
                <w:szCs w:val="21"/>
              </w:rPr>
            </w:pPr>
            <w:r>
              <w:rPr>
                <w:rFonts w:hint="eastAsia"/>
                <w:szCs w:val="21"/>
              </w:rPr>
              <w:t>LFJB-1.5</w:t>
            </w:r>
          </w:p>
        </w:tc>
        <w:tc>
          <w:tcPr>
            <w:tcW w:w="889" w:type="pct"/>
            <w:vAlign w:val="center"/>
          </w:tcPr>
          <w:p>
            <w:pPr>
              <w:widowControl/>
              <w:jc w:val="center"/>
              <w:textAlignment w:val="center"/>
              <w:rPr>
                <w:kern w:val="0"/>
                <w:szCs w:val="21"/>
              </w:rPr>
            </w:pPr>
            <w:r>
              <w:rPr>
                <w:rFonts w:hint="eastAsia"/>
                <w:kern w:val="0"/>
                <w:szCs w:val="21"/>
              </w:rPr>
              <w:t>/</w:t>
            </w:r>
          </w:p>
        </w:tc>
        <w:tc>
          <w:tcPr>
            <w:tcW w:w="816" w:type="pct"/>
            <w:vAlign w:val="center"/>
          </w:tcPr>
          <w:p>
            <w:pPr>
              <w:jc w:val="center"/>
              <w:rPr>
                <w:szCs w:val="21"/>
              </w:rPr>
            </w:pPr>
            <w:r>
              <w:rPr>
                <w:rFonts w:hint="eastAsia"/>
                <w:szCs w:val="21"/>
              </w:rPr>
              <w:t>2</w:t>
            </w:r>
          </w:p>
        </w:tc>
        <w:tc>
          <w:tcPr>
            <w:tcW w:w="615"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widowControl/>
              <w:jc w:val="center"/>
              <w:rPr>
                <w:rFonts w:eastAsia="等线"/>
                <w:sz w:val="22"/>
              </w:rPr>
            </w:pPr>
            <w:r>
              <w:rPr>
                <w:kern w:val="0"/>
                <w:szCs w:val="21"/>
              </w:rPr>
              <w:t>27</w:t>
            </w:r>
          </w:p>
        </w:tc>
        <w:tc>
          <w:tcPr>
            <w:tcW w:w="1131" w:type="pct"/>
            <w:vAlign w:val="center"/>
          </w:tcPr>
          <w:p>
            <w:pPr>
              <w:widowControl/>
              <w:jc w:val="center"/>
              <w:textAlignment w:val="center"/>
              <w:rPr>
                <w:szCs w:val="21"/>
              </w:rPr>
            </w:pPr>
            <w:r>
              <w:rPr>
                <w:color w:val="000000"/>
                <w:kern w:val="0"/>
                <w:szCs w:val="21"/>
                <w:lang w:bidi="ar"/>
              </w:rPr>
              <w:t>斜板填料</w:t>
            </w:r>
          </w:p>
        </w:tc>
        <w:tc>
          <w:tcPr>
            <w:tcW w:w="1226" w:type="pct"/>
            <w:vAlign w:val="center"/>
          </w:tcPr>
          <w:p>
            <w:pPr>
              <w:widowControl/>
              <w:jc w:val="center"/>
              <w:textAlignment w:val="center"/>
              <w:rPr>
                <w:kern w:val="0"/>
                <w:szCs w:val="21"/>
              </w:rPr>
            </w:pPr>
            <w:r>
              <w:rPr>
                <w:rFonts w:hint="eastAsia"/>
                <w:kern w:val="0"/>
                <w:szCs w:val="21"/>
              </w:rPr>
              <w:t>/</w:t>
            </w:r>
          </w:p>
        </w:tc>
        <w:tc>
          <w:tcPr>
            <w:tcW w:w="889" w:type="pct"/>
            <w:vAlign w:val="center"/>
          </w:tcPr>
          <w:p>
            <w:pPr>
              <w:widowControl/>
              <w:jc w:val="center"/>
              <w:textAlignment w:val="center"/>
              <w:rPr>
                <w:kern w:val="0"/>
                <w:szCs w:val="21"/>
              </w:rPr>
            </w:pPr>
            <w:r>
              <w:rPr>
                <w:rFonts w:hint="eastAsia"/>
                <w:kern w:val="0"/>
                <w:szCs w:val="21"/>
              </w:rPr>
              <w:t>PP</w:t>
            </w:r>
          </w:p>
        </w:tc>
        <w:tc>
          <w:tcPr>
            <w:tcW w:w="816" w:type="pct"/>
            <w:vAlign w:val="center"/>
          </w:tcPr>
          <w:p>
            <w:pPr>
              <w:jc w:val="center"/>
              <w:rPr>
                <w:kern w:val="0"/>
                <w:szCs w:val="21"/>
              </w:rPr>
            </w:pPr>
            <w:r>
              <w:rPr>
                <w:color w:val="000000"/>
                <w:kern w:val="0"/>
                <w:szCs w:val="21"/>
                <w:lang w:bidi="ar"/>
              </w:rPr>
              <w:t>1</w:t>
            </w:r>
          </w:p>
        </w:tc>
        <w:tc>
          <w:tcPr>
            <w:tcW w:w="615" w:type="pct"/>
            <w:vMerge w:val="continue"/>
            <w:vAlign w:val="center"/>
          </w:tcPr>
          <w:p>
            <w:pPr>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widowControl/>
              <w:jc w:val="center"/>
              <w:rPr>
                <w:rFonts w:eastAsia="等线"/>
                <w:sz w:val="22"/>
              </w:rPr>
            </w:pPr>
            <w:r>
              <w:rPr>
                <w:kern w:val="0"/>
                <w:szCs w:val="21"/>
              </w:rPr>
              <w:t>28</w:t>
            </w:r>
          </w:p>
        </w:tc>
        <w:tc>
          <w:tcPr>
            <w:tcW w:w="1131" w:type="pct"/>
            <w:vAlign w:val="center"/>
          </w:tcPr>
          <w:p>
            <w:pPr>
              <w:widowControl/>
              <w:jc w:val="center"/>
              <w:textAlignment w:val="center"/>
              <w:rPr>
                <w:szCs w:val="21"/>
              </w:rPr>
            </w:pPr>
            <w:r>
              <w:rPr>
                <w:color w:val="000000"/>
                <w:kern w:val="0"/>
                <w:szCs w:val="21"/>
                <w:lang w:bidi="ar"/>
              </w:rPr>
              <w:t>计量泵</w:t>
            </w:r>
          </w:p>
        </w:tc>
        <w:tc>
          <w:tcPr>
            <w:tcW w:w="1226" w:type="pct"/>
            <w:vAlign w:val="center"/>
          </w:tcPr>
          <w:p>
            <w:pPr>
              <w:widowControl/>
              <w:jc w:val="center"/>
              <w:textAlignment w:val="center"/>
              <w:rPr>
                <w:kern w:val="0"/>
                <w:szCs w:val="21"/>
              </w:rPr>
            </w:pPr>
            <w:r>
              <w:rPr>
                <w:color w:val="000000"/>
                <w:kern w:val="0"/>
                <w:szCs w:val="21"/>
                <w:lang w:bidi="ar"/>
              </w:rPr>
              <w:t>GD050</w:t>
            </w:r>
          </w:p>
        </w:tc>
        <w:tc>
          <w:tcPr>
            <w:tcW w:w="889" w:type="pct"/>
            <w:vAlign w:val="center"/>
          </w:tcPr>
          <w:p>
            <w:pPr>
              <w:widowControl/>
              <w:jc w:val="center"/>
              <w:textAlignment w:val="center"/>
              <w:rPr>
                <w:kern w:val="0"/>
                <w:szCs w:val="21"/>
              </w:rPr>
            </w:pPr>
            <w:r>
              <w:rPr>
                <w:rFonts w:hint="eastAsia"/>
                <w:kern w:val="0"/>
                <w:szCs w:val="21"/>
              </w:rPr>
              <w:t>PVC泵头</w:t>
            </w:r>
          </w:p>
        </w:tc>
        <w:tc>
          <w:tcPr>
            <w:tcW w:w="816" w:type="pct"/>
            <w:vAlign w:val="center"/>
          </w:tcPr>
          <w:p>
            <w:pPr>
              <w:jc w:val="center"/>
              <w:rPr>
                <w:kern w:val="0"/>
                <w:szCs w:val="21"/>
              </w:rPr>
            </w:pPr>
            <w:r>
              <w:rPr>
                <w:color w:val="000000"/>
                <w:kern w:val="0"/>
                <w:szCs w:val="21"/>
                <w:lang w:bidi="ar"/>
              </w:rPr>
              <w:t>2</w:t>
            </w:r>
          </w:p>
        </w:tc>
        <w:tc>
          <w:tcPr>
            <w:tcW w:w="615" w:type="pct"/>
            <w:vMerge w:val="continue"/>
            <w:vAlign w:val="center"/>
          </w:tcPr>
          <w:p>
            <w:pPr>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widowControl/>
              <w:jc w:val="center"/>
              <w:rPr>
                <w:rFonts w:eastAsia="等线"/>
                <w:sz w:val="22"/>
              </w:rPr>
            </w:pPr>
            <w:r>
              <w:rPr>
                <w:rFonts w:hint="eastAsia" w:eastAsia="等线"/>
                <w:sz w:val="22"/>
              </w:rPr>
              <w:t>2</w:t>
            </w:r>
            <w:r>
              <w:rPr>
                <w:rFonts w:eastAsia="等线"/>
                <w:sz w:val="22"/>
              </w:rPr>
              <w:t>9</w:t>
            </w:r>
          </w:p>
        </w:tc>
        <w:tc>
          <w:tcPr>
            <w:tcW w:w="1131" w:type="pct"/>
            <w:vAlign w:val="center"/>
          </w:tcPr>
          <w:p>
            <w:pPr>
              <w:widowControl/>
              <w:jc w:val="center"/>
              <w:textAlignment w:val="center"/>
              <w:rPr>
                <w:szCs w:val="21"/>
              </w:rPr>
            </w:pPr>
            <w:r>
              <w:rPr>
                <w:color w:val="000000"/>
                <w:kern w:val="0"/>
                <w:szCs w:val="21"/>
                <w:lang w:bidi="ar"/>
              </w:rPr>
              <w:t>潜水搅拌机</w:t>
            </w:r>
          </w:p>
        </w:tc>
        <w:tc>
          <w:tcPr>
            <w:tcW w:w="1226" w:type="pct"/>
            <w:vAlign w:val="center"/>
          </w:tcPr>
          <w:p>
            <w:pPr>
              <w:widowControl/>
              <w:jc w:val="center"/>
              <w:textAlignment w:val="center"/>
              <w:rPr>
                <w:kern w:val="0"/>
                <w:szCs w:val="21"/>
              </w:rPr>
            </w:pPr>
            <w:r>
              <w:rPr>
                <w:szCs w:val="21"/>
              </w:rPr>
              <w:t>QJB4/6-400/3-980S</w:t>
            </w:r>
          </w:p>
        </w:tc>
        <w:tc>
          <w:tcPr>
            <w:tcW w:w="889" w:type="pct"/>
            <w:vAlign w:val="center"/>
          </w:tcPr>
          <w:p>
            <w:pPr>
              <w:widowControl/>
              <w:jc w:val="center"/>
              <w:textAlignment w:val="center"/>
              <w:rPr>
                <w:kern w:val="0"/>
                <w:szCs w:val="21"/>
              </w:rPr>
            </w:pPr>
            <w:r>
              <w:rPr>
                <w:rFonts w:hint="eastAsia"/>
                <w:szCs w:val="21"/>
              </w:rPr>
              <w:t>SS304</w:t>
            </w:r>
          </w:p>
        </w:tc>
        <w:tc>
          <w:tcPr>
            <w:tcW w:w="816" w:type="pct"/>
            <w:vAlign w:val="center"/>
          </w:tcPr>
          <w:p>
            <w:pPr>
              <w:jc w:val="center"/>
              <w:rPr>
                <w:kern w:val="0"/>
                <w:szCs w:val="21"/>
              </w:rPr>
            </w:pPr>
            <w:r>
              <w:rPr>
                <w:color w:val="000000"/>
                <w:kern w:val="0"/>
                <w:szCs w:val="21"/>
                <w:lang w:bidi="ar"/>
              </w:rPr>
              <w:t>1</w:t>
            </w:r>
          </w:p>
        </w:tc>
        <w:tc>
          <w:tcPr>
            <w:tcW w:w="615" w:type="pct"/>
            <w:vMerge w:val="restart"/>
            <w:vAlign w:val="center"/>
          </w:tcPr>
          <w:p>
            <w:pPr>
              <w:jc w:val="center"/>
              <w:rPr>
                <w:szCs w:val="21"/>
                <w:lang w:val="zh-CN"/>
              </w:rPr>
            </w:pPr>
            <w:r>
              <w:rPr>
                <w:color w:val="000000"/>
                <w:kern w:val="0"/>
                <w:szCs w:val="21"/>
                <w:lang w:bidi="ar"/>
              </w:rPr>
              <w:t>污泥池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widowControl/>
              <w:jc w:val="center"/>
              <w:textAlignment w:val="center"/>
              <w:rPr>
                <w:kern w:val="0"/>
                <w:szCs w:val="21"/>
              </w:rPr>
            </w:pPr>
            <w:r>
              <w:rPr>
                <w:rFonts w:hint="eastAsia"/>
                <w:kern w:val="0"/>
                <w:szCs w:val="21"/>
              </w:rPr>
              <w:t>3</w:t>
            </w:r>
            <w:r>
              <w:rPr>
                <w:kern w:val="0"/>
                <w:szCs w:val="21"/>
              </w:rPr>
              <w:t>0</w:t>
            </w:r>
          </w:p>
        </w:tc>
        <w:tc>
          <w:tcPr>
            <w:tcW w:w="1131" w:type="pct"/>
            <w:vAlign w:val="center"/>
          </w:tcPr>
          <w:p>
            <w:pPr>
              <w:widowControl/>
              <w:jc w:val="center"/>
              <w:textAlignment w:val="center"/>
              <w:rPr>
                <w:kern w:val="0"/>
                <w:szCs w:val="21"/>
              </w:rPr>
            </w:pPr>
            <w:r>
              <w:rPr>
                <w:color w:val="000000"/>
                <w:kern w:val="0"/>
                <w:szCs w:val="21"/>
                <w:lang w:bidi="ar"/>
              </w:rPr>
              <w:t>潜污泵</w:t>
            </w:r>
          </w:p>
        </w:tc>
        <w:tc>
          <w:tcPr>
            <w:tcW w:w="1226" w:type="pct"/>
            <w:vAlign w:val="center"/>
          </w:tcPr>
          <w:p>
            <w:pPr>
              <w:widowControl/>
              <w:jc w:val="center"/>
              <w:textAlignment w:val="center"/>
              <w:rPr>
                <w:kern w:val="0"/>
                <w:szCs w:val="21"/>
              </w:rPr>
            </w:pPr>
            <w:r>
              <w:t>50WQ/E30-14-2.2</w:t>
            </w:r>
          </w:p>
        </w:tc>
        <w:tc>
          <w:tcPr>
            <w:tcW w:w="889" w:type="pct"/>
            <w:vAlign w:val="center"/>
          </w:tcPr>
          <w:p>
            <w:pPr>
              <w:widowControl/>
              <w:jc w:val="center"/>
              <w:textAlignment w:val="center"/>
              <w:rPr>
                <w:kern w:val="0"/>
                <w:szCs w:val="21"/>
              </w:rPr>
            </w:pPr>
            <w:r>
              <w:rPr>
                <w:rFonts w:hint="eastAsia"/>
                <w:kern w:val="0"/>
                <w:szCs w:val="21"/>
              </w:rPr>
              <w:t>/</w:t>
            </w:r>
          </w:p>
        </w:tc>
        <w:tc>
          <w:tcPr>
            <w:tcW w:w="816" w:type="pct"/>
            <w:vAlign w:val="center"/>
          </w:tcPr>
          <w:p>
            <w:pPr>
              <w:jc w:val="center"/>
              <w:textAlignment w:val="center"/>
              <w:rPr>
                <w:kern w:val="0"/>
                <w:szCs w:val="21"/>
              </w:rPr>
            </w:pPr>
            <w:r>
              <w:rPr>
                <w:color w:val="000000"/>
                <w:szCs w:val="21"/>
              </w:rPr>
              <w:t>1</w:t>
            </w:r>
          </w:p>
        </w:tc>
        <w:tc>
          <w:tcPr>
            <w:tcW w:w="615" w:type="pct"/>
            <w:vMerge w:val="continue"/>
            <w:vAlign w:val="center"/>
          </w:tcPr>
          <w:p>
            <w:pPr>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widowControl/>
              <w:jc w:val="center"/>
              <w:rPr>
                <w:rFonts w:eastAsia="等线"/>
                <w:sz w:val="22"/>
              </w:rPr>
            </w:pPr>
            <w:r>
              <w:rPr>
                <w:rFonts w:hint="eastAsia" w:eastAsia="等线"/>
                <w:sz w:val="22"/>
              </w:rPr>
              <w:t>3</w:t>
            </w:r>
            <w:r>
              <w:rPr>
                <w:rFonts w:eastAsia="等线"/>
                <w:sz w:val="22"/>
              </w:rPr>
              <w:t>1</w:t>
            </w:r>
          </w:p>
        </w:tc>
        <w:tc>
          <w:tcPr>
            <w:tcW w:w="1131" w:type="pct"/>
            <w:vAlign w:val="center"/>
          </w:tcPr>
          <w:p>
            <w:pPr>
              <w:widowControl/>
              <w:jc w:val="center"/>
              <w:textAlignment w:val="center"/>
              <w:rPr>
                <w:szCs w:val="21"/>
              </w:rPr>
            </w:pPr>
            <w:r>
              <w:rPr>
                <w:color w:val="000000"/>
                <w:kern w:val="0"/>
                <w:szCs w:val="21"/>
                <w:lang w:bidi="ar"/>
              </w:rPr>
              <w:t>叠螺污泥脱水机</w:t>
            </w:r>
          </w:p>
        </w:tc>
        <w:tc>
          <w:tcPr>
            <w:tcW w:w="1226" w:type="pct"/>
            <w:vAlign w:val="center"/>
          </w:tcPr>
          <w:p>
            <w:pPr>
              <w:widowControl/>
              <w:jc w:val="center"/>
              <w:textAlignment w:val="center"/>
              <w:rPr>
                <w:kern w:val="0"/>
                <w:szCs w:val="21"/>
              </w:rPr>
            </w:pPr>
            <w:r>
              <w:rPr>
                <w:color w:val="000000"/>
                <w:kern w:val="0"/>
                <w:szCs w:val="21"/>
                <w:lang w:bidi="ar"/>
              </w:rPr>
              <w:t>DL-402</w:t>
            </w:r>
          </w:p>
        </w:tc>
        <w:tc>
          <w:tcPr>
            <w:tcW w:w="889" w:type="pct"/>
            <w:vAlign w:val="center"/>
          </w:tcPr>
          <w:p>
            <w:pPr>
              <w:widowControl/>
              <w:jc w:val="center"/>
              <w:textAlignment w:val="center"/>
              <w:rPr>
                <w:kern w:val="0"/>
                <w:szCs w:val="21"/>
              </w:rPr>
            </w:pPr>
            <w:r>
              <w:rPr>
                <w:rFonts w:hint="eastAsia"/>
                <w:kern w:val="0"/>
                <w:szCs w:val="21"/>
              </w:rPr>
              <w:t>/</w:t>
            </w:r>
          </w:p>
        </w:tc>
        <w:tc>
          <w:tcPr>
            <w:tcW w:w="816" w:type="pct"/>
            <w:vAlign w:val="center"/>
          </w:tcPr>
          <w:p>
            <w:pPr>
              <w:jc w:val="center"/>
              <w:rPr>
                <w:kern w:val="0"/>
                <w:szCs w:val="21"/>
              </w:rPr>
            </w:pPr>
            <w:r>
              <w:rPr>
                <w:color w:val="000000"/>
                <w:kern w:val="0"/>
                <w:szCs w:val="21"/>
                <w:lang w:bidi="ar"/>
              </w:rPr>
              <w:t>1</w:t>
            </w:r>
          </w:p>
        </w:tc>
        <w:tc>
          <w:tcPr>
            <w:tcW w:w="615" w:type="pct"/>
            <w:vMerge w:val="restart"/>
            <w:vAlign w:val="center"/>
          </w:tcPr>
          <w:p>
            <w:pPr>
              <w:jc w:val="center"/>
              <w:rPr>
                <w:szCs w:val="21"/>
                <w:lang w:val="zh-CN"/>
              </w:rPr>
            </w:pPr>
            <w:r>
              <w:rPr>
                <w:color w:val="000000"/>
                <w:kern w:val="0"/>
                <w:szCs w:val="21"/>
                <w:lang w:bidi="ar"/>
              </w:rPr>
              <w:t>污泥处理系统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widowControl/>
              <w:jc w:val="center"/>
              <w:rPr>
                <w:rFonts w:eastAsia="等线"/>
                <w:sz w:val="22"/>
              </w:rPr>
            </w:pPr>
            <w:r>
              <w:rPr>
                <w:rFonts w:hint="eastAsia" w:eastAsia="等线"/>
                <w:sz w:val="22"/>
              </w:rPr>
              <w:t>3</w:t>
            </w:r>
            <w:r>
              <w:rPr>
                <w:rFonts w:eastAsia="等线"/>
                <w:sz w:val="22"/>
              </w:rPr>
              <w:t>2</w:t>
            </w:r>
          </w:p>
        </w:tc>
        <w:tc>
          <w:tcPr>
            <w:tcW w:w="1131" w:type="pct"/>
            <w:vAlign w:val="center"/>
          </w:tcPr>
          <w:p>
            <w:pPr>
              <w:widowControl/>
              <w:jc w:val="center"/>
              <w:textAlignment w:val="center"/>
              <w:rPr>
                <w:szCs w:val="21"/>
              </w:rPr>
            </w:pPr>
            <w:r>
              <w:rPr>
                <w:kern w:val="0"/>
                <w:szCs w:val="21"/>
                <w:lang w:bidi="ar"/>
              </w:rPr>
              <w:t>PAM自动泡药机</w:t>
            </w:r>
          </w:p>
        </w:tc>
        <w:tc>
          <w:tcPr>
            <w:tcW w:w="1226" w:type="pct"/>
            <w:vAlign w:val="center"/>
          </w:tcPr>
          <w:p>
            <w:pPr>
              <w:widowControl/>
              <w:jc w:val="center"/>
              <w:textAlignment w:val="center"/>
              <w:rPr>
                <w:kern w:val="0"/>
                <w:szCs w:val="21"/>
              </w:rPr>
            </w:pPr>
            <w:r>
              <w:rPr>
                <w:rFonts w:hint="eastAsia"/>
                <w:color w:val="000000"/>
                <w:kern w:val="0"/>
                <w:szCs w:val="21"/>
                <w:lang w:bidi="ar"/>
              </w:rPr>
              <w:t>2.0m³</w:t>
            </w:r>
          </w:p>
        </w:tc>
        <w:tc>
          <w:tcPr>
            <w:tcW w:w="889" w:type="pct"/>
            <w:vAlign w:val="center"/>
          </w:tcPr>
          <w:p>
            <w:pPr>
              <w:widowControl/>
              <w:jc w:val="center"/>
              <w:textAlignment w:val="center"/>
              <w:rPr>
                <w:kern w:val="0"/>
                <w:szCs w:val="21"/>
              </w:rPr>
            </w:pPr>
            <w:r>
              <w:rPr>
                <w:rFonts w:hint="eastAsia"/>
                <w:szCs w:val="21"/>
              </w:rPr>
              <w:t>SS304</w:t>
            </w:r>
          </w:p>
        </w:tc>
        <w:tc>
          <w:tcPr>
            <w:tcW w:w="816" w:type="pct"/>
            <w:vAlign w:val="center"/>
          </w:tcPr>
          <w:p>
            <w:pPr>
              <w:jc w:val="center"/>
              <w:rPr>
                <w:kern w:val="0"/>
                <w:szCs w:val="21"/>
              </w:rPr>
            </w:pPr>
            <w:r>
              <w:rPr>
                <w:color w:val="000000"/>
                <w:kern w:val="0"/>
                <w:szCs w:val="21"/>
                <w:lang w:bidi="ar"/>
              </w:rPr>
              <w:t>1</w:t>
            </w:r>
          </w:p>
        </w:tc>
        <w:tc>
          <w:tcPr>
            <w:tcW w:w="615" w:type="pct"/>
            <w:vMerge w:val="continue"/>
            <w:vAlign w:val="center"/>
          </w:tcPr>
          <w:p>
            <w:pPr>
              <w:jc w:val="center"/>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323" w:type="pct"/>
            <w:vAlign w:val="center"/>
          </w:tcPr>
          <w:p>
            <w:pPr>
              <w:widowControl/>
              <w:jc w:val="center"/>
              <w:textAlignment w:val="center"/>
              <w:rPr>
                <w:kern w:val="0"/>
                <w:szCs w:val="21"/>
              </w:rPr>
            </w:pPr>
            <w:r>
              <w:rPr>
                <w:rFonts w:hint="eastAsia"/>
                <w:kern w:val="0"/>
                <w:szCs w:val="21"/>
              </w:rPr>
              <w:t>3</w:t>
            </w:r>
            <w:r>
              <w:rPr>
                <w:kern w:val="0"/>
                <w:szCs w:val="21"/>
              </w:rPr>
              <w:t>3</w:t>
            </w:r>
          </w:p>
        </w:tc>
        <w:tc>
          <w:tcPr>
            <w:tcW w:w="1131" w:type="pct"/>
            <w:vAlign w:val="center"/>
          </w:tcPr>
          <w:p>
            <w:pPr>
              <w:widowControl/>
              <w:jc w:val="center"/>
              <w:textAlignment w:val="center"/>
              <w:rPr>
                <w:kern w:val="0"/>
                <w:szCs w:val="21"/>
              </w:rPr>
            </w:pPr>
            <w:r>
              <w:rPr>
                <w:color w:val="000000"/>
                <w:kern w:val="0"/>
                <w:szCs w:val="21"/>
                <w:lang w:bidi="ar"/>
              </w:rPr>
              <w:t>加药泵</w:t>
            </w:r>
          </w:p>
        </w:tc>
        <w:tc>
          <w:tcPr>
            <w:tcW w:w="1226" w:type="pct"/>
            <w:vAlign w:val="center"/>
          </w:tcPr>
          <w:p>
            <w:pPr>
              <w:widowControl/>
              <w:jc w:val="center"/>
              <w:textAlignment w:val="center"/>
              <w:rPr>
                <w:kern w:val="0"/>
                <w:szCs w:val="21"/>
              </w:rPr>
            </w:pPr>
            <w:r>
              <w:rPr>
                <w:color w:val="000000"/>
                <w:sz w:val="20"/>
                <w:shd w:val="clear" w:color="auto" w:fill="FFFFFF"/>
              </w:rPr>
              <w:t>CDL2-20</w:t>
            </w:r>
          </w:p>
        </w:tc>
        <w:tc>
          <w:tcPr>
            <w:tcW w:w="889" w:type="pct"/>
            <w:vAlign w:val="center"/>
          </w:tcPr>
          <w:p>
            <w:pPr>
              <w:widowControl/>
              <w:jc w:val="center"/>
              <w:textAlignment w:val="center"/>
              <w:rPr>
                <w:kern w:val="0"/>
                <w:szCs w:val="21"/>
              </w:rPr>
            </w:pPr>
            <w:r>
              <w:rPr>
                <w:rFonts w:hint="eastAsia"/>
                <w:kern w:val="0"/>
                <w:szCs w:val="21"/>
              </w:rPr>
              <w:t>/</w:t>
            </w:r>
          </w:p>
        </w:tc>
        <w:tc>
          <w:tcPr>
            <w:tcW w:w="816" w:type="pct"/>
            <w:vAlign w:val="center"/>
          </w:tcPr>
          <w:p>
            <w:pPr>
              <w:jc w:val="center"/>
              <w:textAlignment w:val="center"/>
              <w:rPr>
                <w:kern w:val="0"/>
                <w:szCs w:val="21"/>
              </w:rPr>
            </w:pPr>
            <w:r>
              <w:rPr>
                <w:color w:val="000000"/>
                <w:kern w:val="0"/>
                <w:szCs w:val="21"/>
                <w:lang w:bidi="ar"/>
              </w:rPr>
              <w:t>2</w:t>
            </w:r>
            <w:r>
              <w:rPr>
                <w:rFonts w:hint="eastAsia"/>
                <w:color w:val="000000"/>
                <w:kern w:val="0"/>
                <w:szCs w:val="21"/>
                <w:lang w:bidi="ar"/>
              </w:rPr>
              <w:t>（1用1备）</w:t>
            </w:r>
          </w:p>
        </w:tc>
        <w:tc>
          <w:tcPr>
            <w:tcW w:w="615" w:type="pct"/>
            <w:vMerge w:val="continue"/>
            <w:vAlign w:val="center"/>
          </w:tcPr>
          <w:p>
            <w:pPr>
              <w:jc w:val="center"/>
              <w:rPr>
                <w:szCs w:val="21"/>
                <w:lang w:val="zh-CN"/>
              </w:rPr>
            </w:pPr>
          </w:p>
        </w:tc>
      </w:tr>
    </w:tbl>
    <w:p>
      <w:pPr>
        <w:spacing w:line="360" w:lineRule="auto"/>
        <w:ind w:firstLine="480" w:firstLineChars="200"/>
        <w:jc w:val="left"/>
        <w:rPr>
          <w:rFonts w:ascii="Calibri" w:hAnsi="Calibri"/>
          <w:kern w:val="0"/>
          <w:sz w:val="24"/>
          <w:highlight w:val="yellow"/>
        </w:rPr>
      </w:pPr>
    </w:p>
    <w:p>
      <w:pPr>
        <w:keepNext/>
        <w:keepLines/>
        <w:spacing w:line="520" w:lineRule="exact"/>
        <w:outlineLvl w:val="2"/>
        <w:rPr>
          <w:rFonts w:eastAsia="黑体"/>
          <w:bCs/>
          <w:sz w:val="28"/>
          <w:szCs w:val="28"/>
        </w:rPr>
      </w:pPr>
      <w:r>
        <w:rPr>
          <w:rFonts w:eastAsia="黑体"/>
          <w:bCs/>
          <w:sz w:val="28"/>
          <w:szCs w:val="28"/>
        </w:rPr>
        <w:t>3.1.6 公用工程</w:t>
      </w:r>
    </w:p>
    <w:p>
      <w:pPr>
        <w:spacing w:line="500" w:lineRule="exact"/>
        <w:outlineLvl w:val="3"/>
        <w:rPr>
          <w:b/>
          <w:bCs/>
          <w:sz w:val="24"/>
          <w:szCs w:val="24"/>
        </w:rPr>
      </w:pPr>
      <w:r>
        <w:rPr>
          <w:b/>
          <w:bCs/>
          <w:sz w:val="24"/>
          <w:szCs w:val="24"/>
        </w:rPr>
        <w:t xml:space="preserve">3.1.6.1 </w:t>
      </w:r>
      <w:r>
        <w:rPr>
          <w:rFonts w:hint="eastAsia"/>
          <w:b/>
          <w:bCs/>
          <w:sz w:val="24"/>
          <w:szCs w:val="24"/>
        </w:rPr>
        <w:t>给、</w:t>
      </w:r>
      <w:r>
        <w:rPr>
          <w:b/>
          <w:bCs/>
          <w:sz w:val="24"/>
          <w:szCs w:val="24"/>
        </w:rPr>
        <w:t>排水</w:t>
      </w:r>
    </w:p>
    <w:p>
      <w:pPr>
        <w:spacing w:line="520" w:lineRule="exact"/>
        <w:ind w:firstLine="480" w:firstLineChars="200"/>
        <w:rPr>
          <w:sz w:val="24"/>
          <w:szCs w:val="24"/>
        </w:rPr>
      </w:pPr>
      <w:r>
        <w:rPr>
          <w:sz w:val="24"/>
          <w:szCs w:val="24"/>
        </w:rPr>
        <w:t>本工程建成营运后，生活用水由</w:t>
      </w:r>
      <w:r>
        <w:rPr>
          <w:rFonts w:hint="eastAsia"/>
          <w:sz w:val="24"/>
          <w:szCs w:val="24"/>
        </w:rPr>
        <w:t>市政自来水</w:t>
      </w:r>
      <w:r>
        <w:rPr>
          <w:sz w:val="24"/>
          <w:szCs w:val="24"/>
        </w:rPr>
        <w:t>供给</w:t>
      </w:r>
      <w:r>
        <w:rPr>
          <w:rFonts w:hint="eastAsia"/>
          <w:sz w:val="24"/>
          <w:szCs w:val="24"/>
        </w:rPr>
        <w:t>。</w:t>
      </w:r>
      <w:r>
        <w:rPr>
          <w:rFonts w:hint="eastAsia"/>
          <w:bCs/>
          <w:sz w:val="24"/>
          <w:szCs w:val="24"/>
        </w:rPr>
        <w:t>入驻企业产生的废水排入污水处理站（格栅+集水池+超微过滤机+初沉池+调节池+水解酸化池+厌氧池+缺氧池+好氧池+二沉池+三沉池）处理，达标后排入原阳县产业集聚区污水处理厂进一步处理，</w:t>
      </w:r>
      <w:r>
        <w:rPr>
          <w:rFonts w:hint="eastAsia"/>
          <w:sz w:val="24"/>
          <w:szCs w:val="24"/>
        </w:rPr>
        <w:t>达标后排入东关排，最终汇入文岩渠。项目水平衡图如下。</w:t>
      </w:r>
    </w:p>
    <w:p/>
    <w:p>
      <w:r>
        <w:object>
          <v:shape id="_x0000_i1025" o:spt="75" alt="" type="#_x0000_t75" style="height:56.35pt;width:439.55pt;" o:ole="t" filled="f" o:preferrelative="t" stroked="f" coordsize="21600,21600">
            <v:path/>
            <v:fill on="f" focussize="0,0"/>
            <v:stroke on="f"/>
            <v:imagedata r:id="rId43" o:title=""/>
            <o:lock v:ext="edit" aspectratio="t"/>
            <w10:wrap type="none"/>
            <w10:anchorlock/>
          </v:shape>
          <o:OLEObject Type="Embed" ProgID="Visio.Drawing.15" ShapeID="_x0000_i1025" DrawAspect="Content" ObjectID="_1468075725" r:id="rId42">
            <o:LockedField>false</o:LockedField>
          </o:OLEObject>
        </w:object>
      </w:r>
    </w:p>
    <w:p>
      <w:pPr>
        <w:jc w:val="center"/>
        <w:rPr>
          <w:rFonts w:ascii="宋体" w:hAnsi="Courier New" w:cs="Courier New"/>
        </w:rPr>
      </w:pPr>
      <w:r>
        <w:rPr>
          <w:rFonts w:eastAsia="黑体"/>
          <w:color w:val="000000"/>
          <w:sz w:val="24"/>
        </w:rPr>
        <w:t xml:space="preserve">图3.1-1      </w:t>
      </w:r>
      <w:r>
        <w:rPr>
          <w:rFonts w:hint="eastAsia" w:eastAsia="黑体"/>
          <w:color w:val="000000"/>
          <w:sz w:val="24"/>
        </w:rPr>
        <w:t xml:space="preserve">本项目水平衡图 </w:t>
      </w:r>
      <w:r>
        <w:rPr>
          <w:rFonts w:eastAsia="黑体"/>
          <w:color w:val="000000"/>
          <w:sz w:val="24"/>
        </w:rPr>
        <w:t xml:space="preserve">     </w:t>
      </w:r>
      <w:r>
        <w:rPr>
          <w:rFonts w:hint="eastAsia" w:eastAsia="黑体"/>
          <w:color w:val="000000"/>
          <w:sz w:val="24"/>
        </w:rPr>
        <w:t>单位：m</w:t>
      </w:r>
      <w:r>
        <w:rPr>
          <w:rFonts w:eastAsia="黑体"/>
          <w:color w:val="000000"/>
          <w:sz w:val="24"/>
          <w:vertAlign w:val="superscript"/>
        </w:rPr>
        <w:t>3</w:t>
      </w:r>
      <w:r>
        <w:rPr>
          <w:rFonts w:eastAsia="黑体"/>
          <w:color w:val="000000"/>
          <w:sz w:val="24"/>
        </w:rPr>
        <w:t>/d</w:t>
      </w:r>
    </w:p>
    <w:p>
      <w:pPr>
        <w:spacing w:line="500" w:lineRule="exact"/>
        <w:outlineLvl w:val="3"/>
        <w:rPr>
          <w:b/>
          <w:bCs/>
          <w:sz w:val="24"/>
          <w:szCs w:val="24"/>
        </w:rPr>
      </w:pPr>
      <w:r>
        <w:rPr>
          <w:b/>
          <w:bCs/>
          <w:sz w:val="24"/>
          <w:szCs w:val="24"/>
        </w:rPr>
        <w:t>3.1.6.2 供电</w:t>
      </w:r>
    </w:p>
    <w:p>
      <w:pPr>
        <w:spacing w:line="540" w:lineRule="exact"/>
        <w:ind w:firstLine="520" w:firstLineChars="200"/>
        <w:rPr>
          <w:spacing w:val="10"/>
          <w:sz w:val="24"/>
          <w:szCs w:val="24"/>
          <w:highlight w:val="yellow"/>
        </w:rPr>
      </w:pPr>
      <w:r>
        <w:rPr>
          <w:spacing w:val="10"/>
          <w:sz w:val="24"/>
          <w:szCs w:val="24"/>
        </w:rPr>
        <w:t>本次工程采用园区用电，拟在厂区内设置2台1000KVA变压器，负责本次工程用电负荷供电。</w:t>
      </w:r>
      <w:r>
        <w:rPr>
          <w:rFonts w:hint="eastAsia"/>
          <w:spacing w:val="10"/>
          <w:sz w:val="24"/>
          <w:szCs w:val="24"/>
        </w:rPr>
        <w:t>变配电所的高压系统采用单母线分段：两路电源互为备用。在变压器停运时可通过母线联络开关进行负荷连接。消防负荷和其他二级负荷均采用引自变配电所不同变压器母线段的两路低压回路供电，最末一级配电箱自动切换。</w:t>
      </w:r>
    </w:p>
    <w:p>
      <w:pPr>
        <w:spacing w:line="540" w:lineRule="exact"/>
        <w:ind w:firstLine="480" w:firstLineChars="200"/>
        <w:rPr>
          <w:sz w:val="24"/>
          <w:szCs w:val="24"/>
        </w:rPr>
      </w:pPr>
      <w:r>
        <w:rPr>
          <w:rFonts w:hint="eastAsia"/>
          <w:sz w:val="24"/>
          <w:szCs w:val="24"/>
        </w:rPr>
        <w:t>变配电所配置：</w:t>
      </w:r>
    </w:p>
    <w:p>
      <w:pPr>
        <w:spacing w:line="540" w:lineRule="exact"/>
        <w:ind w:firstLine="480" w:firstLineChars="200"/>
        <w:rPr>
          <w:sz w:val="24"/>
          <w:szCs w:val="24"/>
        </w:rPr>
      </w:pPr>
      <w:r>
        <w:rPr>
          <w:rFonts w:hint="eastAsia"/>
          <w:sz w:val="24"/>
          <w:szCs w:val="24"/>
        </w:rPr>
        <w:t>1）高压开关柜采用微机综合保护装置。</w:t>
      </w:r>
    </w:p>
    <w:p>
      <w:pPr>
        <w:spacing w:line="540" w:lineRule="exact"/>
        <w:ind w:firstLine="480" w:firstLineChars="200"/>
        <w:rPr>
          <w:sz w:val="24"/>
          <w:szCs w:val="24"/>
        </w:rPr>
      </w:pPr>
      <w:r>
        <w:rPr>
          <w:rFonts w:hint="eastAsia"/>
          <w:sz w:val="24"/>
          <w:szCs w:val="24"/>
        </w:rPr>
        <w:t>电源进线开关采用过流、速断、零序保护；变压器出线采用过流、速断、零序保护；变压器设高温报警、超温跳闸等保护。</w:t>
      </w:r>
    </w:p>
    <w:p>
      <w:pPr>
        <w:spacing w:line="540" w:lineRule="exact"/>
        <w:ind w:firstLine="480" w:firstLineChars="200"/>
        <w:rPr>
          <w:highlight w:val="yellow"/>
        </w:rPr>
      </w:pPr>
      <w:r>
        <w:rPr>
          <w:rFonts w:hint="eastAsia"/>
          <w:sz w:val="24"/>
          <w:szCs w:val="24"/>
        </w:rPr>
        <w:t>2）高压设独立高压计量专用柜；低压设总计量，并在低压屏按不同负荷类别分别计量。</w:t>
      </w:r>
    </w:p>
    <w:p>
      <w:pPr>
        <w:keepNext/>
        <w:keepLines/>
        <w:spacing w:line="520" w:lineRule="exact"/>
        <w:outlineLvl w:val="2"/>
        <w:rPr>
          <w:rFonts w:eastAsia="黑体"/>
          <w:bCs/>
          <w:sz w:val="28"/>
          <w:szCs w:val="28"/>
        </w:rPr>
      </w:pPr>
      <w:r>
        <w:rPr>
          <w:rFonts w:eastAsia="黑体"/>
          <w:bCs/>
          <w:sz w:val="28"/>
          <w:szCs w:val="28"/>
        </w:rPr>
        <w:t>3.1.7</w:t>
      </w:r>
      <w:r>
        <w:rPr>
          <w:rFonts w:hint="eastAsia" w:eastAsia="黑体"/>
          <w:bCs/>
          <w:sz w:val="28"/>
          <w:szCs w:val="28"/>
        </w:rPr>
        <w:t>污水处理站</w:t>
      </w:r>
    </w:p>
    <w:p>
      <w:pPr>
        <w:spacing w:line="500" w:lineRule="exact"/>
        <w:outlineLvl w:val="3"/>
        <w:rPr>
          <w:b/>
          <w:bCs/>
          <w:sz w:val="24"/>
          <w:szCs w:val="24"/>
        </w:rPr>
      </w:pPr>
      <w:r>
        <w:rPr>
          <w:rFonts w:hint="eastAsia"/>
          <w:b/>
          <w:bCs/>
          <w:sz w:val="24"/>
          <w:szCs w:val="24"/>
        </w:rPr>
        <w:t>3</w:t>
      </w:r>
      <w:r>
        <w:rPr>
          <w:b/>
          <w:bCs/>
          <w:sz w:val="24"/>
          <w:szCs w:val="24"/>
        </w:rPr>
        <w:t xml:space="preserve">.1.7.1 </w:t>
      </w:r>
      <w:r>
        <w:rPr>
          <w:rFonts w:hint="eastAsia"/>
          <w:b/>
          <w:bCs/>
          <w:sz w:val="24"/>
          <w:szCs w:val="24"/>
        </w:rPr>
        <w:t>污水处理站规模</w:t>
      </w:r>
    </w:p>
    <w:p>
      <w:pPr>
        <w:spacing w:line="540" w:lineRule="exact"/>
        <w:ind w:firstLine="480" w:firstLineChars="200"/>
        <w:outlineLvl w:val="4"/>
        <w:rPr>
          <w:sz w:val="24"/>
          <w:szCs w:val="24"/>
        </w:rPr>
      </w:pPr>
      <w:r>
        <w:rPr>
          <w:rFonts w:hint="eastAsia"/>
          <w:sz w:val="24"/>
          <w:szCs w:val="24"/>
        </w:rPr>
        <w:t>一、服务范围</w:t>
      </w:r>
    </w:p>
    <w:p>
      <w:pPr>
        <w:spacing w:line="540" w:lineRule="exact"/>
        <w:ind w:firstLine="480" w:firstLineChars="200"/>
        <w:rPr>
          <w:sz w:val="24"/>
          <w:szCs w:val="24"/>
        </w:rPr>
      </w:pPr>
      <w:r>
        <w:rPr>
          <w:rFonts w:hint="eastAsia"/>
          <w:bCs/>
          <w:sz w:val="24"/>
          <w:szCs w:val="24"/>
        </w:rPr>
        <w:t>本次废水处理站主要服务于各进驻预制菜创新孵化园的企业</w:t>
      </w:r>
      <w:r>
        <w:rPr>
          <w:bCs/>
          <w:sz w:val="24"/>
          <w:szCs w:val="24"/>
        </w:rPr>
        <w:t>，</w:t>
      </w:r>
      <w:r>
        <w:rPr>
          <w:rFonts w:hint="eastAsia"/>
          <w:bCs/>
          <w:sz w:val="24"/>
          <w:szCs w:val="24"/>
        </w:rPr>
        <w:t>该产业园</w:t>
      </w:r>
      <w:r>
        <w:rPr>
          <w:bCs/>
          <w:sz w:val="24"/>
          <w:szCs w:val="24"/>
        </w:rPr>
        <w:t>规划总面积114.45</w:t>
      </w:r>
      <w:r>
        <w:rPr>
          <w:rFonts w:hint="eastAsia"/>
          <w:bCs/>
          <w:sz w:val="24"/>
          <w:szCs w:val="24"/>
        </w:rPr>
        <w:t>亩（约</w:t>
      </w:r>
      <w:r>
        <w:rPr>
          <w:bCs/>
          <w:sz w:val="24"/>
          <w:szCs w:val="24"/>
        </w:rPr>
        <w:t>76300平方米</w:t>
      </w:r>
      <w:r>
        <w:rPr>
          <w:rFonts w:hint="eastAsia"/>
          <w:bCs/>
          <w:sz w:val="24"/>
          <w:szCs w:val="24"/>
        </w:rPr>
        <w:t>）</w:t>
      </w:r>
      <w:r>
        <w:rPr>
          <w:bCs/>
          <w:sz w:val="24"/>
          <w:szCs w:val="24"/>
        </w:rPr>
        <w:t>。</w:t>
      </w:r>
    </w:p>
    <w:p>
      <w:pPr>
        <w:spacing w:line="540" w:lineRule="exact"/>
        <w:ind w:firstLine="480" w:firstLineChars="200"/>
        <w:outlineLvl w:val="4"/>
        <w:rPr>
          <w:sz w:val="24"/>
          <w:szCs w:val="24"/>
        </w:rPr>
      </w:pPr>
      <w:r>
        <w:rPr>
          <w:rFonts w:hint="eastAsia"/>
          <w:sz w:val="24"/>
          <w:szCs w:val="24"/>
        </w:rPr>
        <w:t>二、设计污水处理量</w:t>
      </w:r>
    </w:p>
    <w:p>
      <w:pPr>
        <w:spacing w:line="540" w:lineRule="exact"/>
        <w:ind w:firstLine="480" w:firstLineChars="200"/>
      </w:pPr>
      <w:r>
        <w:rPr>
          <w:rFonts w:hint="eastAsia"/>
          <w:bCs/>
          <w:sz w:val="24"/>
          <w:szCs w:val="24"/>
        </w:rPr>
        <w:t>本项目入驻的企业类型均主要为食品加工和预制菜生产加工企业及相关配套企业，根据</w:t>
      </w:r>
      <w:r>
        <w:rPr>
          <w:rFonts w:hint="eastAsia"/>
          <w:sz w:val="24"/>
          <w:szCs w:val="24"/>
        </w:rPr>
        <w:t>《</w:t>
      </w:r>
      <w:r>
        <w:rPr>
          <w:sz w:val="24"/>
          <w:szCs w:val="24"/>
        </w:rPr>
        <w:t>排放源统计调查产排污核算方法和系数手册</w:t>
      </w:r>
      <w:r>
        <w:rPr>
          <w:rFonts w:hint="eastAsia"/>
          <w:sz w:val="24"/>
          <w:szCs w:val="24"/>
        </w:rPr>
        <w:t>》</w:t>
      </w:r>
      <w:r>
        <w:rPr>
          <w:rFonts w:hint="eastAsia"/>
          <w:bCs/>
          <w:sz w:val="24"/>
          <w:szCs w:val="24"/>
        </w:rPr>
        <w:t>、《排污许可证申请与核发技术规范 食品制造工业-方便食品、食品及饲料添加剂制造工业》（H</w:t>
      </w:r>
      <w:r>
        <w:rPr>
          <w:bCs/>
          <w:sz w:val="24"/>
          <w:szCs w:val="24"/>
        </w:rPr>
        <w:t>J 1030.3-2019</w:t>
      </w:r>
      <w:r>
        <w:rPr>
          <w:rFonts w:hint="eastAsia"/>
          <w:bCs/>
          <w:sz w:val="24"/>
          <w:szCs w:val="24"/>
        </w:rPr>
        <w:t>）中单位产品排水量以及同类行业验收数据，核算拟入驻企业排水量，具体情况见下表。</w:t>
      </w:r>
    </w:p>
    <w:p>
      <w:pPr>
        <w:spacing w:line="520" w:lineRule="exact"/>
        <w:ind w:firstLine="480" w:firstLineChars="200"/>
        <w:rPr>
          <w:rFonts w:eastAsia="黑体"/>
          <w:sz w:val="24"/>
        </w:rPr>
      </w:pPr>
      <w:r>
        <w:rPr>
          <w:rFonts w:eastAsia="黑体"/>
          <w:sz w:val="24"/>
        </w:rPr>
        <w:t xml:space="preserve">表3.1-8     </w:t>
      </w:r>
      <w:r>
        <w:rPr>
          <w:rFonts w:hint="eastAsia" w:eastAsia="黑体"/>
          <w:sz w:val="24"/>
        </w:rPr>
        <w:t>本项目纳污范围内拟入驻企业排水情况一览</w:t>
      </w:r>
      <w:r>
        <w:rPr>
          <w:rFonts w:eastAsia="黑体"/>
          <w:sz w:val="24"/>
        </w:rPr>
        <w:t>表</w:t>
      </w:r>
    </w:p>
    <w:tbl>
      <w:tblPr>
        <w:tblStyle w:val="815"/>
        <w:tblW w:w="5000" w:type="pct"/>
        <w:tblInd w:w="0"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autofit"/>
        <w:tblCellMar>
          <w:top w:w="0" w:type="dxa"/>
          <w:left w:w="28" w:type="dxa"/>
          <w:bottom w:w="0" w:type="dxa"/>
          <w:right w:w="28" w:type="dxa"/>
        </w:tblCellMar>
      </w:tblPr>
      <w:tblGrid>
        <w:gridCol w:w="553"/>
        <w:gridCol w:w="1267"/>
        <w:gridCol w:w="2316"/>
        <w:gridCol w:w="3101"/>
        <w:gridCol w:w="906"/>
        <w:gridCol w:w="643"/>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rPr>
                <w:b/>
                <w:bCs/>
              </w:rPr>
            </w:pPr>
            <w:r>
              <w:rPr>
                <w:b/>
                <w:bCs/>
              </w:rPr>
              <w:t>序号</w:t>
            </w:r>
          </w:p>
        </w:tc>
        <w:tc>
          <w:tcPr>
            <w:tcW w:w="1256" w:type="dxa"/>
            <w:vAlign w:val="center"/>
          </w:tcPr>
          <w:p>
            <w:pPr>
              <w:jc w:val="center"/>
              <w:rPr>
                <w:b/>
                <w:bCs/>
              </w:rPr>
            </w:pPr>
            <w:r>
              <w:rPr>
                <w:rFonts w:hint="eastAsia"/>
                <w:b/>
                <w:bCs/>
              </w:rPr>
              <w:t>产品</w:t>
            </w:r>
          </w:p>
        </w:tc>
        <w:tc>
          <w:tcPr>
            <w:tcW w:w="2296" w:type="dxa"/>
            <w:vAlign w:val="center"/>
          </w:tcPr>
          <w:p>
            <w:pPr>
              <w:jc w:val="center"/>
              <w:rPr>
                <w:b/>
                <w:bCs/>
              </w:rPr>
            </w:pPr>
            <w:r>
              <w:rPr>
                <w:rFonts w:hint="eastAsia"/>
                <w:b/>
                <w:bCs/>
              </w:rPr>
              <w:t>规模（t/a）</w:t>
            </w:r>
          </w:p>
        </w:tc>
        <w:tc>
          <w:tcPr>
            <w:tcW w:w="3074" w:type="dxa"/>
            <w:vAlign w:val="center"/>
          </w:tcPr>
          <w:p>
            <w:pPr>
              <w:jc w:val="center"/>
              <w:rPr>
                <w:b/>
                <w:bCs/>
              </w:rPr>
            </w:pPr>
            <w:r>
              <w:rPr>
                <w:rFonts w:hint="eastAsia"/>
                <w:b/>
                <w:bCs/>
              </w:rPr>
              <w:t>核算方法</w:t>
            </w:r>
          </w:p>
        </w:tc>
        <w:tc>
          <w:tcPr>
            <w:tcW w:w="898" w:type="dxa"/>
            <w:vAlign w:val="center"/>
          </w:tcPr>
          <w:p>
            <w:pPr>
              <w:jc w:val="center"/>
              <w:rPr>
                <w:b/>
                <w:bCs/>
              </w:rPr>
            </w:pPr>
            <w:r>
              <w:rPr>
                <w:rFonts w:hint="eastAsia"/>
                <w:b/>
                <w:bCs/>
              </w:rPr>
              <w:t>排放量（m</w:t>
            </w:r>
            <w:r>
              <w:rPr>
                <w:b/>
                <w:bCs/>
                <w:vertAlign w:val="superscript"/>
              </w:rPr>
              <w:t>3</w:t>
            </w:r>
            <w:r>
              <w:rPr>
                <w:b/>
                <w:bCs/>
              </w:rPr>
              <w:t>/d</w:t>
            </w:r>
            <w:r>
              <w:rPr>
                <w:rFonts w:hint="eastAsia"/>
                <w:b/>
                <w:bCs/>
              </w:rPr>
              <w:t>）</w:t>
            </w:r>
          </w:p>
        </w:tc>
        <w:tc>
          <w:tcPr>
            <w:tcW w:w="637" w:type="dxa"/>
            <w:vAlign w:val="center"/>
          </w:tcPr>
          <w:p>
            <w:pPr>
              <w:jc w:val="center"/>
              <w:rPr>
                <w:b/>
                <w:bCs/>
              </w:rPr>
            </w:pPr>
            <w:r>
              <w:rPr>
                <w:rFonts w:hint="eastAsia"/>
                <w:b/>
                <w:bCs/>
              </w:rPr>
              <w:t>类别</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t>1</w:t>
            </w:r>
          </w:p>
        </w:tc>
        <w:tc>
          <w:tcPr>
            <w:tcW w:w="1256" w:type="dxa"/>
            <w:vAlign w:val="center"/>
          </w:tcPr>
          <w:p>
            <w:pPr>
              <w:jc w:val="center"/>
            </w:pPr>
            <w:r>
              <w:rPr>
                <w:rFonts w:hint="eastAsia"/>
              </w:rPr>
              <w:t>储存货物</w:t>
            </w:r>
          </w:p>
        </w:tc>
        <w:tc>
          <w:tcPr>
            <w:tcW w:w="2296" w:type="dxa"/>
            <w:vAlign w:val="center"/>
          </w:tcPr>
          <w:p>
            <w:pPr>
              <w:jc w:val="center"/>
            </w:pPr>
            <w:r>
              <w:rPr>
                <w:rFonts w:hint="eastAsia"/>
              </w:rPr>
              <w:t>3万t/a</w:t>
            </w:r>
          </w:p>
        </w:tc>
        <w:tc>
          <w:tcPr>
            <w:tcW w:w="3074" w:type="dxa"/>
            <w:vAlign w:val="center"/>
          </w:tcPr>
          <w:p>
            <w:pPr>
              <w:jc w:val="center"/>
            </w:pPr>
            <w:r>
              <w:rPr>
                <w:rFonts w:hint="eastAsia"/>
              </w:rPr>
              <w:t>车辆清洗废水5t/d</w:t>
            </w:r>
          </w:p>
        </w:tc>
        <w:tc>
          <w:tcPr>
            <w:tcW w:w="898" w:type="dxa"/>
            <w:vAlign w:val="center"/>
          </w:tcPr>
          <w:p>
            <w:pPr>
              <w:jc w:val="center"/>
            </w:pPr>
            <w:r>
              <w:rPr>
                <w:rFonts w:eastAsia="等线"/>
                <w:color w:val="000000"/>
              </w:rPr>
              <w:t>5</w:t>
            </w:r>
          </w:p>
        </w:tc>
        <w:tc>
          <w:tcPr>
            <w:tcW w:w="637" w:type="dxa"/>
            <w:vMerge w:val="restart"/>
            <w:vAlign w:val="center"/>
          </w:tcPr>
          <w:p>
            <w:pPr>
              <w:jc w:val="center"/>
            </w:pPr>
            <w:r>
              <w:rPr>
                <w:rFonts w:hint="eastAsia"/>
              </w:rPr>
              <w:t>生产废水</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t>2</w:t>
            </w:r>
          </w:p>
        </w:tc>
        <w:tc>
          <w:tcPr>
            <w:tcW w:w="1256" w:type="dxa"/>
            <w:vAlign w:val="center"/>
          </w:tcPr>
          <w:p>
            <w:pPr>
              <w:jc w:val="center"/>
            </w:pPr>
            <w:r>
              <w:rPr>
                <w:rFonts w:hint="eastAsia"/>
              </w:rPr>
              <w:t>蛋糕、面包类制品</w:t>
            </w:r>
          </w:p>
        </w:tc>
        <w:tc>
          <w:tcPr>
            <w:tcW w:w="2296" w:type="dxa"/>
            <w:vAlign w:val="center"/>
          </w:tcPr>
          <w:p>
            <w:pPr>
              <w:jc w:val="center"/>
            </w:pPr>
            <w:r>
              <w:rPr>
                <w:rFonts w:eastAsia="等线"/>
                <w:color w:val="000000"/>
              </w:rPr>
              <w:t>4500</w:t>
            </w:r>
            <w:r>
              <w:rPr>
                <w:rFonts w:hint="eastAsia" w:eastAsia="等线"/>
                <w:color w:val="000000"/>
              </w:rPr>
              <w:t>t/a</w:t>
            </w:r>
          </w:p>
        </w:tc>
        <w:tc>
          <w:tcPr>
            <w:tcW w:w="3074" w:type="dxa"/>
            <w:vAlign w:val="center"/>
          </w:tcPr>
          <w:p>
            <w:pPr>
              <w:jc w:val="center"/>
            </w:pPr>
            <w:r>
              <w:rPr>
                <w:rFonts w:hint="eastAsia"/>
              </w:rPr>
              <w:t>产污系数</w:t>
            </w:r>
            <w:r>
              <w:t>1.04t/</w:t>
            </w:r>
            <w:r>
              <w:rPr>
                <w:rFonts w:hint="eastAsia"/>
              </w:rPr>
              <w:t>t-</w:t>
            </w:r>
            <w:r>
              <w:t>产品</w:t>
            </w:r>
          </w:p>
        </w:tc>
        <w:tc>
          <w:tcPr>
            <w:tcW w:w="898" w:type="dxa"/>
            <w:vAlign w:val="center"/>
          </w:tcPr>
          <w:p>
            <w:pPr>
              <w:jc w:val="center"/>
            </w:pPr>
            <w:r>
              <w:rPr>
                <w:rFonts w:eastAsia="等线"/>
                <w:color w:val="000000"/>
              </w:rPr>
              <w:t>14.2</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t>3</w:t>
            </w:r>
          </w:p>
        </w:tc>
        <w:tc>
          <w:tcPr>
            <w:tcW w:w="1256" w:type="dxa"/>
            <w:vAlign w:val="center"/>
          </w:tcPr>
          <w:p>
            <w:pPr>
              <w:jc w:val="center"/>
            </w:pPr>
            <w:r>
              <w:rPr>
                <w:rFonts w:hint="eastAsia"/>
              </w:rPr>
              <w:t>调味料</w:t>
            </w:r>
          </w:p>
        </w:tc>
        <w:tc>
          <w:tcPr>
            <w:tcW w:w="2296" w:type="dxa"/>
            <w:vAlign w:val="center"/>
          </w:tcPr>
          <w:p>
            <w:pPr>
              <w:jc w:val="center"/>
            </w:pPr>
            <w:r>
              <w:t>半固态调味料5000</w:t>
            </w:r>
            <w:r>
              <w:rPr>
                <w:rFonts w:hint="eastAsia"/>
              </w:rPr>
              <w:t>t/a、</w:t>
            </w:r>
            <w:r>
              <w:t>固态调味料3000</w:t>
            </w:r>
            <w:r>
              <w:rPr>
                <w:rFonts w:hint="eastAsia"/>
              </w:rPr>
              <w:t>t/a、液态调味料</w:t>
            </w:r>
            <w:r>
              <w:t>5000</w:t>
            </w:r>
            <w:r>
              <w:rPr>
                <w:rFonts w:hint="eastAsia"/>
              </w:rPr>
              <w:t>t/a</w:t>
            </w:r>
          </w:p>
        </w:tc>
        <w:tc>
          <w:tcPr>
            <w:tcW w:w="3074" w:type="dxa"/>
            <w:vAlign w:val="center"/>
          </w:tcPr>
          <w:p>
            <w:pPr>
              <w:jc w:val="center"/>
            </w:pPr>
            <w:r>
              <w:rPr>
                <w:rFonts w:hint="eastAsia"/>
              </w:rPr>
              <w:t>产污系数</w:t>
            </w:r>
            <w:r>
              <w:t>半固态调味料6.0</w:t>
            </w:r>
            <w:r>
              <w:rPr>
                <w:rFonts w:hint="eastAsia"/>
              </w:rPr>
              <w:t>t/t-产品、</w:t>
            </w:r>
            <w:r>
              <w:t>固态调味料5.0</w:t>
            </w:r>
            <w:r>
              <w:rPr>
                <w:rFonts w:hint="eastAsia"/>
              </w:rPr>
              <w:t>t/t-产品、液态调味料4</w:t>
            </w:r>
            <w:r>
              <w:t>.0</w:t>
            </w:r>
            <w:r>
              <w:rPr>
                <w:rFonts w:hint="eastAsia"/>
              </w:rPr>
              <w:t>t/t-产品</w:t>
            </w:r>
          </w:p>
        </w:tc>
        <w:tc>
          <w:tcPr>
            <w:tcW w:w="898" w:type="dxa"/>
            <w:vAlign w:val="center"/>
          </w:tcPr>
          <w:p>
            <w:pPr>
              <w:jc w:val="center"/>
            </w:pPr>
            <w:r>
              <w:t>197</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t>4</w:t>
            </w:r>
          </w:p>
        </w:tc>
        <w:tc>
          <w:tcPr>
            <w:tcW w:w="1256" w:type="dxa"/>
            <w:vAlign w:val="center"/>
          </w:tcPr>
          <w:p>
            <w:pPr>
              <w:jc w:val="center"/>
            </w:pPr>
            <w:r>
              <w:rPr>
                <w:rFonts w:hint="eastAsia"/>
              </w:rPr>
              <w:t>速冻饺子</w:t>
            </w:r>
          </w:p>
        </w:tc>
        <w:tc>
          <w:tcPr>
            <w:tcW w:w="2296" w:type="dxa"/>
            <w:vAlign w:val="center"/>
          </w:tcPr>
          <w:p>
            <w:pPr>
              <w:jc w:val="center"/>
            </w:pPr>
            <w:r>
              <w:rPr>
                <w:rFonts w:eastAsia="等线"/>
                <w:color w:val="000000"/>
              </w:rPr>
              <w:t>3000</w:t>
            </w:r>
            <w:r>
              <w:rPr>
                <w:rFonts w:hint="eastAsia" w:eastAsia="等线"/>
                <w:color w:val="000000"/>
              </w:rPr>
              <w:t>t/a</w:t>
            </w:r>
          </w:p>
        </w:tc>
        <w:tc>
          <w:tcPr>
            <w:tcW w:w="3074" w:type="dxa"/>
            <w:vAlign w:val="center"/>
          </w:tcPr>
          <w:p>
            <w:pPr>
              <w:jc w:val="center"/>
            </w:pPr>
            <w:r>
              <w:rPr>
                <w:rFonts w:hint="eastAsia"/>
              </w:rPr>
              <w:t>产污系数</w:t>
            </w:r>
            <w:r>
              <w:t>5.59t/</w:t>
            </w:r>
            <w:r>
              <w:rPr>
                <w:rFonts w:hint="eastAsia"/>
              </w:rPr>
              <w:t>t-</w:t>
            </w:r>
            <w:r>
              <w:t>产品</w:t>
            </w:r>
          </w:p>
        </w:tc>
        <w:tc>
          <w:tcPr>
            <w:tcW w:w="898" w:type="dxa"/>
            <w:vAlign w:val="center"/>
          </w:tcPr>
          <w:p>
            <w:pPr>
              <w:jc w:val="center"/>
            </w:pPr>
            <w:r>
              <w:rPr>
                <w:rFonts w:eastAsia="等线"/>
                <w:color w:val="000000"/>
              </w:rPr>
              <w:t>50.8</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t>5</w:t>
            </w:r>
          </w:p>
        </w:tc>
        <w:tc>
          <w:tcPr>
            <w:tcW w:w="1256" w:type="dxa"/>
            <w:vAlign w:val="center"/>
          </w:tcPr>
          <w:p>
            <w:pPr>
              <w:jc w:val="center"/>
            </w:pPr>
            <w:r>
              <w:rPr>
                <w:rFonts w:hint="eastAsia"/>
              </w:rPr>
              <w:t>速冻汤圆</w:t>
            </w:r>
          </w:p>
        </w:tc>
        <w:tc>
          <w:tcPr>
            <w:tcW w:w="2296" w:type="dxa"/>
            <w:vAlign w:val="center"/>
          </w:tcPr>
          <w:p>
            <w:pPr>
              <w:jc w:val="center"/>
            </w:pPr>
            <w:r>
              <w:rPr>
                <w:rFonts w:eastAsia="等线"/>
                <w:color w:val="000000"/>
              </w:rPr>
              <w:t>5000</w:t>
            </w:r>
            <w:r>
              <w:rPr>
                <w:rFonts w:hint="eastAsia" w:eastAsia="等线"/>
                <w:color w:val="000000"/>
              </w:rPr>
              <w:t>t/a</w:t>
            </w:r>
          </w:p>
        </w:tc>
        <w:tc>
          <w:tcPr>
            <w:tcW w:w="3074" w:type="dxa"/>
            <w:vAlign w:val="center"/>
          </w:tcPr>
          <w:p>
            <w:pPr>
              <w:jc w:val="center"/>
            </w:pPr>
            <w:r>
              <w:rPr>
                <w:rFonts w:hint="eastAsia"/>
              </w:rPr>
              <w:t>产污系数</w:t>
            </w:r>
            <w:r>
              <w:t>1.64t/</w:t>
            </w:r>
            <w:r>
              <w:rPr>
                <w:rFonts w:hint="eastAsia"/>
              </w:rPr>
              <w:t>t-</w:t>
            </w:r>
            <w:r>
              <w:t>产品</w:t>
            </w:r>
          </w:p>
        </w:tc>
        <w:tc>
          <w:tcPr>
            <w:tcW w:w="898" w:type="dxa"/>
            <w:vAlign w:val="center"/>
          </w:tcPr>
          <w:p>
            <w:pPr>
              <w:jc w:val="center"/>
            </w:pPr>
            <w:r>
              <w:rPr>
                <w:rFonts w:eastAsia="等线"/>
                <w:color w:val="000000"/>
              </w:rPr>
              <w:t>24.8</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t>6</w:t>
            </w:r>
          </w:p>
        </w:tc>
        <w:tc>
          <w:tcPr>
            <w:tcW w:w="1256" w:type="dxa"/>
            <w:vAlign w:val="center"/>
          </w:tcPr>
          <w:p>
            <w:pPr>
              <w:jc w:val="center"/>
            </w:pPr>
            <w:r>
              <w:rPr>
                <w:rFonts w:hint="eastAsia"/>
              </w:rPr>
              <w:t>食用冰</w:t>
            </w:r>
          </w:p>
        </w:tc>
        <w:tc>
          <w:tcPr>
            <w:tcW w:w="2296" w:type="dxa"/>
            <w:vAlign w:val="center"/>
          </w:tcPr>
          <w:p>
            <w:pPr>
              <w:jc w:val="center"/>
            </w:pPr>
            <w:r>
              <w:rPr>
                <w:rFonts w:eastAsia="等线"/>
                <w:color w:val="000000"/>
              </w:rPr>
              <w:t>3000</w:t>
            </w:r>
            <w:r>
              <w:rPr>
                <w:rFonts w:hint="eastAsia" w:eastAsia="等线"/>
                <w:color w:val="000000"/>
              </w:rPr>
              <w:t>t/a</w:t>
            </w:r>
          </w:p>
        </w:tc>
        <w:tc>
          <w:tcPr>
            <w:tcW w:w="3074" w:type="dxa"/>
            <w:vAlign w:val="center"/>
          </w:tcPr>
          <w:p>
            <w:pPr>
              <w:jc w:val="center"/>
            </w:pPr>
            <w:r>
              <w:rPr>
                <w:rFonts w:hint="eastAsia"/>
              </w:rPr>
              <w:t>产污系数</w:t>
            </w:r>
            <w:r>
              <w:t>0.77t/</w:t>
            </w:r>
            <w:r>
              <w:rPr>
                <w:rFonts w:hint="eastAsia"/>
              </w:rPr>
              <w:t>t-</w:t>
            </w:r>
            <w:r>
              <w:t>产品</w:t>
            </w:r>
          </w:p>
        </w:tc>
        <w:tc>
          <w:tcPr>
            <w:tcW w:w="898" w:type="dxa"/>
            <w:vAlign w:val="center"/>
          </w:tcPr>
          <w:p>
            <w:pPr>
              <w:jc w:val="center"/>
            </w:pPr>
            <w:r>
              <w:rPr>
                <w:rFonts w:eastAsia="等线"/>
                <w:color w:val="000000"/>
              </w:rPr>
              <w:t>7.0</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t>7</w:t>
            </w:r>
          </w:p>
        </w:tc>
        <w:tc>
          <w:tcPr>
            <w:tcW w:w="1256" w:type="dxa"/>
            <w:vAlign w:val="center"/>
          </w:tcPr>
          <w:p>
            <w:pPr>
              <w:jc w:val="center"/>
            </w:pPr>
            <w:r>
              <w:rPr>
                <w:rFonts w:hint="eastAsia"/>
              </w:rPr>
              <w:t>预制菜肴</w:t>
            </w:r>
          </w:p>
        </w:tc>
        <w:tc>
          <w:tcPr>
            <w:tcW w:w="2296" w:type="dxa"/>
            <w:vAlign w:val="center"/>
          </w:tcPr>
          <w:p>
            <w:pPr>
              <w:jc w:val="center"/>
            </w:pPr>
            <w:r>
              <w:rPr>
                <w:rFonts w:eastAsia="等线"/>
                <w:color w:val="000000"/>
              </w:rPr>
              <w:t>3000</w:t>
            </w:r>
            <w:r>
              <w:rPr>
                <w:rFonts w:hint="eastAsia" w:eastAsia="等线"/>
                <w:color w:val="000000"/>
              </w:rPr>
              <w:t>t/a</w:t>
            </w:r>
          </w:p>
        </w:tc>
        <w:tc>
          <w:tcPr>
            <w:tcW w:w="3074" w:type="dxa"/>
            <w:vAlign w:val="center"/>
          </w:tcPr>
          <w:p>
            <w:pPr>
              <w:jc w:val="center"/>
            </w:pPr>
            <w:r>
              <w:rPr>
                <w:rFonts w:hint="eastAsia"/>
              </w:rPr>
              <w:t>产污系数</w:t>
            </w:r>
            <w:r>
              <w:t>1.39t/</w:t>
            </w:r>
            <w:r>
              <w:rPr>
                <w:rFonts w:hint="eastAsia"/>
              </w:rPr>
              <w:t>t-</w:t>
            </w:r>
            <w:r>
              <w:t>产品</w:t>
            </w:r>
          </w:p>
        </w:tc>
        <w:tc>
          <w:tcPr>
            <w:tcW w:w="898" w:type="dxa"/>
            <w:vAlign w:val="center"/>
          </w:tcPr>
          <w:p>
            <w:pPr>
              <w:jc w:val="center"/>
            </w:pPr>
            <w:r>
              <w:rPr>
                <w:rFonts w:eastAsia="等线"/>
                <w:color w:val="000000"/>
              </w:rPr>
              <w:t>14.7</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rPr>
                <w:rFonts w:hint="eastAsia"/>
              </w:rPr>
              <w:t>8</w:t>
            </w:r>
          </w:p>
        </w:tc>
        <w:tc>
          <w:tcPr>
            <w:tcW w:w="1256" w:type="dxa"/>
            <w:vAlign w:val="center"/>
          </w:tcPr>
          <w:p>
            <w:pPr>
              <w:jc w:val="center"/>
            </w:pPr>
            <w:r>
              <w:rPr>
                <w:rFonts w:hint="eastAsia"/>
              </w:rPr>
              <w:t>团餐</w:t>
            </w:r>
          </w:p>
        </w:tc>
        <w:tc>
          <w:tcPr>
            <w:tcW w:w="2296" w:type="dxa"/>
            <w:vAlign w:val="center"/>
          </w:tcPr>
          <w:p>
            <w:pPr>
              <w:jc w:val="center"/>
            </w:pPr>
            <w:r>
              <w:rPr>
                <w:rFonts w:eastAsia="等线"/>
                <w:color w:val="000000"/>
              </w:rPr>
              <w:t>5000</w:t>
            </w:r>
            <w:r>
              <w:rPr>
                <w:rFonts w:hint="eastAsia" w:eastAsia="等线"/>
                <w:color w:val="000000"/>
              </w:rPr>
              <w:t>t/a</w:t>
            </w:r>
          </w:p>
        </w:tc>
        <w:tc>
          <w:tcPr>
            <w:tcW w:w="3074" w:type="dxa"/>
            <w:vAlign w:val="center"/>
          </w:tcPr>
          <w:p>
            <w:pPr>
              <w:jc w:val="center"/>
            </w:pPr>
            <w:r>
              <w:rPr>
                <w:rFonts w:hint="eastAsia"/>
              </w:rPr>
              <w:t>产污系数</w:t>
            </w:r>
            <w:r>
              <w:t>0.82t/</w:t>
            </w:r>
            <w:r>
              <w:rPr>
                <w:rFonts w:hint="eastAsia"/>
              </w:rPr>
              <w:t>t-</w:t>
            </w:r>
            <w:r>
              <w:t>产品</w:t>
            </w:r>
          </w:p>
        </w:tc>
        <w:tc>
          <w:tcPr>
            <w:tcW w:w="898" w:type="dxa"/>
            <w:vAlign w:val="center"/>
          </w:tcPr>
          <w:p>
            <w:pPr>
              <w:jc w:val="center"/>
            </w:pPr>
            <w:r>
              <w:rPr>
                <w:rFonts w:eastAsia="等线"/>
                <w:color w:val="000000"/>
              </w:rPr>
              <w:t>12.4</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rPr>
                <w:rFonts w:hint="eastAsia"/>
              </w:rPr>
              <w:t>9</w:t>
            </w:r>
          </w:p>
        </w:tc>
        <w:tc>
          <w:tcPr>
            <w:tcW w:w="1256" w:type="dxa"/>
            <w:vAlign w:val="center"/>
          </w:tcPr>
          <w:p>
            <w:pPr>
              <w:jc w:val="center"/>
            </w:pPr>
            <w:r>
              <w:rPr>
                <w:rFonts w:hint="eastAsia"/>
              </w:rPr>
              <w:t>米粉</w:t>
            </w:r>
          </w:p>
        </w:tc>
        <w:tc>
          <w:tcPr>
            <w:tcW w:w="2296" w:type="dxa"/>
            <w:vAlign w:val="center"/>
          </w:tcPr>
          <w:p>
            <w:pPr>
              <w:jc w:val="center"/>
            </w:pPr>
            <w:r>
              <w:rPr>
                <w:rFonts w:eastAsia="等线"/>
                <w:color w:val="000000"/>
              </w:rPr>
              <w:t>3000</w:t>
            </w:r>
            <w:r>
              <w:rPr>
                <w:rFonts w:hint="eastAsia" w:eastAsia="等线"/>
                <w:color w:val="000000"/>
              </w:rPr>
              <w:t>t/a</w:t>
            </w:r>
          </w:p>
        </w:tc>
        <w:tc>
          <w:tcPr>
            <w:tcW w:w="3074" w:type="dxa"/>
            <w:vAlign w:val="center"/>
          </w:tcPr>
          <w:p>
            <w:pPr>
              <w:jc w:val="center"/>
            </w:pPr>
            <w:r>
              <w:rPr>
                <w:rFonts w:hint="eastAsia"/>
              </w:rPr>
              <w:t>产污系数</w:t>
            </w:r>
            <w:r>
              <w:t>5.5t/</w:t>
            </w:r>
            <w:r>
              <w:rPr>
                <w:rFonts w:hint="eastAsia"/>
              </w:rPr>
              <w:t>t-</w:t>
            </w:r>
            <w:r>
              <w:t>产品</w:t>
            </w:r>
          </w:p>
        </w:tc>
        <w:tc>
          <w:tcPr>
            <w:tcW w:w="898" w:type="dxa"/>
            <w:vAlign w:val="center"/>
          </w:tcPr>
          <w:p>
            <w:pPr>
              <w:jc w:val="center"/>
            </w:pPr>
            <w:r>
              <w:rPr>
                <w:rFonts w:eastAsia="等线"/>
                <w:color w:val="000000"/>
              </w:rPr>
              <w:t>50.0</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rPr>
                <w:rFonts w:hint="eastAsia"/>
              </w:rPr>
              <w:t>1</w:t>
            </w:r>
            <w:r>
              <w:t>0</w:t>
            </w:r>
          </w:p>
        </w:tc>
        <w:tc>
          <w:tcPr>
            <w:tcW w:w="1256" w:type="dxa"/>
            <w:vAlign w:val="center"/>
          </w:tcPr>
          <w:p>
            <w:pPr>
              <w:jc w:val="center"/>
            </w:pPr>
            <w:r>
              <w:rPr>
                <w:rFonts w:hint="eastAsia"/>
              </w:rPr>
              <w:t>卤肉制品</w:t>
            </w:r>
          </w:p>
        </w:tc>
        <w:tc>
          <w:tcPr>
            <w:tcW w:w="2296" w:type="dxa"/>
            <w:vAlign w:val="center"/>
          </w:tcPr>
          <w:p>
            <w:pPr>
              <w:jc w:val="center"/>
            </w:pPr>
            <w:r>
              <w:rPr>
                <w:rFonts w:eastAsia="等线"/>
                <w:color w:val="000000"/>
              </w:rPr>
              <w:t>4500</w:t>
            </w:r>
            <w:r>
              <w:rPr>
                <w:rFonts w:hint="eastAsia" w:eastAsia="等线"/>
                <w:color w:val="000000"/>
              </w:rPr>
              <w:t>t/a</w:t>
            </w:r>
          </w:p>
        </w:tc>
        <w:tc>
          <w:tcPr>
            <w:tcW w:w="3074" w:type="dxa"/>
            <w:vAlign w:val="center"/>
          </w:tcPr>
          <w:p>
            <w:pPr>
              <w:jc w:val="center"/>
            </w:pPr>
            <w:r>
              <w:rPr>
                <w:rFonts w:hint="eastAsia"/>
              </w:rPr>
              <w:t>产污系数</w:t>
            </w:r>
            <w:r>
              <w:t>18.7t/</w:t>
            </w:r>
            <w:r>
              <w:rPr>
                <w:rFonts w:hint="eastAsia"/>
              </w:rPr>
              <w:t>t-</w:t>
            </w:r>
            <w:r>
              <w:t>产品</w:t>
            </w:r>
          </w:p>
        </w:tc>
        <w:tc>
          <w:tcPr>
            <w:tcW w:w="898" w:type="dxa"/>
            <w:vAlign w:val="center"/>
          </w:tcPr>
          <w:p>
            <w:pPr>
              <w:jc w:val="center"/>
            </w:pPr>
            <w:r>
              <w:rPr>
                <w:rFonts w:eastAsia="等线"/>
                <w:color w:val="000000"/>
              </w:rPr>
              <w:t>255.1</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rPr>
                <w:rFonts w:hint="eastAsia"/>
              </w:rPr>
              <w:t>1</w:t>
            </w:r>
            <w:r>
              <w:t>1</w:t>
            </w:r>
          </w:p>
        </w:tc>
        <w:tc>
          <w:tcPr>
            <w:tcW w:w="1256" w:type="dxa"/>
            <w:vAlign w:val="center"/>
          </w:tcPr>
          <w:p>
            <w:pPr>
              <w:jc w:val="center"/>
            </w:pPr>
            <w:r>
              <w:rPr>
                <w:rFonts w:hint="eastAsia"/>
              </w:rPr>
              <w:t>酱料</w:t>
            </w:r>
          </w:p>
        </w:tc>
        <w:tc>
          <w:tcPr>
            <w:tcW w:w="2296" w:type="dxa"/>
            <w:vAlign w:val="center"/>
          </w:tcPr>
          <w:p>
            <w:pPr>
              <w:jc w:val="center"/>
            </w:pPr>
            <w:r>
              <w:rPr>
                <w:rFonts w:eastAsia="等线"/>
                <w:color w:val="000000"/>
              </w:rPr>
              <w:t>4000</w:t>
            </w:r>
            <w:r>
              <w:rPr>
                <w:rFonts w:hint="eastAsia" w:eastAsia="等线"/>
                <w:color w:val="000000"/>
              </w:rPr>
              <w:t>t/a</w:t>
            </w:r>
          </w:p>
        </w:tc>
        <w:tc>
          <w:tcPr>
            <w:tcW w:w="3074" w:type="dxa"/>
            <w:vAlign w:val="center"/>
          </w:tcPr>
          <w:p>
            <w:pPr>
              <w:jc w:val="center"/>
            </w:pPr>
            <w:r>
              <w:rPr>
                <w:rFonts w:hint="eastAsia"/>
              </w:rPr>
              <w:t>产污系数</w:t>
            </w:r>
            <w:r>
              <w:t>6t/</w:t>
            </w:r>
            <w:r>
              <w:rPr>
                <w:rFonts w:hint="eastAsia"/>
              </w:rPr>
              <w:t>t-</w:t>
            </w:r>
            <w:r>
              <w:t>产品</w:t>
            </w:r>
          </w:p>
        </w:tc>
        <w:tc>
          <w:tcPr>
            <w:tcW w:w="898" w:type="dxa"/>
            <w:vAlign w:val="center"/>
          </w:tcPr>
          <w:p>
            <w:pPr>
              <w:jc w:val="center"/>
            </w:pPr>
            <w:r>
              <w:rPr>
                <w:rFonts w:eastAsia="等线"/>
                <w:color w:val="000000"/>
              </w:rPr>
              <w:t>72.7</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rPr>
                <w:rFonts w:hint="eastAsia"/>
              </w:rPr>
              <w:t>1</w:t>
            </w:r>
            <w:r>
              <w:t>2</w:t>
            </w:r>
          </w:p>
        </w:tc>
        <w:tc>
          <w:tcPr>
            <w:tcW w:w="1256" w:type="dxa"/>
            <w:vAlign w:val="center"/>
          </w:tcPr>
          <w:p>
            <w:pPr>
              <w:jc w:val="center"/>
            </w:pPr>
            <w:r>
              <w:rPr>
                <w:rFonts w:hint="eastAsia"/>
              </w:rPr>
              <w:t>火锅底料</w:t>
            </w:r>
          </w:p>
        </w:tc>
        <w:tc>
          <w:tcPr>
            <w:tcW w:w="2296" w:type="dxa"/>
            <w:vAlign w:val="center"/>
          </w:tcPr>
          <w:p>
            <w:pPr>
              <w:jc w:val="center"/>
            </w:pPr>
            <w:r>
              <w:rPr>
                <w:rFonts w:eastAsia="等线"/>
                <w:color w:val="000000"/>
              </w:rPr>
              <w:t>3500</w:t>
            </w:r>
            <w:r>
              <w:rPr>
                <w:rFonts w:hint="eastAsia" w:eastAsia="等线"/>
                <w:color w:val="000000"/>
              </w:rPr>
              <w:t>t/a</w:t>
            </w:r>
          </w:p>
        </w:tc>
        <w:tc>
          <w:tcPr>
            <w:tcW w:w="3074" w:type="dxa"/>
            <w:vAlign w:val="center"/>
          </w:tcPr>
          <w:p>
            <w:pPr>
              <w:jc w:val="center"/>
            </w:pPr>
            <w:r>
              <w:rPr>
                <w:rFonts w:hint="eastAsia"/>
              </w:rPr>
              <w:t>产污系数</w:t>
            </w:r>
            <w:r>
              <w:t>7t/</w:t>
            </w:r>
            <w:r>
              <w:rPr>
                <w:rFonts w:hint="eastAsia"/>
              </w:rPr>
              <w:t>t-</w:t>
            </w:r>
            <w:r>
              <w:t>产品</w:t>
            </w:r>
          </w:p>
        </w:tc>
        <w:tc>
          <w:tcPr>
            <w:tcW w:w="898" w:type="dxa"/>
            <w:vAlign w:val="center"/>
          </w:tcPr>
          <w:p>
            <w:pPr>
              <w:jc w:val="center"/>
            </w:pPr>
            <w:r>
              <w:rPr>
                <w:rFonts w:eastAsia="等线"/>
                <w:color w:val="000000"/>
              </w:rPr>
              <w:t>74.3</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rPr>
                <w:rFonts w:hint="eastAsia"/>
              </w:rPr>
              <w:t>1</w:t>
            </w:r>
            <w:r>
              <w:t>3</w:t>
            </w:r>
          </w:p>
        </w:tc>
        <w:tc>
          <w:tcPr>
            <w:tcW w:w="1256" w:type="dxa"/>
            <w:vAlign w:val="center"/>
          </w:tcPr>
          <w:p>
            <w:pPr>
              <w:jc w:val="center"/>
            </w:pPr>
            <w:r>
              <w:rPr>
                <w:rFonts w:hint="eastAsia"/>
              </w:rPr>
              <w:t>即食米糊</w:t>
            </w:r>
          </w:p>
        </w:tc>
        <w:tc>
          <w:tcPr>
            <w:tcW w:w="2296" w:type="dxa"/>
            <w:vAlign w:val="center"/>
          </w:tcPr>
          <w:p>
            <w:pPr>
              <w:jc w:val="center"/>
            </w:pPr>
            <w:r>
              <w:rPr>
                <w:rFonts w:eastAsia="等线"/>
                <w:color w:val="000000"/>
              </w:rPr>
              <w:t>4000</w:t>
            </w:r>
            <w:r>
              <w:rPr>
                <w:rFonts w:hint="eastAsia" w:eastAsia="等线"/>
                <w:color w:val="000000"/>
              </w:rPr>
              <w:t>t/a</w:t>
            </w:r>
          </w:p>
        </w:tc>
        <w:tc>
          <w:tcPr>
            <w:tcW w:w="3074" w:type="dxa"/>
            <w:vAlign w:val="center"/>
          </w:tcPr>
          <w:p>
            <w:pPr>
              <w:jc w:val="center"/>
            </w:pPr>
            <w:r>
              <w:rPr>
                <w:rFonts w:hint="eastAsia"/>
              </w:rPr>
              <w:t>产污系数</w:t>
            </w:r>
            <w:r>
              <w:t>2.03t/</w:t>
            </w:r>
            <w:r>
              <w:rPr>
                <w:rFonts w:hint="eastAsia"/>
              </w:rPr>
              <w:t>t-</w:t>
            </w:r>
            <w:r>
              <w:t>产品</w:t>
            </w:r>
          </w:p>
        </w:tc>
        <w:tc>
          <w:tcPr>
            <w:tcW w:w="898" w:type="dxa"/>
            <w:vAlign w:val="center"/>
          </w:tcPr>
          <w:p>
            <w:pPr>
              <w:jc w:val="center"/>
            </w:pPr>
            <w:r>
              <w:rPr>
                <w:rFonts w:eastAsia="等线"/>
                <w:color w:val="000000"/>
              </w:rPr>
              <w:t>24.6</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rPr>
                <w:rFonts w:hint="eastAsia"/>
              </w:rPr>
              <w:t>1</w:t>
            </w:r>
            <w:r>
              <w:t>4</w:t>
            </w:r>
          </w:p>
        </w:tc>
        <w:tc>
          <w:tcPr>
            <w:tcW w:w="1256" w:type="dxa"/>
            <w:vAlign w:val="center"/>
          </w:tcPr>
          <w:p>
            <w:pPr>
              <w:jc w:val="center"/>
            </w:pPr>
            <w:r>
              <w:rPr>
                <w:rFonts w:hint="eastAsia"/>
              </w:rPr>
              <w:t>卤蛋</w:t>
            </w:r>
          </w:p>
        </w:tc>
        <w:tc>
          <w:tcPr>
            <w:tcW w:w="2296" w:type="dxa"/>
            <w:vAlign w:val="center"/>
          </w:tcPr>
          <w:p>
            <w:pPr>
              <w:jc w:val="center"/>
            </w:pPr>
            <w:r>
              <w:rPr>
                <w:rFonts w:eastAsia="等线"/>
                <w:color w:val="000000"/>
              </w:rPr>
              <w:t>3000</w:t>
            </w:r>
            <w:r>
              <w:rPr>
                <w:rFonts w:hint="eastAsia" w:eastAsia="等线"/>
                <w:color w:val="000000"/>
              </w:rPr>
              <w:t>t/a</w:t>
            </w:r>
          </w:p>
        </w:tc>
        <w:tc>
          <w:tcPr>
            <w:tcW w:w="3074" w:type="dxa"/>
            <w:vAlign w:val="center"/>
          </w:tcPr>
          <w:p>
            <w:pPr>
              <w:jc w:val="center"/>
            </w:pPr>
            <w:r>
              <w:rPr>
                <w:rFonts w:hint="eastAsia"/>
              </w:rPr>
              <w:t>产污系数</w:t>
            </w:r>
            <w:r>
              <w:t>13.2t/</w:t>
            </w:r>
            <w:r>
              <w:rPr>
                <w:rFonts w:hint="eastAsia"/>
              </w:rPr>
              <w:t>t-</w:t>
            </w:r>
            <w:r>
              <w:t>产品</w:t>
            </w:r>
          </w:p>
        </w:tc>
        <w:tc>
          <w:tcPr>
            <w:tcW w:w="898" w:type="dxa"/>
            <w:vAlign w:val="center"/>
          </w:tcPr>
          <w:p>
            <w:pPr>
              <w:jc w:val="center"/>
            </w:pPr>
            <w:r>
              <w:rPr>
                <w:rFonts w:eastAsia="等线"/>
                <w:color w:val="000000"/>
              </w:rPr>
              <w:t>120.0</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rPr>
                <w:rFonts w:hint="eastAsia"/>
              </w:rPr>
              <w:t>1</w:t>
            </w:r>
            <w:r>
              <w:t>5</w:t>
            </w:r>
          </w:p>
        </w:tc>
        <w:tc>
          <w:tcPr>
            <w:tcW w:w="1256" w:type="dxa"/>
            <w:vAlign w:val="center"/>
          </w:tcPr>
          <w:p>
            <w:pPr>
              <w:jc w:val="center"/>
            </w:pPr>
            <w:r>
              <w:rPr>
                <w:rFonts w:hint="eastAsia"/>
              </w:rPr>
              <w:t>挂面</w:t>
            </w:r>
          </w:p>
        </w:tc>
        <w:tc>
          <w:tcPr>
            <w:tcW w:w="2296" w:type="dxa"/>
            <w:vAlign w:val="center"/>
          </w:tcPr>
          <w:p>
            <w:pPr>
              <w:jc w:val="center"/>
            </w:pPr>
            <w:r>
              <w:rPr>
                <w:rFonts w:eastAsia="等线"/>
                <w:color w:val="000000"/>
              </w:rPr>
              <w:t>3500</w:t>
            </w:r>
            <w:r>
              <w:rPr>
                <w:rFonts w:hint="eastAsia" w:eastAsia="等线"/>
                <w:color w:val="000000"/>
              </w:rPr>
              <w:t>t/a</w:t>
            </w:r>
          </w:p>
        </w:tc>
        <w:tc>
          <w:tcPr>
            <w:tcW w:w="3074" w:type="dxa"/>
            <w:vAlign w:val="center"/>
          </w:tcPr>
          <w:p>
            <w:pPr>
              <w:jc w:val="center"/>
            </w:pPr>
            <w:r>
              <w:rPr>
                <w:rFonts w:hint="eastAsia"/>
              </w:rPr>
              <w:t>产污系数</w:t>
            </w:r>
            <w:r>
              <w:t>0.13t/</w:t>
            </w:r>
            <w:r>
              <w:rPr>
                <w:rFonts w:hint="eastAsia"/>
              </w:rPr>
              <w:t>t-</w:t>
            </w:r>
            <w:r>
              <w:t>产品</w:t>
            </w:r>
          </w:p>
        </w:tc>
        <w:tc>
          <w:tcPr>
            <w:tcW w:w="898" w:type="dxa"/>
            <w:vAlign w:val="center"/>
          </w:tcPr>
          <w:p>
            <w:pPr>
              <w:jc w:val="center"/>
            </w:pPr>
            <w:r>
              <w:rPr>
                <w:rFonts w:eastAsia="等线"/>
                <w:color w:val="000000"/>
              </w:rPr>
              <w:t>1.4</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rPr>
                <w:rFonts w:hint="eastAsia"/>
              </w:rPr>
              <w:t>1</w:t>
            </w:r>
            <w:r>
              <w:t>6</w:t>
            </w:r>
          </w:p>
        </w:tc>
        <w:tc>
          <w:tcPr>
            <w:tcW w:w="1256" w:type="dxa"/>
            <w:vAlign w:val="center"/>
          </w:tcPr>
          <w:p>
            <w:pPr>
              <w:jc w:val="center"/>
            </w:pPr>
            <w:r>
              <w:rPr>
                <w:rFonts w:hint="eastAsia"/>
              </w:rPr>
              <w:t>速冻蔬菜</w:t>
            </w:r>
          </w:p>
        </w:tc>
        <w:tc>
          <w:tcPr>
            <w:tcW w:w="2296" w:type="dxa"/>
            <w:vAlign w:val="center"/>
          </w:tcPr>
          <w:p>
            <w:pPr>
              <w:jc w:val="center"/>
            </w:pPr>
            <w:r>
              <w:rPr>
                <w:rFonts w:eastAsia="等线"/>
                <w:color w:val="000000"/>
              </w:rPr>
              <w:t>1800</w:t>
            </w:r>
            <w:r>
              <w:rPr>
                <w:rFonts w:hint="eastAsia" w:eastAsia="等线"/>
                <w:color w:val="000000"/>
              </w:rPr>
              <w:t>t/a</w:t>
            </w:r>
          </w:p>
        </w:tc>
        <w:tc>
          <w:tcPr>
            <w:tcW w:w="3074" w:type="dxa"/>
            <w:vAlign w:val="center"/>
          </w:tcPr>
          <w:p>
            <w:pPr>
              <w:jc w:val="center"/>
            </w:pPr>
            <w:r>
              <w:rPr>
                <w:rFonts w:hint="eastAsia"/>
              </w:rPr>
              <w:t>产污系数</w:t>
            </w:r>
            <w:r>
              <w:t>19t/</w:t>
            </w:r>
            <w:r>
              <w:rPr>
                <w:rFonts w:hint="eastAsia"/>
              </w:rPr>
              <w:t>t-</w:t>
            </w:r>
            <w:r>
              <w:t>产品</w:t>
            </w:r>
          </w:p>
        </w:tc>
        <w:tc>
          <w:tcPr>
            <w:tcW w:w="898" w:type="dxa"/>
            <w:vAlign w:val="center"/>
          </w:tcPr>
          <w:p>
            <w:pPr>
              <w:jc w:val="center"/>
            </w:pPr>
            <w:r>
              <w:rPr>
                <w:rFonts w:eastAsia="等线"/>
                <w:color w:val="000000"/>
              </w:rPr>
              <w:t>103.6</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rPr>
                <w:rFonts w:hint="eastAsia"/>
              </w:rPr>
              <w:t>1</w:t>
            </w:r>
            <w:r>
              <w:t>7</w:t>
            </w:r>
          </w:p>
        </w:tc>
        <w:tc>
          <w:tcPr>
            <w:tcW w:w="1256" w:type="dxa"/>
            <w:vAlign w:val="center"/>
          </w:tcPr>
          <w:p>
            <w:pPr>
              <w:jc w:val="center"/>
            </w:pPr>
            <w:r>
              <w:rPr>
                <w:rFonts w:hint="eastAsia"/>
              </w:rPr>
              <w:t>脱水蔬菜</w:t>
            </w:r>
          </w:p>
        </w:tc>
        <w:tc>
          <w:tcPr>
            <w:tcW w:w="2296" w:type="dxa"/>
            <w:vAlign w:val="center"/>
          </w:tcPr>
          <w:p>
            <w:pPr>
              <w:jc w:val="center"/>
            </w:pPr>
            <w:r>
              <w:rPr>
                <w:rFonts w:eastAsia="等线"/>
                <w:color w:val="000000"/>
              </w:rPr>
              <w:t>1800</w:t>
            </w:r>
            <w:r>
              <w:rPr>
                <w:rFonts w:hint="eastAsia" w:eastAsia="等线"/>
                <w:color w:val="000000"/>
              </w:rPr>
              <w:t>t/a</w:t>
            </w:r>
          </w:p>
        </w:tc>
        <w:tc>
          <w:tcPr>
            <w:tcW w:w="3074" w:type="dxa"/>
            <w:vAlign w:val="center"/>
          </w:tcPr>
          <w:p>
            <w:pPr>
              <w:jc w:val="center"/>
            </w:pPr>
            <w:r>
              <w:rPr>
                <w:rFonts w:hint="eastAsia"/>
              </w:rPr>
              <w:t>产污系数</w:t>
            </w:r>
            <w:r>
              <w:t>30t/</w:t>
            </w:r>
            <w:r>
              <w:rPr>
                <w:rFonts w:hint="eastAsia"/>
              </w:rPr>
              <w:t>t-</w:t>
            </w:r>
            <w:r>
              <w:t>产品</w:t>
            </w:r>
          </w:p>
        </w:tc>
        <w:tc>
          <w:tcPr>
            <w:tcW w:w="898" w:type="dxa"/>
            <w:vAlign w:val="center"/>
          </w:tcPr>
          <w:p>
            <w:pPr>
              <w:jc w:val="center"/>
            </w:pPr>
            <w:r>
              <w:rPr>
                <w:rFonts w:eastAsia="等线"/>
                <w:color w:val="000000"/>
              </w:rPr>
              <w:t>163.5</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rPr>
                <w:rFonts w:hint="eastAsia"/>
              </w:rPr>
              <w:t>1</w:t>
            </w:r>
            <w:r>
              <w:t>8</w:t>
            </w:r>
          </w:p>
        </w:tc>
        <w:tc>
          <w:tcPr>
            <w:tcW w:w="1256" w:type="dxa"/>
            <w:vAlign w:val="center"/>
          </w:tcPr>
          <w:p>
            <w:pPr>
              <w:jc w:val="center"/>
            </w:pPr>
            <w:r>
              <w:rPr>
                <w:rFonts w:hint="eastAsia"/>
              </w:rPr>
              <w:t>腌腊肉制品及熏烤肉制品</w:t>
            </w:r>
          </w:p>
        </w:tc>
        <w:tc>
          <w:tcPr>
            <w:tcW w:w="2296" w:type="dxa"/>
            <w:vAlign w:val="center"/>
          </w:tcPr>
          <w:p>
            <w:pPr>
              <w:jc w:val="center"/>
            </w:pPr>
            <w:r>
              <w:rPr>
                <w:rFonts w:eastAsia="等线"/>
                <w:color w:val="000000"/>
              </w:rPr>
              <w:t>4500</w:t>
            </w:r>
            <w:r>
              <w:rPr>
                <w:rFonts w:hint="eastAsia" w:eastAsia="等线"/>
                <w:color w:val="000000"/>
              </w:rPr>
              <w:t>t/a</w:t>
            </w:r>
          </w:p>
        </w:tc>
        <w:tc>
          <w:tcPr>
            <w:tcW w:w="3074" w:type="dxa"/>
            <w:vAlign w:val="center"/>
          </w:tcPr>
          <w:p>
            <w:pPr>
              <w:jc w:val="center"/>
            </w:pPr>
            <w:r>
              <w:rPr>
                <w:rFonts w:hint="eastAsia"/>
              </w:rPr>
              <w:t>产污系数</w:t>
            </w:r>
            <w:r>
              <w:t>9t/</w:t>
            </w:r>
            <w:r>
              <w:rPr>
                <w:rFonts w:hint="eastAsia"/>
              </w:rPr>
              <w:t>t-</w:t>
            </w:r>
            <w:r>
              <w:t>产品</w:t>
            </w:r>
          </w:p>
        </w:tc>
        <w:tc>
          <w:tcPr>
            <w:tcW w:w="898" w:type="dxa"/>
            <w:vAlign w:val="center"/>
          </w:tcPr>
          <w:p>
            <w:pPr>
              <w:jc w:val="center"/>
            </w:pPr>
            <w:r>
              <w:rPr>
                <w:rFonts w:eastAsia="等线"/>
                <w:color w:val="000000"/>
              </w:rPr>
              <w:t>122.8</w:t>
            </w:r>
          </w:p>
        </w:tc>
        <w:tc>
          <w:tcPr>
            <w:tcW w:w="637"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28" w:type="dxa"/>
            <w:bottom w:w="0" w:type="dxa"/>
            <w:right w:w="28" w:type="dxa"/>
          </w:tblCellMar>
        </w:tblPrEx>
        <w:trPr>
          <w:trHeight w:val="454" w:hRule="atLeast"/>
        </w:trPr>
        <w:tc>
          <w:tcPr>
            <w:tcW w:w="549" w:type="dxa"/>
            <w:vAlign w:val="center"/>
          </w:tcPr>
          <w:p>
            <w:pPr>
              <w:jc w:val="center"/>
            </w:pPr>
            <w:r>
              <w:rPr>
                <w:rFonts w:hint="eastAsia"/>
              </w:rPr>
              <w:t>合计</w:t>
            </w:r>
          </w:p>
        </w:tc>
        <w:tc>
          <w:tcPr>
            <w:tcW w:w="1256" w:type="dxa"/>
            <w:vAlign w:val="center"/>
          </w:tcPr>
          <w:p>
            <w:pPr>
              <w:jc w:val="center"/>
            </w:pPr>
            <w:r>
              <w:rPr>
                <w:rFonts w:hint="eastAsia"/>
              </w:rPr>
              <w:t>/</w:t>
            </w:r>
          </w:p>
        </w:tc>
        <w:tc>
          <w:tcPr>
            <w:tcW w:w="2296" w:type="dxa"/>
            <w:vAlign w:val="center"/>
          </w:tcPr>
          <w:p>
            <w:pPr>
              <w:jc w:val="center"/>
              <w:rPr>
                <w:rFonts w:eastAsia="等线"/>
                <w:color w:val="000000"/>
              </w:rPr>
            </w:pPr>
            <w:r>
              <w:rPr>
                <w:rFonts w:hint="eastAsia" w:eastAsia="等线"/>
                <w:color w:val="000000"/>
              </w:rPr>
              <w:t>/</w:t>
            </w:r>
          </w:p>
        </w:tc>
        <w:tc>
          <w:tcPr>
            <w:tcW w:w="3074" w:type="dxa"/>
            <w:vAlign w:val="center"/>
          </w:tcPr>
          <w:p>
            <w:pPr>
              <w:jc w:val="center"/>
            </w:pPr>
            <w:r>
              <w:rPr>
                <w:rFonts w:hint="eastAsia"/>
              </w:rPr>
              <w:t>/</w:t>
            </w:r>
          </w:p>
        </w:tc>
        <w:tc>
          <w:tcPr>
            <w:tcW w:w="898" w:type="dxa"/>
            <w:vAlign w:val="center"/>
          </w:tcPr>
          <w:p>
            <w:pPr>
              <w:jc w:val="center"/>
            </w:pPr>
            <w:r>
              <w:t>1313.9</w:t>
            </w:r>
          </w:p>
        </w:tc>
        <w:tc>
          <w:tcPr>
            <w:tcW w:w="637" w:type="dxa"/>
            <w:vAlign w:val="center"/>
          </w:tcPr>
          <w:p>
            <w:pPr>
              <w:jc w:val="center"/>
            </w:pPr>
            <w:r>
              <w:rPr>
                <w:rFonts w:hint="eastAsia"/>
              </w:rPr>
              <w:t>/</w:t>
            </w:r>
          </w:p>
        </w:tc>
      </w:tr>
    </w:tbl>
    <w:p>
      <w:pPr>
        <w:spacing w:line="520" w:lineRule="exact"/>
        <w:ind w:firstLine="480" w:firstLineChars="200"/>
        <w:rPr>
          <w:sz w:val="24"/>
          <w:szCs w:val="24"/>
        </w:rPr>
      </w:pPr>
      <w:r>
        <w:rPr>
          <w:rFonts w:hint="eastAsia"/>
          <w:sz w:val="24"/>
          <w:szCs w:val="24"/>
        </w:rPr>
        <w:t>根据拟入驻企业近期生产规模预计排水量为</w:t>
      </w:r>
      <w:r>
        <w:rPr>
          <w:sz w:val="24"/>
          <w:szCs w:val="24"/>
        </w:rPr>
        <w:t>1313.9</w:t>
      </w:r>
      <w:r>
        <w:rPr>
          <w:rFonts w:hint="eastAsia"/>
          <w:sz w:val="24"/>
          <w:szCs w:val="24"/>
        </w:rPr>
        <w:t>m</w:t>
      </w:r>
      <w:r>
        <w:rPr>
          <w:rFonts w:hint="eastAsia"/>
          <w:sz w:val="24"/>
          <w:szCs w:val="24"/>
          <w:vertAlign w:val="superscript"/>
        </w:rPr>
        <w:t>3</w:t>
      </w:r>
      <w:r>
        <w:rPr>
          <w:rFonts w:hint="eastAsia"/>
          <w:sz w:val="24"/>
          <w:szCs w:val="24"/>
        </w:rPr>
        <w:t>/d。考虑到未预见水量按废水水量的10%计算，则污水量合计为1</w:t>
      </w:r>
      <w:r>
        <w:rPr>
          <w:sz w:val="24"/>
          <w:szCs w:val="24"/>
        </w:rPr>
        <w:t>445.3</w:t>
      </w:r>
      <w:r>
        <w:rPr>
          <w:rFonts w:hint="eastAsia"/>
          <w:sz w:val="24"/>
          <w:szCs w:val="24"/>
        </w:rPr>
        <w:t>m</w:t>
      </w:r>
      <w:r>
        <w:rPr>
          <w:rFonts w:hint="eastAsia"/>
          <w:sz w:val="24"/>
          <w:szCs w:val="24"/>
          <w:vertAlign w:val="superscript"/>
        </w:rPr>
        <w:t>3</w:t>
      </w:r>
      <w:r>
        <w:rPr>
          <w:rFonts w:hint="eastAsia"/>
          <w:sz w:val="24"/>
          <w:szCs w:val="24"/>
        </w:rPr>
        <w:t>/d，考虑到污水处理设计水量应留有设计余量，本次取污水预计排放量的20%，则理论设计量为1</w:t>
      </w:r>
      <w:r>
        <w:rPr>
          <w:sz w:val="24"/>
          <w:szCs w:val="24"/>
        </w:rPr>
        <w:t>734.4</w:t>
      </w:r>
      <w:r>
        <w:rPr>
          <w:rFonts w:hint="eastAsia"/>
          <w:sz w:val="24"/>
          <w:szCs w:val="24"/>
        </w:rPr>
        <w:t>m</w:t>
      </w:r>
      <w:r>
        <w:rPr>
          <w:rFonts w:hint="eastAsia"/>
          <w:sz w:val="24"/>
          <w:szCs w:val="24"/>
          <w:vertAlign w:val="superscript"/>
        </w:rPr>
        <w:t>3</w:t>
      </w:r>
      <w:r>
        <w:rPr>
          <w:rFonts w:hint="eastAsia"/>
          <w:sz w:val="24"/>
          <w:szCs w:val="24"/>
        </w:rPr>
        <w:t>/d，将污水处理站设计处理规模确定为2000m</w:t>
      </w:r>
      <w:r>
        <w:rPr>
          <w:rFonts w:hint="eastAsia"/>
          <w:sz w:val="24"/>
          <w:szCs w:val="24"/>
          <w:vertAlign w:val="superscript"/>
        </w:rPr>
        <w:t>3</w:t>
      </w:r>
      <w:r>
        <w:rPr>
          <w:rFonts w:hint="eastAsia"/>
          <w:sz w:val="24"/>
          <w:szCs w:val="24"/>
        </w:rPr>
        <w:t>/d，60万</w:t>
      </w:r>
      <w:r>
        <w:rPr>
          <w:sz w:val="24"/>
          <w:szCs w:val="24"/>
        </w:rPr>
        <w:t>m</w:t>
      </w:r>
      <w:r>
        <w:rPr>
          <w:sz w:val="24"/>
          <w:szCs w:val="24"/>
          <w:vertAlign w:val="superscript"/>
        </w:rPr>
        <w:t>3</w:t>
      </w:r>
      <w:r>
        <w:rPr>
          <w:sz w:val="24"/>
          <w:szCs w:val="24"/>
        </w:rPr>
        <w:t>/a</w:t>
      </w:r>
      <w:r>
        <w:rPr>
          <w:rFonts w:hint="eastAsia"/>
          <w:sz w:val="24"/>
          <w:szCs w:val="24"/>
        </w:rPr>
        <w:t>。</w:t>
      </w:r>
    </w:p>
    <w:p>
      <w:pPr>
        <w:spacing w:line="520" w:lineRule="exact"/>
        <w:ind w:firstLine="480" w:firstLineChars="200"/>
        <w:outlineLvl w:val="4"/>
        <w:rPr>
          <w:sz w:val="24"/>
          <w:szCs w:val="24"/>
        </w:rPr>
      </w:pPr>
      <w:r>
        <w:rPr>
          <w:rFonts w:hint="eastAsia"/>
          <w:sz w:val="24"/>
          <w:szCs w:val="24"/>
        </w:rPr>
        <w:t>三、进水水质</w:t>
      </w:r>
    </w:p>
    <w:p>
      <w:pPr>
        <w:spacing w:line="520" w:lineRule="exact"/>
        <w:ind w:firstLine="480" w:firstLineChars="200"/>
        <w:outlineLvl w:val="5"/>
        <w:rPr>
          <w:bCs/>
          <w:sz w:val="24"/>
          <w:szCs w:val="24"/>
        </w:rPr>
      </w:pPr>
      <w:r>
        <w:rPr>
          <w:rFonts w:hint="eastAsia"/>
          <w:bCs/>
          <w:sz w:val="24"/>
          <w:szCs w:val="24"/>
        </w:rPr>
        <w:t>（1）入园企业水质情况及排入准入要求</w:t>
      </w:r>
    </w:p>
    <w:p>
      <w:pPr>
        <w:spacing w:line="520" w:lineRule="exact"/>
        <w:ind w:firstLine="480" w:firstLineChars="200"/>
        <w:rPr>
          <w:sz w:val="24"/>
          <w:szCs w:val="24"/>
        </w:rPr>
      </w:pPr>
      <w:r>
        <w:rPr>
          <w:rFonts w:hint="eastAsia"/>
          <w:bCs/>
          <w:sz w:val="24"/>
          <w:szCs w:val="24"/>
        </w:rPr>
        <w:t>预制菜创新孵化园</w:t>
      </w:r>
      <w:r>
        <w:rPr>
          <w:bCs/>
          <w:sz w:val="24"/>
          <w:szCs w:val="24"/>
        </w:rPr>
        <w:t>定位于餐饮行业食材加工、电子商务、冷链物流、</w:t>
      </w:r>
      <w:r>
        <w:rPr>
          <w:rFonts w:hint="eastAsia"/>
          <w:bCs/>
          <w:sz w:val="24"/>
          <w:szCs w:val="24"/>
        </w:rPr>
        <w:t>食品类</w:t>
      </w:r>
      <w:r>
        <w:rPr>
          <w:bCs/>
          <w:sz w:val="24"/>
          <w:szCs w:val="24"/>
        </w:rPr>
        <w:t>科技研发工业园区</w:t>
      </w:r>
      <w:r>
        <w:rPr>
          <w:rFonts w:hint="eastAsia"/>
          <w:bCs/>
          <w:sz w:val="24"/>
          <w:szCs w:val="24"/>
        </w:rPr>
        <w:t>，</w:t>
      </w:r>
      <w:r>
        <w:rPr>
          <w:bCs/>
          <w:sz w:val="24"/>
          <w:szCs w:val="24"/>
        </w:rPr>
        <w:t>以</w:t>
      </w:r>
      <w:r>
        <w:rPr>
          <w:rFonts w:hint="eastAsia"/>
          <w:bCs/>
          <w:sz w:val="24"/>
          <w:szCs w:val="24"/>
        </w:rPr>
        <w:t>预制菜</w:t>
      </w:r>
      <w:r>
        <w:rPr>
          <w:bCs/>
          <w:sz w:val="24"/>
          <w:szCs w:val="24"/>
        </w:rPr>
        <w:t>加工产业为主体</w:t>
      </w:r>
      <w:r>
        <w:rPr>
          <w:rFonts w:hint="eastAsia"/>
          <w:bCs/>
          <w:sz w:val="24"/>
          <w:szCs w:val="24"/>
        </w:rPr>
        <w:t>，</w:t>
      </w:r>
      <w:r>
        <w:rPr>
          <w:bCs/>
          <w:sz w:val="24"/>
          <w:szCs w:val="24"/>
        </w:rPr>
        <w:t>对于入园的企业应严格执行以下要求</w:t>
      </w:r>
      <w:r>
        <w:rPr>
          <w:rFonts w:hint="eastAsia"/>
          <w:bCs/>
          <w:sz w:val="24"/>
          <w:szCs w:val="24"/>
        </w:rPr>
        <w:t>：应按照《建设</w:t>
      </w:r>
      <w:r>
        <w:rPr>
          <w:bCs/>
          <w:sz w:val="24"/>
          <w:szCs w:val="24"/>
        </w:rPr>
        <w:t>项目环境保护管理条例》、《环境影响评价法》的要求</w:t>
      </w:r>
      <w:r>
        <w:rPr>
          <w:rFonts w:hint="eastAsia"/>
          <w:bCs/>
          <w:sz w:val="24"/>
          <w:szCs w:val="24"/>
        </w:rPr>
        <w:t>，</w:t>
      </w:r>
      <w:r>
        <w:rPr>
          <w:bCs/>
          <w:sz w:val="24"/>
          <w:szCs w:val="24"/>
        </w:rPr>
        <w:t>严格</w:t>
      </w:r>
      <w:r>
        <w:rPr>
          <w:rFonts w:hint="eastAsia"/>
          <w:bCs/>
          <w:sz w:val="24"/>
          <w:szCs w:val="24"/>
        </w:rPr>
        <w:t>执行项目环境影响</w:t>
      </w:r>
      <w:r>
        <w:rPr>
          <w:bCs/>
          <w:sz w:val="24"/>
          <w:szCs w:val="24"/>
        </w:rPr>
        <w:t>评价制度</w:t>
      </w:r>
      <w:r>
        <w:rPr>
          <w:rFonts w:hint="eastAsia"/>
          <w:bCs/>
          <w:sz w:val="24"/>
          <w:szCs w:val="24"/>
        </w:rPr>
        <w:t>，</w:t>
      </w:r>
      <w:r>
        <w:rPr>
          <w:bCs/>
          <w:sz w:val="24"/>
          <w:szCs w:val="24"/>
        </w:rPr>
        <w:t>同时组织</w:t>
      </w:r>
      <w:r>
        <w:rPr>
          <w:rFonts w:hint="eastAsia"/>
          <w:bCs/>
          <w:sz w:val="24"/>
          <w:szCs w:val="24"/>
        </w:rPr>
        <w:t>园区</w:t>
      </w:r>
      <w:r>
        <w:rPr>
          <w:bCs/>
          <w:sz w:val="24"/>
          <w:szCs w:val="24"/>
        </w:rPr>
        <w:t>污水处理</w:t>
      </w:r>
      <w:r>
        <w:rPr>
          <w:rFonts w:hint="eastAsia"/>
          <w:bCs/>
          <w:sz w:val="24"/>
          <w:szCs w:val="24"/>
        </w:rPr>
        <w:t>站</w:t>
      </w:r>
      <w:r>
        <w:rPr>
          <w:bCs/>
          <w:sz w:val="24"/>
          <w:szCs w:val="24"/>
        </w:rPr>
        <w:t>管理部门</w:t>
      </w:r>
      <w:r>
        <w:rPr>
          <w:rFonts w:hint="eastAsia"/>
          <w:bCs/>
          <w:sz w:val="24"/>
          <w:szCs w:val="24"/>
        </w:rPr>
        <w:t>，</w:t>
      </w:r>
      <w:r>
        <w:rPr>
          <w:bCs/>
          <w:sz w:val="24"/>
          <w:szCs w:val="24"/>
        </w:rPr>
        <w:t>结合</w:t>
      </w:r>
      <w:r>
        <w:rPr>
          <w:rFonts w:hint="eastAsia"/>
          <w:bCs/>
          <w:sz w:val="24"/>
          <w:szCs w:val="24"/>
        </w:rPr>
        <w:t>园区</w:t>
      </w:r>
      <w:r>
        <w:rPr>
          <w:bCs/>
          <w:sz w:val="24"/>
          <w:szCs w:val="24"/>
        </w:rPr>
        <w:t>的污水处理工艺、进水质要求和污水的处理能力</w:t>
      </w:r>
      <w:r>
        <w:rPr>
          <w:rFonts w:hint="eastAsia"/>
          <w:bCs/>
          <w:sz w:val="24"/>
          <w:szCs w:val="24"/>
        </w:rPr>
        <w:t>，</w:t>
      </w:r>
      <w:r>
        <w:rPr>
          <w:bCs/>
          <w:sz w:val="24"/>
          <w:szCs w:val="24"/>
        </w:rPr>
        <w:t>共同审核污水处理厂的废水处理类型</w:t>
      </w:r>
      <w:r>
        <w:rPr>
          <w:rFonts w:hint="eastAsia"/>
          <w:bCs/>
          <w:sz w:val="24"/>
          <w:szCs w:val="24"/>
        </w:rPr>
        <w:t>，确定</w:t>
      </w:r>
      <w:r>
        <w:rPr>
          <w:bCs/>
          <w:sz w:val="24"/>
          <w:szCs w:val="24"/>
        </w:rPr>
        <w:t>入园企业</w:t>
      </w:r>
      <w:r>
        <w:rPr>
          <w:rFonts w:hint="eastAsia"/>
          <w:bCs/>
          <w:sz w:val="24"/>
          <w:szCs w:val="24"/>
        </w:rPr>
        <w:t>产生</w:t>
      </w:r>
      <w:r>
        <w:rPr>
          <w:bCs/>
          <w:sz w:val="24"/>
          <w:szCs w:val="24"/>
        </w:rPr>
        <w:t>的废水水质是否能</w:t>
      </w:r>
      <w:r>
        <w:rPr>
          <w:rFonts w:hint="eastAsia"/>
          <w:bCs/>
          <w:sz w:val="24"/>
          <w:szCs w:val="24"/>
        </w:rPr>
        <w:t>满足污</w:t>
      </w:r>
      <w:r>
        <w:rPr>
          <w:bCs/>
          <w:sz w:val="24"/>
          <w:szCs w:val="24"/>
        </w:rPr>
        <w:t>水处理厂的进水水质要求。对于水质类型特殊</w:t>
      </w:r>
      <w:r>
        <w:rPr>
          <w:rFonts w:hint="eastAsia"/>
          <w:bCs/>
          <w:sz w:val="24"/>
          <w:szCs w:val="24"/>
        </w:rPr>
        <w:t>，</w:t>
      </w:r>
      <w:r>
        <w:rPr>
          <w:bCs/>
          <w:sz w:val="24"/>
          <w:szCs w:val="24"/>
        </w:rPr>
        <w:t>废水水质未能达到进水水质要求的</w:t>
      </w:r>
      <w:r>
        <w:rPr>
          <w:rFonts w:hint="eastAsia"/>
          <w:bCs/>
          <w:sz w:val="24"/>
          <w:szCs w:val="24"/>
        </w:rPr>
        <w:t>，</w:t>
      </w:r>
      <w:r>
        <w:rPr>
          <w:bCs/>
          <w:sz w:val="24"/>
          <w:szCs w:val="24"/>
        </w:rPr>
        <w:t>或者本项目不能处理的特征水质污染因子</w:t>
      </w:r>
      <w:r>
        <w:rPr>
          <w:rFonts w:hint="eastAsia"/>
          <w:bCs/>
          <w:sz w:val="24"/>
          <w:szCs w:val="24"/>
        </w:rPr>
        <w:t>，要求企</w:t>
      </w:r>
      <w:r>
        <w:rPr>
          <w:bCs/>
          <w:sz w:val="24"/>
          <w:szCs w:val="24"/>
        </w:rPr>
        <w:t>业</w:t>
      </w:r>
      <w:r>
        <w:rPr>
          <w:rFonts w:hint="eastAsia"/>
          <w:bCs/>
          <w:sz w:val="24"/>
          <w:szCs w:val="24"/>
        </w:rPr>
        <w:t>必须</w:t>
      </w:r>
      <w:r>
        <w:rPr>
          <w:bCs/>
          <w:sz w:val="24"/>
          <w:szCs w:val="24"/>
        </w:rPr>
        <w:t>采取有效的预处理措施处理各类特征水质污染因子达到相关的国</w:t>
      </w:r>
      <w:r>
        <w:rPr>
          <w:rFonts w:hint="eastAsia"/>
          <w:bCs/>
          <w:sz w:val="24"/>
          <w:szCs w:val="24"/>
        </w:rPr>
        <w:t>家、地方</w:t>
      </w:r>
      <w:r>
        <w:rPr>
          <w:bCs/>
          <w:sz w:val="24"/>
          <w:szCs w:val="24"/>
        </w:rPr>
        <w:t>或者行业要求排放标准</w:t>
      </w:r>
      <w:r>
        <w:rPr>
          <w:rFonts w:hint="eastAsia"/>
          <w:bCs/>
          <w:sz w:val="24"/>
          <w:szCs w:val="24"/>
        </w:rPr>
        <w:t>后</w:t>
      </w:r>
      <w:r>
        <w:rPr>
          <w:bCs/>
          <w:sz w:val="24"/>
          <w:szCs w:val="24"/>
        </w:rPr>
        <w:t>方可排</w:t>
      </w:r>
      <w:r>
        <w:rPr>
          <w:rFonts w:hint="eastAsia"/>
          <w:bCs/>
          <w:sz w:val="24"/>
          <w:szCs w:val="24"/>
        </w:rPr>
        <w:t>放。</w:t>
      </w:r>
    </w:p>
    <w:p>
      <w:pPr>
        <w:spacing w:line="520" w:lineRule="exact"/>
        <w:ind w:firstLine="480" w:firstLineChars="200"/>
        <w:outlineLvl w:val="5"/>
        <w:rPr>
          <w:bCs/>
          <w:sz w:val="24"/>
          <w:szCs w:val="24"/>
        </w:rPr>
      </w:pPr>
      <w:r>
        <w:rPr>
          <w:rFonts w:hint="eastAsia"/>
          <w:bCs/>
          <w:sz w:val="24"/>
          <w:szCs w:val="24"/>
        </w:rPr>
        <w:t>（2）设计进水水质</w:t>
      </w:r>
    </w:p>
    <w:p>
      <w:pPr>
        <w:spacing w:line="520" w:lineRule="exact"/>
        <w:ind w:firstLine="480" w:firstLineChars="200"/>
        <w:rPr>
          <w:bCs/>
          <w:sz w:val="24"/>
          <w:szCs w:val="24"/>
        </w:rPr>
      </w:pPr>
      <w:r>
        <w:rPr>
          <w:rFonts w:hint="eastAsia"/>
          <w:bCs/>
          <w:sz w:val="24"/>
          <w:szCs w:val="24"/>
        </w:rPr>
        <w:t>本项目与河南餐饮中央厨房产业园均位于原阳县产业集聚区内的农副产品深加工产业区，入驻的企业类型均主要为食品加工和预制菜生产加工企业及相关配套企业，入驻企业生产工艺均主要为蔬菜挑拣、清洗、切配等，面粉和面、搅拌、醒发、蒸制等，肉类切割腌制、熟化等，故</w:t>
      </w:r>
      <w:r>
        <w:rPr>
          <w:bCs/>
          <w:sz w:val="24"/>
          <w:szCs w:val="24"/>
        </w:rPr>
        <w:t>河南餐饮中央厨房产业园</w:t>
      </w:r>
      <w:r>
        <w:rPr>
          <w:rFonts w:hint="eastAsia"/>
          <w:bCs/>
          <w:sz w:val="24"/>
          <w:szCs w:val="24"/>
        </w:rPr>
        <w:t>园区废水水质相对于本项目具有可类比性。</w:t>
      </w:r>
    </w:p>
    <w:p>
      <w:pPr>
        <w:spacing w:line="520" w:lineRule="exact"/>
        <w:ind w:firstLine="480" w:firstLineChars="200"/>
      </w:pPr>
      <w:r>
        <w:rPr>
          <w:rFonts w:hint="eastAsia"/>
          <w:sz w:val="24"/>
          <w:szCs w:val="24"/>
        </w:rPr>
        <w:t>根据《原阳县鸿创环保科技有限公司中央厨房产业园污水处理及配套设施扩建项目竣工环境保护验收监测报告表》，中央厨房产业园废水产生浓度为</w:t>
      </w:r>
      <w:r>
        <w:rPr>
          <w:sz w:val="24"/>
          <w:szCs w:val="24"/>
        </w:rPr>
        <w:t>COD 985.8</w:t>
      </w:r>
      <w:r>
        <w:rPr>
          <w:rFonts w:hint="eastAsia"/>
          <w:sz w:val="24"/>
          <w:szCs w:val="24"/>
        </w:rPr>
        <w:t>mg/L、氨氮3</w:t>
      </w:r>
      <w:r>
        <w:rPr>
          <w:sz w:val="24"/>
          <w:szCs w:val="24"/>
        </w:rPr>
        <w:t>8.76</w:t>
      </w:r>
      <w:r>
        <w:rPr>
          <w:rFonts w:hint="eastAsia"/>
          <w:sz w:val="24"/>
          <w:szCs w:val="24"/>
        </w:rPr>
        <w:t>mg/L、T</w:t>
      </w:r>
      <w:r>
        <w:rPr>
          <w:sz w:val="24"/>
          <w:szCs w:val="24"/>
        </w:rPr>
        <w:t>P 8.56</w:t>
      </w:r>
      <w:r>
        <w:rPr>
          <w:rFonts w:hint="eastAsia"/>
          <w:sz w:val="24"/>
          <w:szCs w:val="24"/>
        </w:rPr>
        <w:t>mg/L、T</w:t>
      </w:r>
      <w:r>
        <w:rPr>
          <w:sz w:val="24"/>
          <w:szCs w:val="24"/>
        </w:rPr>
        <w:t>N 44.91</w:t>
      </w:r>
      <w:r>
        <w:rPr>
          <w:rFonts w:hint="eastAsia"/>
          <w:sz w:val="24"/>
          <w:szCs w:val="24"/>
        </w:rPr>
        <w:t>mg/L。参考《屠宰与肉类加工废水治理工程技术规范》（HJ2004-2010），行业水质情况为</w:t>
      </w:r>
      <w:r>
        <w:rPr>
          <w:sz w:val="24"/>
          <w:szCs w:val="24"/>
        </w:rPr>
        <w:t xml:space="preserve">COD </w:t>
      </w:r>
      <w:r>
        <w:rPr>
          <w:rFonts w:hint="eastAsia"/>
          <w:sz w:val="24"/>
          <w:szCs w:val="24"/>
        </w:rPr>
        <w:t>800-2000mg/L、B</w:t>
      </w:r>
      <w:r>
        <w:rPr>
          <w:sz w:val="24"/>
          <w:szCs w:val="24"/>
        </w:rPr>
        <w:t>OD</w:t>
      </w:r>
      <w:r>
        <w:rPr>
          <w:sz w:val="24"/>
          <w:szCs w:val="24"/>
          <w:vertAlign w:val="subscript"/>
        </w:rPr>
        <w:t>5</w:t>
      </w:r>
      <w:r>
        <w:rPr>
          <w:sz w:val="24"/>
          <w:szCs w:val="24"/>
        </w:rPr>
        <w:t xml:space="preserve"> </w:t>
      </w:r>
      <w:r>
        <w:rPr>
          <w:rFonts w:hint="eastAsia"/>
          <w:sz w:val="24"/>
          <w:szCs w:val="24"/>
        </w:rPr>
        <w:t>500-1000mg/L、S</w:t>
      </w:r>
      <w:r>
        <w:rPr>
          <w:sz w:val="24"/>
          <w:szCs w:val="24"/>
        </w:rPr>
        <w:t xml:space="preserve">S </w:t>
      </w:r>
      <w:r>
        <w:rPr>
          <w:rFonts w:hint="eastAsia"/>
          <w:sz w:val="24"/>
          <w:szCs w:val="24"/>
        </w:rPr>
        <w:t>500-1000mg/L、氨氮25-70mg/L、动植物油</w:t>
      </w:r>
      <w:r>
        <w:rPr>
          <w:sz w:val="24"/>
          <w:szCs w:val="24"/>
        </w:rPr>
        <w:t>30-100</w:t>
      </w:r>
      <w:r>
        <w:rPr>
          <w:rFonts w:hint="eastAsia"/>
          <w:sz w:val="24"/>
          <w:szCs w:val="24"/>
        </w:rPr>
        <w:t>mg/L，另外考虑到入驻的食品加工和预制菜加工企业生产过程会用到肉类、蔬菜、面食、油炸制品、豆制品等各类综合性食品，同时考虑处理余量，故废水污染物C</w:t>
      </w:r>
      <w:r>
        <w:rPr>
          <w:sz w:val="24"/>
          <w:szCs w:val="24"/>
        </w:rPr>
        <w:t>OD</w:t>
      </w:r>
      <w:r>
        <w:rPr>
          <w:rFonts w:hint="eastAsia"/>
          <w:sz w:val="24"/>
          <w:szCs w:val="24"/>
        </w:rPr>
        <w:t>浓度以2000mg/L的1</w:t>
      </w:r>
      <w:r>
        <w:rPr>
          <w:sz w:val="24"/>
          <w:szCs w:val="24"/>
        </w:rPr>
        <w:t>.5</w:t>
      </w:r>
      <w:r>
        <w:rPr>
          <w:rFonts w:hint="eastAsia"/>
          <w:sz w:val="24"/>
          <w:szCs w:val="24"/>
        </w:rPr>
        <w:t>倍考虑，最终确定本项目污水处理站设计进水水质为</w:t>
      </w:r>
      <w:r>
        <w:rPr>
          <w:sz w:val="24"/>
          <w:szCs w:val="24"/>
        </w:rPr>
        <w:t>COD 3000</w:t>
      </w:r>
      <w:r>
        <w:rPr>
          <w:rFonts w:hint="eastAsia"/>
          <w:sz w:val="24"/>
          <w:szCs w:val="24"/>
        </w:rPr>
        <w:t>mg/L、B</w:t>
      </w:r>
      <w:r>
        <w:rPr>
          <w:sz w:val="24"/>
          <w:szCs w:val="24"/>
        </w:rPr>
        <w:t>OD</w:t>
      </w:r>
      <w:r>
        <w:rPr>
          <w:sz w:val="24"/>
          <w:szCs w:val="24"/>
          <w:vertAlign w:val="subscript"/>
        </w:rPr>
        <w:t>5</w:t>
      </w:r>
      <w:r>
        <w:rPr>
          <w:sz w:val="24"/>
          <w:szCs w:val="24"/>
        </w:rPr>
        <w:t xml:space="preserve"> 1200</w:t>
      </w:r>
      <w:r>
        <w:rPr>
          <w:rFonts w:hint="eastAsia"/>
          <w:sz w:val="24"/>
          <w:szCs w:val="24"/>
        </w:rPr>
        <w:t>mg/L、S</w:t>
      </w:r>
      <w:r>
        <w:rPr>
          <w:sz w:val="24"/>
          <w:szCs w:val="24"/>
        </w:rPr>
        <w:t>S 1500</w:t>
      </w:r>
      <w:r>
        <w:rPr>
          <w:rFonts w:hint="eastAsia"/>
          <w:sz w:val="24"/>
          <w:szCs w:val="24"/>
        </w:rPr>
        <w:t>mg/L、氨氮</w:t>
      </w:r>
      <w:r>
        <w:rPr>
          <w:sz w:val="24"/>
          <w:szCs w:val="24"/>
        </w:rPr>
        <w:t>100</w:t>
      </w:r>
      <w:r>
        <w:rPr>
          <w:rFonts w:hint="eastAsia"/>
          <w:sz w:val="24"/>
          <w:szCs w:val="24"/>
        </w:rPr>
        <w:t>mg/L、T</w:t>
      </w:r>
      <w:r>
        <w:rPr>
          <w:sz w:val="24"/>
          <w:szCs w:val="24"/>
        </w:rPr>
        <w:t>P 30</w:t>
      </w:r>
      <w:r>
        <w:rPr>
          <w:rFonts w:hint="eastAsia"/>
          <w:sz w:val="24"/>
          <w:szCs w:val="24"/>
        </w:rPr>
        <w:t>mg/L、T</w:t>
      </w:r>
      <w:r>
        <w:rPr>
          <w:sz w:val="24"/>
          <w:szCs w:val="24"/>
        </w:rPr>
        <w:t>N 200</w:t>
      </w:r>
      <w:r>
        <w:rPr>
          <w:rFonts w:hint="eastAsia"/>
          <w:sz w:val="24"/>
          <w:szCs w:val="24"/>
        </w:rPr>
        <w:t>mg/L、动植物油1</w:t>
      </w:r>
      <w:r>
        <w:rPr>
          <w:sz w:val="24"/>
          <w:szCs w:val="24"/>
        </w:rPr>
        <w:t>20</w:t>
      </w:r>
      <w:r>
        <w:rPr>
          <w:rFonts w:hint="eastAsia"/>
          <w:sz w:val="24"/>
          <w:szCs w:val="24"/>
        </w:rPr>
        <w:t>mg/L。</w:t>
      </w:r>
    </w:p>
    <w:p>
      <w:pPr>
        <w:spacing w:line="520" w:lineRule="exact"/>
        <w:ind w:firstLine="480" w:firstLineChars="200"/>
        <w:outlineLvl w:val="4"/>
        <w:rPr>
          <w:sz w:val="24"/>
          <w:szCs w:val="24"/>
        </w:rPr>
      </w:pPr>
      <w:r>
        <w:rPr>
          <w:rFonts w:hint="eastAsia"/>
          <w:sz w:val="24"/>
          <w:szCs w:val="24"/>
        </w:rPr>
        <w:t>四、污水处理站出水标准</w:t>
      </w:r>
    </w:p>
    <w:p>
      <w:pPr>
        <w:spacing w:line="520" w:lineRule="exact"/>
        <w:ind w:firstLine="480" w:firstLineChars="200"/>
        <w:rPr>
          <w:sz w:val="24"/>
          <w:szCs w:val="24"/>
        </w:rPr>
      </w:pPr>
      <w:r>
        <w:rPr>
          <w:sz w:val="24"/>
          <w:szCs w:val="24"/>
        </w:rPr>
        <w:t>本项目废水经污水处理站预处理达标后排入</w:t>
      </w:r>
      <w:r>
        <w:rPr>
          <w:rFonts w:hint="eastAsia"/>
          <w:sz w:val="24"/>
          <w:szCs w:val="24"/>
        </w:rPr>
        <w:t>原阳县产业集聚区污水处理厂进一步处理，</w:t>
      </w:r>
      <w:r>
        <w:rPr>
          <w:bCs/>
          <w:sz w:val="24"/>
          <w:szCs w:val="24"/>
        </w:rPr>
        <w:t>处理后排入东关排渠，汇入文岩干渠</w:t>
      </w:r>
      <w:r>
        <w:rPr>
          <w:sz w:val="24"/>
          <w:szCs w:val="24"/>
        </w:rPr>
        <w:t>。</w:t>
      </w:r>
    </w:p>
    <w:p>
      <w:pPr>
        <w:spacing w:line="520" w:lineRule="exact"/>
        <w:ind w:firstLine="480" w:firstLineChars="200"/>
        <w:rPr>
          <w:sz w:val="24"/>
          <w:szCs w:val="24"/>
        </w:rPr>
      </w:pPr>
      <w:r>
        <w:rPr>
          <w:rFonts w:hint="eastAsia"/>
          <w:sz w:val="24"/>
          <w:szCs w:val="24"/>
        </w:rPr>
        <w:t>本项目出水动植物油达到《污水综合排放标准》（GB8978-1996）表4二级标准，其他废水污染物满足原阳县产业集聚区污水处理厂进水水质标准。</w:t>
      </w:r>
    </w:p>
    <w:p>
      <w:pPr>
        <w:spacing w:line="520" w:lineRule="exact"/>
        <w:ind w:firstLine="480" w:firstLineChars="200"/>
        <w:rPr>
          <w:rFonts w:eastAsia="黑体"/>
          <w:sz w:val="24"/>
        </w:rPr>
      </w:pPr>
      <w:r>
        <w:rPr>
          <w:rFonts w:eastAsia="黑体"/>
          <w:sz w:val="24"/>
        </w:rPr>
        <w:t>表3.1-9          本项目设计出水水质         单位：mg/L（pH除外）</w:t>
      </w:r>
    </w:p>
    <w:tbl>
      <w:tblPr>
        <w:tblStyle w:val="4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649"/>
        <w:gridCol w:w="891"/>
        <w:gridCol w:w="891"/>
        <w:gridCol w:w="891"/>
        <w:gridCol w:w="976"/>
        <w:gridCol w:w="894"/>
        <w:gridCol w:w="840"/>
        <w:gridCol w:w="12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68" w:type="dxa"/>
            <w:vAlign w:val="center"/>
          </w:tcPr>
          <w:p>
            <w:pPr>
              <w:jc w:val="center"/>
              <w:rPr>
                <w:b/>
                <w:kern w:val="0"/>
                <w:szCs w:val="21"/>
              </w:rPr>
            </w:pPr>
            <w:r>
              <w:rPr>
                <w:b/>
                <w:kern w:val="0"/>
                <w:szCs w:val="21"/>
              </w:rPr>
              <w:t>水质类别</w:t>
            </w:r>
          </w:p>
        </w:tc>
        <w:tc>
          <w:tcPr>
            <w:tcW w:w="649" w:type="dxa"/>
            <w:vAlign w:val="center"/>
          </w:tcPr>
          <w:p>
            <w:pPr>
              <w:jc w:val="center"/>
              <w:rPr>
                <w:b/>
                <w:kern w:val="0"/>
                <w:szCs w:val="21"/>
              </w:rPr>
            </w:pPr>
            <w:r>
              <w:rPr>
                <w:b/>
                <w:kern w:val="0"/>
                <w:szCs w:val="21"/>
              </w:rPr>
              <w:t>pH</w:t>
            </w:r>
          </w:p>
        </w:tc>
        <w:tc>
          <w:tcPr>
            <w:tcW w:w="891" w:type="dxa"/>
            <w:vAlign w:val="center"/>
          </w:tcPr>
          <w:p>
            <w:pPr>
              <w:jc w:val="center"/>
              <w:rPr>
                <w:b/>
                <w:kern w:val="0"/>
                <w:szCs w:val="21"/>
              </w:rPr>
            </w:pPr>
            <w:r>
              <w:rPr>
                <w:b/>
                <w:kern w:val="0"/>
                <w:szCs w:val="21"/>
              </w:rPr>
              <w:t>COD</w:t>
            </w:r>
            <w:r>
              <w:rPr>
                <w:rFonts w:hint="eastAsia"/>
                <w:b/>
                <w:kern w:val="0"/>
                <w:szCs w:val="21"/>
              </w:rPr>
              <w:t>cr</w:t>
            </w:r>
          </w:p>
        </w:tc>
        <w:tc>
          <w:tcPr>
            <w:tcW w:w="891" w:type="dxa"/>
            <w:vAlign w:val="center"/>
          </w:tcPr>
          <w:p>
            <w:pPr>
              <w:jc w:val="center"/>
              <w:rPr>
                <w:b/>
                <w:kern w:val="0"/>
                <w:szCs w:val="21"/>
              </w:rPr>
            </w:pPr>
            <w:r>
              <w:rPr>
                <w:b/>
                <w:kern w:val="0"/>
                <w:szCs w:val="21"/>
              </w:rPr>
              <w:t>BOD</w:t>
            </w:r>
            <w:r>
              <w:rPr>
                <w:b/>
                <w:kern w:val="0"/>
                <w:szCs w:val="21"/>
                <w:vertAlign w:val="subscript"/>
              </w:rPr>
              <w:t>5</w:t>
            </w:r>
          </w:p>
        </w:tc>
        <w:tc>
          <w:tcPr>
            <w:tcW w:w="891" w:type="dxa"/>
            <w:vAlign w:val="center"/>
          </w:tcPr>
          <w:p>
            <w:pPr>
              <w:jc w:val="center"/>
              <w:rPr>
                <w:b/>
                <w:kern w:val="0"/>
                <w:szCs w:val="21"/>
              </w:rPr>
            </w:pPr>
            <w:r>
              <w:rPr>
                <w:b/>
                <w:kern w:val="0"/>
                <w:szCs w:val="21"/>
              </w:rPr>
              <w:t>SS</w:t>
            </w:r>
          </w:p>
        </w:tc>
        <w:tc>
          <w:tcPr>
            <w:tcW w:w="976" w:type="dxa"/>
            <w:vAlign w:val="center"/>
          </w:tcPr>
          <w:p>
            <w:pPr>
              <w:jc w:val="center"/>
              <w:rPr>
                <w:b/>
                <w:kern w:val="0"/>
                <w:szCs w:val="21"/>
              </w:rPr>
            </w:pPr>
            <w:r>
              <w:rPr>
                <w:rFonts w:hint="eastAsia"/>
                <w:b/>
                <w:kern w:val="0"/>
                <w:szCs w:val="21"/>
              </w:rPr>
              <w:t>氨氮</w:t>
            </w:r>
          </w:p>
        </w:tc>
        <w:tc>
          <w:tcPr>
            <w:tcW w:w="894" w:type="dxa"/>
            <w:vAlign w:val="center"/>
          </w:tcPr>
          <w:p>
            <w:pPr>
              <w:jc w:val="center"/>
              <w:rPr>
                <w:b/>
                <w:kern w:val="0"/>
                <w:szCs w:val="21"/>
              </w:rPr>
            </w:pPr>
            <w:r>
              <w:rPr>
                <w:b/>
                <w:kern w:val="0"/>
                <w:szCs w:val="21"/>
              </w:rPr>
              <w:t>TN</w:t>
            </w:r>
          </w:p>
        </w:tc>
        <w:tc>
          <w:tcPr>
            <w:tcW w:w="840" w:type="dxa"/>
            <w:vAlign w:val="center"/>
          </w:tcPr>
          <w:p>
            <w:pPr>
              <w:jc w:val="center"/>
              <w:rPr>
                <w:b/>
                <w:kern w:val="0"/>
                <w:szCs w:val="21"/>
              </w:rPr>
            </w:pPr>
            <w:r>
              <w:rPr>
                <w:b/>
                <w:kern w:val="0"/>
                <w:szCs w:val="21"/>
              </w:rPr>
              <w:t>TP</w:t>
            </w:r>
          </w:p>
        </w:tc>
        <w:tc>
          <w:tcPr>
            <w:tcW w:w="1216" w:type="dxa"/>
            <w:vAlign w:val="center"/>
          </w:tcPr>
          <w:p>
            <w:pPr>
              <w:spacing w:line="300" w:lineRule="exact"/>
              <w:jc w:val="center"/>
              <w:rPr>
                <w:b/>
                <w:kern w:val="0"/>
                <w:szCs w:val="21"/>
              </w:rPr>
            </w:pPr>
            <w:r>
              <w:rPr>
                <w:rFonts w:hint="eastAsia"/>
                <w:b/>
              </w:rPr>
              <w:t>动植物油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68" w:type="dxa"/>
            <w:vAlign w:val="center"/>
          </w:tcPr>
          <w:p>
            <w:pPr>
              <w:jc w:val="center"/>
              <w:rPr>
                <w:bCs/>
                <w:kern w:val="0"/>
                <w:szCs w:val="21"/>
              </w:rPr>
            </w:pPr>
            <w:r>
              <w:rPr>
                <w:rFonts w:hint="eastAsia"/>
                <w:bCs/>
                <w:kern w:val="0"/>
                <w:szCs w:val="21"/>
              </w:rPr>
              <w:t>出水</w:t>
            </w:r>
            <w:r>
              <w:rPr>
                <w:bCs/>
                <w:kern w:val="0"/>
                <w:szCs w:val="21"/>
              </w:rPr>
              <w:t>水质</w:t>
            </w:r>
          </w:p>
        </w:tc>
        <w:tc>
          <w:tcPr>
            <w:tcW w:w="649" w:type="dxa"/>
            <w:vAlign w:val="center"/>
          </w:tcPr>
          <w:p>
            <w:pPr>
              <w:jc w:val="center"/>
              <w:rPr>
                <w:bCs/>
                <w:kern w:val="0"/>
                <w:szCs w:val="21"/>
              </w:rPr>
            </w:pPr>
            <w:r>
              <w:rPr>
                <w:bCs/>
                <w:kern w:val="0"/>
                <w:szCs w:val="21"/>
              </w:rPr>
              <w:t>6~9</w:t>
            </w:r>
          </w:p>
        </w:tc>
        <w:tc>
          <w:tcPr>
            <w:tcW w:w="891" w:type="dxa"/>
            <w:vAlign w:val="center"/>
          </w:tcPr>
          <w:p>
            <w:pPr>
              <w:widowControl/>
              <w:jc w:val="center"/>
              <w:textAlignment w:val="center"/>
              <w:rPr>
                <w:bCs/>
                <w:kern w:val="0"/>
                <w:szCs w:val="21"/>
              </w:rPr>
            </w:pPr>
            <w:r>
              <w:rPr>
                <w:bCs/>
                <w:kern w:val="0"/>
                <w:szCs w:val="21"/>
              </w:rPr>
              <w:t>42</w:t>
            </w:r>
            <w:r>
              <w:rPr>
                <w:rFonts w:hint="eastAsia"/>
                <w:bCs/>
                <w:kern w:val="0"/>
                <w:szCs w:val="21"/>
              </w:rPr>
              <w:t>0</w:t>
            </w:r>
          </w:p>
        </w:tc>
        <w:tc>
          <w:tcPr>
            <w:tcW w:w="891" w:type="dxa"/>
            <w:vAlign w:val="center"/>
          </w:tcPr>
          <w:p>
            <w:pPr>
              <w:widowControl/>
              <w:jc w:val="center"/>
              <w:textAlignment w:val="center"/>
              <w:rPr>
                <w:bCs/>
                <w:kern w:val="0"/>
                <w:szCs w:val="21"/>
              </w:rPr>
            </w:pPr>
            <w:r>
              <w:rPr>
                <w:bCs/>
                <w:kern w:val="0"/>
                <w:szCs w:val="21"/>
              </w:rPr>
              <w:t>210</w:t>
            </w:r>
          </w:p>
        </w:tc>
        <w:tc>
          <w:tcPr>
            <w:tcW w:w="891" w:type="dxa"/>
            <w:vAlign w:val="center"/>
          </w:tcPr>
          <w:p>
            <w:pPr>
              <w:widowControl/>
              <w:jc w:val="center"/>
              <w:textAlignment w:val="center"/>
              <w:rPr>
                <w:bCs/>
                <w:kern w:val="0"/>
                <w:szCs w:val="21"/>
              </w:rPr>
            </w:pPr>
            <w:r>
              <w:rPr>
                <w:bCs/>
                <w:kern w:val="0"/>
                <w:szCs w:val="21"/>
              </w:rPr>
              <w:t>350</w:t>
            </w:r>
          </w:p>
        </w:tc>
        <w:tc>
          <w:tcPr>
            <w:tcW w:w="976" w:type="dxa"/>
            <w:vAlign w:val="center"/>
          </w:tcPr>
          <w:p>
            <w:pPr>
              <w:widowControl/>
              <w:jc w:val="center"/>
              <w:textAlignment w:val="center"/>
              <w:rPr>
                <w:bCs/>
                <w:kern w:val="0"/>
                <w:szCs w:val="21"/>
              </w:rPr>
            </w:pPr>
            <w:r>
              <w:rPr>
                <w:bCs/>
                <w:kern w:val="0"/>
                <w:szCs w:val="21"/>
              </w:rPr>
              <w:t>40</w:t>
            </w:r>
          </w:p>
        </w:tc>
        <w:tc>
          <w:tcPr>
            <w:tcW w:w="894" w:type="dxa"/>
            <w:vAlign w:val="center"/>
          </w:tcPr>
          <w:p>
            <w:pPr>
              <w:widowControl/>
              <w:jc w:val="center"/>
              <w:textAlignment w:val="center"/>
              <w:rPr>
                <w:bCs/>
                <w:kern w:val="0"/>
                <w:szCs w:val="21"/>
              </w:rPr>
            </w:pPr>
            <w:r>
              <w:rPr>
                <w:bCs/>
                <w:kern w:val="0"/>
                <w:szCs w:val="21"/>
              </w:rPr>
              <w:t>50</w:t>
            </w:r>
          </w:p>
        </w:tc>
        <w:tc>
          <w:tcPr>
            <w:tcW w:w="840" w:type="dxa"/>
            <w:vAlign w:val="center"/>
          </w:tcPr>
          <w:p>
            <w:pPr>
              <w:widowControl/>
              <w:jc w:val="center"/>
              <w:textAlignment w:val="center"/>
              <w:rPr>
                <w:bCs/>
                <w:kern w:val="0"/>
                <w:szCs w:val="21"/>
              </w:rPr>
            </w:pPr>
            <w:r>
              <w:rPr>
                <w:bCs/>
                <w:kern w:val="0"/>
                <w:szCs w:val="21"/>
              </w:rPr>
              <w:t>4</w:t>
            </w:r>
          </w:p>
        </w:tc>
        <w:tc>
          <w:tcPr>
            <w:tcW w:w="1216" w:type="dxa"/>
            <w:vAlign w:val="center"/>
          </w:tcPr>
          <w:p>
            <w:pPr>
              <w:widowControl/>
              <w:jc w:val="center"/>
              <w:textAlignment w:val="center"/>
              <w:rPr>
                <w:bCs/>
                <w:kern w:val="0"/>
                <w:szCs w:val="21"/>
              </w:rPr>
            </w:pPr>
            <w:r>
              <w:rPr>
                <w:rFonts w:hint="eastAsia"/>
                <w:bCs/>
                <w:kern w:val="0"/>
                <w:szCs w:val="21"/>
              </w:rPr>
              <w:t>1</w:t>
            </w:r>
            <w:r>
              <w:rPr>
                <w:bCs/>
                <w:kern w:val="0"/>
                <w:szCs w:val="21"/>
              </w:rPr>
              <w:t>5</w:t>
            </w:r>
          </w:p>
        </w:tc>
      </w:tr>
    </w:tbl>
    <w:p>
      <w:pPr>
        <w:spacing w:line="520" w:lineRule="exact"/>
        <w:ind w:firstLine="480" w:firstLineChars="200"/>
        <w:rPr>
          <w:sz w:val="24"/>
          <w:szCs w:val="24"/>
        </w:rPr>
      </w:pPr>
    </w:p>
    <w:p>
      <w:pPr>
        <w:spacing w:line="520" w:lineRule="exact"/>
        <w:ind w:firstLine="480" w:firstLineChars="200"/>
        <w:outlineLvl w:val="4"/>
        <w:rPr>
          <w:sz w:val="24"/>
          <w:szCs w:val="24"/>
        </w:rPr>
      </w:pPr>
      <w:r>
        <w:rPr>
          <w:rFonts w:hint="eastAsia"/>
          <w:sz w:val="24"/>
          <w:szCs w:val="24"/>
        </w:rPr>
        <w:t>五、污泥处理</w:t>
      </w:r>
    </w:p>
    <w:p>
      <w:pPr>
        <w:spacing w:line="520" w:lineRule="exact"/>
        <w:ind w:firstLine="480" w:firstLineChars="200"/>
        <w:rPr>
          <w:sz w:val="24"/>
          <w:szCs w:val="24"/>
        </w:rPr>
      </w:pPr>
      <w:r>
        <w:rPr>
          <w:rFonts w:hint="eastAsia"/>
          <w:sz w:val="24"/>
          <w:szCs w:val="24"/>
        </w:rPr>
        <w:t>污泥处理按照《城镇污水处理厂污染物排放标准》（G</w:t>
      </w:r>
      <w:r>
        <w:rPr>
          <w:sz w:val="24"/>
          <w:szCs w:val="24"/>
        </w:rPr>
        <w:t>J 3025-93</w:t>
      </w:r>
      <w:r>
        <w:rPr>
          <w:rFonts w:hint="eastAsia"/>
          <w:sz w:val="24"/>
          <w:szCs w:val="24"/>
        </w:rPr>
        <w:t>）：污水处理厂的污泥应进行污泥脱水处理，脱水后污泥含水率不大于80%。《城镇污水处理厂污泥处置单独焚烧用泥质》（G</w:t>
      </w:r>
      <w:r>
        <w:rPr>
          <w:sz w:val="24"/>
          <w:szCs w:val="24"/>
        </w:rPr>
        <w:t>B/T 24602-2009</w:t>
      </w:r>
      <w:r>
        <w:rPr>
          <w:rFonts w:hint="eastAsia"/>
          <w:sz w:val="24"/>
          <w:szCs w:val="24"/>
        </w:rPr>
        <w:t>）中规定自持焚烧污泥的含水率要小于5</w:t>
      </w:r>
      <w:r>
        <w:rPr>
          <w:sz w:val="24"/>
          <w:szCs w:val="24"/>
        </w:rPr>
        <w:t>0</w:t>
      </w:r>
      <w:r>
        <w:rPr>
          <w:rFonts w:hint="eastAsia"/>
          <w:sz w:val="24"/>
          <w:szCs w:val="24"/>
        </w:rPr>
        <w:t>%，助燃焚烧污泥及干化焚烧污泥的含水率要小于8</w:t>
      </w:r>
      <w:r>
        <w:rPr>
          <w:sz w:val="24"/>
          <w:szCs w:val="24"/>
        </w:rPr>
        <w:t>0</w:t>
      </w:r>
      <w:r>
        <w:rPr>
          <w:rFonts w:hint="eastAsia"/>
          <w:sz w:val="24"/>
          <w:szCs w:val="24"/>
        </w:rPr>
        <w:t>%，《城镇污水处理厂污泥处置 混合填埋用泥质》（G</w:t>
      </w:r>
      <w:r>
        <w:rPr>
          <w:sz w:val="24"/>
          <w:szCs w:val="24"/>
        </w:rPr>
        <w:t>B/T 23485-2009</w:t>
      </w:r>
      <w:r>
        <w:rPr>
          <w:rFonts w:hint="eastAsia"/>
          <w:sz w:val="24"/>
          <w:szCs w:val="24"/>
        </w:rPr>
        <w:t>）中规定，用于混合填埋的污泥含水率要小于6</w:t>
      </w:r>
      <w:r>
        <w:rPr>
          <w:sz w:val="24"/>
          <w:szCs w:val="24"/>
        </w:rPr>
        <w:t>0</w:t>
      </w:r>
      <w:r>
        <w:rPr>
          <w:rFonts w:hint="eastAsia"/>
          <w:sz w:val="24"/>
          <w:szCs w:val="24"/>
        </w:rPr>
        <w:t>%。本项目污泥采用</w:t>
      </w:r>
      <w:r>
        <w:rPr>
          <w:sz w:val="24"/>
          <w:szCs w:val="24"/>
        </w:rPr>
        <w:t>叠螺污泥脱水机</w:t>
      </w:r>
      <w:r>
        <w:rPr>
          <w:rFonts w:hint="eastAsia"/>
          <w:sz w:val="24"/>
          <w:szCs w:val="24"/>
        </w:rPr>
        <w:t>处理，处理后的污泥含水率降至</w:t>
      </w:r>
      <w:r>
        <w:rPr>
          <w:sz w:val="24"/>
          <w:szCs w:val="24"/>
        </w:rPr>
        <w:t>8</w:t>
      </w:r>
      <w:r>
        <w:rPr>
          <w:rFonts w:hint="eastAsia"/>
          <w:sz w:val="24"/>
          <w:szCs w:val="24"/>
        </w:rPr>
        <w:t>0%。项目污泥经脱水后在污泥暂存间</w:t>
      </w:r>
      <w:r>
        <w:rPr>
          <w:sz w:val="24"/>
          <w:szCs w:val="24"/>
        </w:rPr>
        <w:t>自然干化至含水率</w:t>
      </w:r>
      <w:r>
        <w:rPr>
          <w:rFonts w:hint="eastAsia"/>
          <w:sz w:val="24"/>
          <w:szCs w:val="24"/>
        </w:rPr>
        <w:t>达到要求</w:t>
      </w:r>
      <w:r>
        <w:rPr>
          <w:sz w:val="24"/>
          <w:szCs w:val="24"/>
        </w:rPr>
        <w:t>后运输</w:t>
      </w:r>
      <w:r>
        <w:rPr>
          <w:rFonts w:hint="eastAsia"/>
          <w:sz w:val="24"/>
          <w:szCs w:val="24"/>
        </w:rPr>
        <w:t>至污泥处置单位处置</w:t>
      </w:r>
      <w:r>
        <w:rPr>
          <w:sz w:val="24"/>
          <w:szCs w:val="24"/>
        </w:rPr>
        <w:t>。污泥</w:t>
      </w:r>
      <w:r>
        <w:rPr>
          <w:rFonts w:hint="eastAsia"/>
          <w:sz w:val="24"/>
          <w:szCs w:val="24"/>
        </w:rPr>
        <w:t>暂存</w:t>
      </w:r>
      <w:r>
        <w:rPr>
          <w:sz w:val="24"/>
          <w:szCs w:val="24"/>
        </w:rPr>
        <w:t>间废气经负压收集引入废气治理设施处理。</w:t>
      </w:r>
    </w:p>
    <w:p>
      <w:pPr>
        <w:spacing w:line="500" w:lineRule="exact"/>
        <w:outlineLvl w:val="3"/>
        <w:rPr>
          <w:b/>
          <w:bCs/>
          <w:sz w:val="24"/>
          <w:szCs w:val="24"/>
        </w:rPr>
      </w:pPr>
      <w:r>
        <w:rPr>
          <w:rFonts w:hint="eastAsia"/>
          <w:b/>
          <w:bCs/>
          <w:sz w:val="24"/>
          <w:szCs w:val="24"/>
        </w:rPr>
        <w:t>3</w:t>
      </w:r>
      <w:r>
        <w:rPr>
          <w:b/>
          <w:bCs/>
          <w:sz w:val="24"/>
          <w:szCs w:val="24"/>
        </w:rPr>
        <w:t>.1.7.2 污水处理工艺</w:t>
      </w:r>
    </w:p>
    <w:p>
      <w:pPr>
        <w:spacing w:line="520" w:lineRule="exact"/>
        <w:ind w:firstLine="480" w:firstLineChars="200"/>
        <w:outlineLvl w:val="4"/>
        <w:rPr>
          <w:bCs/>
          <w:sz w:val="24"/>
          <w:szCs w:val="24"/>
        </w:rPr>
      </w:pPr>
      <w:r>
        <w:rPr>
          <w:rFonts w:hint="eastAsia"/>
          <w:sz w:val="24"/>
          <w:szCs w:val="24"/>
        </w:rPr>
        <w:t>（1）</w:t>
      </w:r>
      <w:r>
        <w:rPr>
          <w:bCs/>
          <w:sz w:val="24"/>
          <w:szCs w:val="24"/>
        </w:rPr>
        <w:t>污水处理工艺选择的原则</w:t>
      </w:r>
    </w:p>
    <w:p>
      <w:pPr>
        <w:spacing w:line="520" w:lineRule="exact"/>
        <w:ind w:firstLine="480" w:firstLineChars="200"/>
        <w:rPr>
          <w:sz w:val="24"/>
          <w:szCs w:val="24"/>
        </w:rPr>
      </w:pPr>
      <w:r>
        <w:rPr>
          <w:rFonts w:hint="eastAsia"/>
          <w:sz w:val="24"/>
          <w:szCs w:val="24"/>
        </w:rPr>
        <w:t>产业园区污水处理站作为产业园区基础设施的重要组成部分和水污染控制的关键环节，其建设和运行意义重大。由于污水站的建设和运行不但耗资较大，而且受多种因素的制约和影响，其处理工艺方案的优化对确保污水站的运行性能和降低运行费用最为关键。因此，有必要根据确定的标准和一般原则进行设计。从整体优化的观念出发，结合设计规模、污水水质特性以及当地的实际条件和要求选择切合实际可行、经济合理的处理工艺方案，经全面技术比较后优选出最佳的总体工艺方案和实施方式。</w:t>
      </w:r>
    </w:p>
    <w:p>
      <w:pPr>
        <w:spacing w:line="520" w:lineRule="exact"/>
        <w:ind w:firstLine="480" w:firstLineChars="200"/>
        <w:rPr>
          <w:sz w:val="24"/>
          <w:szCs w:val="24"/>
        </w:rPr>
      </w:pPr>
      <w:r>
        <w:rPr>
          <w:rFonts w:hint="eastAsia"/>
          <w:sz w:val="24"/>
          <w:szCs w:val="24"/>
        </w:rPr>
        <w:t>污水站工艺需根据进站污水水质、出水水质要求、处理站规模、污染处置方案以及当地气温、工程地质、环境等条件来慎重选择。各种处理工艺都有一定的适用条件，工程设计时需因地制宜，合理确定污水处理工艺。</w:t>
      </w:r>
    </w:p>
    <w:p>
      <w:pPr>
        <w:spacing w:line="520" w:lineRule="exact"/>
        <w:ind w:firstLine="480" w:firstLineChars="200"/>
        <w:rPr>
          <w:sz w:val="24"/>
          <w:szCs w:val="24"/>
        </w:rPr>
      </w:pPr>
      <w:r>
        <w:rPr>
          <w:rFonts w:hint="eastAsia"/>
          <w:sz w:val="24"/>
          <w:szCs w:val="24"/>
        </w:rPr>
        <w:t>选择合适的污水处理工艺、污泥处理处置工艺，不仅可以降低工程投资，还有利于污水站的运行管理以及减少污水站的常年运行费用，保证污水站出水水质。</w:t>
      </w:r>
    </w:p>
    <w:p>
      <w:pPr>
        <w:spacing w:line="520" w:lineRule="exact"/>
        <w:ind w:firstLine="480" w:firstLineChars="200"/>
        <w:rPr>
          <w:sz w:val="24"/>
          <w:szCs w:val="24"/>
          <w:highlight w:val="yellow"/>
        </w:rPr>
      </w:pPr>
      <w:r>
        <w:rPr>
          <w:rFonts w:hint="eastAsia"/>
          <w:sz w:val="24"/>
          <w:szCs w:val="24"/>
        </w:rPr>
        <w:t>根据对污水进出水水质的分析，本工程要求污水处理程度的特点是：除对CODcr、BOD</w:t>
      </w:r>
      <w:r>
        <w:rPr>
          <w:rFonts w:hint="eastAsia"/>
          <w:sz w:val="24"/>
          <w:szCs w:val="24"/>
          <w:vertAlign w:val="subscript"/>
        </w:rPr>
        <w:t>5</w:t>
      </w:r>
      <w:r>
        <w:rPr>
          <w:rFonts w:hint="eastAsia"/>
          <w:sz w:val="24"/>
          <w:szCs w:val="24"/>
        </w:rPr>
        <w:t>、SS去除率要求较高，还应具有脱氮除磷的功能。因此，对污水处理工艺的选择应根据其特点，慎重选择。本工程的污水处理工艺在选择时充分考虑污水量、污水水质、经济条件，力求做到：</w:t>
      </w:r>
    </w:p>
    <w:p>
      <w:pPr>
        <w:spacing w:line="520" w:lineRule="exact"/>
        <w:ind w:firstLine="480" w:firstLineChars="200"/>
        <w:rPr>
          <w:sz w:val="24"/>
          <w:szCs w:val="24"/>
        </w:rPr>
      </w:pPr>
      <w:r>
        <w:rPr>
          <w:rFonts w:hint="eastAsia"/>
          <w:sz w:val="24"/>
          <w:szCs w:val="24"/>
        </w:rPr>
        <w:t>①工艺成熟，技术先进，对水质变化的适应能力强，出水达标且稳定，污泥易于处置；</w:t>
      </w:r>
    </w:p>
    <w:p>
      <w:pPr>
        <w:spacing w:line="520" w:lineRule="exact"/>
        <w:ind w:firstLine="480" w:firstLineChars="200"/>
        <w:rPr>
          <w:sz w:val="24"/>
          <w:szCs w:val="24"/>
        </w:rPr>
      </w:pPr>
      <w:r>
        <w:rPr>
          <w:rFonts w:hint="eastAsia"/>
          <w:sz w:val="24"/>
          <w:szCs w:val="24"/>
        </w:rPr>
        <w:t>②经济合理，电耗省，造价低，占地省；</w:t>
      </w:r>
    </w:p>
    <w:p>
      <w:pPr>
        <w:spacing w:line="520" w:lineRule="exact"/>
        <w:ind w:firstLine="480" w:firstLineChars="200"/>
        <w:rPr>
          <w:sz w:val="24"/>
          <w:szCs w:val="24"/>
        </w:rPr>
      </w:pPr>
      <w:r>
        <w:rPr>
          <w:rFonts w:hint="eastAsia"/>
          <w:sz w:val="24"/>
          <w:szCs w:val="24"/>
        </w:rPr>
        <w:t>③做到易于管理，操作方便，设备可靠；</w:t>
      </w:r>
    </w:p>
    <w:p>
      <w:pPr>
        <w:spacing w:line="520" w:lineRule="exact"/>
        <w:ind w:firstLine="480" w:firstLineChars="200"/>
        <w:rPr>
          <w:sz w:val="24"/>
          <w:szCs w:val="24"/>
        </w:rPr>
      </w:pPr>
      <w:r>
        <w:rPr>
          <w:rFonts w:hint="eastAsia"/>
          <w:sz w:val="24"/>
          <w:szCs w:val="24"/>
        </w:rPr>
        <w:t>④整体工艺协调优化；</w:t>
      </w:r>
    </w:p>
    <w:p>
      <w:pPr>
        <w:spacing w:line="520" w:lineRule="exact"/>
        <w:ind w:firstLine="480" w:firstLineChars="200"/>
        <w:rPr>
          <w:sz w:val="24"/>
          <w:szCs w:val="24"/>
        </w:rPr>
      </w:pPr>
      <w:r>
        <w:rPr>
          <w:rFonts w:hint="eastAsia"/>
          <w:sz w:val="24"/>
          <w:szCs w:val="24"/>
        </w:rPr>
        <w:t>⑤站区景观与环境相协调；</w:t>
      </w:r>
    </w:p>
    <w:p>
      <w:pPr>
        <w:spacing w:line="520" w:lineRule="exact"/>
        <w:ind w:firstLine="480" w:firstLineChars="200"/>
        <w:rPr>
          <w:sz w:val="24"/>
          <w:szCs w:val="24"/>
        </w:rPr>
      </w:pPr>
      <w:r>
        <w:rPr>
          <w:rFonts w:hint="eastAsia"/>
          <w:sz w:val="24"/>
          <w:szCs w:val="24"/>
        </w:rPr>
        <w:t>⑥重视环境的防护，噪声的控制。</w:t>
      </w:r>
    </w:p>
    <w:p>
      <w:pPr>
        <w:spacing w:line="520" w:lineRule="exact"/>
        <w:ind w:firstLine="480" w:firstLineChars="200"/>
        <w:outlineLvl w:val="4"/>
        <w:rPr>
          <w:bCs/>
          <w:sz w:val="24"/>
          <w:szCs w:val="24"/>
        </w:rPr>
      </w:pPr>
      <w:r>
        <w:rPr>
          <w:rFonts w:hint="eastAsia"/>
          <w:bCs/>
          <w:sz w:val="24"/>
          <w:szCs w:val="24"/>
        </w:rPr>
        <w:t>（2）</w:t>
      </w:r>
      <w:r>
        <w:rPr>
          <w:bCs/>
          <w:sz w:val="24"/>
          <w:szCs w:val="24"/>
        </w:rPr>
        <w:t xml:space="preserve">污水处理工艺选择 </w:t>
      </w:r>
    </w:p>
    <w:p>
      <w:pPr>
        <w:spacing w:line="520" w:lineRule="exact"/>
        <w:ind w:firstLine="480" w:firstLineChars="200"/>
        <w:outlineLvl w:val="5"/>
        <w:rPr>
          <w:sz w:val="24"/>
          <w:szCs w:val="24"/>
        </w:rPr>
      </w:pPr>
      <w:r>
        <w:rPr>
          <w:rFonts w:hint="eastAsia"/>
          <w:sz w:val="24"/>
          <w:szCs w:val="24"/>
        </w:rPr>
        <w:t>①</w:t>
      </w:r>
      <w:r>
        <w:rPr>
          <w:sz w:val="24"/>
          <w:szCs w:val="24"/>
        </w:rPr>
        <w:t>预处理工艺选择</w:t>
      </w:r>
    </w:p>
    <w:p>
      <w:pPr>
        <w:spacing w:line="520" w:lineRule="exact"/>
        <w:ind w:firstLine="480" w:firstLineChars="200"/>
        <w:outlineLvl w:val="7"/>
        <w:rPr>
          <w:sz w:val="24"/>
          <w:szCs w:val="24"/>
        </w:rPr>
      </w:pPr>
      <w:r>
        <w:rPr>
          <w:sz w:val="24"/>
          <w:szCs w:val="24"/>
        </w:rPr>
        <w:t>Ⅰ）格栅</w:t>
      </w:r>
    </w:p>
    <w:p>
      <w:pPr>
        <w:spacing w:line="520" w:lineRule="exact"/>
        <w:ind w:firstLine="480" w:firstLineChars="200"/>
        <w:rPr>
          <w:sz w:val="24"/>
          <w:szCs w:val="28"/>
        </w:rPr>
      </w:pPr>
      <w:r>
        <w:rPr>
          <w:sz w:val="24"/>
          <w:szCs w:val="28"/>
        </w:rPr>
        <w:t>格栅一般安装在污水处理厂废水泵站之前，用以拦截大块的悬浮物或者漂浮物，以保证后续构筑物或设备的正常工作。</w:t>
      </w:r>
    </w:p>
    <w:p>
      <w:pPr>
        <w:spacing w:line="520" w:lineRule="exact"/>
        <w:ind w:firstLine="480" w:firstLineChars="200"/>
        <w:rPr>
          <w:sz w:val="24"/>
          <w:szCs w:val="28"/>
        </w:rPr>
      </w:pPr>
      <w:r>
        <w:rPr>
          <w:sz w:val="24"/>
          <w:szCs w:val="28"/>
        </w:rPr>
        <w:t>格栅一般按照栅条间距的大小，格栅分为粗格栅、中格栅和细格栅三类，栅条间距分别为1-10mm、15-25mm和大于40mm。</w:t>
      </w:r>
    </w:p>
    <w:p>
      <w:pPr>
        <w:spacing w:line="520" w:lineRule="exact"/>
        <w:ind w:firstLine="480" w:firstLineChars="200"/>
        <w:rPr>
          <w:sz w:val="24"/>
          <w:szCs w:val="28"/>
        </w:rPr>
      </w:pPr>
      <w:r>
        <w:rPr>
          <w:sz w:val="24"/>
          <w:szCs w:val="28"/>
        </w:rPr>
        <w:t>按照清渣方式，格栅分为人工淸渣和机械清渣。</w:t>
      </w:r>
    </w:p>
    <w:p>
      <w:pPr>
        <w:spacing w:line="520" w:lineRule="exact"/>
        <w:ind w:firstLine="480" w:firstLineChars="200"/>
        <w:rPr>
          <w:sz w:val="24"/>
          <w:szCs w:val="28"/>
        </w:rPr>
      </w:pPr>
      <w:r>
        <w:rPr>
          <w:sz w:val="24"/>
          <w:szCs w:val="28"/>
        </w:rPr>
        <w:t>按照构造特点，格栅分为抓扒式格栅、循环式格栅、弧形格栅、回转式格栅转鼓式格栅等。</w:t>
      </w:r>
    </w:p>
    <w:p>
      <w:pPr>
        <w:spacing w:line="520" w:lineRule="exact"/>
        <w:ind w:firstLine="480" w:firstLineChars="200"/>
        <w:outlineLvl w:val="7"/>
        <w:rPr>
          <w:sz w:val="24"/>
          <w:szCs w:val="24"/>
        </w:rPr>
      </w:pPr>
      <w:r>
        <w:rPr>
          <w:sz w:val="24"/>
          <w:szCs w:val="24"/>
        </w:rPr>
        <w:t>Ⅱ）集水池</w:t>
      </w:r>
    </w:p>
    <w:p>
      <w:pPr>
        <w:spacing w:line="520" w:lineRule="exact"/>
        <w:ind w:firstLine="480" w:firstLineChars="200"/>
        <w:rPr>
          <w:sz w:val="24"/>
          <w:szCs w:val="28"/>
        </w:rPr>
      </w:pPr>
      <w:r>
        <w:rPr>
          <w:sz w:val="24"/>
          <w:szCs w:val="28"/>
        </w:rPr>
        <w:t>集水池的作用是汇集、储存和均衡废水的水质水量。各个车间的生产废水，其排出的废水水量和水质一般来说是不均衡的，生产时有废水，不生产时就没有废水，甚至在一日之内或班产之间都可能有很大的变化，如果清浊废水不分流，则工艺浓废水与轻污染废水的水质水量变化很大，这种变化对废水处理设施设备的正常操作及处理效果是很不利的，甚至是有害的。因此废水在进入主要污水处理系统前，都要设置一个有一定容积的废水集水池，将废水储存起来并使其均质均量，以保证废水处理设备和设施的正常运行。</w:t>
      </w:r>
    </w:p>
    <w:p>
      <w:pPr>
        <w:spacing w:line="520" w:lineRule="exact"/>
        <w:ind w:firstLine="480" w:firstLineChars="200"/>
        <w:outlineLvl w:val="7"/>
        <w:rPr>
          <w:sz w:val="24"/>
          <w:szCs w:val="24"/>
        </w:rPr>
      </w:pPr>
      <w:r>
        <w:rPr>
          <w:sz w:val="24"/>
          <w:szCs w:val="24"/>
        </w:rPr>
        <w:t>Ⅲ）过滤</w:t>
      </w:r>
    </w:p>
    <w:p>
      <w:pPr>
        <w:spacing w:line="520" w:lineRule="exact"/>
        <w:ind w:firstLine="480" w:firstLineChars="200"/>
      </w:pPr>
      <w:r>
        <w:rPr>
          <w:sz w:val="24"/>
          <w:szCs w:val="28"/>
        </w:rPr>
        <w:t>把污水中存在的微小悬浮物质，主要是废水中的悬浮物质等更大限度地分离出来，以达到液体净化排放达标的目的。</w:t>
      </w:r>
    </w:p>
    <w:p>
      <w:pPr>
        <w:spacing w:line="520" w:lineRule="exact"/>
        <w:ind w:firstLine="480" w:firstLineChars="200"/>
        <w:outlineLvl w:val="7"/>
        <w:rPr>
          <w:sz w:val="24"/>
          <w:szCs w:val="24"/>
        </w:rPr>
      </w:pPr>
      <w:r>
        <w:rPr>
          <w:sz w:val="24"/>
          <w:szCs w:val="24"/>
        </w:rPr>
        <w:t>Ⅳ）混凝反应沉淀</w:t>
      </w:r>
    </w:p>
    <w:p>
      <w:pPr>
        <w:spacing w:line="520" w:lineRule="exact"/>
        <w:ind w:firstLine="480" w:firstLineChars="200"/>
      </w:pPr>
      <w:r>
        <w:rPr>
          <w:sz w:val="24"/>
          <w:szCs w:val="28"/>
        </w:rPr>
        <w:t>通过投加混凝剂、助凝剂，进行混凝反应和沉淀分离，去除部分悬浮物和有机物，提高有机物的可生化降解性能。</w:t>
      </w:r>
    </w:p>
    <w:p>
      <w:pPr>
        <w:spacing w:line="520" w:lineRule="exact"/>
        <w:ind w:firstLine="480" w:firstLineChars="200"/>
        <w:outlineLvl w:val="7"/>
        <w:rPr>
          <w:sz w:val="24"/>
          <w:szCs w:val="24"/>
        </w:rPr>
      </w:pPr>
      <w:r>
        <w:rPr>
          <w:sz w:val="24"/>
          <w:szCs w:val="24"/>
        </w:rPr>
        <w:t>Ⅴ）调节池</w:t>
      </w:r>
    </w:p>
    <w:p>
      <w:pPr>
        <w:spacing w:line="520" w:lineRule="exact"/>
        <w:ind w:firstLine="480" w:firstLineChars="200"/>
        <w:rPr>
          <w:sz w:val="24"/>
          <w:szCs w:val="28"/>
        </w:rPr>
      </w:pPr>
      <w:r>
        <w:rPr>
          <w:sz w:val="24"/>
          <w:szCs w:val="28"/>
        </w:rPr>
        <w:t>一般工业企业排出的废水水质、水量，酸碱度或温度等水质指标随排水时间大幅度的变动，为使处理构筑物或建筑物不受废水高峰水量或浓度的冲击，设立调节池。调节池可分为圆形、方形或者多边形等形状。主要用于调节水质水量。</w:t>
      </w:r>
    </w:p>
    <w:p>
      <w:pPr>
        <w:spacing w:line="520" w:lineRule="exact"/>
        <w:ind w:firstLine="480" w:firstLineChars="200"/>
        <w:outlineLvl w:val="7"/>
        <w:rPr>
          <w:sz w:val="24"/>
          <w:szCs w:val="24"/>
        </w:rPr>
      </w:pPr>
      <w:r>
        <w:rPr>
          <w:sz w:val="24"/>
          <w:szCs w:val="24"/>
        </w:rPr>
        <w:t>Ⅵ）</w:t>
      </w:r>
      <w:r>
        <w:rPr>
          <w:rFonts w:hint="eastAsia"/>
          <w:sz w:val="24"/>
          <w:szCs w:val="24"/>
        </w:rPr>
        <w:t>水解酸化池</w:t>
      </w:r>
    </w:p>
    <w:p>
      <w:pPr>
        <w:spacing w:line="520" w:lineRule="exact"/>
        <w:ind w:firstLine="480" w:firstLineChars="200"/>
        <w:rPr>
          <w:sz w:val="24"/>
          <w:szCs w:val="28"/>
        </w:rPr>
      </w:pPr>
      <w:r>
        <w:rPr>
          <w:rFonts w:hint="eastAsia"/>
          <w:sz w:val="24"/>
          <w:szCs w:val="28"/>
        </w:rPr>
        <w:t>水解酸化池是一种生物反应器，通常采用封闭的容器，内部充满水和废水混合物。它提供了一个适宜的环境，利用微生物群落对有机物进行分解和降解。水解酸化池内的微生物是一种厌氧菌，可以在缺氧环境下进行代谢活动。一旦废水进入水解酸化池，微生物群落开始分解有机物。水解、酸化阶段的产物主要为小分子有机物，可生物降解性一般较好。故水解池可以改变原污水的可生化性，从而减少反应的时间和处理的能耗。</w:t>
      </w:r>
    </w:p>
    <w:p>
      <w:pPr>
        <w:spacing w:line="520" w:lineRule="exact"/>
        <w:ind w:firstLine="480" w:firstLineChars="200"/>
        <w:outlineLvl w:val="7"/>
        <w:rPr>
          <w:sz w:val="24"/>
          <w:szCs w:val="24"/>
        </w:rPr>
      </w:pPr>
      <w:r>
        <w:rPr>
          <w:sz w:val="24"/>
          <w:szCs w:val="24"/>
        </w:rPr>
        <w:t>Ⅶ</w:t>
      </w:r>
      <w:r>
        <w:rPr>
          <w:rFonts w:hint="eastAsia"/>
          <w:sz w:val="24"/>
          <w:szCs w:val="24"/>
        </w:rPr>
        <w:t>）</w:t>
      </w:r>
      <w:r>
        <w:rPr>
          <w:sz w:val="24"/>
          <w:szCs w:val="24"/>
        </w:rPr>
        <w:t>预处理工艺确定</w:t>
      </w:r>
    </w:p>
    <w:p>
      <w:pPr>
        <w:spacing w:line="520" w:lineRule="exact"/>
        <w:ind w:firstLine="480" w:firstLineChars="200"/>
        <w:rPr>
          <w:sz w:val="24"/>
          <w:szCs w:val="28"/>
        </w:rPr>
      </w:pPr>
      <w:r>
        <w:rPr>
          <w:rFonts w:hint="eastAsia"/>
          <w:sz w:val="24"/>
          <w:szCs w:val="28"/>
        </w:rPr>
        <w:t>根据《</w:t>
      </w:r>
      <w:r>
        <w:rPr>
          <w:rFonts w:hint="eastAsia"/>
          <w:sz w:val="24"/>
          <w:szCs w:val="24"/>
        </w:rPr>
        <w:t>屠宰与肉类加工</w:t>
      </w:r>
      <w:r>
        <w:rPr>
          <w:rFonts w:hint="eastAsia"/>
          <w:sz w:val="24"/>
          <w:szCs w:val="28"/>
        </w:rPr>
        <w:t>废水治理工程技术规范》（H</w:t>
      </w:r>
      <w:r>
        <w:rPr>
          <w:sz w:val="24"/>
          <w:szCs w:val="28"/>
        </w:rPr>
        <w:t>J 2004-2010</w:t>
      </w:r>
      <w:r>
        <w:rPr>
          <w:rFonts w:hint="eastAsia"/>
          <w:sz w:val="24"/>
          <w:szCs w:val="28"/>
        </w:rPr>
        <w:t>），屠宰与肉类加工废水工程的预处理部分主要包括：粗（细）格栅、沉砂池、隔油池、集水池、调节池和初沉池等。根据《排污许可证申请与核发技术规范 水处理》（H</w:t>
      </w:r>
      <w:r>
        <w:rPr>
          <w:sz w:val="24"/>
          <w:szCs w:val="28"/>
        </w:rPr>
        <w:t>J 978-2018</w:t>
      </w:r>
      <w:r>
        <w:rPr>
          <w:rFonts w:hint="eastAsia"/>
          <w:sz w:val="24"/>
          <w:szCs w:val="28"/>
        </w:rPr>
        <w:t>），</w:t>
      </w:r>
      <w:r>
        <w:rPr>
          <w:sz w:val="24"/>
          <w:szCs w:val="28"/>
        </w:rPr>
        <w:t>废水预处理可行技术为：</w:t>
      </w:r>
      <w:r>
        <w:rPr>
          <w:rFonts w:hint="eastAsia"/>
          <w:sz w:val="24"/>
          <w:szCs w:val="28"/>
        </w:rPr>
        <w:t>沉淀、调节、气浮、水解酸化。根据《排污许可证申请与核发技术规范 食品制造业-方便食品、食品及饲料添加剂制造工业》（H</w:t>
      </w:r>
      <w:r>
        <w:rPr>
          <w:sz w:val="24"/>
          <w:szCs w:val="28"/>
        </w:rPr>
        <w:t>J 1030.3-2019</w:t>
      </w:r>
      <w:r>
        <w:rPr>
          <w:rFonts w:hint="eastAsia"/>
          <w:sz w:val="24"/>
          <w:szCs w:val="28"/>
        </w:rPr>
        <w:t>），</w:t>
      </w:r>
      <w:r>
        <w:rPr>
          <w:sz w:val="24"/>
          <w:szCs w:val="28"/>
        </w:rPr>
        <w:t>废水预处理可行技术为</w:t>
      </w:r>
      <w:r>
        <w:rPr>
          <w:rFonts w:hint="eastAsia"/>
          <w:sz w:val="24"/>
          <w:szCs w:val="28"/>
        </w:rPr>
        <w:t>：粗（细）格栅、竖流或辐流式沉淀、混凝沉淀、气浮。结合本项目废水水质特性，本项目预处理采用“格栅+集水池+超微过滤+初沉池+调节池+水解酸化池”工艺。</w:t>
      </w:r>
    </w:p>
    <w:p>
      <w:pPr>
        <w:spacing w:line="520" w:lineRule="exact"/>
        <w:ind w:firstLine="480" w:firstLineChars="200"/>
        <w:outlineLvl w:val="5"/>
        <w:rPr>
          <w:sz w:val="24"/>
          <w:szCs w:val="24"/>
        </w:rPr>
      </w:pPr>
      <w:r>
        <w:rPr>
          <w:rFonts w:hint="eastAsia"/>
          <w:sz w:val="24"/>
          <w:szCs w:val="24"/>
        </w:rPr>
        <w:t>②生化处理工艺选择</w:t>
      </w:r>
    </w:p>
    <w:p>
      <w:pPr>
        <w:spacing w:line="520" w:lineRule="exact"/>
        <w:ind w:firstLine="480" w:firstLineChars="200"/>
        <w:rPr>
          <w:sz w:val="24"/>
          <w:szCs w:val="28"/>
        </w:rPr>
      </w:pPr>
      <w:r>
        <w:rPr>
          <w:rFonts w:hint="eastAsia"/>
          <w:sz w:val="24"/>
          <w:szCs w:val="28"/>
        </w:rPr>
        <w:t>污水能否采用生化处理，特别是否适用于生物除磷脱氮工艺，取决于原污中各种营养成分的含量以其比例能否满足生物生长的需要，因此首先判断相关BOD</w:t>
      </w:r>
      <w:r>
        <w:rPr>
          <w:rFonts w:hint="eastAsia"/>
          <w:sz w:val="24"/>
          <w:szCs w:val="28"/>
          <w:vertAlign w:val="subscript"/>
        </w:rPr>
        <w:t>5</w:t>
      </w:r>
      <w:r>
        <w:rPr>
          <w:rFonts w:hint="eastAsia"/>
          <w:sz w:val="24"/>
          <w:szCs w:val="28"/>
        </w:rPr>
        <w:t>/CODcr的比值，BOD</w:t>
      </w:r>
      <w:r>
        <w:rPr>
          <w:rFonts w:hint="eastAsia"/>
          <w:sz w:val="24"/>
          <w:szCs w:val="28"/>
          <w:vertAlign w:val="subscript"/>
        </w:rPr>
        <w:t>5</w:t>
      </w:r>
      <w:r>
        <w:rPr>
          <w:rFonts w:hint="eastAsia"/>
          <w:sz w:val="24"/>
          <w:szCs w:val="28"/>
        </w:rPr>
        <w:t>/TN（C/N）的比值，BOD</w:t>
      </w:r>
      <w:r>
        <w:rPr>
          <w:rFonts w:hint="eastAsia"/>
          <w:sz w:val="24"/>
          <w:szCs w:val="28"/>
          <w:vertAlign w:val="subscript"/>
        </w:rPr>
        <w:t>5</w:t>
      </w:r>
      <w:r>
        <w:rPr>
          <w:rFonts w:hint="eastAsia"/>
          <w:sz w:val="24"/>
          <w:szCs w:val="28"/>
        </w:rPr>
        <w:t>/TP的比值的指标能否满足要求。</w:t>
      </w:r>
    </w:p>
    <w:p>
      <w:pPr>
        <w:spacing w:line="520" w:lineRule="exact"/>
        <w:ind w:firstLine="480" w:firstLineChars="200"/>
        <w:rPr>
          <w:sz w:val="24"/>
          <w:szCs w:val="28"/>
        </w:rPr>
      </w:pPr>
      <w:r>
        <w:rPr>
          <w:rFonts w:hint="eastAsia"/>
          <w:sz w:val="24"/>
          <w:szCs w:val="28"/>
        </w:rPr>
        <w:t>BOD</w:t>
      </w:r>
      <w:r>
        <w:rPr>
          <w:rFonts w:hint="eastAsia"/>
          <w:sz w:val="24"/>
          <w:szCs w:val="28"/>
          <w:vertAlign w:val="subscript"/>
        </w:rPr>
        <w:t>5</w:t>
      </w:r>
      <w:r>
        <w:rPr>
          <w:rFonts w:hint="eastAsia"/>
          <w:sz w:val="24"/>
          <w:szCs w:val="28"/>
        </w:rPr>
        <w:t>/COD的比值为判定废水可生化性的最简便易行和最常用的方法。一般认为BOD</w:t>
      </w:r>
      <w:r>
        <w:rPr>
          <w:rFonts w:hint="eastAsia"/>
          <w:sz w:val="24"/>
          <w:szCs w:val="28"/>
          <w:vertAlign w:val="subscript"/>
        </w:rPr>
        <w:t>5</w:t>
      </w:r>
      <w:r>
        <w:rPr>
          <w:rFonts w:hint="eastAsia"/>
          <w:sz w:val="24"/>
          <w:szCs w:val="28"/>
        </w:rPr>
        <w:t>/COD≥0.</w:t>
      </w:r>
      <w:r>
        <w:rPr>
          <w:sz w:val="24"/>
          <w:szCs w:val="28"/>
        </w:rPr>
        <w:t>4</w:t>
      </w:r>
      <w:r>
        <w:rPr>
          <w:rFonts w:hint="eastAsia"/>
          <w:sz w:val="24"/>
          <w:szCs w:val="28"/>
        </w:rPr>
        <w:t>可生化性较好，BOD</w:t>
      </w:r>
      <w:r>
        <w:rPr>
          <w:rFonts w:hint="eastAsia"/>
          <w:sz w:val="24"/>
          <w:szCs w:val="28"/>
          <w:vertAlign w:val="subscript"/>
        </w:rPr>
        <w:t>5</w:t>
      </w:r>
      <w:r>
        <w:rPr>
          <w:rFonts w:hint="eastAsia"/>
          <w:sz w:val="24"/>
          <w:szCs w:val="28"/>
        </w:rPr>
        <w:t>/COD＜0.3较难生化，BOD</w:t>
      </w:r>
      <w:r>
        <w:rPr>
          <w:rFonts w:hint="eastAsia"/>
          <w:sz w:val="24"/>
          <w:szCs w:val="28"/>
          <w:vertAlign w:val="subscript"/>
        </w:rPr>
        <w:t>5</w:t>
      </w:r>
      <w:r>
        <w:rPr>
          <w:rFonts w:hint="eastAsia"/>
          <w:sz w:val="24"/>
          <w:szCs w:val="28"/>
        </w:rPr>
        <w:t>/COD＜0.25不易生化。</w:t>
      </w:r>
    </w:p>
    <w:p>
      <w:pPr>
        <w:spacing w:line="520" w:lineRule="exact"/>
        <w:ind w:firstLine="480" w:firstLineChars="200"/>
        <w:rPr>
          <w:sz w:val="24"/>
          <w:szCs w:val="28"/>
        </w:rPr>
      </w:pPr>
      <w:r>
        <w:rPr>
          <w:rFonts w:hint="eastAsia"/>
          <w:sz w:val="24"/>
          <w:szCs w:val="28"/>
        </w:rPr>
        <w:t>C/N比值是判别能否有效脱氮的重要指标。从理论上讲，C/N≥2.86就能进行脱氮。</w:t>
      </w:r>
    </w:p>
    <w:p>
      <w:pPr>
        <w:spacing w:line="520" w:lineRule="exact"/>
        <w:ind w:firstLine="480" w:firstLineChars="200"/>
        <w:rPr>
          <w:sz w:val="24"/>
          <w:szCs w:val="28"/>
        </w:rPr>
      </w:pPr>
      <w:r>
        <w:rPr>
          <w:rFonts w:hint="eastAsia"/>
          <w:sz w:val="24"/>
          <w:szCs w:val="28"/>
        </w:rPr>
        <w:t>BOD</w:t>
      </w:r>
      <w:r>
        <w:rPr>
          <w:rFonts w:hint="eastAsia"/>
          <w:sz w:val="24"/>
          <w:szCs w:val="28"/>
          <w:vertAlign w:val="subscript"/>
        </w:rPr>
        <w:t>5</w:t>
      </w:r>
      <w:r>
        <w:rPr>
          <w:rFonts w:hint="eastAsia"/>
          <w:sz w:val="24"/>
          <w:szCs w:val="28"/>
        </w:rPr>
        <w:t>/TP比值是该指标是鉴别能否生物除磷的主要指标。生物除磷是活性污泥中除磷菌在厌氧条件下分解细胞内的聚磷酸盐同时产生ATP，并利用ATP将废水中的有机物摄入细胞，以PHB（</w:t>
      </w:r>
      <w:r>
        <w:rPr>
          <w:sz w:val="24"/>
          <w:szCs w:val="28"/>
        </w:rPr>
        <w:t>聚β-羟丁酸）</w:t>
      </w:r>
      <w:r>
        <w:rPr>
          <w:rFonts w:hint="eastAsia"/>
          <w:sz w:val="24"/>
          <w:szCs w:val="28"/>
        </w:rPr>
        <w:t>及糖原等有机颗粒的形式贮存于细胞内，同时随着聚磷酸盐的分解，释放磷；一旦进入好氧环境，除磷菌又可利用聚</w:t>
      </w:r>
      <w:r>
        <w:rPr>
          <w:sz w:val="24"/>
          <w:szCs w:val="28"/>
        </w:rPr>
        <w:t>β</w:t>
      </w:r>
      <w:r>
        <w:rPr>
          <w:rFonts w:hint="eastAsia"/>
          <w:sz w:val="24"/>
          <w:szCs w:val="28"/>
        </w:rPr>
        <w:t>-羟丁酸氧化分解所释放的能量来超量摄取废水中的磷，并把所摄取的磷合成聚磷酸盐而贮存于细胞内，经沉淀分离，把富含磷的剩余污泥排出系统，达到生物除磷的目的。进水中的BOD</w:t>
      </w:r>
      <w:r>
        <w:rPr>
          <w:rFonts w:hint="eastAsia"/>
          <w:sz w:val="24"/>
          <w:szCs w:val="28"/>
          <w:vertAlign w:val="subscript"/>
        </w:rPr>
        <w:t>5</w:t>
      </w:r>
      <w:r>
        <w:rPr>
          <w:rFonts w:hint="eastAsia"/>
          <w:sz w:val="24"/>
          <w:szCs w:val="28"/>
        </w:rPr>
        <w:t>是作为营养物供除菌磷活动的基质，故BOD</w:t>
      </w:r>
      <w:r>
        <w:rPr>
          <w:rFonts w:hint="eastAsia"/>
          <w:sz w:val="24"/>
          <w:szCs w:val="28"/>
          <w:vertAlign w:val="subscript"/>
        </w:rPr>
        <w:t>5</w:t>
      </w:r>
      <w:r>
        <w:rPr>
          <w:rFonts w:hint="eastAsia"/>
          <w:sz w:val="24"/>
          <w:szCs w:val="28"/>
        </w:rPr>
        <w:t>/TP是衡量是否达到除磷的重要指标，一般认为该值要大于20，比值越大，生物除磷效果越明显。</w:t>
      </w:r>
    </w:p>
    <w:p>
      <w:pPr>
        <w:spacing w:line="520" w:lineRule="exact"/>
        <w:ind w:firstLine="480" w:firstLineChars="200"/>
        <w:rPr>
          <w:sz w:val="24"/>
          <w:szCs w:val="28"/>
        </w:rPr>
      </w:pPr>
      <w:r>
        <w:rPr>
          <w:rFonts w:hint="eastAsia"/>
          <w:sz w:val="24"/>
          <w:szCs w:val="28"/>
        </w:rPr>
        <w:t>根据计算，本项目的污水水质BOD</w:t>
      </w:r>
      <w:r>
        <w:rPr>
          <w:rFonts w:hint="eastAsia"/>
          <w:sz w:val="24"/>
          <w:szCs w:val="28"/>
          <w:vertAlign w:val="subscript"/>
        </w:rPr>
        <w:t>5</w:t>
      </w:r>
      <w:r>
        <w:rPr>
          <w:rFonts w:hint="eastAsia"/>
          <w:sz w:val="24"/>
          <w:szCs w:val="28"/>
        </w:rPr>
        <w:t>/COD的比值，BOD</w:t>
      </w:r>
      <w:r>
        <w:rPr>
          <w:rFonts w:hint="eastAsia"/>
          <w:sz w:val="24"/>
          <w:szCs w:val="28"/>
          <w:vertAlign w:val="subscript"/>
        </w:rPr>
        <w:t>5</w:t>
      </w:r>
      <w:r>
        <w:rPr>
          <w:rFonts w:hint="eastAsia"/>
          <w:sz w:val="24"/>
          <w:szCs w:val="28"/>
        </w:rPr>
        <w:t>/TN的比值，BOD</w:t>
      </w:r>
      <w:r>
        <w:rPr>
          <w:rFonts w:hint="eastAsia"/>
          <w:sz w:val="24"/>
          <w:szCs w:val="28"/>
          <w:vertAlign w:val="subscript"/>
        </w:rPr>
        <w:t>5</w:t>
      </w:r>
      <w:r>
        <w:rPr>
          <w:rFonts w:hint="eastAsia"/>
          <w:sz w:val="24"/>
          <w:szCs w:val="28"/>
        </w:rPr>
        <w:t>/TP的比值如下。</w:t>
      </w:r>
    </w:p>
    <w:p>
      <w:pPr>
        <w:spacing w:line="520" w:lineRule="exact"/>
        <w:ind w:firstLine="480" w:firstLineChars="200"/>
        <w:rPr>
          <w:rFonts w:eastAsia="黑体"/>
          <w:sz w:val="24"/>
        </w:rPr>
      </w:pPr>
      <w:r>
        <w:rPr>
          <w:rFonts w:hint="eastAsia" w:eastAsia="黑体"/>
          <w:sz w:val="24"/>
        </w:rPr>
        <w:t>表</w:t>
      </w:r>
      <w:r>
        <w:rPr>
          <w:rFonts w:eastAsia="黑体"/>
          <w:sz w:val="24"/>
        </w:rPr>
        <w:t>3.1</w:t>
      </w:r>
      <w:r>
        <w:rPr>
          <w:rFonts w:hint="eastAsia" w:eastAsia="黑体"/>
          <w:sz w:val="24"/>
        </w:rPr>
        <w:t>-</w:t>
      </w:r>
      <w:r>
        <w:rPr>
          <w:rFonts w:eastAsia="黑体"/>
          <w:sz w:val="24"/>
        </w:rPr>
        <w:t>8</w:t>
      </w:r>
      <w:r>
        <w:rPr>
          <w:rFonts w:hint="eastAsia" w:eastAsia="黑体"/>
          <w:sz w:val="24"/>
        </w:rPr>
        <w:t xml:space="preserve"> </w:t>
      </w:r>
      <w:r>
        <w:rPr>
          <w:rFonts w:eastAsia="黑体"/>
          <w:sz w:val="24"/>
        </w:rPr>
        <w:t xml:space="preserve">                 </w:t>
      </w:r>
      <w:r>
        <w:rPr>
          <w:rFonts w:hint="eastAsia" w:eastAsia="黑体"/>
          <w:sz w:val="24"/>
        </w:rPr>
        <w:t>指标分析</w:t>
      </w:r>
    </w:p>
    <w:tbl>
      <w:tblPr>
        <w:tblStyle w:val="815"/>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4077"/>
        <w:gridCol w:w="34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8" w:type="dxa"/>
            <w:vAlign w:val="center"/>
          </w:tcPr>
          <w:p>
            <w:pPr>
              <w:jc w:val="center"/>
              <w:rPr>
                <w:b/>
                <w:bCs/>
                <w:szCs w:val="21"/>
              </w:rPr>
            </w:pPr>
            <w:r>
              <w:rPr>
                <w:rFonts w:hint="eastAsia"/>
                <w:b/>
                <w:bCs/>
                <w:szCs w:val="21"/>
              </w:rPr>
              <w:t>序号</w:t>
            </w:r>
          </w:p>
        </w:tc>
        <w:tc>
          <w:tcPr>
            <w:tcW w:w="3969" w:type="dxa"/>
            <w:vAlign w:val="center"/>
          </w:tcPr>
          <w:p>
            <w:pPr>
              <w:jc w:val="center"/>
              <w:rPr>
                <w:b/>
                <w:bCs/>
                <w:szCs w:val="21"/>
              </w:rPr>
            </w:pPr>
            <w:r>
              <w:rPr>
                <w:rFonts w:hint="eastAsia"/>
                <w:b/>
                <w:bCs/>
                <w:szCs w:val="21"/>
              </w:rPr>
              <w:t>指标</w:t>
            </w:r>
          </w:p>
        </w:tc>
        <w:tc>
          <w:tcPr>
            <w:tcW w:w="3333" w:type="dxa"/>
            <w:vAlign w:val="center"/>
          </w:tcPr>
          <w:p>
            <w:pPr>
              <w:jc w:val="center"/>
              <w:rPr>
                <w:b/>
                <w:bCs/>
                <w:szCs w:val="21"/>
              </w:rPr>
            </w:pPr>
            <w:r>
              <w:rPr>
                <w:rFonts w:hint="eastAsia"/>
                <w:b/>
                <w:bCs/>
                <w:szCs w:val="21"/>
              </w:rPr>
              <w:t>比值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8" w:type="dxa"/>
            <w:vAlign w:val="center"/>
          </w:tcPr>
          <w:p>
            <w:pPr>
              <w:jc w:val="center"/>
              <w:rPr>
                <w:szCs w:val="21"/>
              </w:rPr>
            </w:pPr>
            <w:r>
              <w:rPr>
                <w:rFonts w:hint="eastAsia"/>
                <w:szCs w:val="21"/>
              </w:rPr>
              <w:t>1</w:t>
            </w:r>
          </w:p>
        </w:tc>
        <w:tc>
          <w:tcPr>
            <w:tcW w:w="3969" w:type="dxa"/>
            <w:vAlign w:val="center"/>
          </w:tcPr>
          <w:p>
            <w:pPr>
              <w:jc w:val="center"/>
              <w:rPr>
                <w:szCs w:val="21"/>
              </w:rPr>
            </w:pPr>
            <w:r>
              <w:rPr>
                <w:rFonts w:hint="eastAsia"/>
                <w:szCs w:val="21"/>
              </w:rPr>
              <w:t>BOD</w:t>
            </w:r>
            <w:r>
              <w:rPr>
                <w:rFonts w:hint="eastAsia"/>
                <w:szCs w:val="21"/>
                <w:vertAlign w:val="subscript"/>
              </w:rPr>
              <w:t>5</w:t>
            </w:r>
            <w:r>
              <w:rPr>
                <w:rFonts w:hint="eastAsia"/>
                <w:szCs w:val="21"/>
              </w:rPr>
              <w:t>/COD</w:t>
            </w:r>
          </w:p>
        </w:tc>
        <w:tc>
          <w:tcPr>
            <w:tcW w:w="3333" w:type="dxa"/>
            <w:vAlign w:val="center"/>
          </w:tcPr>
          <w:p>
            <w:pPr>
              <w:jc w:val="center"/>
              <w:rPr>
                <w:szCs w:val="21"/>
              </w:rPr>
            </w:pPr>
            <w:r>
              <w:rPr>
                <w:szCs w:val="21"/>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8" w:type="dxa"/>
            <w:vAlign w:val="center"/>
          </w:tcPr>
          <w:p>
            <w:pPr>
              <w:jc w:val="center"/>
              <w:rPr>
                <w:szCs w:val="21"/>
              </w:rPr>
            </w:pPr>
            <w:r>
              <w:rPr>
                <w:rFonts w:hint="eastAsia"/>
                <w:szCs w:val="21"/>
              </w:rPr>
              <w:t>2</w:t>
            </w:r>
          </w:p>
        </w:tc>
        <w:tc>
          <w:tcPr>
            <w:tcW w:w="3969" w:type="dxa"/>
            <w:vAlign w:val="center"/>
          </w:tcPr>
          <w:p>
            <w:pPr>
              <w:jc w:val="center"/>
              <w:rPr>
                <w:szCs w:val="21"/>
              </w:rPr>
            </w:pPr>
            <w:r>
              <w:rPr>
                <w:rFonts w:hint="eastAsia"/>
                <w:szCs w:val="21"/>
              </w:rPr>
              <w:t>BOD</w:t>
            </w:r>
            <w:r>
              <w:rPr>
                <w:rFonts w:hint="eastAsia"/>
                <w:szCs w:val="21"/>
                <w:vertAlign w:val="subscript"/>
              </w:rPr>
              <w:t>5</w:t>
            </w:r>
            <w:r>
              <w:rPr>
                <w:rFonts w:hint="eastAsia"/>
                <w:szCs w:val="21"/>
              </w:rPr>
              <w:t>/TN（C/N）</w:t>
            </w:r>
          </w:p>
        </w:tc>
        <w:tc>
          <w:tcPr>
            <w:tcW w:w="3333" w:type="dxa"/>
            <w:vAlign w:val="center"/>
          </w:tcPr>
          <w:p>
            <w:pPr>
              <w:jc w:val="center"/>
              <w:rPr>
                <w:szCs w:val="21"/>
              </w:rPr>
            </w:pPr>
            <w:r>
              <w:rPr>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8" w:type="dxa"/>
            <w:vAlign w:val="center"/>
          </w:tcPr>
          <w:p>
            <w:pPr>
              <w:jc w:val="center"/>
              <w:rPr>
                <w:szCs w:val="21"/>
              </w:rPr>
            </w:pPr>
            <w:r>
              <w:rPr>
                <w:rFonts w:hint="eastAsia"/>
                <w:szCs w:val="21"/>
              </w:rPr>
              <w:t>3</w:t>
            </w:r>
          </w:p>
        </w:tc>
        <w:tc>
          <w:tcPr>
            <w:tcW w:w="3969" w:type="dxa"/>
            <w:vAlign w:val="center"/>
          </w:tcPr>
          <w:p>
            <w:pPr>
              <w:jc w:val="center"/>
              <w:rPr>
                <w:szCs w:val="21"/>
              </w:rPr>
            </w:pPr>
            <w:r>
              <w:rPr>
                <w:rFonts w:hint="eastAsia"/>
                <w:szCs w:val="21"/>
              </w:rPr>
              <w:t>BOD</w:t>
            </w:r>
            <w:r>
              <w:rPr>
                <w:rFonts w:hint="eastAsia"/>
                <w:szCs w:val="21"/>
                <w:vertAlign w:val="subscript"/>
              </w:rPr>
              <w:t>5</w:t>
            </w:r>
            <w:r>
              <w:rPr>
                <w:rFonts w:hint="eastAsia"/>
                <w:szCs w:val="21"/>
              </w:rPr>
              <w:t>/TP</w:t>
            </w:r>
          </w:p>
        </w:tc>
        <w:tc>
          <w:tcPr>
            <w:tcW w:w="3333" w:type="dxa"/>
            <w:vAlign w:val="center"/>
          </w:tcPr>
          <w:p>
            <w:pPr>
              <w:jc w:val="center"/>
              <w:rPr>
                <w:szCs w:val="21"/>
              </w:rPr>
            </w:pPr>
            <w:r>
              <w:rPr>
                <w:szCs w:val="21"/>
              </w:rPr>
              <w:t>40</w:t>
            </w:r>
          </w:p>
        </w:tc>
      </w:tr>
    </w:tbl>
    <w:p>
      <w:pPr>
        <w:spacing w:line="520" w:lineRule="exact"/>
        <w:ind w:firstLine="480" w:firstLineChars="200"/>
        <w:rPr>
          <w:sz w:val="24"/>
          <w:szCs w:val="24"/>
        </w:rPr>
      </w:pPr>
      <w:r>
        <w:rPr>
          <w:sz w:val="24"/>
          <w:szCs w:val="24"/>
        </w:rPr>
        <w:t>本项目进水的BOD</w:t>
      </w:r>
      <w:r>
        <w:rPr>
          <w:sz w:val="24"/>
          <w:szCs w:val="24"/>
          <w:vertAlign w:val="subscript"/>
        </w:rPr>
        <w:t>5</w:t>
      </w:r>
      <w:r>
        <w:rPr>
          <w:sz w:val="24"/>
          <w:szCs w:val="24"/>
        </w:rPr>
        <w:t>/COD=</w:t>
      </w:r>
      <w:r>
        <w:rPr>
          <w:rFonts w:hint="eastAsia"/>
          <w:sz w:val="24"/>
          <w:szCs w:val="24"/>
        </w:rPr>
        <w:t>0.</w:t>
      </w:r>
      <w:r>
        <w:rPr>
          <w:sz w:val="24"/>
          <w:szCs w:val="24"/>
        </w:rPr>
        <w:t>4</w:t>
      </w:r>
      <w:r>
        <w:rPr>
          <w:rFonts w:hint="eastAsia"/>
          <w:sz w:val="24"/>
          <w:szCs w:val="24"/>
        </w:rPr>
        <w:t>可</w:t>
      </w:r>
      <w:r>
        <w:rPr>
          <w:sz w:val="24"/>
          <w:szCs w:val="24"/>
        </w:rPr>
        <w:t>生化性</w:t>
      </w:r>
      <w:r>
        <w:rPr>
          <w:rFonts w:hint="eastAsia"/>
          <w:sz w:val="24"/>
          <w:szCs w:val="24"/>
        </w:rPr>
        <w:t>较好，</w:t>
      </w:r>
      <w:r>
        <w:rPr>
          <w:sz w:val="24"/>
          <w:szCs w:val="24"/>
        </w:rPr>
        <w:t>可采用生物处理方法</w:t>
      </w:r>
      <w:r>
        <w:rPr>
          <w:rFonts w:hint="eastAsia"/>
          <w:sz w:val="24"/>
          <w:szCs w:val="24"/>
        </w:rPr>
        <w:t>；</w:t>
      </w:r>
      <w:r>
        <w:rPr>
          <w:sz w:val="24"/>
          <w:szCs w:val="24"/>
        </w:rPr>
        <w:t>C/N=6</w:t>
      </w:r>
      <w:r>
        <w:rPr>
          <w:rFonts w:hint="eastAsia"/>
          <w:sz w:val="24"/>
          <w:szCs w:val="24"/>
        </w:rPr>
        <w:t>＞</w:t>
      </w:r>
      <w:r>
        <w:rPr>
          <w:sz w:val="24"/>
          <w:szCs w:val="24"/>
        </w:rPr>
        <w:t>2.86</w:t>
      </w:r>
      <w:r>
        <w:rPr>
          <w:rFonts w:hint="eastAsia"/>
          <w:sz w:val="24"/>
          <w:szCs w:val="24"/>
        </w:rPr>
        <w:t>，</w:t>
      </w:r>
      <w:r>
        <w:rPr>
          <w:sz w:val="24"/>
          <w:szCs w:val="24"/>
        </w:rPr>
        <w:t>可满足生物脱氮</w:t>
      </w:r>
      <w:r>
        <w:rPr>
          <w:rFonts w:hint="eastAsia"/>
          <w:sz w:val="24"/>
          <w:szCs w:val="24"/>
        </w:rPr>
        <w:t>要求；</w:t>
      </w:r>
      <w:r>
        <w:rPr>
          <w:sz w:val="24"/>
          <w:szCs w:val="24"/>
        </w:rPr>
        <w:t>BOD</w:t>
      </w:r>
      <w:r>
        <w:rPr>
          <w:rFonts w:hint="eastAsia"/>
          <w:sz w:val="24"/>
          <w:szCs w:val="24"/>
          <w:vertAlign w:val="subscript"/>
        </w:rPr>
        <w:t>5</w:t>
      </w:r>
      <w:r>
        <w:rPr>
          <w:sz w:val="24"/>
          <w:szCs w:val="24"/>
        </w:rPr>
        <w:t>/TP=40&gt;20</w:t>
      </w:r>
      <w:r>
        <w:rPr>
          <w:rFonts w:hint="eastAsia"/>
          <w:sz w:val="24"/>
          <w:szCs w:val="24"/>
        </w:rPr>
        <w:t>，</w:t>
      </w:r>
      <w:r>
        <w:rPr>
          <w:sz w:val="24"/>
          <w:szCs w:val="24"/>
        </w:rPr>
        <w:t>可以采用生物除磷工艺</w:t>
      </w:r>
      <w:r>
        <w:rPr>
          <w:rFonts w:hint="eastAsia"/>
          <w:sz w:val="24"/>
          <w:szCs w:val="24"/>
        </w:rPr>
        <w:t>。</w:t>
      </w:r>
    </w:p>
    <w:p>
      <w:pPr>
        <w:spacing w:line="520" w:lineRule="exact"/>
        <w:ind w:firstLine="480" w:firstLineChars="200"/>
        <w:rPr>
          <w:sz w:val="24"/>
          <w:szCs w:val="24"/>
        </w:rPr>
      </w:pPr>
      <w:r>
        <w:rPr>
          <w:sz w:val="24"/>
          <w:szCs w:val="24"/>
        </w:rPr>
        <w:t>废水除磷脱</w:t>
      </w:r>
      <w:r>
        <w:rPr>
          <w:rFonts w:hint="eastAsia"/>
          <w:sz w:val="24"/>
          <w:szCs w:val="24"/>
        </w:rPr>
        <w:t>氮</w:t>
      </w:r>
      <w:r>
        <w:rPr>
          <w:sz w:val="24"/>
          <w:szCs w:val="24"/>
        </w:rPr>
        <w:t>的方法很多</w:t>
      </w:r>
      <w:r>
        <w:rPr>
          <w:rFonts w:hint="eastAsia"/>
          <w:sz w:val="24"/>
          <w:szCs w:val="24"/>
        </w:rPr>
        <w:t>，包</w:t>
      </w:r>
      <w:r>
        <w:rPr>
          <w:sz w:val="24"/>
          <w:szCs w:val="24"/>
        </w:rPr>
        <w:t>括物理化学法、生物处理法和生物一化学联合处理法。例如</w:t>
      </w:r>
      <w:r>
        <w:rPr>
          <w:rFonts w:hint="eastAsia"/>
          <w:sz w:val="24"/>
          <w:szCs w:val="24"/>
        </w:rPr>
        <w:t>，</w:t>
      </w:r>
      <w:r>
        <w:rPr>
          <w:sz w:val="24"/>
          <w:szCs w:val="24"/>
        </w:rPr>
        <w:t>可以采用</w:t>
      </w:r>
      <w:r>
        <w:rPr>
          <w:rFonts w:hint="eastAsia"/>
          <w:sz w:val="24"/>
          <w:szCs w:val="24"/>
        </w:rPr>
        <w:t>混凝沉淀法除磷；</w:t>
      </w:r>
      <w:r>
        <w:rPr>
          <w:sz w:val="24"/>
          <w:szCs w:val="24"/>
        </w:rPr>
        <w:t>采用吹</w:t>
      </w:r>
      <w:r>
        <w:rPr>
          <w:rFonts w:hint="eastAsia"/>
          <w:sz w:val="24"/>
          <w:szCs w:val="24"/>
        </w:rPr>
        <w:t>脱</w:t>
      </w:r>
      <w:r>
        <w:rPr>
          <w:sz w:val="24"/>
          <w:szCs w:val="24"/>
        </w:rPr>
        <w:t>法、离子交换法、氯化法脱氮。生物处理法是利用学物对的过量吸收作用除磷</w:t>
      </w:r>
      <w:r>
        <w:rPr>
          <w:rFonts w:hint="eastAsia"/>
          <w:sz w:val="24"/>
          <w:szCs w:val="24"/>
        </w:rPr>
        <w:t>，</w:t>
      </w:r>
      <w:r>
        <w:rPr>
          <w:sz w:val="24"/>
          <w:szCs w:val="24"/>
        </w:rPr>
        <w:t>利用硝化细菌和反硝化细菌的硝化与</w:t>
      </w:r>
      <w:r>
        <w:rPr>
          <w:rFonts w:hint="eastAsia"/>
          <w:sz w:val="24"/>
          <w:szCs w:val="24"/>
        </w:rPr>
        <w:t>反硝化作用脱氮</w:t>
      </w:r>
      <w:r>
        <w:rPr>
          <w:sz w:val="24"/>
          <w:szCs w:val="24"/>
        </w:rPr>
        <w:t>。生物一化学联合处理法是以生物处理为主</w:t>
      </w:r>
      <w:r>
        <w:rPr>
          <w:rFonts w:hint="eastAsia"/>
          <w:sz w:val="24"/>
          <w:szCs w:val="24"/>
        </w:rPr>
        <w:t>，</w:t>
      </w:r>
      <w:r>
        <w:rPr>
          <w:sz w:val="24"/>
          <w:szCs w:val="24"/>
        </w:rPr>
        <w:t>在生物处理构筑物</w:t>
      </w:r>
      <w:r>
        <w:rPr>
          <w:rFonts w:hint="eastAsia"/>
          <w:sz w:val="24"/>
          <w:szCs w:val="24"/>
        </w:rPr>
        <w:t>投加一定量的</w:t>
      </w:r>
      <w:r>
        <w:rPr>
          <w:sz w:val="24"/>
          <w:szCs w:val="24"/>
        </w:rPr>
        <w:t>化学药剂</w:t>
      </w:r>
      <w:r>
        <w:rPr>
          <w:rFonts w:hint="eastAsia"/>
          <w:sz w:val="24"/>
          <w:szCs w:val="24"/>
        </w:rPr>
        <w:t>，</w:t>
      </w:r>
      <w:r>
        <w:rPr>
          <w:sz w:val="24"/>
          <w:szCs w:val="24"/>
        </w:rPr>
        <w:t>以提高脱</w:t>
      </w:r>
      <w:r>
        <w:rPr>
          <w:rFonts w:hint="eastAsia"/>
          <w:sz w:val="24"/>
          <w:szCs w:val="24"/>
        </w:rPr>
        <w:t>氮</w:t>
      </w:r>
      <w:r>
        <w:rPr>
          <w:sz w:val="24"/>
          <w:szCs w:val="24"/>
        </w:rPr>
        <w:t>和除磷的效果。</w:t>
      </w:r>
    </w:p>
    <w:p>
      <w:pPr>
        <w:spacing w:line="520" w:lineRule="exact"/>
        <w:ind w:firstLine="480" w:firstLineChars="200"/>
        <w:rPr>
          <w:szCs w:val="24"/>
        </w:rPr>
      </w:pPr>
      <w:r>
        <w:rPr>
          <w:sz w:val="24"/>
          <w:szCs w:val="24"/>
        </w:rPr>
        <w:t>生物</w:t>
      </w:r>
      <w:r>
        <w:rPr>
          <w:rFonts w:hint="eastAsia"/>
          <w:sz w:val="24"/>
          <w:szCs w:val="24"/>
        </w:rPr>
        <w:t>脱氮</w:t>
      </w:r>
      <w:r>
        <w:rPr>
          <w:sz w:val="24"/>
          <w:szCs w:val="24"/>
        </w:rPr>
        <w:t>包括</w:t>
      </w:r>
      <w:r>
        <w:rPr>
          <w:rFonts w:hint="eastAsia"/>
          <w:sz w:val="24"/>
          <w:szCs w:val="24"/>
        </w:rPr>
        <w:t>硝化</w:t>
      </w:r>
      <w:r>
        <w:rPr>
          <w:sz w:val="24"/>
          <w:szCs w:val="24"/>
        </w:rPr>
        <w:t>作用和反硝化作用</w:t>
      </w:r>
      <w:r>
        <w:rPr>
          <w:rFonts w:hint="eastAsia"/>
          <w:sz w:val="24"/>
          <w:szCs w:val="24"/>
        </w:rPr>
        <w:t>，</w:t>
      </w:r>
      <w:r>
        <w:rPr>
          <w:sz w:val="24"/>
          <w:szCs w:val="24"/>
        </w:rPr>
        <w:t>这两种作用分别需要在好氧、缺氧两种</w:t>
      </w:r>
      <w:r>
        <w:rPr>
          <w:rFonts w:hint="eastAsia"/>
          <w:sz w:val="24"/>
          <w:szCs w:val="24"/>
        </w:rPr>
        <w:t>环境下才能</w:t>
      </w:r>
      <w:r>
        <w:rPr>
          <w:sz w:val="24"/>
          <w:szCs w:val="24"/>
        </w:rPr>
        <w:t>完</w:t>
      </w:r>
      <w:r>
        <w:rPr>
          <w:rFonts w:hint="eastAsia"/>
          <w:sz w:val="24"/>
          <w:szCs w:val="24"/>
        </w:rPr>
        <w:t>成；</w:t>
      </w:r>
      <w:r>
        <w:rPr>
          <w:sz w:val="24"/>
          <w:szCs w:val="24"/>
        </w:rPr>
        <w:t>生物除磷需要在好氧、厌氧交替的环境下才能完成除磷。因此,要同时脱氮除磷目的</w:t>
      </w:r>
      <w:r>
        <w:rPr>
          <w:rFonts w:hint="eastAsia"/>
          <w:sz w:val="24"/>
          <w:szCs w:val="24"/>
        </w:rPr>
        <w:t>，</w:t>
      </w:r>
      <w:r>
        <w:rPr>
          <w:sz w:val="24"/>
          <w:szCs w:val="24"/>
        </w:rPr>
        <w:t>就必须创造微生物需要的好氧、缺氧、厌氧三种生理环镜。</w:t>
      </w:r>
      <w:r>
        <w:rPr>
          <w:rFonts w:hint="eastAsia"/>
          <w:sz w:val="24"/>
          <w:szCs w:val="24"/>
        </w:rPr>
        <w:t>于</w:t>
      </w:r>
      <w:r>
        <w:rPr>
          <w:sz w:val="24"/>
          <w:szCs w:val="24"/>
        </w:rPr>
        <w:t>是通过变更三种环境的位置</w:t>
      </w:r>
      <w:r>
        <w:rPr>
          <w:rFonts w:hint="eastAsia"/>
          <w:sz w:val="24"/>
          <w:szCs w:val="24"/>
        </w:rPr>
        <w:t>，</w:t>
      </w:r>
      <w:r>
        <w:rPr>
          <w:sz w:val="24"/>
          <w:szCs w:val="24"/>
        </w:rPr>
        <w:t>改变进水或回流方式等手段</w:t>
      </w:r>
      <w:r>
        <w:rPr>
          <w:rFonts w:hint="eastAsia"/>
          <w:sz w:val="24"/>
          <w:szCs w:val="24"/>
        </w:rPr>
        <w:t>，</w:t>
      </w:r>
      <w:r>
        <w:rPr>
          <w:sz w:val="24"/>
          <w:szCs w:val="24"/>
        </w:rPr>
        <w:t>发展了很多工方式。迄今为止</w:t>
      </w:r>
      <w:r>
        <w:rPr>
          <w:rFonts w:hint="eastAsia"/>
          <w:sz w:val="24"/>
          <w:szCs w:val="24"/>
        </w:rPr>
        <w:t>，</w:t>
      </w:r>
      <w:r>
        <w:rPr>
          <w:sz w:val="24"/>
          <w:szCs w:val="24"/>
        </w:rPr>
        <w:t>已经有很多成熟的同时脱氮除磷工艺。按进水方式不同可分为连续流工艺和间歇流工艺</w:t>
      </w:r>
      <w:r>
        <w:rPr>
          <w:rFonts w:hint="eastAsia"/>
          <w:sz w:val="24"/>
          <w:szCs w:val="24"/>
        </w:rPr>
        <w:t>；</w:t>
      </w:r>
      <w:r>
        <w:rPr>
          <w:sz w:val="24"/>
          <w:szCs w:val="24"/>
        </w:rPr>
        <w:t>按微生物的生长方式可分为悬浮生长型</w:t>
      </w:r>
      <w:r>
        <w:rPr>
          <w:rFonts w:hint="eastAsia"/>
          <w:sz w:val="24"/>
          <w:szCs w:val="24"/>
        </w:rPr>
        <w:t>（</w:t>
      </w:r>
      <w:r>
        <w:rPr>
          <w:sz w:val="24"/>
          <w:szCs w:val="24"/>
        </w:rPr>
        <w:t>活性污泥法</w:t>
      </w:r>
      <w:r>
        <w:rPr>
          <w:rFonts w:hint="eastAsia"/>
          <w:sz w:val="24"/>
          <w:szCs w:val="24"/>
        </w:rPr>
        <w:t>）</w:t>
      </w:r>
      <w:r>
        <w:rPr>
          <w:sz w:val="24"/>
          <w:szCs w:val="24"/>
        </w:rPr>
        <w:t>和生物膜法</w:t>
      </w:r>
      <w:r>
        <w:rPr>
          <w:rFonts w:hint="eastAsia"/>
          <w:sz w:val="24"/>
          <w:szCs w:val="24"/>
        </w:rPr>
        <w:t>；</w:t>
      </w:r>
      <w:r>
        <w:rPr>
          <w:sz w:val="24"/>
          <w:szCs w:val="24"/>
        </w:rPr>
        <w:t>按脱氮与除磷方式的不同可分为时间顺序的脱</w:t>
      </w:r>
      <w:r>
        <w:rPr>
          <w:rFonts w:hint="eastAsia"/>
          <w:sz w:val="24"/>
          <w:szCs w:val="24"/>
        </w:rPr>
        <w:t>氮</w:t>
      </w:r>
      <w:r>
        <w:rPr>
          <w:sz w:val="24"/>
          <w:szCs w:val="24"/>
        </w:rPr>
        <w:t>除磷技术和空间顺序的脱氮除磷技术</w:t>
      </w:r>
      <w:r>
        <w:rPr>
          <w:rFonts w:hint="eastAsia"/>
          <w:sz w:val="24"/>
          <w:szCs w:val="24"/>
        </w:rPr>
        <w:t>；</w:t>
      </w:r>
      <w:r>
        <w:rPr>
          <w:sz w:val="24"/>
          <w:szCs w:val="24"/>
        </w:rPr>
        <w:t>按脱氮菌与除磷菌经历的生境可分为单污泥系统和双污泥系统。</w:t>
      </w:r>
    </w:p>
    <w:p>
      <w:pPr>
        <w:spacing w:line="520" w:lineRule="exact"/>
        <w:ind w:firstLine="480" w:firstLineChars="200"/>
        <w:rPr>
          <w:sz w:val="24"/>
          <w:szCs w:val="24"/>
        </w:rPr>
      </w:pPr>
      <w:r>
        <w:rPr>
          <w:sz w:val="24"/>
          <w:szCs w:val="24"/>
        </w:rPr>
        <w:t>应用于城市污水厂的活性污泥法污水处理工艺主要有三个系列：</w:t>
      </w:r>
      <w:r>
        <w:rPr>
          <w:rFonts w:hint="eastAsia" w:ascii="宋体" w:hAnsi="宋体" w:cs="宋体"/>
          <w:sz w:val="24"/>
          <w:szCs w:val="24"/>
        </w:rPr>
        <w:t>①</w:t>
      </w:r>
      <w:r>
        <w:rPr>
          <w:sz w:val="24"/>
          <w:szCs w:val="24"/>
        </w:rPr>
        <w:t>氧化沟系列；</w:t>
      </w:r>
      <w:r>
        <w:rPr>
          <w:rFonts w:hint="eastAsia" w:ascii="宋体" w:hAnsi="宋体" w:cs="宋体"/>
          <w:sz w:val="24"/>
          <w:szCs w:val="24"/>
        </w:rPr>
        <w:t>②</w:t>
      </w:r>
      <w:r>
        <w:rPr>
          <w:sz w:val="24"/>
          <w:szCs w:val="24"/>
        </w:rPr>
        <w:t>A</w:t>
      </w:r>
      <w:r>
        <w:rPr>
          <w:sz w:val="24"/>
          <w:szCs w:val="24"/>
          <w:vertAlign w:val="superscript"/>
        </w:rPr>
        <w:t>2</w:t>
      </w:r>
      <w:r>
        <w:rPr>
          <w:sz w:val="24"/>
          <w:szCs w:val="24"/>
        </w:rPr>
        <w:t>/O系列；</w:t>
      </w:r>
      <w:r>
        <w:rPr>
          <w:rFonts w:hint="eastAsia" w:ascii="宋体" w:hAnsi="宋体" w:cs="宋体"/>
          <w:sz w:val="24"/>
          <w:szCs w:val="24"/>
        </w:rPr>
        <w:t>③</w:t>
      </w:r>
      <w:r>
        <w:rPr>
          <w:sz w:val="24"/>
          <w:szCs w:val="24"/>
        </w:rPr>
        <w:t>SBR系列</w:t>
      </w:r>
      <w:r>
        <w:rPr>
          <w:rFonts w:hint="eastAsia"/>
          <w:sz w:val="24"/>
          <w:szCs w:val="24"/>
        </w:rPr>
        <w:t>，工艺比选见下表</w:t>
      </w:r>
      <w:r>
        <w:rPr>
          <w:sz w:val="24"/>
          <w:szCs w:val="24"/>
        </w:rPr>
        <w:t>。</w:t>
      </w:r>
    </w:p>
    <w:p>
      <w:pPr>
        <w:spacing w:before="156" w:beforeLines="50"/>
        <w:ind w:firstLine="480" w:firstLineChars="200"/>
        <w:rPr>
          <w:rFonts w:eastAsia="黑体"/>
          <w:sz w:val="24"/>
          <w:szCs w:val="32"/>
        </w:rPr>
      </w:pPr>
      <w:r>
        <w:rPr>
          <w:rFonts w:eastAsia="黑体"/>
          <w:sz w:val="24"/>
          <w:szCs w:val="32"/>
        </w:rPr>
        <w:t>表3.1-9               各工艺系列优缺点比较表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2582"/>
        <w:gridCol w:w="2240"/>
        <w:gridCol w:w="22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b/>
                <w:bCs/>
                <w:szCs w:val="21"/>
              </w:rPr>
            </w:pPr>
            <w:r>
              <w:rPr>
                <w:b/>
                <w:bCs/>
                <w:szCs w:val="21"/>
              </w:rPr>
              <w:t>项目</w:t>
            </w:r>
          </w:p>
        </w:tc>
        <w:tc>
          <w:tcPr>
            <w:tcW w:w="2514" w:type="dxa"/>
            <w:vAlign w:val="center"/>
          </w:tcPr>
          <w:p>
            <w:pPr>
              <w:jc w:val="center"/>
              <w:rPr>
                <w:b/>
                <w:bCs/>
                <w:szCs w:val="21"/>
              </w:rPr>
            </w:pPr>
            <w:r>
              <w:rPr>
                <w:b/>
                <w:bCs/>
                <w:szCs w:val="21"/>
              </w:rPr>
              <w:t>氧化沟工艺</w:t>
            </w:r>
          </w:p>
        </w:tc>
        <w:tc>
          <w:tcPr>
            <w:tcW w:w="2181" w:type="dxa"/>
            <w:vAlign w:val="center"/>
          </w:tcPr>
          <w:p>
            <w:pPr>
              <w:jc w:val="center"/>
              <w:rPr>
                <w:b/>
                <w:bCs/>
                <w:szCs w:val="21"/>
              </w:rPr>
            </w:pPr>
            <w:r>
              <w:rPr>
                <w:b/>
                <w:bCs/>
                <w:szCs w:val="21"/>
              </w:rPr>
              <w:t>A</w:t>
            </w:r>
            <w:r>
              <w:rPr>
                <w:b/>
                <w:bCs/>
                <w:szCs w:val="21"/>
                <w:vertAlign w:val="superscript"/>
              </w:rPr>
              <w:t>2</w:t>
            </w:r>
            <w:r>
              <w:rPr>
                <w:b/>
                <w:bCs/>
                <w:szCs w:val="21"/>
              </w:rPr>
              <w:t>/O工艺</w:t>
            </w:r>
          </w:p>
        </w:tc>
        <w:tc>
          <w:tcPr>
            <w:tcW w:w="2182" w:type="dxa"/>
            <w:vAlign w:val="center"/>
          </w:tcPr>
          <w:p>
            <w:pPr>
              <w:jc w:val="center"/>
              <w:rPr>
                <w:b/>
                <w:bCs/>
                <w:szCs w:val="21"/>
              </w:rPr>
            </w:pPr>
            <w:r>
              <w:rPr>
                <w:b/>
                <w:bCs/>
                <w:szCs w:val="21"/>
              </w:rPr>
              <w:t>SBR工艺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处理效果</w:t>
            </w:r>
          </w:p>
        </w:tc>
        <w:tc>
          <w:tcPr>
            <w:tcW w:w="2514" w:type="dxa"/>
            <w:vAlign w:val="center"/>
          </w:tcPr>
          <w:p>
            <w:pPr>
              <w:jc w:val="center"/>
              <w:rPr>
                <w:szCs w:val="21"/>
              </w:rPr>
            </w:pPr>
            <w:r>
              <w:rPr>
                <w:szCs w:val="21"/>
              </w:rPr>
              <w:t>较好</w:t>
            </w:r>
          </w:p>
          <w:p>
            <w:pPr>
              <w:jc w:val="center"/>
              <w:rPr>
                <w:szCs w:val="21"/>
              </w:rPr>
            </w:pPr>
            <w:r>
              <w:rPr>
                <w:szCs w:val="21"/>
              </w:rPr>
              <w:t>（前置厌氧段+化学辅助除P）</w:t>
            </w:r>
          </w:p>
        </w:tc>
        <w:tc>
          <w:tcPr>
            <w:tcW w:w="2181" w:type="dxa"/>
            <w:vAlign w:val="center"/>
          </w:tcPr>
          <w:p>
            <w:pPr>
              <w:jc w:val="center"/>
              <w:rPr>
                <w:szCs w:val="21"/>
              </w:rPr>
            </w:pPr>
            <w:r>
              <w:rPr>
                <w:szCs w:val="21"/>
              </w:rPr>
              <w:t>较好</w:t>
            </w:r>
          </w:p>
          <w:p>
            <w:pPr>
              <w:jc w:val="center"/>
              <w:rPr>
                <w:szCs w:val="21"/>
              </w:rPr>
            </w:pPr>
            <w:r>
              <w:rPr>
                <w:szCs w:val="21"/>
              </w:rPr>
              <w:t>（前置厌氧段+化学辅助除P）</w:t>
            </w:r>
          </w:p>
        </w:tc>
        <w:tc>
          <w:tcPr>
            <w:tcW w:w="2182" w:type="dxa"/>
            <w:vAlign w:val="center"/>
          </w:tcPr>
          <w:p>
            <w:pPr>
              <w:jc w:val="center"/>
              <w:rPr>
                <w:szCs w:val="21"/>
              </w:rPr>
            </w:pPr>
            <w:r>
              <w:rPr>
                <w:szCs w:val="21"/>
              </w:rPr>
              <w:t>较好</w:t>
            </w:r>
          </w:p>
          <w:p>
            <w:pPr>
              <w:jc w:val="center"/>
              <w:rPr>
                <w:szCs w:val="21"/>
              </w:rPr>
            </w:pPr>
            <w:r>
              <w:rPr>
                <w:szCs w:val="21"/>
              </w:rPr>
              <w:t>（前置厌氧段+化学辅助除P）</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运行可靠性</w:t>
            </w:r>
          </w:p>
        </w:tc>
        <w:tc>
          <w:tcPr>
            <w:tcW w:w="2514" w:type="dxa"/>
            <w:vAlign w:val="center"/>
          </w:tcPr>
          <w:p>
            <w:pPr>
              <w:jc w:val="center"/>
              <w:rPr>
                <w:szCs w:val="21"/>
              </w:rPr>
            </w:pPr>
            <w:r>
              <w:rPr>
                <w:szCs w:val="21"/>
              </w:rPr>
              <w:t>好</w:t>
            </w:r>
          </w:p>
        </w:tc>
        <w:tc>
          <w:tcPr>
            <w:tcW w:w="2181" w:type="dxa"/>
            <w:vAlign w:val="center"/>
          </w:tcPr>
          <w:p>
            <w:pPr>
              <w:jc w:val="center"/>
              <w:rPr>
                <w:szCs w:val="21"/>
              </w:rPr>
            </w:pPr>
            <w:r>
              <w:rPr>
                <w:szCs w:val="21"/>
              </w:rPr>
              <w:t>好</w:t>
            </w:r>
          </w:p>
        </w:tc>
        <w:tc>
          <w:tcPr>
            <w:tcW w:w="2182" w:type="dxa"/>
            <w:vAlign w:val="center"/>
          </w:tcPr>
          <w:p>
            <w:pPr>
              <w:jc w:val="center"/>
              <w:rPr>
                <w:szCs w:val="21"/>
              </w:rPr>
            </w:pPr>
            <w:r>
              <w:rPr>
                <w:szCs w:val="21"/>
              </w:rPr>
              <w:t>较好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系统抗冲击能力</w:t>
            </w:r>
          </w:p>
        </w:tc>
        <w:tc>
          <w:tcPr>
            <w:tcW w:w="2514" w:type="dxa"/>
            <w:vAlign w:val="center"/>
          </w:tcPr>
          <w:p>
            <w:pPr>
              <w:jc w:val="center"/>
              <w:rPr>
                <w:szCs w:val="21"/>
              </w:rPr>
            </w:pPr>
            <w:r>
              <w:rPr>
                <w:szCs w:val="21"/>
              </w:rPr>
              <w:t>好</w:t>
            </w:r>
          </w:p>
        </w:tc>
        <w:tc>
          <w:tcPr>
            <w:tcW w:w="2181" w:type="dxa"/>
            <w:vAlign w:val="center"/>
          </w:tcPr>
          <w:p>
            <w:pPr>
              <w:jc w:val="center"/>
              <w:rPr>
                <w:szCs w:val="21"/>
              </w:rPr>
            </w:pPr>
            <w:r>
              <w:rPr>
                <w:szCs w:val="21"/>
              </w:rPr>
              <w:t>较好</w:t>
            </w:r>
          </w:p>
        </w:tc>
        <w:tc>
          <w:tcPr>
            <w:tcW w:w="2182" w:type="dxa"/>
            <w:vAlign w:val="center"/>
          </w:tcPr>
          <w:p>
            <w:pPr>
              <w:jc w:val="center"/>
              <w:rPr>
                <w:szCs w:val="21"/>
              </w:rPr>
            </w:pPr>
            <w:r>
              <w:rPr>
                <w:szCs w:val="21"/>
              </w:rPr>
              <w:t>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操作管理要求</w:t>
            </w:r>
          </w:p>
        </w:tc>
        <w:tc>
          <w:tcPr>
            <w:tcW w:w="2514" w:type="dxa"/>
            <w:vAlign w:val="center"/>
          </w:tcPr>
          <w:p>
            <w:pPr>
              <w:jc w:val="center"/>
              <w:rPr>
                <w:szCs w:val="21"/>
              </w:rPr>
            </w:pPr>
            <w:r>
              <w:rPr>
                <w:szCs w:val="21"/>
              </w:rPr>
              <w:t>方便</w:t>
            </w:r>
          </w:p>
        </w:tc>
        <w:tc>
          <w:tcPr>
            <w:tcW w:w="2181" w:type="dxa"/>
            <w:vAlign w:val="center"/>
          </w:tcPr>
          <w:p>
            <w:pPr>
              <w:jc w:val="center"/>
              <w:rPr>
                <w:szCs w:val="21"/>
              </w:rPr>
            </w:pPr>
            <w:r>
              <w:rPr>
                <w:szCs w:val="21"/>
              </w:rPr>
              <w:t>方便</w:t>
            </w:r>
          </w:p>
        </w:tc>
        <w:tc>
          <w:tcPr>
            <w:tcW w:w="2182" w:type="dxa"/>
            <w:vAlign w:val="center"/>
          </w:tcPr>
          <w:p>
            <w:pPr>
              <w:jc w:val="center"/>
              <w:rPr>
                <w:szCs w:val="21"/>
              </w:rPr>
            </w:pPr>
            <w:r>
              <w:rPr>
                <w:szCs w:val="21"/>
              </w:rPr>
              <w:t>要求较高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构筑物数量</w:t>
            </w:r>
          </w:p>
        </w:tc>
        <w:tc>
          <w:tcPr>
            <w:tcW w:w="2514" w:type="dxa"/>
            <w:vAlign w:val="center"/>
          </w:tcPr>
          <w:p>
            <w:pPr>
              <w:jc w:val="center"/>
              <w:rPr>
                <w:szCs w:val="21"/>
              </w:rPr>
            </w:pPr>
            <w:r>
              <w:rPr>
                <w:szCs w:val="21"/>
              </w:rPr>
              <w:t>一般</w:t>
            </w:r>
          </w:p>
        </w:tc>
        <w:tc>
          <w:tcPr>
            <w:tcW w:w="2181" w:type="dxa"/>
            <w:vAlign w:val="center"/>
          </w:tcPr>
          <w:p>
            <w:pPr>
              <w:jc w:val="center"/>
              <w:rPr>
                <w:szCs w:val="21"/>
              </w:rPr>
            </w:pPr>
            <w:r>
              <w:rPr>
                <w:szCs w:val="21"/>
              </w:rPr>
              <w:t>一般</w:t>
            </w:r>
          </w:p>
        </w:tc>
        <w:tc>
          <w:tcPr>
            <w:tcW w:w="2182" w:type="dxa"/>
            <w:vAlign w:val="center"/>
          </w:tcPr>
          <w:p>
            <w:pPr>
              <w:jc w:val="center"/>
              <w:rPr>
                <w:szCs w:val="21"/>
              </w:rPr>
            </w:pPr>
            <w:r>
              <w:rPr>
                <w:szCs w:val="21"/>
              </w:rPr>
              <w:t>较少（可省二沉池）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设备数量</w:t>
            </w:r>
          </w:p>
        </w:tc>
        <w:tc>
          <w:tcPr>
            <w:tcW w:w="2514" w:type="dxa"/>
            <w:vAlign w:val="center"/>
          </w:tcPr>
          <w:p>
            <w:pPr>
              <w:jc w:val="center"/>
              <w:rPr>
                <w:szCs w:val="21"/>
              </w:rPr>
            </w:pPr>
            <w:r>
              <w:rPr>
                <w:szCs w:val="21"/>
              </w:rPr>
              <w:t>一般</w:t>
            </w:r>
          </w:p>
        </w:tc>
        <w:tc>
          <w:tcPr>
            <w:tcW w:w="2181" w:type="dxa"/>
            <w:vAlign w:val="center"/>
          </w:tcPr>
          <w:p>
            <w:pPr>
              <w:jc w:val="center"/>
              <w:rPr>
                <w:szCs w:val="21"/>
              </w:rPr>
            </w:pPr>
            <w:r>
              <w:rPr>
                <w:szCs w:val="21"/>
              </w:rPr>
              <w:t>一般</w:t>
            </w:r>
          </w:p>
        </w:tc>
        <w:tc>
          <w:tcPr>
            <w:tcW w:w="2182" w:type="dxa"/>
            <w:vAlign w:val="center"/>
          </w:tcPr>
          <w:p>
            <w:pPr>
              <w:jc w:val="center"/>
              <w:rPr>
                <w:szCs w:val="21"/>
              </w:rPr>
            </w:pPr>
            <w:r>
              <w:rPr>
                <w:szCs w:val="21"/>
              </w:rPr>
              <w:t>较少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设备利用率</w:t>
            </w:r>
          </w:p>
        </w:tc>
        <w:tc>
          <w:tcPr>
            <w:tcW w:w="2514" w:type="dxa"/>
            <w:vAlign w:val="center"/>
          </w:tcPr>
          <w:p>
            <w:pPr>
              <w:jc w:val="center"/>
              <w:rPr>
                <w:szCs w:val="21"/>
              </w:rPr>
            </w:pPr>
            <w:r>
              <w:rPr>
                <w:szCs w:val="21"/>
              </w:rPr>
              <w:t>高</w:t>
            </w:r>
          </w:p>
        </w:tc>
        <w:tc>
          <w:tcPr>
            <w:tcW w:w="2181" w:type="dxa"/>
            <w:vAlign w:val="center"/>
          </w:tcPr>
          <w:p>
            <w:pPr>
              <w:jc w:val="center"/>
              <w:rPr>
                <w:szCs w:val="21"/>
              </w:rPr>
            </w:pPr>
            <w:r>
              <w:rPr>
                <w:szCs w:val="21"/>
              </w:rPr>
              <w:t>高</w:t>
            </w:r>
          </w:p>
        </w:tc>
        <w:tc>
          <w:tcPr>
            <w:tcW w:w="2182" w:type="dxa"/>
            <w:vAlign w:val="center"/>
          </w:tcPr>
          <w:p>
            <w:pPr>
              <w:jc w:val="center"/>
              <w:rPr>
                <w:szCs w:val="21"/>
              </w:rPr>
            </w:pPr>
            <w:r>
              <w:rPr>
                <w:szCs w:val="21"/>
              </w:rPr>
              <w:t>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污泥量</w:t>
            </w:r>
          </w:p>
        </w:tc>
        <w:tc>
          <w:tcPr>
            <w:tcW w:w="2514" w:type="dxa"/>
            <w:vAlign w:val="center"/>
          </w:tcPr>
          <w:p>
            <w:pPr>
              <w:jc w:val="center"/>
              <w:rPr>
                <w:szCs w:val="21"/>
              </w:rPr>
            </w:pPr>
            <w:r>
              <w:rPr>
                <w:szCs w:val="21"/>
              </w:rPr>
              <w:t>一般</w:t>
            </w:r>
          </w:p>
        </w:tc>
        <w:tc>
          <w:tcPr>
            <w:tcW w:w="2181" w:type="dxa"/>
            <w:vAlign w:val="center"/>
          </w:tcPr>
          <w:p>
            <w:pPr>
              <w:jc w:val="center"/>
              <w:rPr>
                <w:szCs w:val="21"/>
              </w:rPr>
            </w:pPr>
            <w:r>
              <w:rPr>
                <w:szCs w:val="21"/>
              </w:rPr>
              <w:t>一般</w:t>
            </w:r>
          </w:p>
        </w:tc>
        <w:tc>
          <w:tcPr>
            <w:tcW w:w="2182" w:type="dxa"/>
            <w:vAlign w:val="center"/>
          </w:tcPr>
          <w:p>
            <w:pPr>
              <w:jc w:val="center"/>
              <w:rPr>
                <w:szCs w:val="21"/>
              </w:rPr>
            </w:pPr>
            <w:r>
              <w:rPr>
                <w:szCs w:val="21"/>
              </w:rPr>
              <w:t>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污泥稳定性</w:t>
            </w:r>
          </w:p>
        </w:tc>
        <w:tc>
          <w:tcPr>
            <w:tcW w:w="2514" w:type="dxa"/>
            <w:vAlign w:val="center"/>
          </w:tcPr>
          <w:p>
            <w:pPr>
              <w:jc w:val="center"/>
              <w:rPr>
                <w:szCs w:val="21"/>
              </w:rPr>
            </w:pPr>
            <w:r>
              <w:rPr>
                <w:szCs w:val="21"/>
              </w:rPr>
              <w:t>较稳定</w:t>
            </w:r>
          </w:p>
        </w:tc>
        <w:tc>
          <w:tcPr>
            <w:tcW w:w="2181" w:type="dxa"/>
            <w:vAlign w:val="center"/>
          </w:tcPr>
          <w:p>
            <w:pPr>
              <w:jc w:val="center"/>
              <w:rPr>
                <w:szCs w:val="21"/>
              </w:rPr>
            </w:pPr>
            <w:r>
              <w:rPr>
                <w:szCs w:val="21"/>
              </w:rPr>
              <w:t>较稳定</w:t>
            </w:r>
          </w:p>
        </w:tc>
        <w:tc>
          <w:tcPr>
            <w:tcW w:w="2182" w:type="dxa"/>
            <w:vAlign w:val="center"/>
          </w:tcPr>
          <w:p>
            <w:pPr>
              <w:jc w:val="center"/>
              <w:rPr>
                <w:szCs w:val="21"/>
              </w:rPr>
            </w:pPr>
            <w:r>
              <w:rPr>
                <w:szCs w:val="21"/>
              </w:rPr>
              <w:t>较稳定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构筑物布置集约化程度</w:t>
            </w:r>
          </w:p>
        </w:tc>
        <w:tc>
          <w:tcPr>
            <w:tcW w:w="2514" w:type="dxa"/>
            <w:vAlign w:val="center"/>
          </w:tcPr>
          <w:p>
            <w:pPr>
              <w:jc w:val="center"/>
              <w:rPr>
                <w:szCs w:val="21"/>
              </w:rPr>
            </w:pPr>
            <w:r>
              <w:rPr>
                <w:szCs w:val="21"/>
              </w:rPr>
              <w:t>较差</w:t>
            </w:r>
          </w:p>
        </w:tc>
        <w:tc>
          <w:tcPr>
            <w:tcW w:w="2181" w:type="dxa"/>
            <w:vAlign w:val="center"/>
          </w:tcPr>
          <w:p>
            <w:pPr>
              <w:jc w:val="center"/>
              <w:rPr>
                <w:szCs w:val="21"/>
              </w:rPr>
            </w:pPr>
            <w:r>
              <w:rPr>
                <w:szCs w:val="21"/>
              </w:rPr>
              <w:t>较高</w:t>
            </w:r>
          </w:p>
        </w:tc>
        <w:tc>
          <w:tcPr>
            <w:tcW w:w="2182" w:type="dxa"/>
            <w:vAlign w:val="center"/>
          </w:tcPr>
          <w:p>
            <w:pPr>
              <w:jc w:val="center"/>
              <w:rPr>
                <w:szCs w:val="21"/>
              </w:rPr>
            </w:pPr>
            <w:r>
              <w:rPr>
                <w:szCs w:val="21"/>
              </w:rPr>
              <w:t>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构筑物占地</w:t>
            </w:r>
          </w:p>
        </w:tc>
        <w:tc>
          <w:tcPr>
            <w:tcW w:w="2514" w:type="dxa"/>
            <w:vAlign w:val="center"/>
          </w:tcPr>
          <w:p>
            <w:pPr>
              <w:jc w:val="center"/>
              <w:rPr>
                <w:szCs w:val="21"/>
              </w:rPr>
            </w:pPr>
            <w:r>
              <w:rPr>
                <w:szCs w:val="21"/>
              </w:rPr>
              <w:t>大</w:t>
            </w:r>
          </w:p>
        </w:tc>
        <w:tc>
          <w:tcPr>
            <w:tcW w:w="2181" w:type="dxa"/>
            <w:vAlign w:val="center"/>
          </w:tcPr>
          <w:p>
            <w:pPr>
              <w:jc w:val="center"/>
              <w:rPr>
                <w:szCs w:val="21"/>
              </w:rPr>
            </w:pPr>
            <w:r>
              <w:rPr>
                <w:szCs w:val="21"/>
              </w:rPr>
              <w:t>大</w:t>
            </w:r>
          </w:p>
        </w:tc>
        <w:tc>
          <w:tcPr>
            <w:tcW w:w="2182" w:type="dxa"/>
            <w:vAlign w:val="center"/>
          </w:tcPr>
          <w:p>
            <w:pPr>
              <w:jc w:val="center"/>
              <w:rPr>
                <w:szCs w:val="21"/>
              </w:rPr>
            </w:pPr>
            <w:r>
              <w:rPr>
                <w:szCs w:val="21"/>
              </w:rPr>
              <w:t>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运行费用</w:t>
            </w:r>
          </w:p>
        </w:tc>
        <w:tc>
          <w:tcPr>
            <w:tcW w:w="2514" w:type="dxa"/>
            <w:vAlign w:val="center"/>
          </w:tcPr>
          <w:p>
            <w:pPr>
              <w:jc w:val="center"/>
              <w:rPr>
                <w:szCs w:val="21"/>
              </w:rPr>
            </w:pPr>
            <w:r>
              <w:rPr>
                <w:szCs w:val="21"/>
              </w:rPr>
              <w:t>一般</w:t>
            </w:r>
          </w:p>
        </w:tc>
        <w:tc>
          <w:tcPr>
            <w:tcW w:w="2181" w:type="dxa"/>
            <w:vAlign w:val="center"/>
          </w:tcPr>
          <w:p>
            <w:pPr>
              <w:jc w:val="center"/>
              <w:rPr>
                <w:szCs w:val="21"/>
              </w:rPr>
            </w:pPr>
            <w:r>
              <w:rPr>
                <w:szCs w:val="21"/>
              </w:rPr>
              <w:t>一般</w:t>
            </w:r>
          </w:p>
        </w:tc>
        <w:tc>
          <w:tcPr>
            <w:tcW w:w="2182" w:type="dxa"/>
            <w:vAlign w:val="center"/>
          </w:tcPr>
          <w:p>
            <w:pPr>
              <w:jc w:val="center"/>
              <w:rPr>
                <w:szCs w:val="21"/>
              </w:rPr>
            </w:pPr>
            <w:r>
              <w:rPr>
                <w:szCs w:val="21"/>
              </w:rPr>
              <w:t>较高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自动化控制系统</w:t>
            </w:r>
          </w:p>
        </w:tc>
        <w:tc>
          <w:tcPr>
            <w:tcW w:w="2514" w:type="dxa"/>
            <w:vAlign w:val="center"/>
          </w:tcPr>
          <w:p>
            <w:pPr>
              <w:jc w:val="center"/>
              <w:rPr>
                <w:szCs w:val="21"/>
              </w:rPr>
            </w:pPr>
            <w:r>
              <w:rPr>
                <w:szCs w:val="21"/>
              </w:rPr>
              <w:t>自动化程度要求一般</w:t>
            </w:r>
          </w:p>
        </w:tc>
        <w:tc>
          <w:tcPr>
            <w:tcW w:w="2181" w:type="dxa"/>
            <w:vAlign w:val="center"/>
          </w:tcPr>
          <w:p>
            <w:pPr>
              <w:jc w:val="center"/>
              <w:rPr>
                <w:szCs w:val="21"/>
              </w:rPr>
            </w:pPr>
            <w:r>
              <w:rPr>
                <w:szCs w:val="21"/>
              </w:rPr>
              <w:t>自动化程度要求一般</w:t>
            </w:r>
          </w:p>
        </w:tc>
        <w:tc>
          <w:tcPr>
            <w:tcW w:w="2182" w:type="dxa"/>
            <w:vAlign w:val="center"/>
          </w:tcPr>
          <w:p>
            <w:pPr>
              <w:jc w:val="center"/>
              <w:rPr>
                <w:szCs w:val="21"/>
              </w:rPr>
            </w:pPr>
            <w:r>
              <w:rPr>
                <w:szCs w:val="21"/>
              </w:rPr>
              <w:t>自动化程度要求高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规模适应性</w:t>
            </w:r>
          </w:p>
        </w:tc>
        <w:tc>
          <w:tcPr>
            <w:tcW w:w="2514" w:type="dxa"/>
            <w:vAlign w:val="center"/>
          </w:tcPr>
          <w:p>
            <w:pPr>
              <w:jc w:val="center"/>
              <w:rPr>
                <w:szCs w:val="21"/>
              </w:rPr>
            </w:pPr>
            <w:r>
              <w:rPr>
                <w:szCs w:val="21"/>
              </w:rPr>
              <w:t>大、中型</w:t>
            </w:r>
          </w:p>
        </w:tc>
        <w:tc>
          <w:tcPr>
            <w:tcW w:w="2181" w:type="dxa"/>
            <w:vAlign w:val="center"/>
          </w:tcPr>
          <w:p>
            <w:pPr>
              <w:jc w:val="center"/>
              <w:rPr>
                <w:szCs w:val="21"/>
              </w:rPr>
            </w:pPr>
            <w:r>
              <w:rPr>
                <w:szCs w:val="21"/>
              </w:rPr>
              <w:t>大、中、小型</w:t>
            </w:r>
          </w:p>
        </w:tc>
        <w:tc>
          <w:tcPr>
            <w:tcW w:w="2182" w:type="dxa"/>
            <w:vAlign w:val="center"/>
          </w:tcPr>
          <w:p>
            <w:pPr>
              <w:jc w:val="center"/>
              <w:rPr>
                <w:szCs w:val="21"/>
              </w:rPr>
            </w:pPr>
            <w:r>
              <w:rPr>
                <w:szCs w:val="21"/>
              </w:rPr>
              <w:t>中、小型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工程投资</w:t>
            </w:r>
          </w:p>
        </w:tc>
        <w:tc>
          <w:tcPr>
            <w:tcW w:w="2514" w:type="dxa"/>
            <w:vAlign w:val="center"/>
          </w:tcPr>
          <w:p>
            <w:pPr>
              <w:jc w:val="center"/>
              <w:rPr>
                <w:szCs w:val="21"/>
              </w:rPr>
            </w:pPr>
            <w:r>
              <w:rPr>
                <w:szCs w:val="21"/>
              </w:rPr>
              <w:t>中</w:t>
            </w:r>
          </w:p>
        </w:tc>
        <w:tc>
          <w:tcPr>
            <w:tcW w:w="2181" w:type="dxa"/>
            <w:vAlign w:val="center"/>
          </w:tcPr>
          <w:p>
            <w:pPr>
              <w:jc w:val="center"/>
              <w:rPr>
                <w:szCs w:val="21"/>
              </w:rPr>
            </w:pPr>
            <w:r>
              <w:rPr>
                <w:szCs w:val="21"/>
              </w:rPr>
              <w:t>中</w:t>
            </w:r>
          </w:p>
        </w:tc>
        <w:tc>
          <w:tcPr>
            <w:tcW w:w="2182" w:type="dxa"/>
            <w:vAlign w:val="center"/>
          </w:tcPr>
          <w:p>
            <w:pPr>
              <w:jc w:val="center"/>
              <w:rPr>
                <w:szCs w:val="21"/>
              </w:rPr>
            </w:pPr>
            <w:r>
              <w:rPr>
                <w:szCs w:val="21"/>
              </w:rPr>
              <w:t>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dxa"/>
            <w:vAlign w:val="center"/>
          </w:tcPr>
          <w:p>
            <w:pPr>
              <w:jc w:val="center"/>
              <w:rPr>
                <w:szCs w:val="21"/>
              </w:rPr>
            </w:pPr>
            <w:r>
              <w:rPr>
                <w:szCs w:val="21"/>
              </w:rPr>
              <w:t>工程实例</w:t>
            </w:r>
          </w:p>
        </w:tc>
        <w:tc>
          <w:tcPr>
            <w:tcW w:w="2514" w:type="dxa"/>
            <w:vAlign w:val="center"/>
          </w:tcPr>
          <w:p>
            <w:pPr>
              <w:jc w:val="center"/>
              <w:rPr>
                <w:szCs w:val="21"/>
              </w:rPr>
            </w:pPr>
            <w:r>
              <w:rPr>
                <w:szCs w:val="21"/>
              </w:rPr>
              <w:t>多</w:t>
            </w:r>
          </w:p>
        </w:tc>
        <w:tc>
          <w:tcPr>
            <w:tcW w:w="2181" w:type="dxa"/>
            <w:vAlign w:val="center"/>
          </w:tcPr>
          <w:p>
            <w:pPr>
              <w:jc w:val="center"/>
              <w:rPr>
                <w:szCs w:val="21"/>
              </w:rPr>
            </w:pPr>
            <w:r>
              <w:rPr>
                <w:szCs w:val="21"/>
              </w:rPr>
              <w:t>多</w:t>
            </w:r>
          </w:p>
        </w:tc>
        <w:tc>
          <w:tcPr>
            <w:tcW w:w="2182" w:type="dxa"/>
            <w:vAlign w:val="center"/>
          </w:tcPr>
          <w:p>
            <w:pPr>
              <w:jc w:val="center"/>
              <w:rPr>
                <w:szCs w:val="21"/>
              </w:rPr>
            </w:pPr>
            <w:r>
              <w:rPr>
                <w:szCs w:val="21"/>
              </w:rPr>
              <w:t>较多</w:t>
            </w:r>
          </w:p>
        </w:tc>
      </w:tr>
    </w:tbl>
    <w:p>
      <w:pPr>
        <w:tabs>
          <w:tab w:val="left" w:pos="4785"/>
        </w:tabs>
        <w:spacing w:line="520" w:lineRule="exact"/>
        <w:ind w:firstLine="480" w:firstLineChars="200"/>
        <w:rPr>
          <w:sz w:val="24"/>
          <w:szCs w:val="24"/>
        </w:rPr>
      </w:pPr>
      <w:r>
        <w:rPr>
          <w:rFonts w:hint="eastAsia"/>
          <w:sz w:val="24"/>
          <w:szCs w:val="24"/>
        </w:rPr>
        <w:t>由上表对比可知，本项目推荐采用</w:t>
      </w:r>
      <w:r>
        <w:rPr>
          <w:sz w:val="24"/>
          <w:szCs w:val="24"/>
        </w:rPr>
        <w:t>“A</w:t>
      </w:r>
      <w:r>
        <w:rPr>
          <w:sz w:val="24"/>
          <w:szCs w:val="24"/>
          <w:vertAlign w:val="superscript"/>
        </w:rPr>
        <w:t>2</w:t>
      </w:r>
      <w:r>
        <w:rPr>
          <w:sz w:val="24"/>
          <w:szCs w:val="24"/>
        </w:rPr>
        <w:t>/O</w:t>
      </w:r>
      <w:r>
        <w:rPr>
          <w:rFonts w:hint="eastAsia"/>
          <w:sz w:val="24"/>
          <w:szCs w:val="24"/>
        </w:rPr>
        <w:t>工艺</w:t>
      </w:r>
      <w:r>
        <w:rPr>
          <w:sz w:val="24"/>
          <w:szCs w:val="24"/>
        </w:rPr>
        <w:t>”作为本污水站的</w:t>
      </w:r>
      <w:r>
        <w:rPr>
          <w:rFonts w:hint="eastAsia"/>
          <w:sz w:val="24"/>
          <w:szCs w:val="24"/>
        </w:rPr>
        <w:t>生物</w:t>
      </w:r>
      <w:r>
        <w:rPr>
          <w:sz w:val="24"/>
          <w:szCs w:val="24"/>
        </w:rPr>
        <w:t>处理工艺</w:t>
      </w:r>
      <w:r>
        <w:rPr>
          <w:rFonts w:hint="eastAsia"/>
          <w:sz w:val="24"/>
          <w:szCs w:val="24"/>
        </w:rPr>
        <w:t>方案</w:t>
      </w:r>
      <w:r>
        <w:rPr>
          <w:sz w:val="24"/>
          <w:szCs w:val="24"/>
        </w:rPr>
        <w:t>。</w:t>
      </w:r>
    </w:p>
    <w:p>
      <w:pPr>
        <w:spacing w:line="520" w:lineRule="exact"/>
        <w:ind w:firstLine="480" w:firstLineChars="200"/>
        <w:outlineLvl w:val="5"/>
        <w:rPr>
          <w:sz w:val="24"/>
          <w:szCs w:val="24"/>
        </w:rPr>
      </w:pPr>
      <w:r>
        <w:rPr>
          <w:rFonts w:hint="eastAsia"/>
          <w:sz w:val="24"/>
          <w:szCs w:val="24"/>
        </w:rPr>
        <w:t>③深度处理工艺选择</w:t>
      </w:r>
    </w:p>
    <w:p>
      <w:pPr>
        <w:autoSpaceDE w:val="0"/>
        <w:autoSpaceDN w:val="0"/>
        <w:spacing w:line="520" w:lineRule="exact"/>
        <w:ind w:firstLine="480" w:firstLineChars="200"/>
        <w:rPr>
          <w:rFonts w:ascii="Calibri" w:hAnsi="Calibri"/>
          <w:kern w:val="0"/>
          <w:sz w:val="24"/>
          <w:szCs w:val="18"/>
        </w:rPr>
      </w:pPr>
      <w:r>
        <w:rPr>
          <w:rFonts w:hint="eastAsia" w:ascii="Calibri" w:hAnsi="Calibri"/>
          <w:kern w:val="0"/>
          <w:sz w:val="24"/>
          <w:szCs w:val="18"/>
        </w:rPr>
        <w:t>本项目经生物处理后总氮已满足排放标准，总磷仍不能满足收纳污水厂收水水质要求，故需要再进行深度处理去除废水的总磷。深度处理的工艺流程，视处理目的和要求的不同，可以是以下工艺的组合：混凝沉淀、过滤、生物脱氮、活性炭吸附等。</w:t>
      </w:r>
    </w:p>
    <w:p>
      <w:pPr>
        <w:spacing w:before="156" w:beforeLines="50"/>
        <w:ind w:firstLine="480" w:firstLineChars="200"/>
        <w:rPr>
          <w:rFonts w:eastAsia="黑体"/>
          <w:sz w:val="24"/>
          <w:szCs w:val="32"/>
        </w:rPr>
      </w:pPr>
      <w:r>
        <w:rPr>
          <w:rFonts w:eastAsia="黑体"/>
          <w:sz w:val="24"/>
          <w:szCs w:val="32"/>
        </w:rPr>
        <w:t xml:space="preserve">表3.1-10        </w:t>
      </w:r>
      <w:r>
        <w:rPr>
          <w:rFonts w:hint="eastAsia" w:eastAsia="黑体"/>
          <w:sz w:val="24"/>
          <w:szCs w:val="32"/>
        </w:rPr>
        <w:t>深度处理去除对象和所采用的处理技术</w:t>
      </w:r>
    </w:p>
    <w:tbl>
      <w:tblPr>
        <w:tblStyle w:val="81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841"/>
        <w:gridCol w:w="1417"/>
        <w:gridCol w:w="3544"/>
        <w:gridCol w:w="27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258" w:type="dxa"/>
            <w:gridSpan w:val="2"/>
            <w:vAlign w:val="center"/>
          </w:tcPr>
          <w:p>
            <w:pPr>
              <w:jc w:val="center"/>
              <w:rPr>
                <w:b/>
                <w:bCs/>
                <w:szCs w:val="21"/>
              </w:rPr>
            </w:pPr>
            <w:r>
              <w:rPr>
                <w:rFonts w:hint="eastAsia"/>
                <w:b/>
                <w:bCs/>
                <w:szCs w:val="21"/>
              </w:rPr>
              <w:t>去除对象</w:t>
            </w:r>
          </w:p>
        </w:tc>
        <w:tc>
          <w:tcPr>
            <w:tcW w:w="3544" w:type="dxa"/>
            <w:vAlign w:val="center"/>
          </w:tcPr>
          <w:p>
            <w:pPr>
              <w:jc w:val="center"/>
              <w:rPr>
                <w:b/>
                <w:bCs/>
                <w:szCs w:val="21"/>
              </w:rPr>
            </w:pPr>
            <w:r>
              <w:rPr>
                <w:rFonts w:hint="eastAsia"/>
                <w:b/>
                <w:bCs/>
                <w:szCs w:val="21"/>
              </w:rPr>
              <w:t>有关指标</w:t>
            </w:r>
          </w:p>
        </w:tc>
        <w:tc>
          <w:tcPr>
            <w:tcW w:w="2714" w:type="dxa"/>
            <w:vAlign w:val="center"/>
          </w:tcPr>
          <w:p>
            <w:pPr>
              <w:jc w:val="center"/>
              <w:rPr>
                <w:b/>
                <w:bCs/>
                <w:szCs w:val="21"/>
              </w:rPr>
            </w:pPr>
            <w:r>
              <w:rPr>
                <w:rFonts w:hint="eastAsia"/>
                <w:b/>
                <w:bCs/>
                <w:szCs w:val="21"/>
              </w:rPr>
              <w:t>采用的主要处理技术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41" w:type="dxa"/>
            <w:vMerge w:val="restart"/>
            <w:vAlign w:val="center"/>
          </w:tcPr>
          <w:p>
            <w:pPr>
              <w:jc w:val="center"/>
              <w:rPr>
                <w:szCs w:val="21"/>
              </w:rPr>
            </w:pPr>
            <w:r>
              <w:rPr>
                <w:rFonts w:hint="eastAsia"/>
                <w:szCs w:val="21"/>
              </w:rPr>
              <w:t>有机物</w:t>
            </w:r>
          </w:p>
        </w:tc>
        <w:tc>
          <w:tcPr>
            <w:tcW w:w="1417" w:type="dxa"/>
            <w:vAlign w:val="center"/>
          </w:tcPr>
          <w:p>
            <w:pPr>
              <w:jc w:val="center"/>
              <w:rPr>
                <w:szCs w:val="21"/>
              </w:rPr>
            </w:pPr>
            <w:r>
              <w:rPr>
                <w:rFonts w:hint="eastAsia"/>
                <w:szCs w:val="21"/>
              </w:rPr>
              <w:t>悬浮状态</w:t>
            </w:r>
          </w:p>
        </w:tc>
        <w:tc>
          <w:tcPr>
            <w:tcW w:w="3544" w:type="dxa"/>
            <w:vAlign w:val="center"/>
          </w:tcPr>
          <w:p>
            <w:pPr>
              <w:jc w:val="center"/>
              <w:rPr>
                <w:szCs w:val="21"/>
              </w:rPr>
            </w:pPr>
            <w:r>
              <w:rPr>
                <w:rFonts w:hint="eastAsia"/>
                <w:szCs w:val="21"/>
              </w:rPr>
              <w:t>SS、VSS</w:t>
            </w:r>
          </w:p>
        </w:tc>
        <w:tc>
          <w:tcPr>
            <w:tcW w:w="2714" w:type="dxa"/>
            <w:vAlign w:val="center"/>
          </w:tcPr>
          <w:p>
            <w:pPr>
              <w:jc w:val="center"/>
              <w:rPr>
                <w:szCs w:val="21"/>
              </w:rPr>
            </w:pPr>
            <w:r>
              <w:rPr>
                <w:rFonts w:hint="eastAsia"/>
                <w:szCs w:val="21"/>
              </w:rPr>
              <w:t>过滤、混凝沉淀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41" w:type="dxa"/>
            <w:vMerge w:val="continue"/>
            <w:vAlign w:val="center"/>
          </w:tcPr>
          <w:p>
            <w:pPr>
              <w:jc w:val="center"/>
              <w:rPr>
                <w:szCs w:val="21"/>
              </w:rPr>
            </w:pPr>
          </w:p>
        </w:tc>
        <w:tc>
          <w:tcPr>
            <w:tcW w:w="1417" w:type="dxa"/>
            <w:vAlign w:val="center"/>
          </w:tcPr>
          <w:p>
            <w:pPr>
              <w:jc w:val="center"/>
              <w:rPr>
                <w:szCs w:val="21"/>
              </w:rPr>
            </w:pPr>
            <w:r>
              <w:rPr>
                <w:rFonts w:hint="eastAsia"/>
                <w:szCs w:val="21"/>
              </w:rPr>
              <w:t>溶解状态</w:t>
            </w:r>
          </w:p>
        </w:tc>
        <w:tc>
          <w:tcPr>
            <w:tcW w:w="3544" w:type="dxa"/>
            <w:vAlign w:val="center"/>
          </w:tcPr>
          <w:p>
            <w:pPr>
              <w:jc w:val="center"/>
              <w:rPr>
                <w:szCs w:val="21"/>
              </w:rPr>
            </w:pPr>
            <w:r>
              <w:rPr>
                <w:rFonts w:hint="eastAsia"/>
                <w:szCs w:val="21"/>
              </w:rPr>
              <w:t>BOD</w:t>
            </w:r>
            <w:r>
              <w:rPr>
                <w:rFonts w:hint="eastAsia"/>
                <w:szCs w:val="21"/>
                <w:vertAlign w:val="subscript"/>
              </w:rPr>
              <w:t>5</w:t>
            </w:r>
            <w:r>
              <w:rPr>
                <w:rFonts w:hint="eastAsia"/>
                <w:szCs w:val="21"/>
              </w:rPr>
              <w:t>、COD</w:t>
            </w:r>
            <w:r>
              <w:rPr>
                <w:rFonts w:hint="eastAsia"/>
                <w:szCs w:val="21"/>
                <w:vertAlign w:val="subscript"/>
              </w:rPr>
              <w:t>cr</w:t>
            </w:r>
            <w:r>
              <w:rPr>
                <w:rFonts w:hint="eastAsia"/>
                <w:szCs w:val="21"/>
              </w:rPr>
              <w:t>、TOC、TOD</w:t>
            </w:r>
          </w:p>
        </w:tc>
        <w:tc>
          <w:tcPr>
            <w:tcW w:w="2714" w:type="dxa"/>
            <w:vAlign w:val="center"/>
          </w:tcPr>
          <w:p>
            <w:pPr>
              <w:jc w:val="center"/>
              <w:rPr>
                <w:szCs w:val="21"/>
              </w:rPr>
            </w:pPr>
            <w:r>
              <w:rPr>
                <w:rFonts w:hint="eastAsia"/>
                <w:szCs w:val="21"/>
              </w:rPr>
              <w:t>混凝沉淀、活性炭吸附、臭氧氧化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41" w:type="dxa"/>
            <w:vMerge w:val="restart"/>
            <w:vAlign w:val="center"/>
          </w:tcPr>
          <w:p>
            <w:pPr>
              <w:jc w:val="center"/>
              <w:rPr>
                <w:szCs w:val="21"/>
              </w:rPr>
            </w:pPr>
            <w:r>
              <w:rPr>
                <w:rFonts w:hint="eastAsia"/>
                <w:szCs w:val="21"/>
              </w:rPr>
              <w:t>营养类盐类</w:t>
            </w:r>
          </w:p>
        </w:tc>
        <w:tc>
          <w:tcPr>
            <w:tcW w:w="1417" w:type="dxa"/>
            <w:vAlign w:val="center"/>
          </w:tcPr>
          <w:p>
            <w:pPr>
              <w:jc w:val="center"/>
              <w:rPr>
                <w:szCs w:val="21"/>
              </w:rPr>
            </w:pPr>
            <w:r>
              <w:rPr>
                <w:rFonts w:hint="eastAsia"/>
                <w:szCs w:val="21"/>
              </w:rPr>
              <w:t>氮</w:t>
            </w:r>
          </w:p>
        </w:tc>
        <w:tc>
          <w:tcPr>
            <w:tcW w:w="3544" w:type="dxa"/>
            <w:vAlign w:val="center"/>
          </w:tcPr>
          <w:p>
            <w:pPr>
              <w:jc w:val="center"/>
              <w:rPr>
                <w:szCs w:val="21"/>
              </w:rPr>
            </w:pPr>
            <w:r>
              <w:rPr>
                <w:rFonts w:hint="eastAsia"/>
                <w:szCs w:val="21"/>
              </w:rPr>
              <w:t>TN、NH</w:t>
            </w:r>
            <w:r>
              <w:rPr>
                <w:rFonts w:hint="eastAsia"/>
                <w:szCs w:val="21"/>
                <w:vertAlign w:val="subscript"/>
              </w:rPr>
              <w:t>3</w:t>
            </w:r>
            <w:r>
              <w:rPr>
                <w:rFonts w:hint="eastAsia"/>
                <w:szCs w:val="21"/>
              </w:rPr>
              <w:t>-N、NO</w:t>
            </w:r>
            <w:r>
              <w:rPr>
                <w:rFonts w:hint="eastAsia"/>
                <w:szCs w:val="21"/>
                <w:vertAlign w:val="subscript"/>
              </w:rPr>
              <w:t>2</w:t>
            </w:r>
            <w:r>
              <w:rPr>
                <w:rFonts w:hint="eastAsia"/>
                <w:szCs w:val="21"/>
              </w:rPr>
              <w:t>-N、NO</w:t>
            </w:r>
            <w:r>
              <w:rPr>
                <w:rFonts w:hint="eastAsia"/>
                <w:szCs w:val="21"/>
                <w:vertAlign w:val="subscript"/>
              </w:rPr>
              <w:t>3</w:t>
            </w:r>
            <w:r>
              <w:rPr>
                <w:rFonts w:hint="eastAsia"/>
                <w:szCs w:val="21"/>
              </w:rPr>
              <w:t>-N</w:t>
            </w:r>
          </w:p>
        </w:tc>
        <w:tc>
          <w:tcPr>
            <w:tcW w:w="2714" w:type="dxa"/>
            <w:vAlign w:val="center"/>
          </w:tcPr>
          <w:p>
            <w:pPr>
              <w:jc w:val="center"/>
              <w:rPr>
                <w:szCs w:val="21"/>
              </w:rPr>
            </w:pPr>
            <w:r>
              <w:rPr>
                <w:rFonts w:hint="eastAsia"/>
                <w:szCs w:val="21"/>
              </w:rPr>
              <w:t>吹脱、折点氯化、生物脱氮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841" w:type="dxa"/>
            <w:vMerge w:val="continue"/>
            <w:vAlign w:val="center"/>
          </w:tcPr>
          <w:p>
            <w:pPr>
              <w:jc w:val="center"/>
              <w:rPr>
                <w:szCs w:val="21"/>
              </w:rPr>
            </w:pPr>
          </w:p>
        </w:tc>
        <w:tc>
          <w:tcPr>
            <w:tcW w:w="1417" w:type="dxa"/>
            <w:vAlign w:val="center"/>
          </w:tcPr>
          <w:p>
            <w:pPr>
              <w:jc w:val="center"/>
              <w:rPr>
                <w:szCs w:val="21"/>
              </w:rPr>
            </w:pPr>
            <w:r>
              <w:rPr>
                <w:rFonts w:hint="eastAsia"/>
                <w:szCs w:val="21"/>
              </w:rPr>
              <w:t>磷</w:t>
            </w:r>
          </w:p>
        </w:tc>
        <w:tc>
          <w:tcPr>
            <w:tcW w:w="3544" w:type="dxa"/>
            <w:vAlign w:val="center"/>
          </w:tcPr>
          <w:p>
            <w:pPr>
              <w:jc w:val="center"/>
              <w:rPr>
                <w:szCs w:val="21"/>
              </w:rPr>
            </w:pPr>
            <w:r>
              <w:rPr>
                <w:rFonts w:hint="eastAsia"/>
                <w:szCs w:val="21"/>
              </w:rPr>
              <w:t>PO</w:t>
            </w:r>
            <w:r>
              <w:rPr>
                <w:rFonts w:hint="eastAsia"/>
                <w:szCs w:val="21"/>
                <w:vertAlign w:val="subscript"/>
              </w:rPr>
              <w:t>4</w:t>
            </w:r>
            <w:r>
              <w:rPr>
                <w:rFonts w:hint="eastAsia"/>
                <w:szCs w:val="21"/>
              </w:rPr>
              <w:t>-P、TP</w:t>
            </w:r>
          </w:p>
        </w:tc>
        <w:tc>
          <w:tcPr>
            <w:tcW w:w="2714" w:type="dxa"/>
            <w:vAlign w:val="center"/>
          </w:tcPr>
          <w:p>
            <w:pPr>
              <w:jc w:val="center"/>
              <w:rPr>
                <w:szCs w:val="21"/>
              </w:rPr>
            </w:pPr>
            <w:r>
              <w:rPr>
                <w:rFonts w:hint="eastAsia"/>
                <w:szCs w:val="21"/>
              </w:rPr>
              <w:t>混凝沉淀、化学除磷</w:t>
            </w:r>
          </w:p>
        </w:tc>
      </w:tr>
    </w:tbl>
    <w:p>
      <w:pPr>
        <w:autoSpaceDE w:val="0"/>
        <w:autoSpaceDN w:val="0"/>
        <w:spacing w:line="520" w:lineRule="exact"/>
        <w:ind w:firstLine="480" w:firstLineChars="200"/>
        <w:rPr>
          <w:rFonts w:ascii="Calibri" w:hAnsi="Calibri"/>
          <w:kern w:val="0"/>
          <w:sz w:val="24"/>
          <w:szCs w:val="18"/>
        </w:rPr>
      </w:pPr>
      <w:r>
        <w:rPr>
          <w:rFonts w:hint="eastAsia" w:ascii="Calibri" w:hAnsi="Calibri"/>
          <w:kern w:val="0"/>
          <w:sz w:val="24"/>
          <w:szCs w:val="18"/>
        </w:rPr>
        <w:t>根据污水处理设计方案，本项目深度处理主要去</w:t>
      </w:r>
      <w:r>
        <w:rPr>
          <w:kern w:val="0"/>
          <w:sz w:val="24"/>
          <w:szCs w:val="18"/>
        </w:rPr>
        <w:t>除</w:t>
      </w:r>
      <w:r>
        <w:rPr>
          <w:rFonts w:hint="eastAsia"/>
          <w:kern w:val="0"/>
          <w:sz w:val="24"/>
          <w:szCs w:val="18"/>
        </w:rPr>
        <w:t>对象为</w:t>
      </w:r>
      <w:r>
        <w:rPr>
          <w:kern w:val="0"/>
          <w:sz w:val="24"/>
          <w:szCs w:val="18"/>
        </w:rPr>
        <w:t>TP</w:t>
      </w:r>
      <w:r>
        <w:rPr>
          <w:rFonts w:hint="eastAsia"/>
          <w:kern w:val="0"/>
          <w:sz w:val="24"/>
          <w:szCs w:val="18"/>
        </w:rPr>
        <w:t>，故</w:t>
      </w:r>
      <w:r>
        <w:rPr>
          <w:kern w:val="0"/>
          <w:sz w:val="24"/>
          <w:szCs w:val="18"/>
        </w:rPr>
        <w:t>推荐采用混凝沉淀工艺。</w:t>
      </w:r>
      <w:r>
        <w:rPr>
          <w:rFonts w:hint="eastAsia"/>
          <w:kern w:val="0"/>
          <w:sz w:val="24"/>
          <w:szCs w:val="18"/>
        </w:rPr>
        <w:t>为保证废水中TP达标，</w:t>
      </w:r>
      <w:r>
        <w:rPr>
          <w:kern w:val="0"/>
          <w:sz w:val="24"/>
          <w:szCs w:val="18"/>
        </w:rPr>
        <w:t>仅采用生物除磷难以达到所需要的效果，因此采用混凝沉淀的方式进行化学除磷，保证污水中磷的去除，同时降低污水的SS。</w:t>
      </w:r>
    </w:p>
    <w:p>
      <w:pPr>
        <w:autoSpaceDE w:val="0"/>
        <w:autoSpaceDN w:val="0"/>
        <w:spacing w:line="520" w:lineRule="exact"/>
        <w:ind w:firstLine="480" w:firstLineChars="200"/>
        <w:rPr>
          <w:kern w:val="0"/>
          <w:sz w:val="24"/>
          <w:szCs w:val="18"/>
        </w:rPr>
      </w:pPr>
      <w:r>
        <w:rPr>
          <w:rFonts w:hint="eastAsia" w:ascii="Calibri" w:hAnsi="Calibri"/>
          <w:kern w:val="0"/>
          <w:sz w:val="24"/>
          <w:szCs w:val="18"/>
        </w:rPr>
        <w:t>混凝工艺段有混合和絮凝反应两个过程组成。混合是混凝反应沉淀的前提，混合效果的好坏直接关系到后序的混凝反应沉淀效果。原水中投加混凝剂后，应立即瞬时强烈搅动，在很短</w:t>
      </w:r>
      <w:r>
        <w:rPr>
          <w:kern w:val="0"/>
          <w:sz w:val="24"/>
          <w:szCs w:val="18"/>
        </w:rPr>
        <w:t>的时间内(10～20s)内，将药剂均匀分散到水中。此过程使所有胶体颗粒几乎在瞬间完成脱稳与凝聚</w:t>
      </w:r>
      <w:r>
        <w:rPr>
          <w:rFonts w:hint="eastAsia"/>
          <w:kern w:val="0"/>
          <w:sz w:val="24"/>
          <w:szCs w:val="18"/>
        </w:rPr>
        <w:t>。</w:t>
      </w:r>
    </w:p>
    <w:p>
      <w:pPr>
        <w:autoSpaceDE w:val="0"/>
        <w:autoSpaceDN w:val="0"/>
        <w:spacing w:line="520" w:lineRule="exact"/>
        <w:ind w:firstLine="480" w:firstLineChars="200"/>
        <w:rPr>
          <w:kern w:val="0"/>
          <w:sz w:val="24"/>
          <w:szCs w:val="18"/>
        </w:rPr>
      </w:pPr>
      <w:r>
        <w:rPr>
          <w:kern w:val="0"/>
          <w:sz w:val="24"/>
          <w:szCs w:val="18"/>
        </w:rPr>
        <w:t>通过类比中央厨房产业园污水处理站2022年1月</w:t>
      </w:r>
      <w:r>
        <w:rPr>
          <w:rFonts w:hint="eastAsia"/>
          <w:kern w:val="0"/>
          <w:sz w:val="24"/>
          <w:szCs w:val="18"/>
        </w:rPr>
        <w:t>19</w:t>
      </w:r>
      <w:r>
        <w:rPr>
          <w:kern w:val="0"/>
          <w:sz w:val="24"/>
          <w:szCs w:val="18"/>
        </w:rPr>
        <w:t>日~2022年1月2</w:t>
      </w:r>
      <w:r>
        <w:rPr>
          <w:rFonts w:hint="eastAsia"/>
          <w:kern w:val="0"/>
          <w:sz w:val="24"/>
          <w:szCs w:val="18"/>
        </w:rPr>
        <w:t>1</w:t>
      </w:r>
      <w:r>
        <w:rPr>
          <w:kern w:val="0"/>
          <w:sz w:val="24"/>
          <w:szCs w:val="18"/>
        </w:rPr>
        <w:t>日三天的运行数据，进水中总磷在13.2~19.7mg/L左右，其中磷酸盐检测约12.3~15.1mg/L，经水解酸化及A/O生物处理后的二沉池出水总磷在3.1~4.7mg/L，其中磷酸盐约1.8~3.2mg/L，即经过生物处理后70%左右的磷以磷酸盐的形式存在。之后采用化学除磷，投加铁盐等化学药剂将磷酸根转化为不溶性磷酸盐沉淀物，最终通过固液分离的方法使磷从污水中被去除，实现磷的达标排放。</w:t>
      </w:r>
    </w:p>
    <w:p>
      <w:pPr>
        <w:spacing w:line="520" w:lineRule="exact"/>
        <w:ind w:firstLine="480" w:firstLineChars="200"/>
        <w:outlineLvl w:val="5"/>
        <w:rPr>
          <w:sz w:val="24"/>
          <w:szCs w:val="24"/>
        </w:rPr>
      </w:pPr>
      <w:r>
        <w:rPr>
          <w:rFonts w:hint="eastAsia"/>
          <w:sz w:val="24"/>
          <w:szCs w:val="24"/>
        </w:rPr>
        <w:t>④</w:t>
      </w:r>
      <w:r>
        <w:rPr>
          <w:sz w:val="24"/>
          <w:szCs w:val="24"/>
        </w:rPr>
        <w:t>污泥处理工艺方案</w:t>
      </w:r>
    </w:p>
    <w:p>
      <w:pPr>
        <w:spacing w:line="520" w:lineRule="exact"/>
        <w:ind w:firstLine="480" w:firstLineChars="200"/>
        <w:outlineLvl w:val="5"/>
        <w:rPr>
          <w:sz w:val="24"/>
          <w:szCs w:val="24"/>
        </w:rPr>
      </w:pPr>
      <w:r>
        <w:rPr>
          <w:sz w:val="24"/>
          <w:szCs w:val="24"/>
        </w:rPr>
        <w:t>Ⅰ）污泥处理工程方案比选</w:t>
      </w:r>
    </w:p>
    <w:p>
      <w:pPr>
        <w:spacing w:line="520" w:lineRule="exact"/>
        <w:ind w:firstLine="480" w:firstLineChars="200"/>
        <w:rPr>
          <w:sz w:val="24"/>
          <w:szCs w:val="24"/>
        </w:rPr>
      </w:pPr>
      <w:r>
        <w:rPr>
          <w:sz w:val="24"/>
          <w:szCs w:val="24"/>
        </w:rPr>
        <w:t>本工程污泥处置原则以减量化为主，在厂内通过脱水将污泥含水率降至≤80%后</w:t>
      </w:r>
      <w:r>
        <w:rPr>
          <w:rFonts w:hint="eastAsia"/>
          <w:sz w:val="24"/>
          <w:szCs w:val="24"/>
        </w:rPr>
        <w:t>在污泥暂存间</w:t>
      </w:r>
      <w:r>
        <w:rPr>
          <w:sz w:val="24"/>
          <w:szCs w:val="24"/>
        </w:rPr>
        <w:t>自然干化至含水率</w:t>
      </w:r>
      <w:r>
        <w:rPr>
          <w:rFonts w:hint="eastAsia"/>
          <w:sz w:val="24"/>
          <w:szCs w:val="24"/>
        </w:rPr>
        <w:t>达到要求</w:t>
      </w:r>
      <w:r>
        <w:rPr>
          <w:sz w:val="24"/>
          <w:szCs w:val="24"/>
        </w:rPr>
        <w:t>后运输</w:t>
      </w:r>
      <w:r>
        <w:rPr>
          <w:rFonts w:hint="eastAsia"/>
          <w:sz w:val="24"/>
          <w:szCs w:val="24"/>
        </w:rPr>
        <w:t>至污泥处置单位处置</w:t>
      </w:r>
      <w:r>
        <w:rPr>
          <w:sz w:val="24"/>
          <w:szCs w:val="24"/>
        </w:rPr>
        <w:t>。根据近年来污泥处理技术发展，污泥</w:t>
      </w:r>
      <w:r>
        <w:rPr>
          <w:rFonts w:hint="eastAsia"/>
          <w:sz w:val="24"/>
          <w:szCs w:val="24"/>
        </w:rPr>
        <w:t>机械脱水主要采用板框压滤机、带式压滤机、离心脱水机、叠螺式污泥脱水机，脱水方式</w:t>
      </w:r>
      <w:r>
        <w:rPr>
          <w:sz w:val="24"/>
          <w:szCs w:val="24"/>
        </w:rPr>
        <w:t>的对比结果见表3.1</w:t>
      </w:r>
      <w:r>
        <w:rPr>
          <w:rFonts w:hint="eastAsia"/>
          <w:sz w:val="24"/>
          <w:szCs w:val="24"/>
        </w:rPr>
        <w:t>-1</w:t>
      </w:r>
      <w:r>
        <w:rPr>
          <w:sz w:val="24"/>
          <w:szCs w:val="24"/>
        </w:rPr>
        <w:t>1。</w:t>
      </w:r>
    </w:p>
    <w:p>
      <w:pPr>
        <w:spacing w:before="156" w:beforeLines="50"/>
        <w:ind w:firstLine="480" w:firstLineChars="200"/>
        <w:rPr>
          <w:rFonts w:eastAsia="黑体"/>
          <w:sz w:val="24"/>
          <w:szCs w:val="32"/>
        </w:rPr>
      </w:pPr>
      <w:r>
        <w:rPr>
          <w:rFonts w:hint="eastAsia" w:eastAsia="黑体"/>
          <w:sz w:val="24"/>
          <w:szCs w:val="32"/>
        </w:rPr>
        <w:t>表</w:t>
      </w:r>
      <w:r>
        <w:rPr>
          <w:rFonts w:eastAsia="黑体"/>
          <w:sz w:val="24"/>
          <w:szCs w:val="32"/>
        </w:rPr>
        <w:t>3.1</w:t>
      </w:r>
      <w:r>
        <w:rPr>
          <w:rFonts w:hint="eastAsia" w:eastAsia="黑体"/>
          <w:sz w:val="24"/>
          <w:szCs w:val="32"/>
        </w:rPr>
        <w:t>-1</w:t>
      </w:r>
      <w:r>
        <w:rPr>
          <w:rFonts w:eastAsia="黑体"/>
          <w:sz w:val="24"/>
          <w:szCs w:val="32"/>
        </w:rPr>
        <w:t>1</w:t>
      </w:r>
      <w:r>
        <w:rPr>
          <w:rFonts w:hint="eastAsia" w:eastAsia="黑体"/>
          <w:sz w:val="24"/>
          <w:szCs w:val="32"/>
        </w:rPr>
        <w:t xml:space="preserve"> </w:t>
      </w:r>
      <w:r>
        <w:rPr>
          <w:rFonts w:eastAsia="黑体"/>
          <w:sz w:val="24"/>
          <w:szCs w:val="32"/>
        </w:rPr>
        <w:t xml:space="preserve">             </w:t>
      </w:r>
      <w:r>
        <w:rPr>
          <w:rFonts w:hint="eastAsia" w:eastAsia="黑体"/>
          <w:sz w:val="24"/>
          <w:szCs w:val="32"/>
        </w:rPr>
        <w:t>污泥处理方案比选一览表</w:t>
      </w:r>
    </w:p>
    <w:tbl>
      <w:tblPr>
        <w:tblStyle w:val="815"/>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34"/>
        <w:gridCol w:w="2146"/>
        <w:gridCol w:w="2716"/>
        <w:gridCol w:w="27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Align w:val="center"/>
          </w:tcPr>
          <w:p>
            <w:pPr>
              <w:snapToGrid w:val="0"/>
              <w:jc w:val="center"/>
              <w:rPr>
                <w:b/>
                <w:bCs/>
                <w:szCs w:val="21"/>
              </w:rPr>
            </w:pPr>
            <w:r>
              <w:rPr>
                <w:b/>
                <w:bCs/>
                <w:szCs w:val="21"/>
              </w:rPr>
              <w:t>项目</w:t>
            </w:r>
          </w:p>
        </w:tc>
        <w:tc>
          <w:tcPr>
            <w:tcW w:w="2127" w:type="dxa"/>
            <w:vAlign w:val="center"/>
          </w:tcPr>
          <w:p>
            <w:pPr>
              <w:snapToGrid w:val="0"/>
              <w:jc w:val="center"/>
              <w:rPr>
                <w:b/>
                <w:bCs/>
                <w:szCs w:val="21"/>
              </w:rPr>
            </w:pPr>
            <w:r>
              <w:rPr>
                <w:rFonts w:hint="eastAsia"/>
                <w:b/>
                <w:bCs/>
                <w:szCs w:val="21"/>
              </w:rPr>
              <w:t>定义</w:t>
            </w:r>
          </w:p>
        </w:tc>
        <w:tc>
          <w:tcPr>
            <w:tcW w:w="2693" w:type="dxa"/>
            <w:vAlign w:val="center"/>
          </w:tcPr>
          <w:p>
            <w:pPr>
              <w:snapToGrid w:val="0"/>
              <w:jc w:val="center"/>
              <w:rPr>
                <w:b/>
                <w:bCs/>
                <w:szCs w:val="21"/>
              </w:rPr>
            </w:pPr>
            <w:r>
              <w:rPr>
                <w:rFonts w:hint="eastAsia"/>
                <w:b/>
                <w:bCs/>
                <w:szCs w:val="21"/>
              </w:rPr>
              <w:t>优点</w:t>
            </w:r>
          </w:p>
        </w:tc>
        <w:tc>
          <w:tcPr>
            <w:tcW w:w="2766" w:type="dxa"/>
            <w:vAlign w:val="center"/>
          </w:tcPr>
          <w:p>
            <w:pPr>
              <w:snapToGrid w:val="0"/>
              <w:jc w:val="center"/>
              <w:rPr>
                <w:b/>
                <w:bCs/>
                <w:szCs w:val="21"/>
              </w:rPr>
            </w:pPr>
            <w:r>
              <w:rPr>
                <w:rFonts w:hint="eastAsia"/>
                <w:b/>
                <w:bCs/>
                <w:szCs w:val="21"/>
              </w:rPr>
              <w:t>缺点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restart"/>
            <w:vAlign w:val="center"/>
          </w:tcPr>
          <w:p>
            <w:pPr>
              <w:snapToGrid w:val="0"/>
              <w:jc w:val="center"/>
              <w:rPr>
                <w:szCs w:val="21"/>
              </w:rPr>
            </w:pPr>
            <w:r>
              <w:rPr>
                <w:rFonts w:hint="eastAsia"/>
                <w:szCs w:val="21"/>
              </w:rPr>
              <w:t>板框压滤机</w:t>
            </w:r>
          </w:p>
        </w:tc>
        <w:tc>
          <w:tcPr>
            <w:tcW w:w="2127" w:type="dxa"/>
            <w:vMerge w:val="restart"/>
            <w:vAlign w:val="center"/>
          </w:tcPr>
          <w:p>
            <w:pPr>
              <w:snapToGrid w:val="0"/>
              <w:jc w:val="center"/>
              <w:rPr>
                <w:szCs w:val="21"/>
              </w:rPr>
            </w:pPr>
            <w:r>
              <w:rPr>
                <w:rFonts w:hint="eastAsia"/>
                <w:szCs w:val="21"/>
              </w:rPr>
              <w:t>在密闭的状态下，经过高压泵打入的污泥经过板框的挤压，使污泥中的水通过滤布排出，从而达到脱水目的。</w:t>
            </w:r>
          </w:p>
        </w:tc>
        <w:tc>
          <w:tcPr>
            <w:tcW w:w="2693" w:type="dxa"/>
            <w:vAlign w:val="center"/>
          </w:tcPr>
          <w:p>
            <w:pPr>
              <w:snapToGrid w:val="0"/>
              <w:jc w:val="center"/>
              <w:rPr>
                <w:szCs w:val="21"/>
              </w:rPr>
            </w:pPr>
            <w:r>
              <w:rPr>
                <w:rFonts w:hint="eastAsia"/>
                <w:szCs w:val="21"/>
              </w:rPr>
              <w:t>滤饼含水率低。过滤面积选择范围灵活，占地少；</w:t>
            </w:r>
          </w:p>
        </w:tc>
        <w:tc>
          <w:tcPr>
            <w:tcW w:w="2766" w:type="dxa"/>
            <w:vMerge w:val="restart"/>
            <w:vAlign w:val="center"/>
          </w:tcPr>
          <w:p>
            <w:pPr>
              <w:snapToGrid w:val="0"/>
              <w:jc w:val="center"/>
              <w:rPr>
                <w:szCs w:val="21"/>
              </w:rPr>
            </w:pPr>
            <w:r>
              <w:rPr>
                <w:rFonts w:hint="eastAsia"/>
                <w:szCs w:val="21"/>
              </w:rPr>
              <w:t>滤框给料口容易堵塞，滤饼不易取出，不能连续运行，处理量小，工作压力低，普通材质方板不耐压、易破板，滤布消耗大，板框很难做到无人值守，滤布常常需要人工清理；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rPr>
                <w:szCs w:val="21"/>
              </w:rPr>
            </w:pPr>
          </w:p>
        </w:tc>
        <w:tc>
          <w:tcPr>
            <w:tcW w:w="2127" w:type="dxa"/>
            <w:vMerge w:val="continue"/>
            <w:vAlign w:val="center"/>
          </w:tcPr>
          <w:p>
            <w:pPr>
              <w:snapToGrid w:val="0"/>
              <w:jc w:val="center"/>
              <w:rPr>
                <w:szCs w:val="21"/>
              </w:rPr>
            </w:pPr>
          </w:p>
        </w:tc>
        <w:tc>
          <w:tcPr>
            <w:tcW w:w="2693" w:type="dxa"/>
            <w:vMerge w:val="restart"/>
            <w:vAlign w:val="center"/>
          </w:tcPr>
          <w:p>
            <w:pPr>
              <w:snapToGrid w:val="0"/>
              <w:jc w:val="center"/>
              <w:rPr>
                <w:szCs w:val="21"/>
              </w:rPr>
            </w:pPr>
            <w:r>
              <w:rPr>
                <w:rFonts w:hint="eastAsia"/>
                <w:szCs w:val="21"/>
              </w:rPr>
              <w:t>结构简单，操作容易，运行稳定；</w:t>
            </w:r>
          </w:p>
        </w:tc>
        <w:tc>
          <w:tcPr>
            <w:tcW w:w="2766" w:type="dxa"/>
            <w:vMerge w:val="continue"/>
            <w:vAlign w:val="center"/>
          </w:tcPr>
          <w:p>
            <w:pPr>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rPr>
                <w:szCs w:val="21"/>
              </w:rPr>
            </w:pPr>
          </w:p>
        </w:tc>
        <w:tc>
          <w:tcPr>
            <w:tcW w:w="2127" w:type="dxa"/>
            <w:vMerge w:val="continue"/>
            <w:vAlign w:val="center"/>
          </w:tcPr>
          <w:p>
            <w:pPr>
              <w:snapToGrid w:val="0"/>
              <w:jc w:val="center"/>
              <w:rPr>
                <w:szCs w:val="21"/>
              </w:rPr>
            </w:pPr>
          </w:p>
        </w:tc>
        <w:tc>
          <w:tcPr>
            <w:tcW w:w="2693" w:type="dxa"/>
            <w:vMerge w:val="continue"/>
            <w:vAlign w:val="center"/>
          </w:tcPr>
          <w:p>
            <w:pPr>
              <w:snapToGrid w:val="0"/>
              <w:jc w:val="center"/>
              <w:rPr>
                <w:szCs w:val="21"/>
              </w:rPr>
            </w:pPr>
          </w:p>
        </w:tc>
        <w:tc>
          <w:tcPr>
            <w:tcW w:w="2766" w:type="dxa"/>
            <w:vMerge w:val="restart"/>
            <w:vAlign w:val="center"/>
          </w:tcPr>
          <w:p>
            <w:pPr>
              <w:snapToGrid w:val="0"/>
              <w:jc w:val="center"/>
              <w:rPr>
                <w:szCs w:val="21"/>
              </w:rPr>
            </w:pPr>
            <w:r>
              <w:rPr>
                <w:rFonts w:hint="eastAsia"/>
                <w:szCs w:val="21"/>
              </w:rPr>
              <w:t>板框压滤机需专人看守，自动性较差、活动部件多，不稳定、设备投资稍低、维修难度大、操作较为复杂，须专人管理、使用寿命短。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rPr>
                <w:szCs w:val="21"/>
              </w:rPr>
            </w:pPr>
          </w:p>
        </w:tc>
        <w:tc>
          <w:tcPr>
            <w:tcW w:w="2127" w:type="dxa"/>
            <w:vMerge w:val="continue"/>
            <w:vAlign w:val="center"/>
          </w:tcPr>
          <w:p>
            <w:pPr>
              <w:snapToGrid w:val="0"/>
              <w:jc w:val="center"/>
              <w:rPr>
                <w:szCs w:val="21"/>
              </w:rPr>
            </w:pPr>
          </w:p>
        </w:tc>
        <w:tc>
          <w:tcPr>
            <w:tcW w:w="2693" w:type="dxa"/>
            <w:vAlign w:val="center"/>
          </w:tcPr>
          <w:p>
            <w:pPr>
              <w:snapToGrid w:val="0"/>
              <w:jc w:val="center"/>
              <w:rPr>
                <w:szCs w:val="21"/>
              </w:rPr>
            </w:pPr>
            <w:r>
              <w:rPr>
                <w:rFonts w:hint="eastAsia"/>
                <w:szCs w:val="21"/>
              </w:rPr>
              <w:t>对物料适应性强。</w:t>
            </w:r>
          </w:p>
        </w:tc>
        <w:tc>
          <w:tcPr>
            <w:tcW w:w="2766" w:type="dxa"/>
            <w:vMerge w:val="continue"/>
            <w:vAlign w:val="center"/>
          </w:tcPr>
          <w:p>
            <w:pPr>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restart"/>
            <w:vAlign w:val="center"/>
          </w:tcPr>
          <w:p>
            <w:pPr>
              <w:snapToGrid w:val="0"/>
              <w:jc w:val="center"/>
              <w:rPr>
                <w:szCs w:val="21"/>
              </w:rPr>
            </w:pPr>
            <w:r>
              <w:rPr>
                <w:rFonts w:hint="eastAsia"/>
              </w:rPr>
              <w:t>带式压滤机</w:t>
            </w:r>
          </w:p>
        </w:tc>
        <w:tc>
          <w:tcPr>
            <w:tcW w:w="2127" w:type="dxa"/>
            <w:vMerge w:val="restart"/>
            <w:vAlign w:val="center"/>
          </w:tcPr>
          <w:p>
            <w:pPr>
              <w:snapToGrid w:val="0"/>
              <w:jc w:val="center"/>
              <w:rPr>
                <w:szCs w:val="21"/>
              </w:rPr>
            </w:pPr>
            <w:r>
              <w:rPr>
                <w:rFonts w:hint="eastAsia"/>
                <w:szCs w:val="21"/>
              </w:rPr>
              <w:t>由上下两条张紧的滤带夹带着污泥层，从一连串有规律排列的辊压筒中呈S形经过，依靠滤带本身的张力形成对污泥层的压榨和剪切力，将污泥层中的毛细水挤压出来，从而实现污泥脱水。</w:t>
            </w:r>
          </w:p>
        </w:tc>
        <w:tc>
          <w:tcPr>
            <w:tcW w:w="2693" w:type="dxa"/>
            <w:vAlign w:val="center"/>
          </w:tcPr>
          <w:p>
            <w:pPr>
              <w:snapToGrid w:val="0"/>
              <w:jc w:val="center"/>
              <w:rPr>
                <w:szCs w:val="21"/>
              </w:rPr>
            </w:pPr>
            <w:r>
              <w:rPr>
                <w:rFonts w:hint="eastAsia"/>
                <w:szCs w:val="21"/>
              </w:rPr>
              <w:t>外形美观大方，可根据不同物料配置不同规格型号的滤带，过滤精度高；</w:t>
            </w:r>
          </w:p>
        </w:tc>
        <w:tc>
          <w:tcPr>
            <w:tcW w:w="2766" w:type="dxa"/>
            <w:vAlign w:val="center"/>
          </w:tcPr>
          <w:p>
            <w:pPr>
              <w:snapToGrid w:val="0"/>
              <w:jc w:val="center"/>
              <w:rPr>
                <w:szCs w:val="21"/>
              </w:rPr>
            </w:pPr>
            <w:r>
              <w:rPr>
                <w:rFonts w:hint="eastAsia"/>
                <w:szCs w:val="21"/>
              </w:rPr>
              <w:t>药剂消耗高；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Align w:val="center"/>
          </w:tcPr>
          <w:p>
            <w:pPr>
              <w:snapToGrid w:val="0"/>
              <w:jc w:val="center"/>
              <w:rPr>
                <w:szCs w:val="21"/>
              </w:rPr>
            </w:pPr>
            <w:r>
              <w:rPr>
                <w:rFonts w:hint="eastAsia"/>
                <w:szCs w:val="21"/>
              </w:rPr>
              <w:t>结构刚度大，运行平稳，噪音低；</w:t>
            </w:r>
          </w:p>
        </w:tc>
        <w:tc>
          <w:tcPr>
            <w:tcW w:w="2766" w:type="dxa"/>
            <w:vAlign w:val="center"/>
          </w:tcPr>
          <w:p>
            <w:pPr>
              <w:snapToGrid w:val="0"/>
              <w:jc w:val="center"/>
              <w:rPr>
                <w:szCs w:val="21"/>
              </w:rPr>
            </w:pPr>
            <w:r>
              <w:rPr>
                <w:rFonts w:hint="eastAsia"/>
                <w:szCs w:val="21"/>
              </w:rPr>
              <w:t>自动化程度低，故障率高，滤带经常跑偏、喷淋头经常堵塞，很难实现24小时无人值守运行，人工成本高；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Align w:val="center"/>
          </w:tcPr>
          <w:p>
            <w:pPr>
              <w:snapToGrid w:val="0"/>
              <w:jc w:val="center"/>
              <w:rPr>
                <w:szCs w:val="21"/>
              </w:rPr>
            </w:pPr>
            <w:r>
              <w:rPr>
                <w:rFonts w:hint="eastAsia"/>
                <w:szCs w:val="21"/>
              </w:rPr>
              <w:t>配置浓缩预处理设备，对污泥絮凝效果好，运行成本低；</w:t>
            </w:r>
          </w:p>
        </w:tc>
        <w:tc>
          <w:tcPr>
            <w:tcW w:w="2766" w:type="dxa"/>
            <w:vAlign w:val="center"/>
          </w:tcPr>
          <w:p>
            <w:pPr>
              <w:snapToGrid w:val="0"/>
              <w:jc w:val="center"/>
              <w:rPr>
                <w:szCs w:val="21"/>
              </w:rPr>
            </w:pPr>
            <w:r>
              <w:rPr>
                <w:rFonts w:hint="eastAsia"/>
                <w:szCs w:val="21"/>
              </w:rPr>
              <w:t>污泥脱水不彻底，泥饼无法成型，含水率偏高且缺少均匀和稳定性；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Align w:val="center"/>
          </w:tcPr>
          <w:p>
            <w:pPr>
              <w:snapToGrid w:val="0"/>
              <w:jc w:val="center"/>
              <w:rPr>
                <w:szCs w:val="21"/>
              </w:rPr>
            </w:pPr>
            <w:r>
              <w:rPr>
                <w:rFonts w:hint="eastAsia"/>
                <w:szCs w:val="21"/>
              </w:rPr>
              <w:t>重力脱水区配置先进的布料器，是物料分布均匀，延长滤带寿命；</w:t>
            </w:r>
          </w:p>
        </w:tc>
        <w:tc>
          <w:tcPr>
            <w:tcW w:w="2766" w:type="dxa"/>
            <w:vAlign w:val="center"/>
          </w:tcPr>
          <w:p>
            <w:pPr>
              <w:snapToGrid w:val="0"/>
              <w:jc w:val="center"/>
              <w:rPr>
                <w:szCs w:val="21"/>
              </w:rPr>
            </w:pPr>
            <w:r>
              <w:rPr>
                <w:rFonts w:hint="eastAsia"/>
                <w:szCs w:val="21"/>
              </w:rPr>
              <w:t>设备封锁性差，导致污泥处理现场污泥洒落，工作环境较差；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Align w:val="center"/>
          </w:tcPr>
          <w:p>
            <w:pPr>
              <w:snapToGrid w:val="0"/>
              <w:jc w:val="center"/>
              <w:rPr>
                <w:szCs w:val="21"/>
              </w:rPr>
            </w:pPr>
            <w:r>
              <w:rPr>
                <w:rFonts w:hint="eastAsia"/>
                <w:szCs w:val="21"/>
              </w:rPr>
              <w:t>具有长的重力脱水区和楔型脱水区，物料脱水充分，物料不会在压榨去溢出。</w:t>
            </w:r>
          </w:p>
        </w:tc>
        <w:tc>
          <w:tcPr>
            <w:tcW w:w="2766" w:type="dxa"/>
            <w:vAlign w:val="center"/>
          </w:tcPr>
          <w:p>
            <w:pPr>
              <w:snapToGrid w:val="0"/>
              <w:jc w:val="center"/>
              <w:rPr>
                <w:szCs w:val="21"/>
              </w:rPr>
            </w:pPr>
            <w:r>
              <w:rPr>
                <w:rFonts w:hint="eastAsia"/>
                <w:szCs w:val="21"/>
              </w:rPr>
              <w:t>浪费资源，工作后滤带需要用大量水清洗；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Align w:val="center"/>
          </w:tcPr>
          <w:p>
            <w:pPr>
              <w:snapToGrid w:val="0"/>
              <w:jc w:val="center"/>
              <w:rPr>
                <w:szCs w:val="21"/>
              </w:rPr>
            </w:pPr>
            <w:r>
              <w:rPr>
                <w:rFonts w:hint="eastAsia"/>
                <w:szCs w:val="21"/>
              </w:rPr>
              <w:t>辊系排列科学有序，重力脱水、楔型脱水、压榨脱水分别排出，互不干扰。压榨脱水辊直径比率大，脱水效果好，因此生产能力大。</w:t>
            </w:r>
          </w:p>
        </w:tc>
        <w:tc>
          <w:tcPr>
            <w:tcW w:w="2766" w:type="dxa"/>
            <w:vAlign w:val="center"/>
          </w:tcPr>
          <w:p>
            <w:pPr>
              <w:snapToGrid w:val="0"/>
              <w:jc w:val="center"/>
              <w:rPr>
                <w:szCs w:val="21"/>
              </w:rPr>
            </w:pPr>
            <w:r>
              <w:rPr>
                <w:rFonts w:hint="eastAsia"/>
                <w:szCs w:val="21"/>
              </w:rPr>
              <w:t>极易造成滤带损坏，如污泥中含有较大颗粒会对滤布有所损坏。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restart"/>
            <w:vAlign w:val="center"/>
          </w:tcPr>
          <w:p>
            <w:pPr>
              <w:snapToGrid w:val="0"/>
              <w:jc w:val="center"/>
              <w:rPr>
                <w:szCs w:val="21"/>
              </w:rPr>
            </w:pPr>
            <w:r>
              <w:rPr>
                <w:rFonts w:hint="eastAsia"/>
              </w:rPr>
              <w:t>离心脱水机</w:t>
            </w:r>
          </w:p>
        </w:tc>
        <w:tc>
          <w:tcPr>
            <w:tcW w:w="2127" w:type="dxa"/>
            <w:vMerge w:val="restart"/>
            <w:vAlign w:val="center"/>
          </w:tcPr>
          <w:p>
            <w:pPr>
              <w:snapToGrid w:val="0"/>
              <w:jc w:val="center"/>
              <w:rPr>
                <w:szCs w:val="21"/>
              </w:rPr>
            </w:pPr>
            <w:r>
              <w:rPr>
                <w:rFonts w:hint="eastAsia"/>
                <w:szCs w:val="21"/>
              </w:rPr>
              <w:t>设备由带空心转轴的螺旋输送机组成，污泥由空心转轴送入旋转滚筒。在高速旋转产生的离心力作用下，污泥被抛入旋转鼓室。在螺旋输送机的驱动下，污泥被输送到滚筒的锥端，从出口连续排出。而液环层的液体则通过重力从桶口连续“溢流”排出。</w:t>
            </w:r>
          </w:p>
        </w:tc>
        <w:tc>
          <w:tcPr>
            <w:tcW w:w="2693" w:type="dxa"/>
            <w:vAlign w:val="center"/>
          </w:tcPr>
          <w:p>
            <w:pPr>
              <w:snapToGrid w:val="0"/>
              <w:jc w:val="center"/>
              <w:rPr>
                <w:szCs w:val="21"/>
              </w:rPr>
            </w:pPr>
            <w:r>
              <w:rPr>
                <w:rFonts w:hint="eastAsia"/>
                <w:szCs w:val="21"/>
              </w:rPr>
              <w:t>设备结构紧凑，占地少，基建投资小；</w:t>
            </w:r>
          </w:p>
        </w:tc>
        <w:tc>
          <w:tcPr>
            <w:tcW w:w="2766" w:type="dxa"/>
            <w:vAlign w:val="center"/>
          </w:tcPr>
          <w:p>
            <w:pPr>
              <w:snapToGrid w:val="0"/>
              <w:jc w:val="center"/>
              <w:rPr>
                <w:szCs w:val="21"/>
              </w:rPr>
            </w:pPr>
            <w:r>
              <w:rPr>
                <w:rFonts w:hint="eastAsia"/>
                <w:szCs w:val="21"/>
              </w:rPr>
              <w:t>制造工艺要求高，设备易磨损，易损件费用高，运行费用高；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Merge w:val="restart"/>
            <w:vAlign w:val="center"/>
          </w:tcPr>
          <w:p>
            <w:pPr>
              <w:snapToGrid w:val="0"/>
              <w:jc w:val="center"/>
              <w:rPr>
                <w:szCs w:val="21"/>
              </w:rPr>
            </w:pPr>
            <w:r>
              <w:rPr>
                <w:rFonts w:hint="eastAsia"/>
                <w:szCs w:val="21"/>
              </w:rPr>
              <w:t>药剂消耗小，处理能力强；</w:t>
            </w:r>
          </w:p>
        </w:tc>
        <w:tc>
          <w:tcPr>
            <w:tcW w:w="2766" w:type="dxa"/>
            <w:vAlign w:val="center"/>
          </w:tcPr>
          <w:p>
            <w:pPr>
              <w:snapToGrid w:val="0"/>
              <w:jc w:val="center"/>
              <w:rPr>
                <w:szCs w:val="21"/>
              </w:rPr>
            </w:pPr>
            <w:r>
              <w:rPr>
                <w:rFonts w:hint="eastAsia"/>
                <w:szCs w:val="21"/>
              </w:rPr>
              <w:t>电力消耗大；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Merge w:val="continue"/>
            <w:vAlign w:val="center"/>
          </w:tcPr>
          <w:p>
            <w:pPr>
              <w:snapToGrid w:val="0"/>
              <w:jc w:val="center"/>
              <w:rPr>
                <w:szCs w:val="21"/>
              </w:rPr>
            </w:pPr>
          </w:p>
        </w:tc>
        <w:tc>
          <w:tcPr>
            <w:tcW w:w="2766" w:type="dxa"/>
            <w:vAlign w:val="center"/>
          </w:tcPr>
          <w:p>
            <w:pPr>
              <w:snapToGrid w:val="0"/>
              <w:jc w:val="center"/>
              <w:rPr>
                <w:szCs w:val="21"/>
              </w:rPr>
            </w:pPr>
            <w:r>
              <w:rPr>
                <w:rFonts w:hint="eastAsia"/>
                <w:szCs w:val="21"/>
              </w:rPr>
              <w:t>对污泥的预处理要求高，而且必须使用高分子聚合电解质作为调理剂，前端需要浓缩，当污泥浓度偏低，或者固液相的比重差别不是很大时，很难通过离心力进行固液分离，所以要进行浓缩。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Align w:val="center"/>
          </w:tcPr>
          <w:p>
            <w:pPr>
              <w:snapToGrid w:val="0"/>
              <w:jc w:val="center"/>
              <w:rPr>
                <w:szCs w:val="21"/>
              </w:rPr>
            </w:pPr>
            <w:r>
              <w:rPr>
                <w:rFonts w:hint="eastAsia"/>
                <w:szCs w:val="21"/>
              </w:rPr>
              <w:t>使用便捷，操作条件好（密封、无气味），可以实现24小时自动运行。</w:t>
            </w:r>
          </w:p>
        </w:tc>
        <w:tc>
          <w:tcPr>
            <w:tcW w:w="2766" w:type="dxa"/>
            <w:vAlign w:val="center"/>
          </w:tcPr>
          <w:p>
            <w:pPr>
              <w:snapToGrid w:val="0"/>
              <w:jc w:val="center"/>
              <w:rPr>
                <w:szCs w:val="21"/>
              </w:rPr>
            </w:pPr>
            <w:r>
              <w:rPr>
                <w:rFonts w:hint="eastAsia"/>
                <w:szCs w:val="21"/>
              </w:rPr>
              <w:t>噪音过大，使工作车间及附近都受噪音影响。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restart"/>
            <w:vAlign w:val="center"/>
          </w:tcPr>
          <w:p>
            <w:pPr>
              <w:snapToGrid w:val="0"/>
              <w:jc w:val="center"/>
              <w:rPr>
                <w:szCs w:val="21"/>
              </w:rPr>
            </w:pPr>
            <w:r>
              <w:rPr>
                <w:rFonts w:hint="eastAsia"/>
              </w:rPr>
              <w:t>叠螺式污泥脱水机</w:t>
            </w:r>
          </w:p>
        </w:tc>
        <w:tc>
          <w:tcPr>
            <w:tcW w:w="2127" w:type="dxa"/>
            <w:vMerge w:val="restart"/>
            <w:vAlign w:val="center"/>
          </w:tcPr>
          <w:p>
            <w:pPr>
              <w:snapToGrid w:val="0"/>
              <w:jc w:val="center"/>
              <w:rPr>
                <w:szCs w:val="21"/>
              </w:rPr>
            </w:pPr>
            <w:r>
              <w:rPr>
                <w:rFonts w:hint="eastAsia"/>
                <w:szCs w:val="21"/>
              </w:rPr>
              <w:t>由固定环和游动环相互层叠，螺旋轴贯穿其中形成的过滤装置，前段为浓缩部，后段为脱水部。</w:t>
            </w:r>
          </w:p>
        </w:tc>
        <w:tc>
          <w:tcPr>
            <w:tcW w:w="2693" w:type="dxa"/>
            <w:vAlign w:val="center"/>
          </w:tcPr>
          <w:p>
            <w:pPr>
              <w:snapToGrid w:val="0"/>
              <w:jc w:val="center"/>
              <w:rPr>
                <w:szCs w:val="21"/>
              </w:rPr>
            </w:pPr>
            <w:r>
              <w:rPr>
                <w:szCs w:val="21"/>
              </w:rPr>
              <w:t>不易堵塞，二次清洗废水少</w:t>
            </w:r>
            <w:r>
              <w:rPr>
                <w:rFonts w:hint="eastAsia"/>
                <w:szCs w:val="21"/>
              </w:rPr>
              <w:t>；</w:t>
            </w:r>
          </w:p>
        </w:tc>
        <w:tc>
          <w:tcPr>
            <w:tcW w:w="2766" w:type="dxa"/>
            <w:vMerge w:val="restart"/>
            <w:vAlign w:val="center"/>
          </w:tcPr>
          <w:p>
            <w:pPr>
              <w:snapToGrid w:val="0"/>
              <w:jc w:val="center"/>
              <w:rPr>
                <w:szCs w:val="21"/>
              </w:rPr>
            </w:pPr>
            <w:r>
              <w:rPr>
                <w:szCs w:val="21"/>
              </w:rPr>
              <w:t>叠螺机不能处理含沙、含石块等硬质颗粒的污泥，否则磨损动静环和螺旋轴；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Align w:val="center"/>
          </w:tcPr>
          <w:p>
            <w:pPr>
              <w:snapToGrid w:val="0"/>
              <w:jc w:val="center"/>
              <w:rPr>
                <w:szCs w:val="21"/>
              </w:rPr>
            </w:pPr>
            <w:r>
              <w:rPr>
                <w:rFonts w:hint="eastAsia"/>
                <w:szCs w:val="21"/>
              </w:rPr>
              <w:t>连续自动运行、操作简单</w:t>
            </w:r>
          </w:p>
        </w:tc>
        <w:tc>
          <w:tcPr>
            <w:tcW w:w="2766" w:type="dxa"/>
            <w:vMerge w:val="continue"/>
            <w:vAlign w:val="center"/>
          </w:tcPr>
          <w:p>
            <w:pPr>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Align w:val="center"/>
          </w:tcPr>
          <w:p>
            <w:pPr>
              <w:snapToGrid w:val="0"/>
              <w:jc w:val="center"/>
              <w:rPr>
                <w:szCs w:val="21"/>
              </w:rPr>
            </w:pPr>
            <w:r>
              <w:rPr>
                <w:szCs w:val="21"/>
              </w:rPr>
              <w:t>用电量小，节能环保</w:t>
            </w:r>
          </w:p>
        </w:tc>
        <w:tc>
          <w:tcPr>
            <w:tcW w:w="2766" w:type="dxa"/>
            <w:vMerge w:val="continue"/>
            <w:vAlign w:val="center"/>
          </w:tcPr>
          <w:p>
            <w:pPr>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Align w:val="center"/>
          </w:tcPr>
          <w:p>
            <w:pPr>
              <w:snapToGrid w:val="0"/>
              <w:jc w:val="center"/>
              <w:rPr>
                <w:szCs w:val="21"/>
              </w:rPr>
            </w:pPr>
            <w:r>
              <w:rPr>
                <w:szCs w:val="21"/>
              </w:rPr>
              <w:t>占地面积小，方便安装就位</w:t>
            </w:r>
            <w:r>
              <w:rPr>
                <w:rFonts w:hint="eastAsia"/>
                <w:szCs w:val="21"/>
              </w:rPr>
              <w:t>；</w:t>
            </w:r>
          </w:p>
        </w:tc>
        <w:tc>
          <w:tcPr>
            <w:tcW w:w="2766" w:type="dxa"/>
            <w:vMerge w:val="restart"/>
            <w:vAlign w:val="center"/>
          </w:tcPr>
          <w:p>
            <w:pPr>
              <w:snapToGrid w:val="0"/>
              <w:jc w:val="center"/>
              <w:rPr>
                <w:szCs w:val="21"/>
              </w:rPr>
            </w:pPr>
            <w:r>
              <w:rPr>
                <w:szCs w:val="21"/>
              </w:rPr>
              <w:t>处理的污泥必须加絮凝剂，而且必须能形成良好的絮体才可以进行处理，否则</w:t>
            </w:r>
            <w:r>
              <w:rPr>
                <w:rFonts w:hint="eastAsia"/>
                <w:szCs w:val="21"/>
              </w:rPr>
              <w:t>容易</w:t>
            </w:r>
            <w:r>
              <w:rPr>
                <w:szCs w:val="21"/>
              </w:rPr>
              <w:t>出现动静环跑泥现象</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Align w:val="center"/>
          </w:tcPr>
          <w:p>
            <w:pPr>
              <w:snapToGrid w:val="0"/>
              <w:jc w:val="center"/>
              <w:rPr>
                <w:szCs w:val="21"/>
              </w:rPr>
            </w:pPr>
            <w:r>
              <w:rPr>
                <w:szCs w:val="21"/>
              </w:rPr>
              <w:t>浓度直接浓缩脱水，无需建设浓缩池</w:t>
            </w:r>
            <w:r>
              <w:rPr>
                <w:rFonts w:hint="eastAsia"/>
                <w:szCs w:val="21"/>
              </w:rPr>
              <w:t>；</w:t>
            </w:r>
          </w:p>
        </w:tc>
        <w:tc>
          <w:tcPr>
            <w:tcW w:w="2766" w:type="dxa"/>
            <w:vMerge w:val="continue"/>
            <w:vAlign w:val="center"/>
          </w:tcPr>
          <w:p>
            <w:pPr>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Align w:val="center"/>
          </w:tcPr>
          <w:p>
            <w:pPr>
              <w:snapToGrid w:val="0"/>
              <w:jc w:val="center"/>
              <w:rPr>
                <w:szCs w:val="21"/>
              </w:rPr>
            </w:pPr>
            <w:r>
              <w:rPr>
                <w:szCs w:val="21"/>
              </w:rPr>
              <w:t>整机SUS304不锈钢材质，经久耐用</w:t>
            </w:r>
            <w:r>
              <w:rPr>
                <w:rFonts w:hint="eastAsia"/>
                <w:szCs w:val="21"/>
              </w:rPr>
              <w:t>；</w:t>
            </w:r>
          </w:p>
        </w:tc>
        <w:tc>
          <w:tcPr>
            <w:tcW w:w="2766" w:type="dxa"/>
            <w:vMerge w:val="restart"/>
            <w:vAlign w:val="center"/>
          </w:tcPr>
          <w:p>
            <w:pPr>
              <w:snapToGrid w:val="0"/>
              <w:jc w:val="center"/>
              <w:rPr>
                <w:szCs w:val="21"/>
              </w:rPr>
            </w:pPr>
            <w:r>
              <w:rPr>
                <w:szCs w:val="21"/>
              </w:rPr>
              <w:t>设计机型最大处理量在污泥绝干量400-800kg/h方左右，大型污水处理厂30万吨规模以上的企业可能需要比较多</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124" w:type="dxa"/>
            <w:vMerge w:val="continue"/>
            <w:vAlign w:val="center"/>
          </w:tcPr>
          <w:p>
            <w:pPr>
              <w:snapToGrid w:val="0"/>
              <w:jc w:val="center"/>
            </w:pPr>
          </w:p>
        </w:tc>
        <w:tc>
          <w:tcPr>
            <w:tcW w:w="2127" w:type="dxa"/>
            <w:vMerge w:val="continue"/>
            <w:vAlign w:val="center"/>
          </w:tcPr>
          <w:p>
            <w:pPr>
              <w:snapToGrid w:val="0"/>
              <w:jc w:val="center"/>
              <w:rPr>
                <w:szCs w:val="21"/>
              </w:rPr>
            </w:pPr>
          </w:p>
        </w:tc>
        <w:tc>
          <w:tcPr>
            <w:tcW w:w="2693" w:type="dxa"/>
            <w:vAlign w:val="center"/>
          </w:tcPr>
          <w:p>
            <w:pPr>
              <w:snapToGrid w:val="0"/>
              <w:jc w:val="center"/>
              <w:rPr>
                <w:szCs w:val="21"/>
              </w:rPr>
            </w:pPr>
            <w:r>
              <w:rPr>
                <w:szCs w:val="21"/>
              </w:rPr>
              <w:t>叠螺机加药成本非常低，有效降低生产成本</w:t>
            </w:r>
            <w:r>
              <w:rPr>
                <w:rFonts w:hint="eastAsia"/>
                <w:szCs w:val="21"/>
              </w:rPr>
              <w:t>。</w:t>
            </w:r>
          </w:p>
        </w:tc>
        <w:tc>
          <w:tcPr>
            <w:tcW w:w="2766" w:type="dxa"/>
            <w:vMerge w:val="continue"/>
            <w:vAlign w:val="center"/>
          </w:tcPr>
          <w:p>
            <w:pPr>
              <w:snapToGrid w:val="0"/>
              <w:jc w:val="center"/>
              <w:rPr>
                <w:szCs w:val="21"/>
              </w:rPr>
            </w:pPr>
          </w:p>
        </w:tc>
      </w:tr>
    </w:tbl>
    <w:p>
      <w:pPr>
        <w:spacing w:line="520" w:lineRule="exact"/>
        <w:ind w:firstLine="480" w:firstLineChars="200"/>
        <w:rPr>
          <w:b/>
          <w:bCs/>
          <w:sz w:val="24"/>
          <w:szCs w:val="28"/>
        </w:rPr>
      </w:pPr>
      <w:r>
        <w:rPr>
          <w:rFonts w:hint="eastAsia"/>
          <w:sz w:val="24"/>
          <w:szCs w:val="24"/>
        </w:rPr>
        <w:t>根据上述比较，从工程投资、占地、处理效果、设备运行的可靠稳定性、运行费用、运行维护等各方面综合比选，本工程采用污泥机械脱水方案是合理的。</w:t>
      </w:r>
    </w:p>
    <w:p>
      <w:pPr>
        <w:spacing w:line="520" w:lineRule="exact"/>
        <w:ind w:firstLine="480" w:firstLineChars="200"/>
        <w:outlineLvl w:val="5"/>
        <w:rPr>
          <w:sz w:val="24"/>
          <w:szCs w:val="24"/>
        </w:rPr>
      </w:pPr>
      <w:r>
        <w:rPr>
          <w:sz w:val="24"/>
          <w:szCs w:val="24"/>
        </w:rPr>
        <w:t>Ⅱ）污泥脱水工艺</w:t>
      </w:r>
    </w:p>
    <w:p>
      <w:pPr>
        <w:snapToGrid w:val="0"/>
        <w:spacing w:line="520" w:lineRule="exact"/>
        <w:ind w:firstLine="480" w:firstLineChars="200"/>
        <w:rPr>
          <w:sz w:val="24"/>
          <w:szCs w:val="28"/>
        </w:rPr>
      </w:pPr>
      <w:r>
        <w:rPr>
          <w:sz w:val="24"/>
          <w:szCs w:val="28"/>
        </w:rPr>
        <w:t>本工程污泥脱水设备采用</w:t>
      </w:r>
      <w:r>
        <w:rPr>
          <w:rFonts w:hint="eastAsia"/>
          <w:sz w:val="24"/>
          <w:szCs w:val="28"/>
        </w:rPr>
        <w:t>叠螺式污泥脱水机，其</w:t>
      </w:r>
      <w:r>
        <w:rPr>
          <w:sz w:val="24"/>
          <w:szCs w:val="28"/>
        </w:rPr>
        <w:t>是一种广泛用于</w:t>
      </w:r>
      <w:r>
        <w:rPr>
          <w:rFonts w:hint="eastAsia"/>
          <w:sz w:val="24"/>
          <w:szCs w:val="28"/>
        </w:rPr>
        <w:t>市政污水、食品、饮料、化工、皮革、焊接、造纸、印染、制药、煤化工、选矿、酸洗电镀、矿井下水仓污泥</w:t>
      </w:r>
      <w:r>
        <w:rPr>
          <w:sz w:val="24"/>
          <w:szCs w:val="28"/>
        </w:rPr>
        <w:t>等行业的水处理设备。</w:t>
      </w:r>
      <w:r>
        <w:rPr>
          <w:rFonts w:hint="eastAsia"/>
          <w:sz w:val="24"/>
          <w:szCs w:val="28"/>
        </w:rPr>
        <w:t>叠螺式污泥脱水机工作原理主要为：</w:t>
      </w:r>
    </w:p>
    <w:p>
      <w:pPr>
        <w:snapToGrid w:val="0"/>
        <w:spacing w:line="520" w:lineRule="exact"/>
        <w:ind w:firstLine="480" w:firstLineChars="200"/>
        <w:rPr>
          <w:sz w:val="24"/>
          <w:szCs w:val="28"/>
        </w:rPr>
      </w:pPr>
      <w:r>
        <w:rPr>
          <w:sz w:val="24"/>
          <w:szCs w:val="28"/>
        </w:rPr>
        <w:t>i）浓缩：当螺旋推动轴转动时，设在推动轴外围的多重固活叠片相对移动，在重力作用下，水从相对移动的叠片间隙中滤出，实现快速浓缩。</w:t>
      </w:r>
    </w:p>
    <w:p>
      <w:pPr>
        <w:snapToGrid w:val="0"/>
        <w:spacing w:line="520" w:lineRule="exact"/>
        <w:ind w:firstLine="480" w:firstLineChars="200"/>
        <w:rPr>
          <w:sz w:val="24"/>
          <w:szCs w:val="28"/>
        </w:rPr>
      </w:pPr>
      <w:r>
        <w:rPr>
          <w:sz w:val="24"/>
          <w:szCs w:val="28"/>
        </w:rPr>
        <w:t>ⅱ）脱水：经过浓缩的污泥随着螺旋轴的转动不断往前移动；沿泥饼出口方向，螺旋轴的螺距逐渐变小，环与环之间的间隙也逐渐变小，螺旋腔的体积不断收缩；在出口处背压板的作用下，内压逐渐增强，在螺旋推动轴依次连续运转推动下，污泥中的水分受挤压排出，</w:t>
      </w:r>
      <w:r>
        <w:fldChar w:fldCharType="begin"/>
      </w:r>
      <w:r>
        <w:instrText xml:space="preserve"> HYPERLINK "https://baike.baidu.com/item/%E6%BB%A4%E9%A5%BC/11042756?fromModule=lemma_inlink" \t "_blank" </w:instrText>
      </w:r>
      <w:r>
        <w:fldChar w:fldCharType="separate"/>
      </w:r>
      <w:r>
        <w:rPr>
          <w:sz w:val="24"/>
          <w:szCs w:val="28"/>
        </w:rPr>
        <w:t>滤饼</w:t>
      </w:r>
      <w:r>
        <w:rPr>
          <w:sz w:val="24"/>
          <w:szCs w:val="28"/>
        </w:rPr>
        <w:fldChar w:fldCharType="end"/>
      </w:r>
      <w:r>
        <w:rPr>
          <w:sz w:val="24"/>
          <w:szCs w:val="28"/>
        </w:rPr>
        <w:t>含固量不断升高，最终实现污泥的连续脱水。</w:t>
      </w:r>
    </w:p>
    <w:p>
      <w:pPr>
        <w:snapToGrid w:val="0"/>
        <w:spacing w:line="520" w:lineRule="exact"/>
        <w:ind w:firstLine="480" w:firstLineChars="200"/>
        <w:rPr>
          <w:sz w:val="24"/>
          <w:szCs w:val="28"/>
        </w:rPr>
      </w:pPr>
      <w:r>
        <w:rPr>
          <w:sz w:val="24"/>
          <w:szCs w:val="28"/>
        </w:rPr>
        <w:t>ⅲ）自清洗：</w:t>
      </w:r>
      <w:r>
        <w:fldChar w:fldCharType="begin"/>
      </w:r>
      <w:r>
        <w:instrText xml:space="preserve"> HYPERLINK "https://baike.baidu.com/item/%E8%9E%BA%E6%97%8B%E8%BD%B4/7828089?fromModule=lemma_inlink" \t "_blank" </w:instrText>
      </w:r>
      <w:r>
        <w:fldChar w:fldCharType="separate"/>
      </w:r>
      <w:r>
        <w:rPr>
          <w:sz w:val="24"/>
          <w:szCs w:val="28"/>
        </w:rPr>
        <w:t>螺旋轴</w:t>
      </w:r>
      <w:r>
        <w:rPr>
          <w:sz w:val="24"/>
          <w:szCs w:val="28"/>
        </w:rPr>
        <w:fldChar w:fldCharType="end"/>
      </w:r>
      <w:r>
        <w:rPr>
          <w:sz w:val="24"/>
          <w:szCs w:val="28"/>
        </w:rPr>
        <w:t>的旋转，推动游动环不断转动，设备依靠固定环和游动环之间的移动实现连续的自清洗过程，从而巧妙地避免了传统</w:t>
      </w:r>
      <w:r>
        <w:fldChar w:fldCharType="begin"/>
      </w:r>
      <w:r>
        <w:instrText xml:space="preserve"> HYPERLINK "https://baike.baidu.com/item/%E8%84%B1%E6%B0%B4%E6%9C%BA/4701143?fromModule=lemma_inlink" \t "_blank" </w:instrText>
      </w:r>
      <w:r>
        <w:fldChar w:fldCharType="separate"/>
      </w:r>
      <w:r>
        <w:rPr>
          <w:sz w:val="24"/>
          <w:szCs w:val="28"/>
        </w:rPr>
        <w:t>脱水机</w:t>
      </w:r>
      <w:r>
        <w:rPr>
          <w:sz w:val="24"/>
          <w:szCs w:val="28"/>
        </w:rPr>
        <w:fldChar w:fldCharType="end"/>
      </w:r>
      <w:r>
        <w:rPr>
          <w:sz w:val="24"/>
          <w:szCs w:val="28"/>
        </w:rPr>
        <w:t>普遍存在的堵塞问题。</w:t>
      </w:r>
    </w:p>
    <w:p>
      <w:pPr>
        <w:snapToGrid w:val="0"/>
        <w:spacing w:line="520" w:lineRule="exact"/>
        <w:ind w:firstLine="480" w:firstLineChars="200"/>
        <w:rPr>
          <w:sz w:val="24"/>
          <w:szCs w:val="28"/>
        </w:rPr>
      </w:pPr>
      <w:r>
        <w:rPr>
          <w:rFonts w:hint="eastAsia"/>
          <w:sz w:val="24"/>
          <w:szCs w:val="28"/>
        </w:rPr>
        <w:t>叠螺式污泥脱水机</w:t>
      </w:r>
      <w:r>
        <w:rPr>
          <w:sz w:val="24"/>
          <w:szCs w:val="28"/>
        </w:rPr>
        <w:t>具备</w:t>
      </w:r>
      <w:r>
        <w:fldChar w:fldCharType="begin"/>
      </w:r>
      <w:r>
        <w:instrText xml:space="preserve"> HYPERLINK "https://baike.baidu.com/item/%E6%B1%A1%E6%B3%A5%E6%B5%93%E7%BC%A9/10863773?fromModule=lemma_inlink" \t "_blank" </w:instrText>
      </w:r>
      <w:r>
        <w:fldChar w:fldCharType="separate"/>
      </w:r>
      <w:r>
        <w:rPr>
          <w:sz w:val="24"/>
          <w:szCs w:val="28"/>
        </w:rPr>
        <w:t>污泥浓缩</w:t>
      </w:r>
      <w:r>
        <w:rPr>
          <w:sz w:val="24"/>
          <w:szCs w:val="28"/>
        </w:rPr>
        <w:fldChar w:fldCharType="end"/>
      </w:r>
      <w:r>
        <w:rPr>
          <w:sz w:val="24"/>
          <w:szCs w:val="28"/>
        </w:rPr>
        <w:t>功能，故不需要浓缩及贮存单元，减少</w:t>
      </w:r>
      <w:r>
        <w:fldChar w:fldCharType="begin"/>
      </w:r>
      <w:r>
        <w:instrText xml:space="preserve"> HYPERLINK "https://baike.baidu.com/item/%E6%B1%A1%E6%B0%B4%E5%A4%84%E7%90%86%E8%AE%BE%E6%96%BD/15406932?fromModule=lemma_inlink" \t "_blank" </w:instrText>
      </w:r>
      <w:r>
        <w:fldChar w:fldCharType="separate"/>
      </w:r>
      <w:r>
        <w:rPr>
          <w:sz w:val="24"/>
          <w:szCs w:val="28"/>
        </w:rPr>
        <w:t>污水处理设施</w:t>
      </w:r>
      <w:r>
        <w:rPr>
          <w:sz w:val="24"/>
          <w:szCs w:val="28"/>
        </w:rPr>
        <w:fldChar w:fldCharType="end"/>
      </w:r>
      <w:r>
        <w:rPr>
          <w:sz w:val="24"/>
          <w:szCs w:val="28"/>
        </w:rPr>
        <w:t>整体的占地空间和建设成本。</w:t>
      </w:r>
      <w:r>
        <w:rPr>
          <w:rFonts w:hint="eastAsia"/>
          <w:sz w:val="24"/>
          <w:szCs w:val="28"/>
        </w:rPr>
        <w:t>脱水机基本处于封闭作业，且处理稳定、及时，使现场臭气减少到低，改善工人的工作环境。</w:t>
      </w:r>
    </w:p>
    <w:p>
      <w:pPr>
        <w:spacing w:line="520" w:lineRule="exact"/>
        <w:ind w:left="420" w:leftChars="200"/>
        <w:outlineLvl w:val="4"/>
        <w:rPr>
          <w:b/>
          <w:bCs/>
          <w:sz w:val="24"/>
          <w:szCs w:val="24"/>
        </w:rPr>
      </w:pPr>
      <w:r>
        <w:rPr>
          <w:rFonts w:hint="eastAsia"/>
          <w:b/>
          <w:bCs/>
          <w:sz w:val="24"/>
          <w:szCs w:val="24"/>
        </w:rPr>
        <w:t>（</w:t>
      </w:r>
      <w:r>
        <w:rPr>
          <w:b/>
          <w:bCs/>
          <w:sz w:val="24"/>
          <w:szCs w:val="24"/>
        </w:rPr>
        <w:t>3</w:t>
      </w:r>
      <w:r>
        <w:rPr>
          <w:rFonts w:hint="eastAsia"/>
          <w:b/>
          <w:bCs/>
          <w:sz w:val="24"/>
          <w:szCs w:val="24"/>
        </w:rPr>
        <w:t>）</w:t>
      </w:r>
      <w:r>
        <w:rPr>
          <w:b/>
          <w:bCs/>
          <w:sz w:val="24"/>
          <w:szCs w:val="24"/>
        </w:rPr>
        <w:t>除臭</w:t>
      </w:r>
      <w:r>
        <w:rPr>
          <w:rFonts w:hint="eastAsia"/>
          <w:b/>
          <w:bCs/>
          <w:sz w:val="24"/>
          <w:szCs w:val="24"/>
        </w:rPr>
        <w:t>工艺选择</w:t>
      </w:r>
    </w:p>
    <w:p>
      <w:pPr>
        <w:spacing w:line="520" w:lineRule="exact"/>
        <w:ind w:firstLine="480" w:firstLineChars="200"/>
        <w:rPr>
          <w:sz w:val="24"/>
          <w:szCs w:val="24"/>
        </w:rPr>
      </w:pPr>
      <w:r>
        <w:rPr>
          <w:rFonts w:hint="eastAsia"/>
          <w:sz w:val="24"/>
          <w:szCs w:val="24"/>
        </w:rPr>
        <w:t>除臭方法经过了一个发展过程，从最初采用的水洗法，逐步发展到效果较好的微生物脱臭法。常见的的法下面几种：</w:t>
      </w:r>
    </w:p>
    <w:p>
      <w:pPr>
        <w:spacing w:line="520" w:lineRule="exact"/>
        <w:ind w:firstLine="480" w:firstLineChars="200"/>
        <w:rPr>
          <w:sz w:val="24"/>
          <w:szCs w:val="24"/>
        </w:rPr>
      </w:pPr>
      <w:r>
        <w:rPr>
          <w:rFonts w:hint="eastAsia" w:ascii="宋体" w:hAnsi="宋体" w:cs="宋体"/>
          <w:sz w:val="24"/>
          <w:szCs w:val="24"/>
        </w:rPr>
        <w:t>①</w:t>
      </w:r>
      <w:r>
        <w:rPr>
          <w:rFonts w:hint="eastAsia"/>
          <w:sz w:val="24"/>
          <w:szCs w:val="24"/>
        </w:rPr>
        <w:t>水清洗和药液清洗法</w:t>
      </w:r>
    </w:p>
    <w:p>
      <w:pPr>
        <w:spacing w:line="520" w:lineRule="exact"/>
        <w:ind w:firstLine="480" w:firstLineChars="200"/>
        <w:rPr>
          <w:sz w:val="24"/>
          <w:szCs w:val="24"/>
        </w:rPr>
      </w:pPr>
      <w:r>
        <w:rPr>
          <w:rFonts w:hint="eastAsia"/>
          <w:sz w:val="24"/>
          <w:szCs w:val="24"/>
        </w:rPr>
        <w:t>水清洗是利用臭气中的某些物质能溶于水的特性，使臭气中的氨气、硫化氢体和水装触，溶解，达到脱臭的目的。</w:t>
      </w:r>
    </w:p>
    <w:p>
      <w:pPr>
        <w:spacing w:line="520" w:lineRule="exact"/>
        <w:ind w:firstLine="480" w:firstLineChars="200"/>
        <w:rPr>
          <w:sz w:val="24"/>
          <w:szCs w:val="24"/>
        </w:rPr>
      </w:pPr>
      <w:r>
        <w:rPr>
          <w:rFonts w:hint="eastAsia"/>
          <w:sz w:val="24"/>
          <w:szCs w:val="24"/>
        </w:rPr>
        <w:t>药液清洗法是利用臭气中的某些物质与药液产生中和反应的特性，如利用呈碱性的苛性钠和次氯酸钠溶液，去除臭气中硫化氢等酸性物质，它必须配备较多的附属设施，如药液贮存装置，药液输送装置、排出装置等，运转管理较复杂，而且与药液不反应的臭气较难去除，效率较低。</w:t>
      </w:r>
    </w:p>
    <w:p>
      <w:pPr>
        <w:spacing w:line="520" w:lineRule="exact"/>
        <w:ind w:firstLine="480" w:firstLineChars="200"/>
        <w:rPr>
          <w:sz w:val="24"/>
          <w:szCs w:val="24"/>
        </w:rPr>
      </w:pPr>
      <w:r>
        <w:rPr>
          <w:rFonts w:hint="eastAsia"/>
          <w:sz w:val="24"/>
          <w:szCs w:val="24"/>
        </w:rPr>
        <w:t>②活性炭吸附法</w:t>
      </w:r>
    </w:p>
    <w:p>
      <w:pPr>
        <w:spacing w:line="520" w:lineRule="exact"/>
        <w:ind w:firstLine="480" w:firstLineChars="200"/>
        <w:rPr>
          <w:sz w:val="24"/>
          <w:szCs w:val="24"/>
        </w:rPr>
      </w:pPr>
      <w:r>
        <w:rPr>
          <w:rFonts w:hint="eastAsia"/>
          <w:sz w:val="24"/>
          <w:szCs w:val="24"/>
        </w:rPr>
        <w:t>活性炭吸附法是利用活性炭能吸附臭气中含臭物质的特点，达到脱臭的目的。为了有效地脱臭，通常利用各种不同性质的活性炭，在吸附塔内设置吸附酸性物质的活性炭，吸附碱性物质的活性炭和吸附中性物质的活性炭，臭气和各种活性炭接触后，排出吸收塔。</w:t>
      </w:r>
    </w:p>
    <w:p>
      <w:pPr>
        <w:spacing w:line="520" w:lineRule="exact"/>
        <w:ind w:firstLine="480" w:firstLineChars="200"/>
        <w:rPr>
          <w:sz w:val="24"/>
          <w:szCs w:val="24"/>
        </w:rPr>
      </w:pPr>
      <w:r>
        <w:rPr>
          <w:rFonts w:hint="eastAsia"/>
          <w:sz w:val="24"/>
          <w:szCs w:val="24"/>
        </w:rPr>
        <w:t>与水清洗和药液清洗法相比较，具有较高的效率，但活性炭有饱和期限，超过这期限，就必须更换活性炭。</w:t>
      </w:r>
    </w:p>
    <w:p>
      <w:pPr>
        <w:spacing w:line="520" w:lineRule="exact"/>
        <w:ind w:firstLine="480" w:firstLineChars="200"/>
        <w:rPr>
          <w:sz w:val="24"/>
          <w:szCs w:val="24"/>
        </w:rPr>
      </w:pPr>
      <w:r>
        <w:rPr>
          <w:rFonts w:hint="eastAsia"/>
          <w:sz w:val="24"/>
          <w:szCs w:val="24"/>
        </w:rPr>
        <w:t>活性炭吸附法常用于低浓度臭气和脱臭装置的后处理。</w:t>
      </w:r>
    </w:p>
    <w:p>
      <w:pPr>
        <w:spacing w:line="520" w:lineRule="exact"/>
        <w:ind w:firstLine="480" w:firstLineChars="200"/>
        <w:rPr>
          <w:sz w:val="24"/>
          <w:szCs w:val="24"/>
        </w:rPr>
      </w:pPr>
      <w:r>
        <w:rPr>
          <w:rFonts w:hint="eastAsia"/>
          <w:sz w:val="24"/>
          <w:szCs w:val="24"/>
        </w:rPr>
        <w:t>③臭氧氧化法</w:t>
      </w:r>
    </w:p>
    <w:p>
      <w:pPr>
        <w:spacing w:line="520" w:lineRule="exact"/>
        <w:ind w:firstLine="480" w:firstLineChars="200"/>
        <w:rPr>
          <w:sz w:val="24"/>
          <w:szCs w:val="24"/>
        </w:rPr>
      </w:pPr>
      <w:r>
        <w:rPr>
          <w:rFonts w:hint="eastAsia"/>
          <w:sz w:val="24"/>
          <w:szCs w:val="24"/>
        </w:rPr>
        <w:t>臭氧氧化法是利用臭氧是强氧化剂的特点，使臭气中的化学成分达到脱臭的目的。</w:t>
      </w:r>
    </w:p>
    <w:p>
      <w:pPr>
        <w:spacing w:line="520" w:lineRule="exact"/>
        <w:ind w:firstLine="480" w:firstLineChars="200"/>
        <w:rPr>
          <w:sz w:val="24"/>
          <w:szCs w:val="24"/>
        </w:rPr>
      </w:pPr>
      <w:r>
        <w:rPr>
          <w:rFonts w:hint="eastAsia"/>
          <w:sz w:val="24"/>
          <w:szCs w:val="24"/>
        </w:rPr>
        <w:t>臭氧氧化法有气相和液相之分，由于臭氧产生的化学反应较慢，一般先通过药液清洗法，去除大部分含臭物质，然后再进行臭氧氧化。</w:t>
      </w:r>
    </w:p>
    <w:p>
      <w:pPr>
        <w:spacing w:line="520" w:lineRule="exact"/>
        <w:ind w:firstLine="480" w:firstLineChars="200"/>
        <w:rPr>
          <w:sz w:val="24"/>
          <w:szCs w:val="24"/>
        </w:rPr>
      </w:pPr>
      <w:r>
        <w:rPr>
          <w:rFonts w:hint="eastAsia"/>
          <w:sz w:val="24"/>
          <w:szCs w:val="24"/>
        </w:rPr>
        <w:t>④土壤脱臭法</w:t>
      </w:r>
    </w:p>
    <w:p>
      <w:pPr>
        <w:spacing w:line="520" w:lineRule="exact"/>
        <w:ind w:firstLine="480" w:firstLineChars="200"/>
        <w:rPr>
          <w:sz w:val="24"/>
          <w:szCs w:val="24"/>
        </w:rPr>
      </w:pPr>
      <w:r>
        <w:rPr>
          <w:rFonts w:hint="eastAsia"/>
          <w:sz w:val="24"/>
          <w:szCs w:val="24"/>
        </w:rPr>
        <w:t>土壤脱臭法是利用土壤中微生物分解臭气中的化学成份，达到脱臭目的。广义上说，属于生物脱臭法的范畴。与前几种方法相比较，不需要加药等附属，运转管理费用较低，但需有宽阔的场地，定时进行场地修整，设置散水装置，以保持较好的运转状态，缺点是处理效果不够稳定。</w:t>
      </w:r>
    </w:p>
    <w:p>
      <w:pPr>
        <w:spacing w:line="520" w:lineRule="exact"/>
        <w:ind w:firstLine="480" w:firstLineChars="200"/>
        <w:rPr>
          <w:sz w:val="24"/>
          <w:szCs w:val="24"/>
        </w:rPr>
      </w:pPr>
      <w:r>
        <w:rPr>
          <w:rFonts w:hint="eastAsia" w:ascii="宋体" w:hAnsi="宋体" w:cs="宋体"/>
          <w:sz w:val="24"/>
          <w:szCs w:val="24"/>
        </w:rPr>
        <w:t>⑤</w:t>
      </w:r>
      <w:r>
        <w:rPr>
          <w:rFonts w:hint="eastAsia"/>
          <w:sz w:val="24"/>
          <w:szCs w:val="24"/>
        </w:rPr>
        <w:t>燃烧法</w:t>
      </w:r>
    </w:p>
    <w:p>
      <w:pPr>
        <w:spacing w:line="520" w:lineRule="exact"/>
        <w:ind w:firstLine="480" w:firstLineChars="200"/>
        <w:rPr>
          <w:sz w:val="24"/>
          <w:szCs w:val="24"/>
        </w:rPr>
      </w:pPr>
      <w:r>
        <w:rPr>
          <w:rFonts w:hint="eastAsia"/>
          <w:sz w:val="24"/>
          <w:szCs w:val="24"/>
        </w:rPr>
        <w:t>燃烧法有直接燃烧法和触媒燃烧法。根据臭气的特点，当温度达到648</w:t>
      </w:r>
      <w:r>
        <w:rPr>
          <w:sz w:val="24"/>
          <w:szCs w:val="24"/>
        </w:rPr>
        <w:t>℃</w:t>
      </w:r>
      <w:r>
        <w:rPr>
          <w:rFonts w:hint="eastAsia"/>
          <w:sz w:val="24"/>
          <w:szCs w:val="24"/>
        </w:rPr>
        <w:t>，接触时间0.3秒以上时，臭气会直接燃烧，达到脱臭的目的。</w:t>
      </w:r>
    </w:p>
    <w:p>
      <w:pPr>
        <w:spacing w:line="520" w:lineRule="exact"/>
        <w:ind w:firstLine="480" w:firstLineChars="200"/>
        <w:rPr>
          <w:sz w:val="24"/>
          <w:szCs w:val="24"/>
        </w:rPr>
      </w:pPr>
      <w:r>
        <w:rPr>
          <w:rFonts w:hint="eastAsia"/>
          <w:sz w:val="24"/>
          <w:szCs w:val="24"/>
        </w:rPr>
        <w:t>在废水处理站内，常利用污泥污泥硝化后产生的沼气，使一些强烈的臭气燃烧，但工程实例较少。</w:t>
      </w:r>
    </w:p>
    <w:p>
      <w:pPr>
        <w:spacing w:line="520" w:lineRule="exact"/>
        <w:ind w:firstLine="480" w:firstLineChars="200"/>
        <w:rPr>
          <w:rFonts w:ascii="宋体" w:hAnsi="宋体" w:cs="宋体"/>
          <w:sz w:val="24"/>
          <w:szCs w:val="24"/>
        </w:rPr>
      </w:pPr>
      <w:r>
        <w:rPr>
          <w:rFonts w:hint="eastAsia"/>
          <w:sz w:val="24"/>
          <w:szCs w:val="24"/>
        </w:rPr>
        <w:t>⑥</w:t>
      </w:r>
      <w:r>
        <w:rPr>
          <w:rFonts w:hint="eastAsia" w:ascii="宋体" w:hAnsi="宋体" w:cs="宋体"/>
          <w:sz w:val="24"/>
          <w:szCs w:val="24"/>
        </w:rPr>
        <w:t>生物除臭法</w:t>
      </w:r>
    </w:p>
    <w:p>
      <w:pPr>
        <w:numPr>
          <w:ilvl w:val="3"/>
          <w:numId w:val="0"/>
        </w:numPr>
        <w:spacing w:line="520" w:lineRule="exact"/>
        <w:ind w:firstLine="480" w:firstLineChars="200"/>
        <w:rPr>
          <w:sz w:val="24"/>
          <w:szCs w:val="24"/>
        </w:rPr>
      </w:pPr>
      <w:r>
        <w:rPr>
          <w:rFonts w:hint="eastAsia"/>
          <w:sz w:val="24"/>
          <w:szCs w:val="24"/>
        </w:rPr>
        <w:t>生物除臭过程主要以两个步骤进行：水溶渗透和生物氧化。</w:t>
      </w:r>
    </w:p>
    <w:p>
      <w:pPr>
        <w:numPr>
          <w:ilvl w:val="3"/>
          <w:numId w:val="0"/>
        </w:numPr>
        <w:spacing w:line="520" w:lineRule="exact"/>
        <w:ind w:firstLine="480" w:firstLineChars="200"/>
        <w:rPr>
          <w:sz w:val="24"/>
          <w:szCs w:val="24"/>
        </w:rPr>
      </w:pPr>
      <w:r>
        <w:rPr>
          <w:rFonts w:hint="eastAsia"/>
          <w:sz w:val="24"/>
          <w:szCs w:val="24"/>
        </w:rPr>
        <w:t>水溶渗透过程是生物除臭的第一步。滤料表面覆盖有水层，臭气中的化学物滤料接触后在表层溶解，并从气相转化为水相，以利于滤料中的细菌作进一步的吸收和分解。另外，滤料的多孔性使其具有超大的比表面积，使气、水两相有更大的接触面积，有效增大了气相化学物质在水相中的传送扩散速率。所以，水溶渗透过程其实是一物理作用过程，高速的传送扩散意味着滤料可迅速将臭气的浓度降至极低的水平。</w:t>
      </w:r>
    </w:p>
    <w:p>
      <w:pPr>
        <w:numPr>
          <w:ilvl w:val="3"/>
          <w:numId w:val="0"/>
        </w:numPr>
        <w:spacing w:line="520" w:lineRule="exact"/>
        <w:ind w:firstLine="480" w:firstLineChars="200"/>
        <w:rPr>
          <w:sz w:val="24"/>
          <w:szCs w:val="24"/>
        </w:rPr>
      </w:pPr>
      <w:r>
        <w:rPr>
          <w:rFonts w:hint="eastAsia"/>
          <w:sz w:val="24"/>
          <w:szCs w:val="24"/>
        </w:rPr>
        <w:t>第二步是通过生物氧化来降解污染物的过程。滤料中的专性细菌（根据臭源的类型筛选而得到的处理菌种）将以污染物为食，把污染物转化为自身的营养物质，使碳、氢、氧、氮、硫等元素从化合物的形式转化为游离态，进入微生物的自身循环过程，从而达到降解的目的。与此同时，专性细菌等微生物又可实现自身的繁殖过程。当作为食物的污染化合物与专性细菌的营养需要达到平衡，而水分、温度、酸碱程度等条件均符合微生物所需时，专性细菌的代谢繁殖将会达到稳定的平衡，而最终的产物是无污染的二氧化碳、水和盐。</w:t>
      </w:r>
    </w:p>
    <w:p>
      <w:pPr>
        <w:spacing w:line="520" w:lineRule="exact"/>
        <w:ind w:firstLine="480" w:firstLineChars="200"/>
        <w:rPr>
          <w:sz w:val="24"/>
          <w:szCs w:val="24"/>
        </w:rPr>
      </w:pPr>
      <w:r>
        <w:rPr>
          <w:rFonts w:hint="eastAsia"/>
          <w:sz w:val="24"/>
          <w:szCs w:val="24"/>
        </w:rPr>
        <w:t>⑦洗涤法</w:t>
      </w:r>
    </w:p>
    <w:p>
      <w:pPr>
        <w:spacing w:line="520" w:lineRule="exact"/>
        <w:ind w:firstLine="480" w:firstLineChars="200"/>
        <w:rPr>
          <w:sz w:val="24"/>
          <w:szCs w:val="24"/>
        </w:rPr>
      </w:pPr>
      <w:r>
        <w:rPr>
          <w:rFonts w:hint="eastAsia"/>
          <w:sz w:val="24"/>
          <w:szCs w:val="24"/>
        </w:rPr>
        <w:t>洗涤法是采用水或含酸碱、化学氧化剂、助溶剂等物质作洗涤剂，与臭气充分接触混合，将臭气中可溶解物质溶于水或使臭气污染物与洗涤剂中的化学药剂发生中和、氧化剂其它化学反应，去除臭气污染物的处理工艺。其中，化学洗涤除臭的特点主要为：</w:t>
      </w:r>
    </w:p>
    <w:p>
      <w:pPr>
        <w:spacing w:line="520" w:lineRule="exact"/>
        <w:ind w:firstLine="480" w:firstLineChars="200"/>
        <w:rPr>
          <w:sz w:val="24"/>
          <w:szCs w:val="24"/>
        </w:rPr>
      </w:pPr>
      <w:r>
        <w:rPr>
          <w:rFonts w:hint="eastAsia"/>
          <w:sz w:val="24"/>
          <w:szCs w:val="24"/>
        </w:rPr>
        <w:t>i）适用范围广，可根据废气的组分、浓度，选择相对应的药液进行处理；</w:t>
      </w:r>
    </w:p>
    <w:p>
      <w:pPr>
        <w:spacing w:line="520" w:lineRule="exact"/>
        <w:ind w:firstLine="480" w:firstLineChars="200"/>
        <w:rPr>
          <w:sz w:val="24"/>
          <w:szCs w:val="24"/>
        </w:rPr>
      </w:pPr>
      <w:r>
        <w:rPr>
          <w:sz w:val="24"/>
          <w:szCs w:val="24"/>
        </w:rPr>
        <w:t>ii</w:t>
      </w:r>
      <w:r>
        <w:rPr>
          <w:rFonts w:hint="eastAsia"/>
          <w:sz w:val="24"/>
          <w:szCs w:val="24"/>
        </w:rPr>
        <w:t>）反应迅速，停留时间短，设备占地面积小；</w:t>
      </w:r>
    </w:p>
    <w:p>
      <w:pPr>
        <w:spacing w:line="520" w:lineRule="exact"/>
        <w:ind w:firstLine="480" w:firstLineChars="200"/>
        <w:rPr>
          <w:sz w:val="24"/>
          <w:szCs w:val="24"/>
        </w:rPr>
      </w:pPr>
      <w:r>
        <w:rPr>
          <w:rFonts w:hint="eastAsia"/>
          <w:sz w:val="24"/>
          <w:szCs w:val="24"/>
        </w:rPr>
        <w:t>i</w:t>
      </w:r>
      <w:r>
        <w:rPr>
          <w:sz w:val="24"/>
          <w:szCs w:val="24"/>
        </w:rPr>
        <w:t>ii</w:t>
      </w:r>
      <w:r>
        <w:rPr>
          <w:rFonts w:hint="eastAsia"/>
          <w:sz w:val="24"/>
          <w:szCs w:val="24"/>
        </w:rPr>
        <w:t>）对浓度、风量适应性强，处理效果好；</w:t>
      </w:r>
    </w:p>
    <w:p>
      <w:pPr>
        <w:spacing w:line="520" w:lineRule="exact"/>
        <w:ind w:firstLine="480" w:firstLineChars="200"/>
        <w:rPr>
          <w:sz w:val="24"/>
          <w:szCs w:val="24"/>
        </w:rPr>
      </w:pPr>
      <w:r>
        <w:rPr>
          <w:rFonts w:hint="eastAsia"/>
          <w:sz w:val="24"/>
          <w:szCs w:val="24"/>
        </w:rPr>
        <w:t>i</w:t>
      </w:r>
      <w:r>
        <w:rPr>
          <w:sz w:val="24"/>
          <w:szCs w:val="24"/>
        </w:rPr>
        <w:t>v</w:t>
      </w:r>
      <w:r>
        <w:rPr>
          <w:rFonts w:hint="eastAsia"/>
          <w:sz w:val="24"/>
          <w:szCs w:val="24"/>
        </w:rPr>
        <w:t>）即开即用，可间歇运行。</w:t>
      </w:r>
    </w:p>
    <w:p>
      <w:pPr>
        <w:spacing w:line="520" w:lineRule="exact"/>
        <w:ind w:firstLine="480" w:firstLineChars="200"/>
        <w:rPr>
          <w:sz w:val="24"/>
          <w:szCs w:val="24"/>
        </w:rPr>
      </w:pPr>
      <w:r>
        <w:rPr>
          <w:rFonts w:hint="eastAsia"/>
          <w:sz w:val="24"/>
          <w:szCs w:val="24"/>
        </w:rPr>
        <w:t>⑧生物洗涤</w:t>
      </w:r>
    </w:p>
    <w:p>
      <w:pPr>
        <w:spacing w:line="520" w:lineRule="exact"/>
        <w:ind w:firstLine="480" w:firstLineChars="200"/>
        <w:rPr>
          <w:sz w:val="24"/>
          <w:szCs w:val="24"/>
        </w:rPr>
      </w:pPr>
      <w:r>
        <w:rPr>
          <w:rFonts w:hint="eastAsia"/>
          <w:sz w:val="24"/>
          <w:szCs w:val="24"/>
        </w:rPr>
        <w:t>生物洗涤是指臭气与生物洗涤液在吸收塔进行气液接触，经传质进入生物洗涤液，在生物反应器中被生物降解的处理工艺。生物除臭剂能有效</w:t>
      </w:r>
      <w:r>
        <w:rPr>
          <w:sz w:val="24"/>
          <w:szCs w:val="24"/>
        </w:rPr>
        <w:t>去除硫化氢、氨气等恶臭气体，除臭率和抑蝇率达70%以上；对人体和动植物无任何毒副作用，对环境不产生任何污染。</w:t>
      </w:r>
    </w:p>
    <w:p>
      <w:pPr>
        <w:spacing w:line="520" w:lineRule="exact"/>
        <w:ind w:firstLine="480" w:firstLineChars="200"/>
        <w:rPr>
          <w:sz w:val="24"/>
          <w:szCs w:val="24"/>
        </w:rPr>
      </w:pPr>
      <w:r>
        <w:rPr>
          <w:rFonts w:hint="eastAsia"/>
          <w:sz w:val="24"/>
          <w:szCs w:val="24"/>
        </w:rPr>
        <w:t>综上所述，考虑占地面积、投资运行费用、去除效果等方面，本项目采用“化学洗涤+生物洗涤”工艺，其中化学洗涤剂成分主要为氢氧化钠溶液，生物洗涤剂成分主要为生物除臭剂。</w:t>
      </w:r>
    </w:p>
    <w:p>
      <w:pPr>
        <w:spacing w:line="520" w:lineRule="exact"/>
        <w:ind w:left="420" w:leftChars="200"/>
        <w:outlineLvl w:val="4"/>
        <w:rPr>
          <w:b/>
          <w:bCs/>
          <w:sz w:val="24"/>
          <w:szCs w:val="24"/>
        </w:rPr>
      </w:pPr>
      <w:r>
        <w:rPr>
          <w:rFonts w:hint="eastAsia"/>
          <w:b/>
          <w:bCs/>
          <w:sz w:val="24"/>
          <w:szCs w:val="24"/>
        </w:rPr>
        <w:t>（4）污水处理工艺方案确定</w:t>
      </w:r>
    </w:p>
    <w:p>
      <w:pPr>
        <w:spacing w:line="520" w:lineRule="exact"/>
        <w:ind w:firstLine="480" w:firstLineChars="200"/>
        <w:rPr>
          <w:sz w:val="24"/>
          <w:szCs w:val="24"/>
        </w:rPr>
      </w:pPr>
      <w:r>
        <w:rPr>
          <w:sz w:val="24"/>
          <w:szCs w:val="24"/>
        </w:rPr>
        <w:t>综上分析，本项目</w:t>
      </w:r>
      <w:r>
        <w:rPr>
          <w:rFonts w:hint="eastAsia"/>
          <w:sz w:val="24"/>
          <w:szCs w:val="24"/>
        </w:rPr>
        <w:t>确定污水处理站工艺方案如下：</w:t>
      </w:r>
    </w:p>
    <w:p>
      <w:pPr>
        <w:spacing w:line="520" w:lineRule="exact"/>
        <w:ind w:firstLine="480" w:firstLineChars="200"/>
        <w:rPr>
          <w:sz w:val="24"/>
          <w:szCs w:val="24"/>
        </w:rPr>
      </w:pPr>
      <w:r>
        <w:rPr>
          <w:rFonts w:hint="eastAsia"/>
          <w:sz w:val="24"/>
          <w:szCs w:val="24"/>
        </w:rPr>
        <w:t>预处理：格栅</w:t>
      </w:r>
      <w:r>
        <w:rPr>
          <w:sz w:val="24"/>
          <w:szCs w:val="24"/>
        </w:rPr>
        <w:t>+</w:t>
      </w:r>
      <w:r>
        <w:rPr>
          <w:rFonts w:hint="eastAsia"/>
          <w:sz w:val="24"/>
          <w:szCs w:val="24"/>
        </w:rPr>
        <w:t>集水池+超微过滤机+初沉池+调节池+水解酸化池</w:t>
      </w:r>
    </w:p>
    <w:p>
      <w:pPr>
        <w:spacing w:line="520" w:lineRule="exact"/>
        <w:ind w:firstLine="480" w:firstLineChars="200"/>
        <w:rPr>
          <w:sz w:val="24"/>
          <w:szCs w:val="24"/>
        </w:rPr>
      </w:pPr>
      <w:r>
        <w:rPr>
          <w:rFonts w:hint="eastAsia"/>
          <w:sz w:val="24"/>
          <w:szCs w:val="24"/>
        </w:rPr>
        <w:t>生化处理：</w:t>
      </w:r>
      <w:r>
        <w:rPr>
          <w:sz w:val="24"/>
          <w:szCs w:val="24"/>
        </w:rPr>
        <w:t>A</w:t>
      </w:r>
      <w:r>
        <w:rPr>
          <w:rFonts w:hint="eastAsia"/>
          <w:sz w:val="24"/>
          <w:szCs w:val="24"/>
          <w:vertAlign w:val="superscript"/>
        </w:rPr>
        <w:t>2</w:t>
      </w:r>
      <w:r>
        <w:rPr>
          <w:rFonts w:hint="eastAsia"/>
          <w:sz w:val="24"/>
          <w:szCs w:val="24"/>
        </w:rPr>
        <w:t>/</w:t>
      </w:r>
      <w:r>
        <w:rPr>
          <w:sz w:val="24"/>
          <w:szCs w:val="24"/>
        </w:rPr>
        <w:t>O</w:t>
      </w:r>
      <w:r>
        <w:rPr>
          <w:rFonts w:hint="eastAsia"/>
          <w:sz w:val="24"/>
          <w:szCs w:val="24"/>
        </w:rPr>
        <w:t>生化</w:t>
      </w:r>
      <w:r>
        <w:rPr>
          <w:sz w:val="24"/>
          <w:szCs w:val="24"/>
        </w:rPr>
        <w:t>池</w:t>
      </w:r>
      <w:r>
        <w:rPr>
          <w:rFonts w:hint="eastAsia"/>
          <w:sz w:val="24"/>
          <w:szCs w:val="24"/>
        </w:rPr>
        <w:t>（厌氧池+缺氧池+好氧池）</w:t>
      </w:r>
    </w:p>
    <w:p>
      <w:pPr>
        <w:spacing w:line="520" w:lineRule="exact"/>
        <w:ind w:firstLine="480" w:firstLineChars="200"/>
        <w:rPr>
          <w:sz w:val="24"/>
          <w:szCs w:val="24"/>
        </w:rPr>
      </w:pPr>
      <w:r>
        <w:rPr>
          <w:rFonts w:hint="eastAsia"/>
          <w:sz w:val="24"/>
          <w:szCs w:val="24"/>
        </w:rPr>
        <w:t>深度处理：二沉池+三沉池</w:t>
      </w:r>
    </w:p>
    <w:p>
      <w:pPr>
        <w:spacing w:line="520" w:lineRule="exact"/>
        <w:ind w:firstLine="480" w:firstLineChars="200"/>
        <w:rPr>
          <w:sz w:val="24"/>
          <w:szCs w:val="24"/>
        </w:rPr>
      </w:pPr>
      <w:r>
        <w:rPr>
          <w:rFonts w:hint="eastAsia"/>
          <w:sz w:val="24"/>
          <w:szCs w:val="24"/>
        </w:rPr>
        <w:t>除臭：“化学洗涤+生物洗涤”除臭</w:t>
      </w:r>
    </w:p>
    <w:p>
      <w:pPr>
        <w:spacing w:line="520" w:lineRule="exact"/>
        <w:ind w:firstLine="480" w:firstLineChars="200"/>
        <w:rPr>
          <w:sz w:val="24"/>
          <w:szCs w:val="24"/>
        </w:rPr>
      </w:pPr>
      <w:r>
        <w:rPr>
          <w:rFonts w:hint="eastAsia"/>
          <w:sz w:val="24"/>
          <w:szCs w:val="24"/>
        </w:rPr>
        <w:t>污泥处理工艺为：叠螺式污泥脱水机</w:t>
      </w:r>
    </w:p>
    <w:p>
      <w:pPr>
        <w:spacing w:line="520" w:lineRule="exact"/>
        <w:ind w:firstLine="480" w:firstLineChars="200"/>
        <w:rPr>
          <w:sz w:val="24"/>
          <w:szCs w:val="24"/>
        </w:rPr>
      </w:pPr>
      <w:r>
        <w:rPr>
          <w:rFonts w:hint="eastAsia"/>
          <w:sz w:val="24"/>
          <w:szCs w:val="24"/>
        </w:rPr>
        <w:t>污水处理工艺为“格栅</w:t>
      </w:r>
      <w:r>
        <w:rPr>
          <w:sz w:val="24"/>
          <w:szCs w:val="24"/>
        </w:rPr>
        <w:t>+</w:t>
      </w:r>
      <w:r>
        <w:rPr>
          <w:rFonts w:hint="eastAsia"/>
          <w:sz w:val="24"/>
          <w:szCs w:val="24"/>
        </w:rPr>
        <w:t>集水池+超微过滤机+初沉池+调节池+水解酸化池+厌氧池+缺氧池+好氧池+二沉池+三沉池”。工艺流程图见下图。</w:t>
      </w:r>
    </w:p>
    <w:p>
      <w:pPr>
        <w:spacing w:line="360" w:lineRule="auto"/>
        <w:jc w:val="center"/>
        <w:rPr>
          <w:sz w:val="24"/>
          <w:szCs w:val="24"/>
        </w:rPr>
      </w:pPr>
      <w:r>
        <w:rPr>
          <w:b/>
          <w:bCs/>
          <w:sz w:val="24"/>
          <w:szCs w:val="24"/>
        </w:rPr>
        <w:object>
          <v:shape id="_x0000_i1026" o:spt="75" alt="" type="#_x0000_t75" style="height:180pt;width:429.45pt;" o:ole="t" filled="f" o:preferrelative="t" stroked="f" coordsize="21600,21600">
            <v:path/>
            <v:fill on="f" focussize="0,0"/>
            <v:stroke on="f"/>
            <v:imagedata r:id="rId45" o:title=""/>
            <o:lock v:ext="edit" aspectratio="t"/>
            <w10:wrap type="none"/>
            <w10:anchorlock/>
          </v:shape>
          <o:OLEObject Type="Embed" ProgID="Visio.Drawing.15" ShapeID="_x0000_i1026" DrawAspect="Content" ObjectID="_1468075726" r:id="rId44">
            <o:LockedField>false</o:LockedField>
          </o:OLEObject>
        </w:object>
      </w:r>
    </w:p>
    <w:p>
      <w:pPr>
        <w:jc w:val="center"/>
        <w:rPr>
          <w:rFonts w:eastAsia="黑体"/>
          <w:color w:val="000000"/>
          <w:sz w:val="24"/>
        </w:rPr>
      </w:pPr>
      <w:r>
        <w:rPr>
          <w:rFonts w:eastAsia="黑体"/>
          <w:color w:val="000000"/>
          <w:sz w:val="24"/>
        </w:rPr>
        <w:t>图</w:t>
      </w:r>
      <w:r>
        <w:rPr>
          <w:rFonts w:hint="eastAsia" w:eastAsia="黑体"/>
          <w:color w:val="000000"/>
          <w:sz w:val="24"/>
        </w:rPr>
        <w:t>3</w:t>
      </w:r>
      <w:r>
        <w:rPr>
          <w:rFonts w:eastAsia="黑体"/>
          <w:color w:val="000000"/>
          <w:sz w:val="24"/>
        </w:rPr>
        <w:t xml:space="preserve">.1-2   </w:t>
      </w:r>
      <w:r>
        <w:rPr>
          <w:rFonts w:hint="eastAsia" w:eastAsia="黑体"/>
          <w:color w:val="000000"/>
          <w:sz w:val="24"/>
        </w:rPr>
        <w:t>污水处理站</w:t>
      </w:r>
      <w:r>
        <w:rPr>
          <w:rFonts w:eastAsia="黑体"/>
          <w:color w:val="000000"/>
          <w:sz w:val="24"/>
        </w:rPr>
        <w:t>工艺流程图</w:t>
      </w:r>
    </w:p>
    <w:p>
      <w:pPr>
        <w:spacing w:line="520" w:lineRule="exact"/>
        <w:ind w:firstLine="480" w:firstLineChars="200"/>
        <w:rPr>
          <w:sz w:val="24"/>
          <w:szCs w:val="24"/>
        </w:rPr>
      </w:pPr>
      <w:r>
        <w:rPr>
          <w:rFonts w:hint="eastAsia"/>
          <w:sz w:val="24"/>
          <w:szCs w:val="24"/>
        </w:rPr>
        <w:t>工艺流程简述：</w:t>
      </w:r>
    </w:p>
    <w:p>
      <w:pPr>
        <w:spacing w:line="520" w:lineRule="exact"/>
        <w:ind w:firstLine="480" w:firstLineChars="200"/>
        <w:rPr>
          <w:sz w:val="24"/>
          <w:szCs w:val="24"/>
        </w:rPr>
      </w:pPr>
      <w:r>
        <w:rPr>
          <w:rFonts w:hint="eastAsia"/>
          <w:sz w:val="24"/>
          <w:szCs w:val="24"/>
        </w:rPr>
        <w:t>废水经格栅井过滤去除较大尺寸悬浮物，自流进入集水池，废水泵入超微过滤机去除污水中</w:t>
      </w:r>
      <w:r>
        <w:rPr>
          <w:rFonts w:hint="eastAsia"/>
          <w:color w:val="000000"/>
          <w:sz w:val="24"/>
          <w:szCs w:val="24"/>
        </w:rPr>
        <w:t>微小悬浮物，减轻后续生化系统的运行负荷，出水进入初沉池，它能够给添加絮凝剂和混凝剂去除无机颗粒物和部分有机物，出水进入调节池，</w:t>
      </w:r>
      <w:r>
        <w:rPr>
          <w:rFonts w:hint="eastAsia"/>
          <w:sz w:val="24"/>
          <w:szCs w:val="24"/>
        </w:rPr>
        <w:t>进行调节水量均匀水质</w:t>
      </w:r>
      <w:r>
        <w:rPr>
          <w:sz w:val="24"/>
          <w:szCs w:val="24"/>
        </w:rPr>
        <w:t>，</w:t>
      </w:r>
      <w:r>
        <w:rPr>
          <w:rFonts w:hint="eastAsia"/>
          <w:sz w:val="24"/>
          <w:szCs w:val="24"/>
        </w:rPr>
        <w:t>之后通过提升泵进入水解酸化池，通过微生物胞外酶将悬浮性有机物和大分子物质（碳水化合物、脂肪和脂类等）水解成小分子有机物，小分子有机物在酸化菌作用下转化成挥发性脂肪酸。水解酸化后废水泵入A</w:t>
      </w:r>
      <w:r>
        <w:rPr>
          <w:rFonts w:hint="eastAsia"/>
          <w:sz w:val="24"/>
          <w:szCs w:val="24"/>
          <w:vertAlign w:val="superscript"/>
        </w:rPr>
        <w:t>2</w:t>
      </w:r>
      <w:r>
        <w:rPr>
          <w:sz w:val="24"/>
          <w:szCs w:val="24"/>
        </w:rPr>
        <w:t>/</w:t>
      </w:r>
      <w:r>
        <w:rPr>
          <w:rFonts w:hint="eastAsia"/>
          <w:sz w:val="24"/>
          <w:szCs w:val="24"/>
        </w:rPr>
        <w:t>O生化池，在微生物作用下废水中有机物参与微生物的代谢作用，给微生物提供能量并迅速分解，经二沉池泥水分离后，再进入三沉池，通过添加化学除磷药剂和絮凝剂达到化学辅助除磷的目的，并去除水中少量的SS，出水达标外排</w:t>
      </w:r>
      <w:r>
        <w:rPr>
          <w:sz w:val="24"/>
          <w:szCs w:val="24"/>
        </w:rPr>
        <w:t>。</w:t>
      </w:r>
    </w:p>
    <w:p>
      <w:pPr>
        <w:spacing w:line="520" w:lineRule="exact"/>
        <w:ind w:firstLine="480" w:firstLineChars="200"/>
        <w:rPr>
          <w:b/>
          <w:bCs/>
        </w:rPr>
      </w:pPr>
      <w:r>
        <w:rPr>
          <w:rFonts w:hint="eastAsia"/>
          <w:sz w:val="24"/>
          <w:szCs w:val="24"/>
        </w:rPr>
        <w:t>项目产生的污泥进入污泥池，污泥池中的污泥进入污泥脱水间，经脱水并满足含水率要求后运出厂外。</w:t>
      </w:r>
    </w:p>
    <w:p>
      <w:pPr>
        <w:spacing w:line="520" w:lineRule="exact"/>
        <w:ind w:left="420" w:leftChars="200"/>
        <w:outlineLvl w:val="4"/>
        <w:rPr>
          <w:b/>
          <w:bCs/>
          <w:sz w:val="24"/>
          <w:szCs w:val="24"/>
        </w:rPr>
      </w:pPr>
      <w:r>
        <w:rPr>
          <w:rFonts w:hint="eastAsia"/>
          <w:b/>
          <w:bCs/>
          <w:sz w:val="24"/>
          <w:szCs w:val="24"/>
        </w:rPr>
        <w:t>（5）污水处理工艺处理效率分析</w:t>
      </w:r>
    </w:p>
    <w:p>
      <w:pPr>
        <w:spacing w:line="520" w:lineRule="exact"/>
        <w:ind w:firstLine="480" w:firstLineChars="200"/>
      </w:pPr>
      <w:r>
        <w:rPr>
          <w:rFonts w:hint="eastAsia"/>
          <w:sz w:val="24"/>
          <w:szCs w:val="24"/>
        </w:rPr>
        <w:t>参照《制糖废水治理工程技术规范》（H</w:t>
      </w:r>
      <w:r>
        <w:rPr>
          <w:sz w:val="24"/>
          <w:szCs w:val="24"/>
        </w:rPr>
        <w:t>J 2018-2012</w:t>
      </w:r>
      <w:r>
        <w:rPr>
          <w:rFonts w:hint="eastAsia"/>
          <w:sz w:val="24"/>
          <w:szCs w:val="24"/>
        </w:rPr>
        <w:t>）、《味精工业废水治理工程技术规范》（H</w:t>
      </w:r>
      <w:r>
        <w:rPr>
          <w:sz w:val="24"/>
          <w:szCs w:val="24"/>
        </w:rPr>
        <w:t>J 2030-2013</w:t>
      </w:r>
      <w:r>
        <w:rPr>
          <w:rFonts w:hint="eastAsia"/>
          <w:sz w:val="24"/>
          <w:szCs w:val="24"/>
        </w:rPr>
        <w:t>）、《酿造工业废水治理工程技术规范》（H</w:t>
      </w:r>
      <w:r>
        <w:rPr>
          <w:sz w:val="24"/>
          <w:szCs w:val="24"/>
        </w:rPr>
        <w:t>J 575-2010</w:t>
      </w:r>
      <w:r>
        <w:rPr>
          <w:rFonts w:hint="eastAsia"/>
          <w:sz w:val="24"/>
          <w:szCs w:val="24"/>
        </w:rPr>
        <w:t>）、</w:t>
      </w:r>
      <w:r>
        <w:rPr>
          <w:rFonts w:hint="eastAsia"/>
          <w:bCs/>
          <w:sz w:val="24"/>
          <w:szCs w:val="24"/>
        </w:rPr>
        <w:t>《</w:t>
      </w:r>
      <w:r>
        <w:rPr>
          <w:bCs/>
          <w:sz w:val="24"/>
          <w:szCs w:val="24"/>
        </w:rPr>
        <w:t>排放源统计调查产排污核算方法和系数手册</w:t>
      </w:r>
      <w:r>
        <w:rPr>
          <w:rFonts w:hint="eastAsia"/>
          <w:bCs/>
          <w:sz w:val="24"/>
          <w:szCs w:val="24"/>
        </w:rPr>
        <w:t>》及污水处理站设计方案，“格栅</w:t>
      </w:r>
      <w:r>
        <w:rPr>
          <w:bCs/>
          <w:sz w:val="24"/>
          <w:szCs w:val="24"/>
        </w:rPr>
        <w:t>+</w:t>
      </w:r>
      <w:r>
        <w:rPr>
          <w:rFonts w:hint="eastAsia"/>
          <w:bCs/>
          <w:sz w:val="24"/>
          <w:szCs w:val="24"/>
        </w:rPr>
        <w:t>集水池+超微过滤机+初沉池”对C</w:t>
      </w:r>
      <w:r>
        <w:rPr>
          <w:bCs/>
          <w:sz w:val="24"/>
          <w:szCs w:val="24"/>
        </w:rPr>
        <w:t>OD</w:t>
      </w:r>
      <w:r>
        <w:rPr>
          <w:rFonts w:hint="eastAsia"/>
          <w:bCs/>
          <w:sz w:val="24"/>
          <w:szCs w:val="24"/>
        </w:rPr>
        <w:t>、S</w:t>
      </w:r>
      <w:r>
        <w:rPr>
          <w:bCs/>
          <w:sz w:val="24"/>
          <w:szCs w:val="24"/>
        </w:rPr>
        <w:t>S</w:t>
      </w:r>
      <w:r>
        <w:rPr>
          <w:rFonts w:hint="eastAsia"/>
          <w:bCs/>
          <w:sz w:val="24"/>
          <w:szCs w:val="24"/>
        </w:rPr>
        <w:t>的去除效率分别为4</w:t>
      </w:r>
      <w:r>
        <w:rPr>
          <w:bCs/>
          <w:sz w:val="24"/>
          <w:szCs w:val="24"/>
        </w:rPr>
        <w:t>0</w:t>
      </w:r>
      <w:r>
        <w:rPr>
          <w:rFonts w:hint="eastAsia"/>
          <w:bCs/>
          <w:sz w:val="24"/>
          <w:szCs w:val="24"/>
        </w:rPr>
        <w:t>%~</w:t>
      </w:r>
      <w:r>
        <w:rPr>
          <w:bCs/>
          <w:sz w:val="24"/>
          <w:szCs w:val="24"/>
        </w:rPr>
        <w:t>50</w:t>
      </w:r>
      <w:r>
        <w:rPr>
          <w:rFonts w:hint="eastAsia"/>
          <w:bCs/>
          <w:sz w:val="24"/>
          <w:szCs w:val="24"/>
        </w:rPr>
        <w:t>%、4</w:t>
      </w:r>
      <w:r>
        <w:rPr>
          <w:bCs/>
          <w:sz w:val="24"/>
          <w:szCs w:val="24"/>
        </w:rPr>
        <w:t>0</w:t>
      </w:r>
      <w:r>
        <w:rPr>
          <w:rFonts w:hint="eastAsia"/>
          <w:bCs/>
          <w:sz w:val="24"/>
          <w:szCs w:val="24"/>
        </w:rPr>
        <w:t>%~</w:t>
      </w:r>
      <w:r>
        <w:rPr>
          <w:bCs/>
          <w:sz w:val="24"/>
          <w:szCs w:val="24"/>
        </w:rPr>
        <w:t>85</w:t>
      </w:r>
      <w:r>
        <w:rPr>
          <w:rFonts w:hint="eastAsia"/>
          <w:bCs/>
          <w:sz w:val="24"/>
          <w:szCs w:val="24"/>
        </w:rPr>
        <w:t>%，水解酸化池对C</w:t>
      </w:r>
      <w:r>
        <w:rPr>
          <w:bCs/>
          <w:sz w:val="24"/>
          <w:szCs w:val="24"/>
        </w:rPr>
        <w:t>OD</w:t>
      </w:r>
      <w:r>
        <w:rPr>
          <w:rFonts w:hint="eastAsia"/>
          <w:bCs/>
          <w:sz w:val="24"/>
          <w:szCs w:val="24"/>
        </w:rPr>
        <w:t>、B</w:t>
      </w:r>
      <w:r>
        <w:rPr>
          <w:bCs/>
          <w:sz w:val="24"/>
          <w:szCs w:val="24"/>
        </w:rPr>
        <w:t>OD</w:t>
      </w:r>
      <w:r>
        <w:rPr>
          <w:bCs/>
          <w:sz w:val="24"/>
          <w:szCs w:val="24"/>
          <w:vertAlign w:val="subscript"/>
        </w:rPr>
        <w:t>5</w:t>
      </w:r>
      <w:r>
        <w:rPr>
          <w:rFonts w:hint="eastAsia"/>
          <w:bCs/>
          <w:sz w:val="24"/>
          <w:szCs w:val="24"/>
        </w:rPr>
        <w:t>的去除效率均为2</w:t>
      </w:r>
      <w:r>
        <w:rPr>
          <w:bCs/>
          <w:sz w:val="24"/>
          <w:szCs w:val="24"/>
        </w:rPr>
        <w:t>0</w:t>
      </w:r>
      <w:r>
        <w:rPr>
          <w:rFonts w:hint="eastAsia"/>
          <w:bCs/>
          <w:sz w:val="24"/>
          <w:szCs w:val="24"/>
        </w:rPr>
        <w:t>%~</w:t>
      </w:r>
      <w:r>
        <w:rPr>
          <w:bCs/>
          <w:sz w:val="24"/>
          <w:szCs w:val="24"/>
        </w:rPr>
        <w:t>40</w:t>
      </w:r>
      <w:r>
        <w:rPr>
          <w:rFonts w:hint="eastAsia"/>
          <w:bCs/>
          <w:sz w:val="24"/>
          <w:szCs w:val="24"/>
        </w:rPr>
        <w:t>%，“</w:t>
      </w:r>
      <w:r>
        <w:rPr>
          <w:bCs/>
          <w:sz w:val="24"/>
          <w:szCs w:val="24"/>
        </w:rPr>
        <w:t>A</w:t>
      </w:r>
      <w:r>
        <w:rPr>
          <w:bCs/>
          <w:sz w:val="24"/>
          <w:szCs w:val="24"/>
          <w:vertAlign w:val="superscript"/>
        </w:rPr>
        <w:t>2</w:t>
      </w:r>
      <w:r>
        <w:rPr>
          <w:bCs/>
          <w:sz w:val="24"/>
          <w:szCs w:val="24"/>
        </w:rPr>
        <w:t>O</w:t>
      </w:r>
      <w:r>
        <w:rPr>
          <w:rFonts w:hint="eastAsia"/>
          <w:bCs/>
          <w:sz w:val="24"/>
          <w:szCs w:val="24"/>
        </w:rPr>
        <w:t>反应池+二沉池”对C</w:t>
      </w:r>
      <w:r>
        <w:rPr>
          <w:bCs/>
          <w:sz w:val="24"/>
          <w:szCs w:val="24"/>
        </w:rPr>
        <w:t>OD</w:t>
      </w:r>
      <w:r>
        <w:rPr>
          <w:rFonts w:hint="eastAsia"/>
          <w:bCs/>
          <w:sz w:val="24"/>
          <w:szCs w:val="24"/>
        </w:rPr>
        <w:t>、氨氮、总磷的去除效率分别为9</w:t>
      </w:r>
      <w:r>
        <w:rPr>
          <w:bCs/>
          <w:sz w:val="24"/>
          <w:szCs w:val="24"/>
        </w:rPr>
        <w:t>0</w:t>
      </w:r>
      <w:r>
        <w:rPr>
          <w:rFonts w:hint="eastAsia"/>
          <w:bCs/>
          <w:sz w:val="24"/>
          <w:szCs w:val="24"/>
        </w:rPr>
        <w:t>%~</w:t>
      </w:r>
      <w:r>
        <w:rPr>
          <w:bCs/>
          <w:sz w:val="24"/>
          <w:szCs w:val="24"/>
        </w:rPr>
        <w:t>97</w:t>
      </w:r>
      <w:r>
        <w:rPr>
          <w:rFonts w:hint="eastAsia"/>
          <w:bCs/>
          <w:sz w:val="24"/>
          <w:szCs w:val="24"/>
        </w:rPr>
        <w:t>%、8</w:t>
      </w:r>
      <w:r>
        <w:rPr>
          <w:bCs/>
          <w:sz w:val="24"/>
          <w:szCs w:val="24"/>
        </w:rPr>
        <w:t>0</w:t>
      </w:r>
      <w:r>
        <w:rPr>
          <w:rFonts w:hint="eastAsia"/>
          <w:bCs/>
          <w:sz w:val="24"/>
          <w:szCs w:val="24"/>
        </w:rPr>
        <w:t>%~</w:t>
      </w:r>
      <w:r>
        <w:rPr>
          <w:bCs/>
          <w:sz w:val="24"/>
          <w:szCs w:val="24"/>
        </w:rPr>
        <w:t>90</w:t>
      </w:r>
      <w:r>
        <w:rPr>
          <w:rFonts w:hint="eastAsia"/>
          <w:bCs/>
          <w:sz w:val="24"/>
          <w:szCs w:val="24"/>
        </w:rPr>
        <w:t>%、6</w:t>
      </w:r>
      <w:r>
        <w:rPr>
          <w:bCs/>
          <w:sz w:val="24"/>
          <w:szCs w:val="24"/>
        </w:rPr>
        <w:t>0</w:t>
      </w:r>
      <w:r>
        <w:rPr>
          <w:rFonts w:hint="eastAsia"/>
          <w:bCs/>
          <w:sz w:val="24"/>
          <w:szCs w:val="24"/>
        </w:rPr>
        <w:t>%~</w:t>
      </w:r>
      <w:r>
        <w:rPr>
          <w:bCs/>
          <w:sz w:val="24"/>
          <w:szCs w:val="24"/>
        </w:rPr>
        <w:t>83</w:t>
      </w:r>
      <w:r>
        <w:rPr>
          <w:rFonts w:hint="eastAsia"/>
          <w:bCs/>
          <w:sz w:val="24"/>
          <w:szCs w:val="24"/>
        </w:rPr>
        <w:t>%，三沉池（加除磷剂/</w:t>
      </w:r>
      <w:r>
        <w:rPr>
          <w:bCs/>
          <w:sz w:val="24"/>
          <w:szCs w:val="24"/>
        </w:rPr>
        <w:t>PAM</w:t>
      </w:r>
      <w:r>
        <w:rPr>
          <w:rFonts w:hint="eastAsia"/>
          <w:bCs/>
          <w:sz w:val="24"/>
          <w:szCs w:val="24"/>
        </w:rPr>
        <w:t>）对S</w:t>
      </w:r>
      <w:r>
        <w:rPr>
          <w:bCs/>
          <w:sz w:val="24"/>
          <w:szCs w:val="24"/>
        </w:rPr>
        <w:t>S</w:t>
      </w:r>
      <w:r>
        <w:rPr>
          <w:rFonts w:hint="eastAsia"/>
          <w:bCs/>
          <w:sz w:val="24"/>
          <w:szCs w:val="24"/>
        </w:rPr>
        <w:t>、T</w:t>
      </w:r>
      <w:r>
        <w:rPr>
          <w:bCs/>
          <w:sz w:val="24"/>
          <w:szCs w:val="24"/>
        </w:rPr>
        <w:t>P</w:t>
      </w:r>
      <w:r>
        <w:rPr>
          <w:rFonts w:hint="eastAsia"/>
          <w:bCs/>
          <w:sz w:val="24"/>
          <w:szCs w:val="24"/>
        </w:rPr>
        <w:t>的去除效率分别为7</w:t>
      </w:r>
      <w:r>
        <w:rPr>
          <w:bCs/>
          <w:sz w:val="24"/>
          <w:szCs w:val="24"/>
        </w:rPr>
        <w:t>0</w:t>
      </w:r>
      <w:r>
        <w:rPr>
          <w:rFonts w:hint="eastAsia"/>
          <w:bCs/>
          <w:sz w:val="24"/>
          <w:szCs w:val="24"/>
        </w:rPr>
        <w:t>%~</w:t>
      </w:r>
      <w:r>
        <w:rPr>
          <w:bCs/>
          <w:sz w:val="24"/>
          <w:szCs w:val="24"/>
        </w:rPr>
        <w:t>90</w:t>
      </w:r>
      <w:r>
        <w:rPr>
          <w:rFonts w:hint="eastAsia"/>
          <w:bCs/>
          <w:sz w:val="24"/>
          <w:szCs w:val="24"/>
        </w:rPr>
        <w:t>%、8</w:t>
      </w:r>
      <w:r>
        <w:rPr>
          <w:bCs/>
          <w:sz w:val="24"/>
          <w:szCs w:val="24"/>
        </w:rPr>
        <w:t>5</w:t>
      </w:r>
      <w:r>
        <w:rPr>
          <w:rFonts w:hint="eastAsia"/>
          <w:bCs/>
          <w:sz w:val="24"/>
          <w:szCs w:val="24"/>
        </w:rPr>
        <w:t>%~</w:t>
      </w:r>
      <w:r>
        <w:rPr>
          <w:bCs/>
          <w:sz w:val="24"/>
          <w:szCs w:val="24"/>
        </w:rPr>
        <w:t>95</w:t>
      </w:r>
      <w:r>
        <w:rPr>
          <w:rFonts w:hint="eastAsia"/>
          <w:bCs/>
          <w:sz w:val="24"/>
          <w:szCs w:val="24"/>
        </w:rPr>
        <w:t>%。综上，</w:t>
      </w:r>
      <w:r>
        <w:rPr>
          <w:sz w:val="24"/>
          <w:szCs w:val="24"/>
        </w:rPr>
        <w:t>确定本项目</w:t>
      </w:r>
      <w:r>
        <w:rPr>
          <w:rFonts w:hint="eastAsia"/>
          <w:sz w:val="24"/>
          <w:szCs w:val="24"/>
        </w:rPr>
        <w:t>污水处理站“格栅</w:t>
      </w:r>
      <w:r>
        <w:rPr>
          <w:sz w:val="24"/>
          <w:szCs w:val="24"/>
        </w:rPr>
        <w:t>+集水池</w:t>
      </w:r>
      <w:r>
        <w:rPr>
          <w:rFonts w:hint="eastAsia"/>
          <w:sz w:val="24"/>
          <w:szCs w:val="24"/>
        </w:rPr>
        <w:t>+</w:t>
      </w:r>
      <w:r>
        <w:rPr>
          <w:sz w:val="24"/>
          <w:szCs w:val="24"/>
        </w:rPr>
        <w:t>超微过滤机</w:t>
      </w:r>
      <w:r>
        <w:rPr>
          <w:rFonts w:hint="eastAsia"/>
          <w:sz w:val="24"/>
          <w:szCs w:val="24"/>
        </w:rPr>
        <w:t>+</w:t>
      </w:r>
      <w:r>
        <w:rPr>
          <w:sz w:val="24"/>
          <w:szCs w:val="24"/>
        </w:rPr>
        <w:t>初沉池</w:t>
      </w:r>
      <w:r>
        <w:rPr>
          <w:rFonts w:hint="eastAsia"/>
          <w:sz w:val="24"/>
          <w:szCs w:val="24"/>
        </w:rPr>
        <w:t>+调节池+水解酸化池+厌氧池+</w:t>
      </w:r>
      <w:r>
        <w:rPr>
          <w:sz w:val="24"/>
          <w:szCs w:val="24"/>
        </w:rPr>
        <w:t>缺氧池</w:t>
      </w:r>
      <w:r>
        <w:rPr>
          <w:rFonts w:hint="eastAsia"/>
          <w:sz w:val="24"/>
          <w:szCs w:val="24"/>
        </w:rPr>
        <w:t>+</w:t>
      </w:r>
      <w:r>
        <w:rPr>
          <w:sz w:val="24"/>
          <w:szCs w:val="24"/>
        </w:rPr>
        <w:t>好氧池</w:t>
      </w:r>
      <w:r>
        <w:rPr>
          <w:rFonts w:hint="eastAsia"/>
          <w:sz w:val="24"/>
          <w:szCs w:val="24"/>
        </w:rPr>
        <w:t>+二沉池+</w:t>
      </w:r>
      <w:r>
        <w:rPr>
          <w:sz w:val="24"/>
          <w:szCs w:val="24"/>
        </w:rPr>
        <w:t>三沉池</w:t>
      </w:r>
      <w:r>
        <w:rPr>
          <w:rFonts w:hint="eastAsia"/>
          <w:sz w:val="24"/>
          <w:szCs w:val="24"/>
        </w:rPr>
        <w:t>”的去除效率详见下表。</w:t>
      </w:r>
    </w:p>
    <w:p>
      <w:pPr>
        <w:spacing w:line="520" w:lineRule="exact"/>
        <w:ind w:firstLine="480" w:firstLineChars="200"/>
        <w:rPr>
          <w:rFonts w:eastAsia="黑体"/>
          <w:sz w:val="24"/>
        </w:rPr>
      </w:pPr>
      <w:r>
        <w:rPr>
          <w:rFonts w:eastAsia="黑体"/>
          <w:sz w:val="24"/>
        </w:rPr>
        <w:t>表3.1-</w:t>
      </w:r>
      <w:r>
        <w:rPr>
          <w:rFonts w:hint="eastAsia" w:eastAsia="黑体"/>
          <w:sz w:val="24"/>
        </w:rPr>
        <w:t>1</w:t>
      </w:r>
      <w:r>
        <w:rPr>
          <w:rFonts w:eastAsia="黑体"/>
          <w:sz w:val="24"/>
        </w:rPr>
        <w:t>2            本项目污水处理效果一览表</w:t>
      </w:r>
    </w:p>
    <w:tbl>
      <w:tblPr>
        <w:tblStyle w:val="4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985"/>
        <w:gridCol w:w="854"/>
        <w:gridCol w:w="855"/>
        <w:gridCol w:w="854"/>
        <w:gridCol w:w="712"/>
        <w:gridCol w:w="997"/>
        <w:gridCol w:w="712"/>
        <w:gridCol w:w="783"/>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blHeader/>
        </w:trPr>
        <w:tc>
          <w:tcPr>
            <w:tcW w:w="1975" w:type="dxa"/>
            <w:vMerge w:val="restart"/>
            <w:tcBorders>
              <w:top w:val="single" w:color="auto" w:sz="8" w:space="0"/>
              <w:left w:val="single" w:color="auto" w:sz="8" w:space="0"/>
              <w:bottom w:val="single" w:color="auto" w:sz="4" w:space="0"/>
              <w:tl2br w:val="single" w:color="auto" w:sz="6" w:space="0"/>
            </w:tcBorders>
            <w:tcMar>
              <w:top w:w="0" w:type="dxa"/>
              <w:left w:w="11" w:type="dxa"/>
              <w:bottom w:w="0" w:type="dxa"/>
              <w:right w:w="11" w:type="dxa"/>
            </w:tcMar>
            <w:vAlign w:val="center"/>
          </w:tcPr>
          <w:p>
            <w:pPr>
              <w:ind w:right="211"/>
              <w:jc w:val="right"/>
              <w:rPr>
                <w:b/>
                <w:bCs/>
                <w:color w:val="000000"/>
                <w:szCs w:val="21"/>
              </w:rPr>
            </w:pPr>
            <w:r>
              <w:rPr>
                <w:rFonts w:hint="eastAsia"/>
                <w:b/>
                <w:bCs/>
                <w:color w:val="000000"/>
                <w:szCs w:val="21"/>
              </w:rPr>
              <w:t>指标</w:t>
            </w:r>
          </w:p>
          <w:p>
            <w:pPr>
              <w:jc w:val="left"/>
              <w:rPr>
                <w:b/>
                <w:bCs/>
                <w:color w:val="000000"/>
                <w:szCs w:val="21"/>
              </w:rPr>
            </w:pPr>
            <w:bookmarkStart w:id="69" w:name="_Toc29363"/>
            <w:r>
              <w:rPr>
                <w:rFonts w:hint="eastAsia"/>
                <w:b/>
                <w:bCs/>
                <w:color w:val="000000"/>
                <w:szCs w:val="21"/>
              </w:rPr>
              <w:t>处理构筑物</w:t>
            </w:r>
            <w:bookmarkEnd w:id="69"/>
          </w:p>
        </w:tc>
        <w:tc>
          <w:tcPr>
            <w:tcW w:w="850" w:type="dxa"/>
            <w:vMerge w:val="restart"/>
            <w:tcBorders>
              <w:top w:val="single" w:color="auto" w:sz="8"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污染源</w:t>
            </w:r>
          </w:p>
        </w:tc>
        <w:tc>
          <w:tcPr>
            <w:tcW w:w="5885" w:type="dxa"/>
            <w:gridSpan w:val="7"/>
            <w:tcBorders>
              <w:top w:val="single" w:color="auto" w:sz="8" w:space="0"/>
              <w:bottom w:val="single" w:color="auto" w:sz="4" w:space="0"/>
              <w:right w:val="single" w:color="auto" w:sz="8" w:space="0"/>
            </w:tcBorders>
            <w:tcMar>
              <w:top w:w="0" w:type="dxa"/>
              <w:left w:w="11" w:type="dxa"/>
              <w:bottom w:w="0" w:type="dxa"/>
              <w:right w:w="11" w:type="dxa"/>
            </w:tcMar>
            <w:vAlign w:val="center"/>
          </w:tcPr>
          <w:p>
            <w:pPr>
              <w:jc w:val="center"/>
              <w:rPr>
                <w:b/>
                <w:bCs/>
                <w:color w:val="000000"/>
                <w:szCs w:val="21"/>
              </w:rPr>
            </w:pPr>
            <w:r>
              <w:rPr>
                <w:b/>
                <w:bCs/>
                <w:color w:val="000000"/>
                <w:szCs w:val="21"/>
              </w:rPr>
              <w:t>污染物浓度(mg/L)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blHeader/>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b/>
                <w:bCs/>
                <w:color w:val="000000"/>
                <w:szCs w:val="21"/>
              </w:rPr>
            </w:pPr>
          </w:p>
        </w:tc>
        <w:tc>
          <w:tcPr>
            <w:tcW w:w="850" w:type="dxa"/>
            <w:vMerge w:val="continue"/>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COD</w:t>
            </w:r>
            <w:r>
              <w:rPr>
                <w:rFonts w:hint="eastAsia"/>
                <w:b/>
                <w:bCs/>
                <w:color w:val="000000"/>
                <w:szCs w:val="21"/>
              </w:rPr>
              <w:t>cr</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BOD</w:t>
            </w:r>
            <w:r>
              <w:rPr>
                <w:b/>
                <w:bCs/>
                <w:color w:val="000000"/>
                <w:szCs w:val="21"/>
                <w:vertAlign w:val="subscript"/>
              </w:rPr>
              <w:t>5</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SS</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NH</w:t>
            </w:r>
            <w:r>
              <w:rPr>
                <w:b/>
                <w:bCs/>
                <w:color w:val="000000"/>
                <w:szCs w:val="21"/>
                <w:vertAlign w:val="subscript"/>
              </w:rPr>
              <w:t>3</w:t>
            </w:r>
            <w:r>
              <w:rPr>
                <w:b/>
                <w:bCs/>
                <w:color w:val="000000"/>
                <w:szCs w:val="21"/>
              </w:rPr>
              <w:t>-N</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TN</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TP</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b/>
                <w:bCs/>
                <w:color w:val="000000"/>
                <w:szCs w:val="21"/>
              </w:rPr>
            </w:pPr>
            <w:r>
              <w:rPr>
                <w:rFonts w:hint="eastAsia"/>
                <w:b/>
                <w:bCs/>
                <w:color w:val="000000"/>
                <w:szCs w:val="21"/>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restart"/>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格栅</w:t>
            </w:r>
            <w:r>
              <w:rPr>
                <w:color w:val="000000"/>
                <w:szCs w:val="21"/>
              </w:rPr>
              <w:t>+</w:t>
            </w:r>
            <w:r>
              <w:rPr>
                <w:rFonts w:hint="eastAsia"/>
                <w:color w:val="000000"/>
                <w:szCs w:val="21"/>
              </w:rPr>
              <w:t>集水池+超微过滤机+初沉池</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进水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3</w:t>
            </w:r>
            <w:r>
              <w:rPr>
                <w:rFonts w:hint="eastAsia"/>
                <w:color w:val="000000"/>
                <w:szCs w:val="21"/>
              </w:rPr>
              <w:t>000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2</w:t>
            </w:r>
            <w:r>
              <w:rPr>
                <w:rFonts w:hint="eastAsia"/>
                <w:color w:val="000000"/>
                <w:szCs w:val="21"/>
              </w:rPr>
              <w:t>00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1</w:t>
            </w:r>
            <w:r>
              <w:rPr>
                <w:rFonts w:hint="eastAsia"/>
                <w:color w:val="000000"/>
                <w:szCs w:val="21"/>
              </w:rPr>
              <w:t>5</w:t>
            </w:r>
            <w:r>
              <w:rPr>
                <w:color w:val="000000"/>
                <w:szCs w:val="21"/>
              </w:rPr>
              <w:t>00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100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200</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30</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去除率%</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4</w:t>
            </w:r>
            <w:r>
              <w:rPr>
                <w:color w:val="000000"/>
                <w:szCs w:val="21"/>
              </w:rPr>
              <w:t>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60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5</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15</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出水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500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20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5</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70</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2</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restart"/>
            <w:tcBorders>
              <w:top w:val="single" w:color="auto" w:sz="4" w:space="0"/>
              <w:lef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水解酸化池</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进水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500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20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5</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70</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2</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left w:val="single" w:color="auto" w:sz="8"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去除率%</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-15</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r>
              <w:rPr>
                <w:color w:val="000000"/>
                <w:szCs w:val="21"/>
              </w:rPr>
              <w:t>5</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r>
              <w:rPr>
                <w:color w:val="000000"/>
                <w:szCs w:val="21"/>
              </w:rPr>
              <w:t>10</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出水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050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04</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2</w:t>
            </w:r>
            <w:r>
              <w:rPr>
                <w:color w:val="000000"/>
                <w:szCs w:val="21"/>
              </w:rPr>
              <w:t>40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9</w:t>
            </w:r>
            <w:r>
              <w:rPr>
                <w:color w:val="000000"/>
                <w:szCs w:val="21"/>
              </w:rPr>
              <w:t>7.8</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78.5</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3.2</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restart"/>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A</w:t>
            </w:r>
            <w:r>
              <w:rPr>
                <w:color w:val="000000"/>
                <w:szCs w:val="21"/>
                <w:vertAlign w:val="superscript"/>
              </w:rPr>
              <w:t>2</w:t>
            </w:r>
            <w:r>
              <w:rPr>
                <w:color w:val="000000"/>
                <w:szCs w:val="21"/>
              </w:rPr>
              <w:t>O</w:t>
            </w:r>
            <w:r>
              <w:rPr>
                <w:rFonts w:hint="eastAsia"/>
                <w:color w:val="000000"/>
                <w:szCs w:val="21"/>
              </w:rPr>
              <w:t>反应池+二沉池</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进水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050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04</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2</w:t>
            </w:r>
            <w:r>
              <w:rPr>
                <w:color w:val="000000"/>
                <w:szCs w:val="21"/>
              </w:rPr>
              <w:t>40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9</w:t>
            </w:r>
            <w:r>
              <w:rPr>
                <w:color w:val="000000"/>
                <w:szCs w:val="21"/>
              </w:rPr>
              <w:t>7.8</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78.5</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3.2</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去除率%</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9</w:t>
            </w:r>
            <w:r>
              <w:rPr>
                <w:color w:val="000000"/>
                <w:szCs w:val="21"/>
              </w:rPr>
              <w:t>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9</w:t>
            </w:r>
            <w:r>
              <w:rPr>
                <w:color w:val="000000"/>
                <w:szCs w:val="21"/>
              </w:rPr>
              <w:t>5</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80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0</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出水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05</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2</w:t>
            </w:r>
            <w:r>
              <w:rPr>
                <w:color w:val="000000"/>
                <w:szCs w:val="21"/>
              </w:rPr>
              <w:t>5.2</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4</w:t>
            </w:r>
            <w:r>
              <w:rPr>
                <w:color w:val="000000"/>
                <w:szCs w:val="21"/>
              </w:rPr>
              <w:t>8</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9.6</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5.7</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.3</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restart"/>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三沉池</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进水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05</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2</w:t>
            </w:r>
            <w:r>
              <w:rPr>
                <w:color w:val="000000"/>
                <w:szCs w:val="21"/>
              </w:rPr>
              <w:t>5.2</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4</w:t>
            </w:r>
            <w:r>
              <w:rPr>
                <w:color w:val="000000"/>
                <w:szCs w:val="21"/>
              </w:rPr>
              <w:t>8</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9.6</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5.7</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.3</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去除率%</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70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5</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出水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3.5</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7.6</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4.4</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9.6</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5.7</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0.8</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《污水综合排放标准》（GB8978-1996）表4</w:t>
            </w:r>
            <w:r>
              <w:rPr>
                <w:rFonts w:hint="eastAsia"/>
                <w:color w:val="000000"/>
                <w:szCs w:val="21"/>
              </w:rPr>
              <w:t>二</w:t>
            </w:r>
            <w:r>
              <w:rPr>
                <w:color w:val="000000"/>
                <w:szCs w:val="21"/>
              </w:rPr>
              <w:t>级标准</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tcBorders>
              <w:top w:val="single" w:color="auto" w:sz="4" w:space="0"/>
              <w:left w:val="single" w:color="auto" w:sz="8" w:space="0"/>
              <w:bottom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原阳县产业集聚区污水处理厂进水水质</w:t>
            </w:r>
            <w:r>
              <w:rPr>
                <w:color w:val="000000"/>
                <w:szCs w:val="21"/>
              </w:rPr>
              <w:t>标准</w:t>
            </w:r>
          </w:p>
        </w:tc>
        <w:tc>
          <w:tcPr>
            <w:tcW w:w="850"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w:t>
            </w:r>
          </w:p>
        </w:tc>
        <w:tc>
          <w:tcPr>
            <w:tcW w:w="851"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420</w:t>
            </w:r>
          </w:p>
        </w:tc>
        <w:tc>
          <w:tcPr>
            <w:tcW w:w="850"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21</w:t>
            </w:r>
            <w:r>
              <w:rPr>
                <w:rFonts w:hint="eastAsia"/>
                <w:color w:val="000000"/>
                <w:szCs w:val="21"/>
              </w:rPr>
              <w:t>0</w:t>
            </w:r>
          </w:p>
        </w:tc>
        <w:tc>
          <w:tcPr>
            <w:tcW w:w="709"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350</w:t>
            </w:r>
          </w:p>
        </w:tc>
        <w:tc>
          <w:tcPr>
            <w:tcW w:w="992"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40</w:t>
            </w:r>
          </w:p>
        </w:tc>
        <w:tc>
          <w:tcPr>
            <w:tcW w:w="709"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50</w:t>
            </w:r>
          </w:p>
        </w:tc>
        <w:tc>
          <w:tcPr>
            <w:tcW w:w="779"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4</w:t>
            </w:r>
          </w:p>
        </w:tc>
        <w:tc>
          <w:tcPr>
            <w:tcW w:w="995" w:type="dxa"/>
            <w:tcBorders>
              <w:top w:val="single" w:color="auto" w:sz="4" w:space="0"/>
              <w:bottom w:val="single" w:color="auto" w:sz="8"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r>
    </w:tbl>
    <w:p>
      <w:pPr>
        <w:spacing w:line="520" w:lineRule="exact"/>
        <w:ind w:firstLine="480" w:firstLineChars="200"/>
        <w:rPr>
          <w:sz w:val="24"/>
          <w:szCs w:val="24"/>
        </w:rPr>
      </w:pPr>
      <w:r>
        <w:rPr>
          <w:rFonts w:hint="eastAsia"/>
          <w:sz w:val="24"/>
          <w:szCs w:val="24"/>
        </w:rPr>
        <w:t>根据上表，本项目污水处理站废水出水动植物油污染浓度达到《污水综合排放标准》（G</w:t>
      </w:r>
      <w:r>
        <w:rPr>
          <w:sz w:val="24"/>
          <w:szCs w:val="24"/>
        </w:rPr>
        <w:t>B 8978-1996</w:t>
      </w:r>
      <w:r>
        <w:rPr>
          <w:rFonts w:hint="eastAsia"/>
          <w:sz w:val="24"/>
          <w:szCs w:val="24"/>
        </w:rPr>
        <w:t>）中二级标准：动植物油1</w:t>
      </w:r>
      <w:r>
        <w:rPr>
          <w:sz w:val="24"/>
          <w:szCs w:val="24"/>
        </w:rPr>
        <w:t>5mg/L</w:t>
      </w:r>
      <w:r>
        <w:rPr>
          <w:rFonts w:hint="eastAsia"/>
          <w:sz w:val="24"/>
          <w:szCs w:val="24"/>
        </w:rPr>
        <w:t>的标准限值，其他污染物满足原阳县产业集聚区污水处理厂收水标准（</w:t>
      </w:r>
      <w:r>
        <w:rPr>
          <w:sz w:val="24"/>
          <w:szCs w:val="24"/>
        </w:rPr>
        <w:t>COD 420</w:t>
      </w:r>
      <w:r>
        <w:rPr>
          <w:rFonts w:hint="eastAsia"/>
          <w:sz w:val="24"/>
          <w:szCs w:val="24"/>
        </w:rPr>
        <w:t>mg/L、B</w:t>
      </w:r>
      <w:r>
        <w:rPr>
          <w:sz w:val="24"/>
          <w:szCs w:val="24"/>
        </w:rPr>
        <w:t>OD</w:t>
      </w:r>
      <w:r>
        <w:rPr>
          <w:sz w:val="24"/>
          <w:szCs w:val="24"/>
          <w:vertAlign w:val="subscript"/>
        </w:rPr>
        <w:t>5</w:t>
      </w:r>
      <w:r>
        <w:rPr>
          <w:sz w:val="24"/>
          <w:szCs w:val="24"/>
        </w:rPr>
        <w:t xml:space="preserve"> 210</w:t>
      </w:r>
      <w:r>
        <w:rPr>
          <w:rFonts w:hint="eastAsia"/>
          <w:sz w:val="24"/>
          <w:szCs w:val="24"/>
        </w:rPr>
        <w:t>mg/L、S</w:t>
      </w:r>
      <w:r>
        <w:rPr>
          <w:sz w:val="24"/>
          <w:szCs w:val="24"/>
        </w:rPr>
        <w:t>S 350</w:t>
      </w:r>
      <w:r>
        <w:rPr>
          <w:rFonts w:hint="eastAsia"/>
          <w:sz w:val="24"/>
          <w:szCs w:val="24"/>
        </w:rPr>
        <w:t>mg/L、氨氮</w:t>
      </w:r>
      <w:r>
        <w:rPr>
          <w:sz w:val="24"/>
          <w:szCs w:val="24"/>
        </w:rPr>
        <w:t>40</w:t>
      </w:r>
      <w:r>
        <w:rPr>
          <w:rFonts w:hint="eastAsia"/>
          <w:sz w:val="24"/>
          <w:szCs w:val="24"/>
        </w:rPr>
        <w:t>mg/L、T</w:t>
      </w:r>
      <w:r>
        <w:rPr>
          <w:sz w:val="24"/>
          <w:szCs w:val="24"/>
        </w:rPr>
        <w:t>P 4</w:t>
      </w:r>
      <w:r>
        <w:rPr>
          <w:rFonts w:hint="eastAsia"/>
          <w:sz w:val="24"/>
          <w:szCs w:val="24"/>
        </w:rPr>
        <w:t>mg/L、T</w:t>
      </w:r>
      <w:r>
        <w:rPr>
          <w:sz w:val="24"/>
          <w:szCs w:val="24"/>
        </w:rPr>
        <w:t>N 50</w:t>
      </w:r>
      <w:r>
        <w:rPr>
          <w:rFonts w:hint="eastAsia"/>
          <w:sz w:val="24"/>
          <w:szCs w:val="24"/>
        </w:rPr>
        <w:t>mg/L）。</w:t>
      </w:r>
    </w:p>
    <w:p>
      <w:pPr>
        <w:keepNext/>
        <w:keepLines/>
        <w:spacing w:line="520" w:lineRule="exact"/>
        <w:outlineLvl w:val="2"/>
        <w:rPr>
          <w:rFonts w:eastAsia="黑体"/>
          <w:bCs/>
          <w:sz w:val="28"/>
          <w:szCs w:val="28"/>
        </w:rPr>
      </w:pPr>
      <w:r>
        <w:rPr>
          <w:rFonts w:eastAsia="黑体"/>
          <w:bCs/>
          <w:sz w:val="28"/>
          <w:szCs w:val="28"/>
        </w:rPr>
        <w:t>3.1.8本次工程施工期</w:t>
      </w:r>
      <w:r>
        <w:rPr>
          <w:rFonts w:hint="eastAsia" w:eastAsia="黑体"/>
          <w:bCs/>
          <w:sz w:val="28"/>
          <w:szCs w:val="28"/>
        </w:rPr>
        <w:t>污染源</w:t>
      </w:r>
      <w:r>
        <w:rPr>
          <w:rFonts w:eastAsia="黑体"/>
          <w:bCs/>
          <w:sz w:val="28"/>
          <w:szCs w:val="28"/>
        </w:rPr>
        <w:t>分析</w:t>
      </w:r>
    </w:p>
    <w:p>
      <w:pPr>
        <w:spacing w:line="520" w:lineRule="exact"/>
        <w:ind w:firstLine="480" w:firstLineChars="200"/>
        <w:rPr>
          <w:sz w:val="24"/>
          <w:szCs w:val="24"/>
          <w:highlight w:val="yellow"/>
        </w:rPr>
      </w:pPr>
      <w:r>
        <w:rPr>
          <w:sz w:val="24"/>
          <w:szCs w:val="24"/>
        </w:rPr>
        <w:t>本项目选址位于</w:t>
      </w:r>
      <w:r>
        <w:rPr>
          <w:rFonts w:hint="eastAsia"/>
          <w:sz w:val="24"/>
          <w:szCs w:val="24"/>
        </w:rPr>
        <w:t>原阳县产业集聚区</w:t>
      </w:r>
      <w:r>
        <w:rPr>
          <w:sz w:val="24"/>
          <w:szCs w:val="24"/>
        </w:rPr>
        <w:t>永安路南侧、金祥南街西侧、小庄排河东侧，施工期主要建设主体装置、辅助设施、环保设施等构筑物。本项目施工期共计24个月，根据现场踏勘，项目现状用地为空地。本项目施工过程中产生的噪声、扬尘、废水、固废等会对周围环境产生一定影响，但影响持续时间短，强度低，施工期结束影响将随之消失。</w:t>
      </w:r>
    </w:p>
    <w:p>
      <w:pPr>
        <w:spacing w:line="500" w:lineRule="exact"/>
        <w:outlineLvl w:val="3"/>
        <w:rPr>
          <w:b/>
          <w:bCs/>
          <w:sz w:val="24"/>
          <w:szCs w:val="24"/>
        </w:rPr>
      </w:pPr>
      <w:r>
        <w:rPr>
          <w:b/>
          <w:bCs/>
          <w:sz w:val="24"/>
          <w:szCs w:val="24"/>
        </w:rPr>
        <w:t>3.1.8.1 施工期工艺流程图</w:t>
      </w:r>
    </w:p>
    <w:p>
      <w:pPr>
        <w:spacing w:line="520" w:lineRule="exact"/>
        <w:ind w:firstLine="480" w:firstLineChars="200"/>
      </w:pPr>
      <w:r>
        <w:rPr>
          <w:sz w:val="24"/>
          <w:szCs w:val="24"/>
        </w:rPr>
        <w:t>本次工程施工期工艺流程图见下图：</w:t>
      </w:r>
    </w:p>
    <w:p>
      <w:pPr>
        <w:jc w:val="center"/>
        <w:rPr>
          <w:highlight w:val="yellow"/>
        </w:rPr>
      </w:pPr>
      <w:r>
        <w:drawing>
          <wp:inline distT="0" distB="0" distL="0" distR="0">
            <wp:extent cx="5543550" cy="3614420"/>
            <wp:effectExtent l="0" t="0" r="0" b="508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a:picLocks noChangeAspect="1"/>
                    </pic:cNvPicPr>
                  </pic:nvPicPr>
                  <pic:blipFill>
                    <a:blip r:embed="rId46"/>
                    <a:stretch>
                      <a:fillRect/>
                    </a:stretch>
                  </pic:blipFill>
                  <pic:spPr>
                    <a:xfrm>
                      <a:off x="0" y="0"/>
                      <a:ext cx="5543550" cy="3614420"/>
                    </a:xfrm>
                    <a:prstGeom prst="rect">
                      <a:avLst/>
                    </a:prstGeom>
                  </pic:spPr>
                </pic:pic>
              </a:graphicData>
            </a:graphic>
          </wp:inline>
        </w:drawing>
      </w:r>
    </w:p>
    <w:p>
      <w:pPr>
        <w:widowControl/>
        <w:jc w:val="center"/>
        <w:rPr>
          <w:rFonts w:eastAsia="黑体"/>
          <w:kern w:val="0"/>
          <w:sz w:val="24"/>
        </w:rPr>
      </w:pPr>
      <w:r>
        <w:rPr>
          <w:rFonts w:eastAsia="黑体"/>
          <w:kern w:val="0"/>
          <w:sz w:val="24"/>
        </w:rPr>
        <w:t>图3.1-3 本项目施工期流程及产污环节示意图</w:t>
      </w:r>
    </w:p>
    <w:p>
      <w:pPr>
        <w:spacing w:line="500" w:lineRule="exact"/>
        <w:outlineLvl w:val="3"/>
        <w:rPr>
          <w:b/>
          <w:bCs/>
          <w:sz w:val="24"/>
          <w:szCs w:val="24"/>
        </w:rPr>
      </w:pPr>
      <w:r>
        <w:rPr>
          <w:b/>
          <w:bCs/>
          <w:sz w:val="24"/>
          <w:szCs w:val="24"/>
        </w:rPr>
        <w:t>3.1.8.2 施工期产污环节</w:t>
      </w:r>
    </w:p>
    <w:p>
      <w:pPr>
        <w:spacing w:line="520" w:lineRule="exact"/>
        <w:ind w:firstLine="480" w:firstLineChars="200"/>
        <w:rPr>
          <w:sz w:val="24"/>
          <w:szCs w:val="24"/>
        </w:rPr>
      </w:pPr>
      <w:r>
        <w:rPr>
          <w:sz w:val="24"/>
          <w:szCs w:val="24"/>
        </w:rPr>
        <w:t>本次工程施工期产排污环节一览表见下表：</w:t>
      </w:r>
    </w:p>
    <w:p>
      <w:pPr>
        <w:spacing w:line="520" w:lineRule="exact"/>
        <w:ind w:firstLine="480" w:firstLineChars="200"/>
        <w:rPr>
          <w:rFonts w:eastAsia="黑体"/>
          <w:sz w:val="24"/>
          <w:szCs w:val="24"/>
        </w:rPr>
      </w:pPr>
      <w:r>
        <w:rPr>
          <w:rFonts w:eastAsia="黑体"/>
          <w:sz w:val="24"/>
          <w:szCs w:val="24"/>
        </w:rPr>
        <w:t>表3.1-13              本工程施工期产污环节一览表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700"/>
        <w:gridCol w:w="2523"/>
        <w:gridCol w:w="2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tcBorders>
              <w:top w:val="single" w:color="auto" w:sz="4" w:space="0"/>
              <w:left w:val="single" w:color="auto" w:sz="4" w:space="0"/>
              <w:bottom w:val="single" w:color="auto" w:sz="4" w:space="0"/>
              <w:right w:val="single" w:color="auto" w:sz="4" w:space="0"/>
            </w:tcBorders>
            <w:vAlign w:val="center"/>
          </w:tcPr>
          <w:p>
            <w:pPr>
              <w:jc w:val="center"/>
              <w:rPr>
                <w:b/>
              </w:rPr>
            </w:pPr>
            <w:r>
              <w:rPr>
                <w:b/>
              </w:rPr>
              <w:t>类别</w:t>
            </w:r>
          </w:p>
        </w:tc>
        <w:tc>
          <w:tcPr>
            <w:tcW w:w="1509" w:type="pct"/>
            <w:tcBorders>
              <w:top w:val="single" w:color="auto" w:sz="4" w:space="0"/>
              <w:left w:val="single" w:color="auto" w:sz="4" w:space="0"/>
              <w:bottom w:val="single" w:color="auto" w:sz="4" w:space="0"/>
              <w:right w:val="single" w:color="auto" w:sz="4" w:space="0"/>
            </w:tcBorders>
            <w:vAlign w:val="center"/>
          </w:tcPr>
          <w:p>
            <w:pPr>
              <w:jc w:val="center"/>
              <w:rPr>
                <w:b/>
              </w:rPr>
            </w:pPr>
            <w:r>
              <w:rPr>
                <w:b/>
              </w:rPr>
              <w:t>产污工序</w:t>
            </w:r>
          </w:p>
        </w:tc>
        <w:tc>
          <w:tcPr>
            <w:tcW w:w="1410" w:type="pct"/>
            <w:tcBorders>
              <w:top w:val="single" w:color="auto" w:sz="4" w:space="0"/>
              <w:left w:val="single" w:color="auto" w:sz="4" w:space="0"/>
              <w:bottom w:val="single" w:color="auto" w:sz="4" w:space="0"/>
              <w:right w:val="single" w:color="auto" w:sz="4" w:space="0"/>
            </w:tcBorders>
            <w:vAlign w:val="center"/>
          </w:tcPr>
          <w:p>
            <w:pPr>
              <w:jc w:val="center"/>
              <w:rPr>
                <w:b/>
              </w:rPr>
            </w:pPr>
            <w:r>
              <w:rPr>
                <w:b/>
              </w:rPr>
              <w:t>污染物名称</w:t>
            </w:r>
          </w:p>
        </w:tc>
        <w:tc>
          <w:tcPr>
            <w:tcW w:w="1647" w:type="pct"/>
            <w:tcBorders>
              <w:top w:val="single" w:color="auto" w:sz="4" w:space="0"/>
              <w:left w:val="single" w:color="auto" w:sz="4" w:space="0"/>
              <w:bottom w:val="single" w:color="auto" w:sz="4" w:space="0"/>
              <w:right w:val="single" w:color="auto" w:sz="4" w:space="0"/>
            </w:tcBorders>
            <w:vAlign w:val="center"/>
          </w:tcPr>
          <w:p>
            <w:pPr>
              <w:jc w:val="center"/>
              <w:rPr>
                <w:b/>
              </w:rPr>
            </w:pPr>
            <w:r>
              <w:rPr>
                <w:b/>
              </w:rPr>
              <w:t>治理措施及去向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restart"/>
            <w:tcBorders>
              <w:top w:val="single" w:color="auto" w:sz="4" w:space="0"/>
              <w:left w:val="single" w:color="auto" w:sz="4" w:space="0"/>
              <w:right w:val="single" w:color="auto" w:sz="4" w:space="0"/>
            </w:tcBorders>
            <w:vAlign w:val="center"/>
          </w:tcPr>
          <w:p>
            <w:pPr>
              <w:jc w:val="center"/>
              <w:rPr>
                <w:bCs/>
              </w:rPr>
            </w:pPr>
            <w:r>
              <w:rPr>
                <w:bCs/>
              </w:rPr>
              <w:t>废气</w:t>
            </w:r>
          </w:p>
        </w:tc>
        <w:tc>
          <w:tcPr>
            <w:tcW w:w="1509" w:type="pct"/>
            <w:tcBorders>
              <w:top w:val="single" w:color="auto" w:sz="4" w:space="0"/>
              <w:left w:val="single" w:color="auto" w:sz="4" w:space="0"/>
              <w:bottom w:val="single" w:color="auto" w:sz="4" w:space="0"/>
              <w:right w:val="single" w:color="auto" w:sz="4" w:space="0"/>
            </w:tcBorders>
            <w:vAlign w:val="center"/>
          </w:tcPr>
          <w:p>
            <w:pPr>
              <w:jc w:val="center"/>
              <w:rPr>
                <w:bCs/>
              </w:rPr>
            </w:pPr>
            <w:r>
              <w:rPr>
                <w:bCs/>
              </w:rPr>
              <w:t>施工扬尘</w:t>
            </w:r>
          </w:p>
        </w:tc>
        <w:tc>
          <w:tcPr>
            <w:tcW w:w="1410" w:type="pct"/>
            <w:tcBorders>
              <w:top w:val="single" w:color="auto" w:sz="4" w:space="0"/>
              <w:left w:val="single" w:color="auto" w:sz="4" w:space="0"/>
              <w:bottom w:val="single" w:color="auto" w:sz="4" w:space="0"/>
              <w:right w:val="single" w:color="auto" w:sz="4" w:space="0"/>
            </w:tcBorders>
            <w:vAlign w:val="center"/>
          </w:tcPr>
          <w:p>
            <w:pPr>
              <w:jc w:val="center"/>
              <w:rPr>
                <w:bCs/>
              </w:rPr>
            </w:pPr>
            <w:r>
              <w:rPr>
                <w:bCs/>
              </w:rPr>
              <w:t>颗粒物</w:t>
            </w:r>
          </w:p>
        </w:tc>
        <w:tc>
          <w:tcPr>
            <w:tcW w:w="1647" w:type="pct"/>
            <w:tcBorders>
              <w:top w:val="single" w:color="auto" w:sz="4" w:space="0"/>
              <w:left w:val="single" w:color="auto" w:sz="4" w:space="0"/>
              <w:bottom w:val="single" w:color="auto" w:sz="4" w:space="0"/>
              <w:right w:val="single" w:color="auto" w:sz="4" w:space="0"/>
            </w:tcBorders>
            <w:vAlign w:val="center"/>
          </w:tcPr>
          <w:p>
            <w:pPr>
              <w:jc w:val="center"/>
              <w:rPr>
                <w:bCs/>
              </w:rPr>
            </w:pPr>
            <w:r>
              <w:rPr>
                <w:bCs/>
              </w:rPr>
              <w:t>篷布覆盖、洒水抑尘等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continue"/>
            <w:tcBorders>
              <w:left w:val="single" w:color="auto" w:sz="4" w:space="0"/>
              <w:right w:val="single" w:color="auto" w:sz="4" w:space="0"/>
            </w:tcBorders>
            <w:vAlign w:val="center"/>
          </w:tcPr>
          <w:p>
            <w:pPr>
              <w:widowControl/>
              <w:jc w:val="left"/>
              <w:rPr>
                <w:bCs/>
                <w:szCs w:val="21"/>
              </w:rPr>
            </w:pPr>
          </w:p>
        </w:tc>
        <w:tc>
          <w:tcPr>
            <w:tcW w:w="1509" w:type="pct"/>
            <w:tcBorders>
              <w:top w:val="single" w:color="auto" w:sz="4" w:space="0"/>
              <w:left w:val="single" w:color="auto" w:sz="4" w:space="0"/>
              <w:bottom w:val="single" w:color="auto" w:sz="4" w:space="0"/>
              <w:right w:val="single" w:color="auto" w:sz="4" w:space="0"/>
            </w:tcBorders>
            <w:vAlign w:val="center"/>
          </w:tcPr>
          <w:p>
            <w:pPr>
              <w:jc w:val="center"/>
              <w:rPr>
                <w:bCs/>
              </w:rPr>
            </w:pPr>
            <w:r>
              <w:rPr>
                <w:bCs/>
              </w:rPr>
              <w:t>汽车尾气</w:t>
            </w:r>
          </w:p>
        </w:tc>
        <w:tc>
          <w:tcPr>
            <w:tcW w:w="1410" w:type="pct"/>
            <w:tcBorders>
              <w:top w:val="single" w:color="auto" w:sz="4" w:space="0"/>
              <w:left w:val="single" w:color="auto" w:sz="4" w:space="0"/>
              <w:bottom w:val="single" w:color="auto" w:sz="4" w:space="0"/>
              <w:right w:val="single" w:color="auto" w:sz="4" w:space="0"/>
            </w:tcBorders>
            <w:vAlign w:val="center"/>
          </w:tcPr>
          <w:p>
            <w:pPr>
              <w:jc w:val="center"/>
              <w:rPr>
                <w:bCs/>
              </w:rPr>
            </w:pPr>
            <w:r>
              <w:rPr>
                <w:bCs/>
              </w:rPr>
              <w:t>NOx、CO等</w:t>
            </w:r>
          </w:p>
        </w:tc>
        <w:tc>
          <w:tcPr>
            <w:tcW w:w="1647" w:type="pct"/>
            <w:tcBorders>
              <w:top w:val="single" w:color="auto" w:sz="4" w:space="0"/>
              <w:left w:val="single" w:color="auto" w:sz="4" w:space="0"/>
              <w:right w:val="single" w:color="auto" w:sz="4" w:space="0"/>
            </w:tcBorders>
            <w:vAlign w:val="center"/>
          </w:tcPr>
          <w:p>
            <w:pPr>
              <w:jc w:val="center"/>
              <w:rPr>
                <w:bCs/>
              </w:rPr>
            </w:pPr>
            <w:r>
              <w:rPr>
                <w:bCs/>
              </w:rPr>
              <w:t>加强施工管理，减少怠速等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restart"/>
            <w:tcBorders>
              <w:left w:val="single" w:color="auto" w:sz="4" w:space="0"/>
              <w:right w:val="single" w:color="auto" w:sz="4" w:space="0"/>
            </w:tcBorders>
            <w:vAlign w:val="center"/>
          </w:tcPr>
          <w:p>
            <w:pPr>
              <w:jc w:val="center"/>
              <w:rPr>
                <w:bCs/>
              </w:rPr>
            </w:pPr>
            <w:r>
              <w:rPr>
                <w:bCs/>
              </w:rPr>
              <w:t>废水</w:t>
            </w:r>
          </w:p>
        </w:tc>
        <w:tc>
          <w:tcPr>
            <w:tcW w:w="1509" w:type="pct"/>
            <w:tcBorders>
              <w:top w:val="single" w:color="auto" w:sz="4" w:space="0"/>
              <w:left w:val="single" w:color="auto" w:sz="4" w:space="0"/>
              <w:bottom w:val="single" w:color="auto" w:sz="4" w:space="0"/>
              <w:right w:val="single" w:color="auto" w:sz="4" w:space="0"/>
            </w:tcBorders>
            <w:vAlign w:val="center"/>
          </w:tcPr>
          <w:p>
            <w:pPr>
              <w:jc w:val="center"/>
              <w:rPr>
                <w:bCs/>
              </w:rPr>
            </w:pPr>
            <w:r>
              <w:rPr>
                <w:bCs/>
              </w:rPr>
              <w:t>施工人员生活污水</w:t>
            </w:r>
          </w:p>
        </w:tc>
        <w:tc>
          <w:tcPr>
            <w:tcW w:w="1410" w:type="pct"/>
            <w:tcBorders>
              <w:top w:val="single" w:color="auto" w:sz="4" w:space="0"/>
              <w:left w:val="single" w:color="auto" w:sz="4" w:space="0"/>
              <w:bottom w:val="single" w:color="auto" w:sz="4" w:space="0"/>
              <w:right w:val="single" w:color="auto" w:sz="4" w:space="0"/>
            </w:tcBorders>
            <w:vAlign w:val="center"/>
          </w:tcPr>
          <w:p>
            <w:pPr>
              <w:jc w:val="center"/>
              <w:rPr>
                <w:bCs/>
              </w:rPr>
            </w:pPr>
            <w:r>
              <w:t>COD、BOD、悬浮物、氨氮、总氮、总磷等</w:t>
            </w:r>
          </w:p>
        </w:tc>
        <w:tc>
          <w:tcPr>
            <w:tcW w:w="1647" w:type="pct"/>
            <w:tcBorders>
              <w:left w:val="single" w:color="auto" w:sz="4" w:space="0"/>
              <w:right w:val="single" w:color="auto" w:sz="4" w:space="0"/>
            </w:tcBorders>
            <w:vAlign w:val="center"/>
          </w:tcPr>
          <w:p>
            <w:pPr>
              <w:jc w:val="center"/>
              <w:rPr>
                <w:bCs/>
              </w:rPr>
            </w:pPr>
            <w:r>
              <w:rPr>
                <w:rFonts w:hint="eastAsia"/>
                <w:bCs/>
              </w:rPr>
              <w:t>化粪池处理后定期清运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continue"/>
            <w:tcBorders>
              <w:left w:val="single" w:color="auto" w:sz="4" w:space="0"/>
              <w:right w:val="single" w:color="auto" w:sz="4" w:space="0"/>
            </w:tcBorders>
            <w:vAlign w:val="center"/>
          </w:tcPr>
          <w:p>
            <w:pPr>
              <w:jc w:val="center"/>
              <w:rPr>
                <w:bCs/>
              </w:rPr>
            </w:pPr>
          </w:p>
        </w:tc>
        <w:tc>
          <w:tcPr>
            <w:tcW w:w="1509" w:type="pct"/>
            <w:tcBorders>
              <w:top w:val="single" w:color="auto" w:sz="4" w:space="0"/>
              <w:left w:val="single" w:color="auto" w:sz="4" w:space="0"/>
              <w:bottom w:val="single" w:color="auto" w:sz="4" w:space="0"/>
              <w:right w:val="single" w:color="auto" w:sz="4" w:space="0"/>
            </w:tcBorders>
            <w:vAlign w:val="center"/>
          </w:tcPr>
          <w:p>
            <w:pPr>
              <w:jc w:val="center"/>
              <w:rPr>
                <w:bCs/>
              </w:rPr>
            </w:pPr>
            <w:r>
              <w:rPr>
                <w:bCs/>
              </w:rPr>
              <w:t>施工废水</w:t>
            </w:r>
          </w:p>
        </w:tc>
        <w:tc>
          <w:tcPr>
            <w:tcW w:w="1410" w:type="pct"/>
            <w:tcBorders>
              <w:top w:val="single" w:color="auto" w:sz="4" w:space="0"/>
              <w:left w:val="single" w:color="auto" w:sz="4" w:space="0"/>
              <w:bottom w:val="single" w:color="auto" w:sz="4" w:space="0"/>
              <w:right w:val="single" w:color="auto" w:sz="4" w:space="0"/>
            </w:tcBorders>
            <w:vAlign w:val="center"/>
          </w:tcPr>
          <w:p>
            <w:pPr>
              <w:jc w:val="center"/>
            </w:pPr>
            <w:r>
              <w:t>SS等</w:t>
            </w:r>
          </w:p>
        </w:tc>
        <w:tc>
          <w:tcPr>
            <w:tcW w:w="1647" w:type="pct"/>
            <w:tcBorders>
              <w:left w:val="single" w:color="auto" w:sz="4" w:space="0"/>
              <w:right w:val="single" w:color="auto" w:sz="4" w:space="0"/>
            </w:tcBorders>
            <w:vAlign w:val="center"/>
          </w:tcPr>
          <w:p>
            <w:pPr>
              <w:jc w:val="center"/>
              <w:rPr>
                <w:bCs/>
              </w:rPr>
            </w:pPr>
            <w:r>
              <w:rPr>
                <w:bCs/>
              </w:rPr>
              <w:t>经沉淀池沉淀后回用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tcBorders>
              <w:left w:val="single" w:color="auto" w:sz="4" w:space="0"/>
              <w:right w:val="single" w:color="auto" w:sz="4" w:space="0"/>
            </w:tcBorders>
            <w:vAlign w:val="center"/>
          </w:tcPr>
          <w:p>
            <w:pPr>
              <w:jc w:val="center"/>
              <w:rPr>
                <w:bCs/>
              </w:rPr>
            </w:pPr>
            <w:r>
              <w:rPr>
                <w:bCs/>
              </w:rPr>
              <w:t>噪声</w:t>
            </w:r>
          </w:p>
        </w:tc>
        <w:tc>
          <w:tcPr>
            <w:tcW w:w="1509" w:type="pct"/>
            <w:tcBorders>
              <w:top w:val="single" w:color="auto" w:sz="4" w:space="0"/>
              <w:left w:val="single" w:color="auto" w:sz="4" w:space="0"/>
              <w:bottom w:val="single" w:color="auto" w:sz="4" w:space="0"/>
              <w:right w:val="single" w:color="auto" w:sz="4" w:space="0"/>
            </w:tcBorders>
            <w:vAlign w:val="center"/>
          </w:tcPr>
          <w:p>
            <w:pPr>
              <w:jc w:val="center"/>
              <w:rPr>
                <w:bCs/>
              </w:rPr>
            </w:pPr>
            <w:r>
              <w:rPr>
                <w:bCs/>
              </w:rPr>
              <w:t>施工机械和运输车辆</w:t>
            </w:r>
          </w:p>
        </w:tc>
        <w:tc>
          <w:tcPr>
            <w:tcW w:w="1410" w:type="pct"/>
            <w:tcBorders>
              <w:top w:val="single" w:color="auto" w:sz="4" w:space="0"/>
              <w:left w:val="single" w:color="auto" w:sz="4" w:space="0"/>
              <w:bottom w:val="single" w:color="auto" w:sz="4" w:space="0"/>
              <w:right w:val="single" w:color="auto" w:sz="4" w:space="0"/>
            </w:tcBorders>
            <w:vAlign w:val="center"/>
          </w:tcPr>
          <w:p>
            <w:pPr>
              <w:jc w:val="center"/>
              <w:rPr>
                <w:bCs/>
              </w:rPr>
            </w:pPr>
            <w:r>
              <w:rPr>
                <w:bCs/>
              </w:rPr>
              <w:t>等效A声级</w:t>
            </w:r>
          </w:p>
        </w:tc>
        <w:tc>
          <w:tcPr>
            <w:tcW w:w="1647" w:type="pct"/>
            <w:tcBorders>
              <w:left w:val="single" w:color="auto" w:sz="4" w:space="0"/>
              <w:right w:val="single" w:color="auto" w:sz="4" w:space="0"/>
            </w:tcBorders>
            <w:vAlign w:val="center"/>
          </w:tcPr>
          <w:p>
            <w:pPr>
              <w:jc w:val="center"/>
              <w:rPr>
                <w:bCs/>
              </w:rPr>
            </w:pPr>
            <w:r>
              <w:rPr>
                <w:bCs/>
              </w:rPr>
              <w:t>选用低噪声设备，加强管理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restart"/>
            <w:tcBorders>
              <w:left w:val="single" w:color="auto" w:sz="4" w:space="0"/>
              <w:right w:val="single" w:color="auto" w:sz="4" w:space="0"/>
            </w:tcBorders>
            <w:vAlign w:val="center"/>
          </w:tcPr>
          <w:p>
            <w:pPr>
              <w:jc w:val="center"/>
              <w:rPr>
                <w:bCs/>
              </w:rPr>
            </w:pPr>
            <w:r>
              <w:rPr>
                <w:bCs/>
              </w:rPr>
              <w:t>固废</w:t>
            </w:r>
          </w:p>
        </w:tc>
        <w:tc>
          <w:tcPr>
            <w:tcW w:w="1509" w:type="pct"/>
            <w:tcBorders>
              <w:top w:val="single" w:color="auto" w:sz="4" w:space="0"/>
              <w:left w:val="single" w:color="auto" w:sz="4" w:space="0"/>
              <w:bottom w:val="single" w:color="auto" w:sz="4" w:space="0"/>
              <w:right w:val="single" w:color="auto" w:sz="4" w:space="0"/>
            </w:tcBorders>
            <w:vAlign w:val="center"/>
          </w:tcPr>
          <w:p>
            <w:pPr>
              <w:jc w:val="center"/>
              <w:rPr>
                <w:bCs/>
              </w:rPr>
            </w:pPr>
            <w:r>
              <w:rPr>
                <w:bCs/>
              </w:rPr>
              <w:t>施工人员生活</w:t>
            </w:r>
          </w:p>
        </w:tc>
        <w:tc>
          <w:tcPr>
            <w:tcW w:w="1410" w:type="pct"/>
            <w:tcBorders>
              <w:top w:val="single" w:color="auto" w:sz="4" w:space="0"/>
              <w:left w:val="single" w:color="auto" w:sz="4" w:space="0"/>
              <w:bottom w:val="single" w:color="auto" w:sz="4" w:space="0"/>
              <w:right w:val="single" w:color="auto" w:sz="4" w:space="0"/>
            </w:tcBorders>
            <w:vAlign w:val="center"/>
          </w:tcPr>
          <w:p>
            <w:pPr>
              <w:jc w:val="center"/>
              <w:rPr>
                <w:bCs/>
              </w:rPr>
            </w:pPr>
            <w:r>
              <w:rPr>
                <w:bCs/>
              </w:rPr>
              <w:t>生活垃圾</w:t>
            </w:r>
          </w:p>
        </w:tc>
        <w:tc>
          <w:tcPr>
            <w:tcW w:w="1647" w:type="pct"/>
            <w:tcBorders>
              <w:left w:val="single" w:color="auto" w:sz="4" w:space="0"/>
              <w:right w:val="single" w:color="auto" w:sz="4" w:space="0"/>
            </w:tcBorders>
            <w:vAlign w:val="center"/>
          </w:tcPr>
          <w:p>
            <w:pPr>
              <w:jc w:val="center"/>
              <w:rPr>
                <w:bCs/>
              </w:rPr>
            </w:pPr>
            <w:r>
              <w:rPr>
                <w:bCs/>
              </w:rPr>
              <w:t>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continue"/>
            <w:tcBorders>
              <w:left w:val="single" w:color="auto" w:sz="4" w:space="0"/>
              <w:right w:val="single" w:color="auto" w:sz="4" w:space="0"/>
            </w:tcBorders>
            <w:vAlign w:val="center"/>
          </w:tcPr>
          <w:p>
            <w:pPr>
              <w:jc w:val="center"/>
              <w:rPr>
                <w:bCs/>
              </w:rPr>
            </w:pPr>
          </w:p>
        </w:tc>
        <w:tc>
          <w:tcPr>
            <w:tcW w:w="1509" w:type="pct"/>
            <w:tcBorders>
              <w:top w:val="single" w:color="auto" w:sz="4" w:space="0"/>
              <w:left w:val="single" w:color="auto" w:sz="4" w:space="0"/>
              <w:bottom w:val="single" w:color="auto" w:sz="4" w:space="0"/>
              <w:right w:val="single" w:color="auto" w:sz="4" w:space="0"/>
            </w:tcBorders>
            <w:vAlign w:val="center"/>
          </w:tcPr>
          <w:p>
            <w:pPr>
              <w:jc w:val="center"/>
              <w:rPr>
                <w:bCs/>
              </w:rPr>
            </w:pPr>
            <w:r>
              <w:rPr>
                <w:bCs/>
              </w:rPr>
              <w:t>施工过程</w:t>
            </w:r>
          </w:p>
        </w:tc>
        <w:tc>
          <w:tcPr>
            <w:tcW w:w="1410" w:type="pct"/>
            <w:tcBorders>
              <w:top w:val="single" w:color="auto" w:sz="4" w:space="0"/>
              <w:left w:val="single" w:color="auto" w:sz="4" w:space="0"/>
              <w:bottom w:val="single" w:color="auto" w:sz="4" w:space="0"/>
              <w:right w:val="single" w:color="auto" w:sz="4" w:space="0"/>
            </w:tcBorders>
            <w:vAlign w:val="center"/>
          </w:tcPr>
          <w:p>
            <w:pPr>
              <w:jc w:val="center"/>
              <w:rPr>
                <w:bCs/>
              </w:rPr>
            </w:pPr>
            <w:r>
              <w:t>建筑垃圾</w:t>
            </w:r>
          </w:p>
        </w:tc>
        <w:tc>
          <w:tcPr>
            <w:tcW w:w="1647" w:type="pct"/>
            <w:tcBorders>
              <w:left w:val="single" w:color="auto" w:sz="4" w:space="0"/>
              <w:right w:val="single" w:color="auto" w:sz="4" w:space="0"/>
            </w:tcBorders>
            <w:vAlign w:val="center"/>
          </w:tcPr>
          <w:p>
            <w:pPr>
              <w:jc w:val="center"/>
              <w:rPr>
                <w:bCs/>
              </w:rPr>
            </w:pPr>
            <w:r>
              <w:rPr>
                <w:bCs/>
              </w:rPr>
              <w:t>尽量回收利用，不能回收的及时清运</w:t>
            </w:r>
          </w:p>
        </w:tc>
      </w:tr>
    </w:tbl>
    <w:p>
      <w:pPr>
        <w:spacing w:line="500" w:lineRule="exact"/>
        <w:rPr>
          <w:b/>
          <w:bCs/>
          <w:sz w:val="24"/>
          <w:szCs w:val="24"/>
        </w:rPr>
      </w:pPr>
    </w:p>
    <w:p>
      <w:pPr>
        <w:spacing w:line="500" w:lineRule="exact"/>
        <w:outlineLvl w:val="3"/>
        <w:rPr>
          <w:b/>
          <w:bCs/>
          <w:sz w:val="24"/>
          <w:szCs w:val="24"/>
        </w:rPr>
      </w:pPr>
      <w:r>
        <w:rPr>
          <w:b/>
          <w:bCs/>
          <w:sz w:val="24"/>
          <w:szCs w:val="24"/>
        </w:rPr>
        <w:t>3.1.8.3 施工期产排污情况</w:t>
      </w:r>
    </w:p>
    <w:p>
      <w:pPr>
        <w:spacing w:line="520" w:lineRule="exact"/>
        <w:ind w:firstLine="482" w:firstLineChars="200"/>
        <w:outlineLvl w:val="4"/>
        <w:rPr>
          <w:b/>
          <w:bCs/>
          <w:sz w:val="24"/>
          <w:szCs w:val="24"/>
        </w:rPr>
      </w:pPr>
      <w:r>
        <w:rPr>
          <w:rFonts w:hint="eastAsia"/>
          <w:b/>
          <w:bCs/>
          <w:sz w:val="24"/>
          <w:szCs w:val="24"/>
        </w:rPr>
        <w:t>一</w:t>
      </w:r>
      <w:r>
        <w:rPr>
          <w:b/>
          <w:bCs/>
          <w:sz w:val="24"/>
          <w:szCs w:val="24"/>
        </w:rPr>
        <w:t>、大气污染</w:t>
      </w:r>
    </w:p>
    <w:p>
      <w:pPr>
        <w:spacing w:line="520" w:lineRule="exact"/>
        <w:ind w:firstLine="480" w:firstLineChars="200"/>
        <w:rPr>
          <w:sz w:val="24"/>
          <w:szCs w:val="24"/>
        </w:rPr>
      </w:pPr>
      <w:r>
        <w:rPr>
          <w:sz w:val="24"/>
          <w:szCs w:val="24"/>
        </w:rPr>
        <w:t>施工活动产生的大气污染物主要为施工扬尘、燃油施工机械排放的机动车汽车尾气。</w:t>
      </w:r>
    </w:p>
    <w:p>
      <w:pPr>
        <w:spacing w:line="520" w:lineRule="exact"/>
        <w:ind w:firstLine="480" w:firstLineChars="200"/>
        <w:outlineLvl w:val="5"/>
        <w:rPr>
          <w:sz w:val="24"/>
          <w:szCs w:val="24"/>
        </w:rPr>
      </w:pPr>
      <w:r>
        <w:rPr>
          <w:sz w:val="24"/>
          <w:szCs w:val="24"/>
        </w:rPr>
        <w:t>（1）施工扬尘</w:t>
      </w:r>
    </w:p>
    <w:p>
      <w:pPr>
        <w:spacing w:line="520" w:lineRule="exact"/>
        <w:ind w:firstLine="480" w:firstLineChars="200"/>
        <w:rPr>
          <w:sz w:val="24"/>
          <w:szCs w:val="24"/>
        </w:rPr>
      </w:pPr>
      <w:r>
        <w:rPr>
          <w:sz w:val="24"/>
          <w:szCs w:val="24"/>
        </w:rPr>
        <w:t>对整个施工期而言，施工扬尘主要集中在土建施工阶段，按起尘的原因可分为风力扬尘和动力扬尘，其中风力起尘主要是由于露天堆放的建筑材料及裸露的施工区表层浮土，由于天气干燥及大风产生风力扬尘。动力起尘主要是在建筑材料的装卸、转运过程中，由于外力而产生的尘粒再悬浮而造成，其中施工及装卸车辆造成的扬尘最为严重。</w:t>
      </w:r>
    </w:p>
    <w:p>
      <w:pPr>
        <w:spacing w:line="520" w:lineRule="exact"/>
        <w:ind w:left="482"/>
        <w:outlineLvl w:val="6"/>
        <w:rPr>
          <w:rFonts w:ascii="宋体" w:hAnsi="宋体" w:cs="宋体"/>
          <w:sz w:val="24"/>
          <w:szCs w:val="24"/>
        </w:rPr>
      </w:pPr>
      <w:r>
        <w:rPr>
          <w:rFonts w:hint="eastAsia" w:ascii="宋体" w:hAnsi="宋体" w:cs="宋体"/>
          <w:sz w:val="24"/>
          <w:szCs w:val="24"/>
        </w:rPr>
        <w:t>①</w:t>
      </w:r>
      <w:r>
        <w:rPr>
          <w:rFonts w:ascii="宋体" w:hAnsi="宋体" w:cs="宋体"/>
          <w:sz w:val="24"/>
          <w:szCs w:val="24"/>
        </w:rPr>
        <w:t>风力起尘</w:t>
      </w:r>
    </w:p>
    <w:p>
      <w:pPr>
        <w:spacing w:line="520" w:lineRule="exact"/>
        <w:ind w:firstLine="480" w:firstLineChars="200"/>
        <w:rPr>
          <w:sz w:val="24"/>
          <w:szCs w:val="24"/>
        </w:rPr>
      </w:pPr>
      <w:r>
        <w:rPr>
          <w:sz w:val="24"/>
          <w:szCs w:val="24"/>
        </w:rPr>
        <w:t>施工期间裸露的地表及大沙、水泥等物料的临时堆场在气候干燥又有风的情况下会产生扬尘。这类扬尘的主要特点是与风速和尘粒含水率有关，据资料介绍，当灰尘含水率为0.5%时，其启动风速约为4.0m/s。因此，减少露天开挖和保证一定的含水率是抑制这类扬尘的有效手段。</w:t>
      </w:r>
    </w:p>
    <w:p>
      <w:pPr>
        <w:spacing w:line="520" w:lineRule="exact"/>
        <w:ind w:firstLine="480" w:firstLineChars="200"/>
        <w:rPr>
          <w:sz w:val="24"/>
          <w:szCs w:val="24"/>
        </w:rPr>
      </w:pPr>
      <w:r>
        <w:rPr>
          <w:sz w:val="24"/>
          <w:szCs w:val="24"/>
        </w:rPr>
        <w:t>尘粒在空气中的传播扩散情况与风速等气象条件有关，也与尘粒本身的沉降速度有关。以沙土为例，其沉降速度随粒径的增大而迅速增大。当粒径为250微米时，沉降速度为1.005m/s，因此当尘粒大于250微米时，主要影响范围在扬尘点下方向近距离内，而真正对外环境产生影响的是一些微小尘粒。根据现场施工季节的气候情况不同，其影响范围和方向也有所不同，施工期间制定必要的防治措施，以减小施工扬尘对周围环境的影响。</w:t>
      </w:r>
    </w:p>
    <w:p>
      <w:pPr>
        <w:spacing w:line="520" w:lineRule="exact"/>
        <w:ind w:left="482"/>
        <w:outlineLvl w:val="6"/>
        <w:rPr>
          <w:sz w:val="24"/>
          <w:szCs w:val="24"/>
        </w:rPr>
      </w:pPr>
      <w:r>
        <w:rPr>
          <w:rFonts w:hint="eastAsia" w:ascii="宋体" w:hAnsi="宋体" w:cs="宋体"/>
          <w:sz w:val="24"/>
          <w:szCs w:val="24"/>
        </w:rPr>
        <w:t>②</w:t>
      </w:r>
      <w:r>
        <w:rPr>
          <w:sz w:val="24"/>
          <w:szCs w:val="24"/>
        </w:rPr>
        <w:t>动力起尘</w:t>
      </w:r>
    </w:p>
    <w:p>
      <w:pPr>
        <w:spacing w:line="520" w:lineRule="exact"/>
        <w:ind w:firstLine="480" w:firstLineChars="200"/>
        <w:rPr>
          <w:sz w:val="24"/>
          <w:szCs w:val="24"/>
        </w:rPr>
      </w:pPr>
      <w:r>
        <w:rPr>
          <w:sz w:val="24"/>
          <w:szCs w:val="24"/>
        </w:rPr>
        <w:t>由于外力产生的尘粒，其中施工装卸车辆造成的扬尘最为严重。通常扬尘集中发生在施工期土地平整和地基开挖的早期阶段，其PM</w:t>
      </w:r>
      <w:r>
        <w:rPr>
          <w:sz w:val="24"/>
          <w:szCs w:val="24"/>
          <w:vertAlign w:val="subscript"/>
        </w:rPr>
        <w:t>10</w:t>
      </w:r>
      <w:r>
        <w:rPr>
          <w:sz w:val="24"/>
          <w:szCs w:val="24"/>
        </w:rPr>
        <w:t>排放浓度相对较高，需要采取措施进行防治，以减少对周围环境造成影响。</w:t>
      </w:r>
    </w:p>
    <w:p>
      <w:pPr>
        <w:spacing w:line="520" w:lineRule="exact"/>
        <w:ind w:firstLine="480" w:firstLineChars="200"/>
        <w:outlineLvl w:val="5"/>
        <w:rPr>
          <w:sz w:val="24"/>
          <w:szCs w:val="24"/>
        </w:rPr>
      </w:pPr>
      <w:r>
        <w:rPr>
          <w:sz w:val="24"/>
          <w:szCs w:val="24"/>
        </w:rPr>
        <w:t>（2）机动车尾气</w:t>
      </w:r>
    </w:p>
    <w:p>
      <w:pPr>
        <w:spacing w:line="520" w:lineRule="exact"/>
        <w:ind w:firstLine="480" w:firstLineChars="200"/>
        <w:rPr>
          <w:sz w:val="24"/>
          <w:szCs w:val="24"/>
        </w:rPr>
      </w:pPr>
      <w:r>
        <w:rPr>
          <w:sz w:val="24"/>
          <w:szCs w:val="24"/>
        </w:rPr>
        <w:t>施工中将会有各种工程及运输用车来往于施工现场，主要有运输卡车、挖掘机、铲车、推土机等。燃油施工机械在移动时会排放机动车尾气，主要污染物为NOx、CO等。施工现场汽车尾气对环境空气的影响有如下几个特点：车辆在施工现场范围内活动，尾气呈面源污染形式；车辆尾气排气筒高度较低，尾气扩散范围不大并能迅速扩散，对周围地区影响较小；车辆为非连续形式状态，污染物排放时间及排放量相对较少，对周边环境及居民影响较小。</w:t>
      </w:r>
    </w:p>
    <w:p>
      <w:pPr>
        <w:spacing w:line="520" w:lineRule="exact"/>
        <w:ind w:firstLine="482" w:firstLineChars="200"/>
        <w:outlineLvl w:val="4"/>
        <w:rPr>
          <w:b/>
          <w:bCs/>
          <w:sz w:val="24"/>
          <w:szCs w:val="24"/>
        </w:rPr>
      </w:pPr>
      <w:r>
        <w:rPr>
          <w:rFonts w:hint="eastAsia"/>
          <w:b/>
          <w:bCs/>
          <w:sz w:val="24"/>
          <w:szCs w:val="24"/>
        </w:rPr>
        <w:t>二</w:t>
      </w:r>
      <w:r>
        <w:rPr>
          <w:b/>
          <w:bCs/>
          <w:sz w:val="24"/>
          <w:szCs w:val="24"/>
        </w:rPr>
        <w:t>、废水污染</w:t>
      </w:r>
    </w:p>
    <w:p>
      <w:pPr>
        <w:spacing w:line="520" w:lineRule="exact"/>
        <w:ind w:firstLine="480" w:firstLineChars="200"/>
        <w:rPr>
          <w:sz w:val="24"/>
          <w:szCs w:val="24"/>
        </w:rPr>
      </w:pPr>
      <w:r>
        <w:rPr>
          <w:sz w:val="24"/>
          <w:szCs w:val="24"/>
        </w:rPr>
        <w:t>施工过程中产生的废水主要为施工人员产生的生活污水和施工作业产生的废水。</w:t>
      </w:r>
    </w:p>
    <w:p>
      <w:pPr>
        <w:spacing w:line="520" w:lineRule="exact"/>
        <w:ind w:firstLine="480" w:firstLineChars="200"/>
        <w:outlineLvl w:val="5"/>
        <w:rPr>
          <w:sz w:val="24"/>
          <w:szCs w:val="24"/>
        </w:rPr>
      </w:pPr>
      <w:r>
        <w:rPr>
          <w:sz w:val="24"/>
          <w:szCs w:val="24"/>
        </w:rPr>
        <w:t>（1）施工人员生活污水</w:t>
      </w:r>
    </w:p>
    <w:p>
      <w:pPr>
        <w:spacing w:line="520" w:lineRule="exact"/>
        <w:ind w:firstLine="480" w:firstLineChars="200"/>
        <w:rPr>
          <w:sz w:val="24"/>
          <w:szCs w:val="24"/>
        </w:rPr>
      </w:pPr>
      <w:r>
        <w:rPr>
          <w:sz w:val="24"/>
          <w:szCs w:val="24"/>
        </w:rPr>
        <w:t>本项目施工人员排放的生活污水和城市居民生活污水水质相似，污水中主要污染物为COD、BOD</w:t>
      </w:r>
      <w:r>
        <w:rPr>
          <w:sz w:val="24"/>
          <w:szCs w:val="24"/>
          <w:vertAlign w:val="subscript"/>
        </w:rPr>
        <w:t>5</w:t>
      </w:r>
      <w:r>
        <w:rPr>
          <w:sz w:val="24"/>
          <w:szCs w:val="24"/>
        </w:rPr>
        <w:t>、SS、NH</w:t>
      </w:r>
      <w:r>
        <w:rPr>
          <w:sz w:val="24"/>
          <w:szCs w:val="24"/>
          <w:vertAlign w:val="subscript"/>
        </w:rPr>
        <w:t>3</w:t>
      </w:r>
      <w:r>
        <w:rPr>
          <w:sz w:val="24"/>
          <w:szCs w:val="24"/>
        </w:rPr>
        <w:t>-N等。本项目施工高峰期人数</w:t>
      </w:r>
      <w:r>
        <w:rPr>
          <w:rFonts w:hint="eastAsia"/>
          <w:sz w:val="24"/>
          <w:szCs w:val="24"/>
        </w:rPr>
        <w:t>以</w:t>
      </w:r>
      <w:r>
        <w:rPr>
          <w:sz w:val="24"/>
          <w:szCs w:val="24"/>
        </w:rPr>
        <w:t>200人</w:t>
      </w:r>
      <w:r>
        <w:rPr>
          <w:rFonts w:hint="eastAsia"/>
          <w:sz w:val="24"/>
          <w:szCs w:val="24"/>
        </w:rPr>
        <w:t>计</w:t>
      </w:r>
      <w:r>
        <w:rPr>
          <w:sz w:val="24"/>
          <w:szCs w:val="24"/>
        </w:rPr>
        <w:t>，用水量按50L/（人·日）（根据《给排水设计手册》）计，排污系数按0.8计，则项目施工期间施工人员生活用水量为10m</w:t>
      </w:r>
      <w:r>
        <w:rPr>
          <w:sz w:val="24"/>
          <w:szCs w:val="24"/>
          <w:vertAlign w:val="superscript"/>
        </w:rPr>
        <w:t>3</w:t>
      </w:r>
      <w:r>
        <w:rPr>
          <w:sz w:val="24"/>
          <w:szCs w:val="24"/>
        </w:rPr>
        <w:t>/d，生活污水产生量为8m</w:t>
      </w:r>
      <w:r>
        <w:rPr>
          <w:sz w:val="24"/>
          <w:szCs w:val="24"/>
          <w:vertAlign w:val="superscript"/>
        </w:rPr>
        <w:t>3</w:t>
      </w:r>
      <w:r>
        <w:rPr>
          <w:sz w:val="24"/>
          <w:szCs w:val="24"/>
        </w:rPr>
        <w:t>/d</w:t>
      </w:r>
      <w:r>
        <w:rPr>
          <w:rFonts w:hint="eastAsia"/>
          <w:sz w:val="24"/>
          <w:szCs w:val="24"/>
        </w:rPr>
        <w:t>，</w:t>
      </w:r>
      <w:r>
        <w:rPr>
          <w:sz w:val="24"/>
          <w:szCs w:val="24"/>
        </w:rPr>
        <w:t>废水主要污染物为pH 6-9、COD 350mg/L、BOD 200mg/L、SS 200mg/L、氨氮25mg/L、总氮30mg/L、总磷2.5mg/L</w:t>
      </w:r>
      <w:bookmarkStart w:id="70" w:name="_Hlk110284665"/>
      <w:r>
        <w:rPr>
          <w:rFonts w:hint="eastAsia"/>
          <w:sz w:val="24"/>
          <w:szCs w:val="24"/>
        </w:rPr>
        <w:t>，</w:t>
      </w:r>
      <w:r>
        <w:rPr>
          <w:bCs/>
          <w:sz w:val="24"/>
          <w:szCs w:val="24"/>
        </w:rPr>
        <w:t>经化粪池处理后水质为</w:t>
      </w:r>
      <w:r>
        <w:rPr>
          <w:rFonts w:hint="eastAsia"/>
          <w:bCs/>
          <w:sz w:val="24"/>
          <w:szCs w:val="24"/>
        </w:rPr>
        <w:t>COD 250mg/L、BOD</w:t>
      </w:r>
      <w:r>
        <w:rPr>
          <w:rFonts w:hint="eastAsia"/>
          <w:bCs/>
          <w:sz w:val="24"/>
          <w:szCs w:val="24"/>
          <w:vertAlign w:val="subscript"/>
        </w:rPr>
        <w:t>5</w:t>
      </w:r>
      <w:r>
        <w:rPr>
          <w:rFonts w:hint="eastAsia"/>
          <w:bCs/>
          <w:sz w:val="24"/>
          <w:szCs w:val="24"/>
        </w:rPr>
        <w:t xml:space="preserve"> 120mg/L、SS 150mg/L、NH</w:t>
      </w:r>
      <w:r>
        <w:rPr>
          <w:rFonts w:hint="eastAsia"/>
          <w:bCs/>
          <w:sz w:val="24"/>
          <w:szCs w:val="24"/>
          <w:vertAlign w:val="subscript"/>
        </w:rPr>
        <w:t>3</w:t>
      </w:r>
      <w:r>
        <w:rPr>
          <w:rFonts w:hint="eastAsia"/>
          <w:bCs/>
          <w:sz w:val="24"/>
          <w:szCs w:val="24"/>
        </w:rPr>
        <w:t xml:space="preserve">-N 25mg/L、TN 30mg/L、TP </w:t>
      </w:r>
      <w:r>
        <w:rPr>
          <w:bCs/>
          <w:sz w:val="24"/>
          <w:szCs w:val="24"/>
        </w:rPr>
        <w:t>2.5</w:t>
      </w:r>
      <w:r>
        <w:rPr>
          <w:rFonts w:hint="eastAsia"/>
          <w:bCs/>
          <w:sz w:val="24"/>
          <w:szCs w:val="24"/>
        </w:rPr>
        <w:t>mg/L，施工生活污水经化粪池处理后定期清运，不外排</w:t>
      </w:r>
      <w:r>
        <w:rPr>
          <w:sz w:val="24"/>
          <w:szCs w:val="24"/>
        </w:rPr>
        <w:t>。</w:t>
      </w:r>
      <w:bookmarkEnd w:id="70"/>
    </w:p>
    <w:p>
      <w:pPr>
        <w:spacing w:line="520" w:lineRule="exact"/>
        <w:ind w:firstLine="480" w:firstLineChars="200"/>
        <w:outlineLvl w:val="5"/>
        <w:rPr>
          <w:sz w:val="24"/>
          <w:szCs w:val="24"/>
        </w:rPr>
      </w:pPr>
      <w:r>
        <w:rPr>
          <w:sz w:val="24"/>
          <w:szCs w:val="24"/>
        </w:rPr>
        <w:t>（2）施工废水</w:t>
      </w:r>
    </w:p>
    <w:p>
      <w:pPr>
        <w:spacing w:line="520" w:lineRule="exact"/>
        <w:ind w:firstLine="480" w:firstLineChars="200"/>
        <w:rPr>
          <w:sz w:val="24"/>
          <w:szCs w:val="24"/>
        </w:rPr>
      </w:pPr>
      <w:r>
        <w:rPr>
          <w:sz w:val="24"/>
          <w:szCs w:val="24"/>
        </w:rPr>
        <w:t>施工废水主要产生于混凝土养护及墙面的冲洗、构件与建筑材料的保湿等施工工序，废水主要污染物为泥沙、悬浮物等。施工期可在场区设置沉淀池，施工废水经</w:t>
      </w:r>
      <w:r>
        <w:rPr>
          <w:rFonts w:hint="eastAsia"/>
          <w:sz w:val="24"/>
          <w:szCs w:val="24"/>
        </w:rPr>
        <w:t>临时</w:t>
      </w:r>
      <w:r>
        <w:rPr>
          <w:sz w:val="24"/>
          <w:szCs w:val="24"/>
        </w:rPr>
        <w:t>沉淀池处理后回用于施工现场，综合利用，不外排。</w:t>
      </w:r>
    </w:p>
    <w:p>
      <w:pPr>
        <w:spacing w:line="520" w:lineRule="exact"/>
        <w:ind w:firstLine="482" w:firstLineChars="200"/>
        <w:outlineLvl w:val="4"/>
        <w:rPr>
          <w:b/>
          <w:bCs/>
          <w:sz w:val="24"/>
          <w:szCs w:val="24"/>
        </w:rPr>
      </w:pPr>
      <w:r>
        <w:rPr>
          <w:rFonts w:hint="eastAsia"/>
          <w:b/>
          <w:bCs/>
          <w:sz w:val="24"/>
          <w:szCs w:val="24"/>
        </w:rPr>
        <w:t>三</w:t>
      </w:r>
      <w:r>
        <w:rPr>
          <w:b/>
          <w:bCs/>
          <w:sz w:val="24"/>
          <w:szCs w:val="24"/>
        </w:rPr>
        <w:t>、噪声污染</w:t>
      </w:r>
    </w:p>
    <w:p>
      <w:pPr>
        <w:spacing w:line="520" w:lineRule="exact"/>
        <w:ind w:firstLine="480" w:firstLineChars="200"/>
        <w:rPr>
          <w:sz w:val="24"/>
          <w:szCs w:val="24"/>
        </w:rPr>
      </w:pPr>
      <w:r>
        <w:rPr>
          <w:sz w:val="24"/>
          <w:szCs w:val="24"/>
        </w:rPr>
        <w:t>施工期间噪声主要是：运输车辆和各种施工机械（如挖掘机、推土机、搅拌机等）产生的噪声，根据有关资料，常见施工机械的噪声级见表3.1-14。</w:t>
      </w:r>
    </w:p>
    <w:p>
      <w:pPr>
        <w:spacing w:line="520" w:lineRule="exact"/>
        <w:ind w:firstLine="480" w:firstLineChars="200"/>
        <w:rPr>
          <w:rFonts w:eastAsia="黑体"/>
          <w:kern w:val="0"/>
          <w:sz w:val="24"/>
          <w:szCs w:val="24"/>
        </w:rPr>
      </w:pPr>
      <w:r>
        <w:rPr>
          <w:rFonts w:eastAsia="黑体"/>
          <w:kern w:val="0"/>
          <w:sz w:val="24"/>
          <w:szCs w:val="24"/>
        </w:rPr>
        <w:t>表3.1-14            施工机械设备噪声值一览表</w:t>
      </w:r>
    </w:p>
    <w:tbl>
      <w:tblPr>
        <w:tblStyle w:val="49"/>
        <w:tblW w:w="879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891"/>
        <w:gridCol w:w="3912"/>
        <w:gridCol w:w="298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6" w:type="pct"/>
            <w:tcBorders>
              <w:top w:val="single" w:color="auto" w:sz="8" w:space="0"/>
              <w:left w:val="single" w:color="auto" w:sz="8" w:space="0"/>
              <w:bottom w:val="single" w:color="auto" w:sz="6" w:space="0"/>
              <w:right w:val="single" w:color="auto" w:sz="6" w:space="0"/>
            </w:tcBorders>
          </w:tcPr>
          <w:p>
            <w:pPr>
              <w:spacing w:line="360" w:lineRule="exact"/>
              <w:jc w:val="center"/>
              <w:rPr>
                <w:b/>
                <w:szCs w:val="21"/>
              </w:rPr>
            </w:pPr>
            <w:r>
              <w:rPr>
                <w:b/>
                <w:szCs w:val="21"/>
              </w:rPr>
              <w:t>序号</w:t>
            </w:r>
          </w:p>
        </w:tc>
        <w:tc>
          <w:tcPr>
            <w:tcW w:w="2225" w:type="pct"/>
            <w:tcBorders>
              <w:top w:val="single" w:color="auto" w:sz="8" w:space="0"/>
              <w:left w:val="single" w:color="auto" w:sz="6" w:space="0"/>
              <w:bottom w:val="single" w:color="auto" w:sz="6" w:space="0"/>
              <w:right w:val="single" w:color="auto" w:sz="6" w:space="0"/>
            </w:tcBorders>
            <w:vAlign w:val="center"/>
          </w:tcPr>
          <w:p>
            <w:pPr>
              <w:spacing w:line="360" w:lineRule="exact"/>
              <w:jc w:val="center"/>
              <w:rPr>
                <w:b/>
                <w:szCs w:val="21"/>
              </w:rPr>
            </w:pPr>
            <w:r>
              <w:rPr>
                <w:b/>
                <w:szCs w:val="21"/>
              </w:rPr>
              <w:t>设备名称</w:t>
            </w:r>
          </w:p>
        </w:tc>
        <w:tc>
          <w:tcPr>
            <w:tcW w:w="1699" w:type="pct"/>
            <w:tcBorders>
              <w:top w:val="single" w:color="auto" w:sz="8" w:space="0"/>
              <w:left w:val="single" w:color="auto" w:sz="6" w:space="0"/>
              <w:bottom w:val="single" w:color="auto" w:sz="6" w:space="0"/>
              <w:right w:val="single" w:color="auto" w:sz="8" w:space="0"/>
            </w:tcBorders>
            <w:vAlign w:val="center"/>
          </w:tcPr>
          <w:p>
            <w:pPr>
              <w:spacing w:line="360" w:lineRule="exact"/>
              <w:jc w:val="center"/>
              <w:rPr>
                <w:b/>
                <w:szCs w:val="21"/>
              </w:rPr>
            </w:pPr>
            <w:r>
              <w:rPr>
                <w:b/>
                <w:szCs w:val="21"/>
              </w:rPr>
              <w:t>噪声级dB(A)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6" w:type="pct"/>
            <w:tcBorders>
              <w:top w:val="single" w:color="auto" w:sz="6" w:space="0"/>
              <w:left w:val="single" w:color="auto" w:sz="8" w:space="0"/>
              <w:bottom w:val="single" w:color="auto" w:sz="6" w:space="0"/>
              <w:right w:val="single" w:color="auto" w:sz="6" w:space="0"/>
            </w:tcBorders>
          </w:tcPr>
          <w:p>
            <w:pPr>
              <w:spacing w:line="360" w:lineRule="exact"/>
              <w:jc w:val="center"/>
              <w:rPr>
                <w:szCs w:val="21"/>
              </w:rPr>
            </w:pPr>
            <w:r>
              <w:rPr>
                <w:szCs w:val="21"/>
              </w:rPr>
              <w:t>1</w:t>
            </w:r>
          </w:p>
        </w:tc>
        <w:tc>
          <w:tcPr>
            <w:tcW w:w="222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szCs w:val="21"/>
              </w:rPr>
            </w:pPr>
            <w:r>
              <w:rPr>
                <w:szCs w:val="21"/>
              </w:rPr>
              <w:t>压路机</w:t>
            </w:r>
          </w:p>
        </w:tc>
        <w:tc>
          <w:tcPr>
            <w:tcW w:w="1699" w:type="pct"/>
            <w:tcBorders>
              <w:top w:val="single" w:color="auto" w:sz="6" w:space="0"/>
              <w:left w:val="single" w:color="auto" w:sz="6" w:space="0"/>
              <w:bottom w:val="single" w:color="auto" w:sz="6" w:space="0"/>
              <w:right w:val="single" w:color="auto" w:sz="8" w:space="0"/>
            </w:tcBorders>
            <w:vAlign w:val="center"/>
          </w:tcPr>
          <w:p>
            <w:pPr>
              <w:spacing w:line="360" w:lineRule="exact"/>
              <w:jc w:val="center"/>
              <w:rPr>
                <w:szCs w:val="21"/>
              </w:rPr>
            </w:pPr>
            <w:r>
              <w:rPr>
                <w:szCs w:val="21"/>
              </w:rPr>
              <w:t>75-88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6" w:type="pct"/>
            <w:tcBorders>
              <w:top w:val="single" w:color="auto" w:sz="6" w:space="0"/>
              <w:left w:val="single" w:color="auto" w:sz="8" w:space="0"/>
              <w:bottom w:val="single" w:color="auto" w:sz="6" w:space="0"/>
              <w:right w:val="single" w:color="auto" w:sz="6" w:space="0"/>
            </w:tcBorders>
          </w:tcPr>
          <w:p>
            <w:pPr>
              <w:spacing w:line="360" w:lineRule="exact"/>
              <w:jc w:val="center"/>
              <w:rPr>
                <w:szCs w:val="21"/>
              </w:rPr>
            </w:pPr>
            <w:r>
              <w:rPr>
                <w:szCs w:val="21"/>
              </w:rPr>
              <w:t>2</w:t>
            </w:r>
          </w:p>
        </w:tc>
        <w:tc>
          <w:tcPr>
            <w:tcW w:w="222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szCs w:val="21"/>
              </w:rPr>
            </w:pPr>
            <w:r>
              <w:rPr>
                <w:szCs w:val="21"/>
              </w:rPr>
              <w:t>前斗式装料机</w:t>
            </w:r>
          </w:p>
        </w:tc>
        <w:tc>
          <w:tcPr>
            <w:tcW w:w="1699" w:type="pct"/>
            <w:tcBorders>
              <w:top w:val="single" w:color="auto" w:sz="6" w:space="0"/>
              <w:left w:val="single" w:color="auto" w:sz="6" w:space="0"/>
              <w:bottom w:val="single" w:color="auto" w:sz="6" w:space="0"/>
              <w:right w:val="single" w:color="auto" w:sz="8" w:space="0"/>
            </w:tcBorders>
            <w:vAlign w:val="center"/>
          </w:tcPr>
          <w:p>
            <w:pPr>
              <w:spacing w:line="360" w:lineRule="exact"/>
              <w:jc w:val="center"/>
              <w:rPr>
                <w:szCs w:val="21"/>
              </w:rPr>
            </w:pPr>
            <w:r>
              <w:rPr>
                <w:szCs w:val="21"/>
              </w:rPr>
              <w:t>72-96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6" w:type="pct"/>
            <w:tcBorders>
              <w:top w:val="single" w:color="auto" w:sz="6" w:space="0"/>
              <w:left w:val="single" w:color="auto" w:sz="8" w:space="0"/>
              <w:bottom w:val="single" w:color="auto" w:sz="6" w:space="0"/>
              <w:right w:val="single" w:color="auto" w:sz="6" w:space="0"/>
            </w:tcBorders>
          </w:tcPr>
          <w:p>
            <w:pPr>
              <w:spacing w:line="360" w:lineRule="exact"/>
              <w:jc w:val="center"/>
              <w:rPr>
                <w:szCs w:val="21"/>
              </w:rPr>
            </w:pPr>
            <w:r>
              <w:rPr>
                <w:szCs w:val="21"/>
              </w:rPr>
              <w:t>3</w:t>
            </w:r>
          </w:p>
        </w:tc>
        <w:tc>
          <w:tcPr>
            <w:tcW w:w="222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szCs w:val="21"/>
              </w:rPr>
            </w:pPr>
            <w:r>
              <w:rPr>
                <w:szCs w:val="21"/>
              </w:rPr>
              <w:t>挖掘机</w:t>
            </w:r>
          </w:p>
        </w:tc>
        <w:tc>
          <w:tcPr>
            <w:tcW w:w="1699" w:type="pct"/>
            <w:tcBorders>
              <w:top w:val="single" w:color="auto" w:sz="6" w:space="0"/>
              <w:left w:val="single" w:color="auto" w:sz="6" w:space="0"/>
              <w:bottom w:val="single" w:color="auto" w:sz="6" w:space="0"/>
              <w:right w:val="single" w:color="auto" w:sz="8" w:space="0"/>
            </w:tcBorders>
            <w:vAlign w:val="center"/>
          </w:tcPr>
          <w:p>
            <w:pPr>
              <w:spacing w:line="360" w:lineRule="exact"/>
              <w:jc w:val="center"/>
              <w:rPr>
                <w:szCs w:val="21"/>
              </w:rPr>
            </w:pPr>
            <w:r>
              <w:rPr>
                <w:rFonts w:hint="eastAsia"/>
                <w:szCs w:val="21"/>
              </w:rPr>
              <w:t>8</w:t>
            </w:r>
            <w:r>
              <w:rPr>
                <w:szCs w:val="21"/>
              </w:rPr>
              <w:t>0-85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6" w:type="pct"/>
            <w:tcBorders>
              <w:top w:val="single" w:color="auto" w:sz="6" w:space="0"/>
              <w:left w:val="single" w:color="auto" w:sz="8" w:space="0"/>
              <w:bottom w:val="single" w:color="auto" w:sz="6" w:space="0"/>
              <w:right w:val="single" w:color="auto" w:sz="6" w:space="0"/>
            </w:tcBorders>
          </w:tcPr>
          <w:p>
            <w:pPr>
              <w:spacing w:line="360" w:lineRule="exact"/>
              <w:jc w:val="center"/>
              <w:rPr>
                <w:szCs w:val="21"/>
              </w:rPr>
            </w:pPr>
            <w:r>
              <w:rPr>
                <w:szCs w:val="21"/>
              </w:rPr>
              <w:t>4</w:t>
            </w:r>
          </w:p>
        </w:tc>
        <w:tc>
          <w:tcPr>
            <w:tcW w:w="222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szCs w:val="21"/>
              </w:rPr>
            </w:pPr>
            <w:r>
              <w:rPr>
                <w:szCs w:val="21"/>
              </w:rPr>
              <w:t>推土机</w:t>
            </w:r>
          </w:p>
        </w:tc>
        <w:tc>
          <w:tcPr>
            <w:tcW w:w="1699" w:type="pct"/>
            <w:tcBorders>
              <w:top w:val="single" w:color="auto" w:sz="6" w:space="0"/>
              <w:left w:val="single" w:color="auto" w:sz="6" w:space="0"/>
              <w:bottom w:val="single" w:color="auto" w:sz="6" w:space="0"/>
              <w:right w:val="single" w:color="auto" w:sz="8" w:space="0"/>
            </w:tcBorders>
            <w:vAlign w:val="center"/>
          </w:tcPr>
          <w:p>
            <w:pPr>
              <w:spacing w:line="360" w:lineRule="exact"/>
              <w:jc w:val="center"/>
              <w:rPr>
                <w:szCs w:val="21"/>
              </w:rPr>
            </w:pPr>
            <w:r>
              <w:rPr>
                <w:szCs w:val="21"/>
              </w:rPr>
              <w:t>80-90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6" w:type="pct"/>
            <w:tcBorders>
              <w:top w:val="single" w:color="auto" w:sz="6" w:space="0"/>
              <w:left w:val="single" w:color="auto" w:sz="8" w:space="0"/>
              <w:bottom w:val="single" w:color="auto" w:sz="6" w:space="0"/>
              <w:right w:val="single" w:color="auto" w:sz="6" w:space="0"/>
            </w:tcBorders>
          </w:tcPr>
          <w:p>
            <w:pPr>
              <w:spacing w:line="360" w:lineRule="exact"/>
              <w:jc w:val="center"/>
              <w:rPr>
                <w:szCs w:val="21"/>
              </w:rPr>
            </w:pPr>
            <w:r>
              <w:rPr>
                <w:szCs w:val="21"/>
              </w:rPr>
              <w:t>5</w:t>
            </w:r>
          </w:p>
        </w:tc>
        <w:tc>
          <w:tcPr>
            <w:tcW w:w="222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szCs w:val="21"/>
              </w:rPr>
            </w:pPr>
            <w:r>
              <w:rPr>
                <w:szCs w:val="21"/>
              </w:rPr>
              <w:t>钻土机</w:t>
            </w:r>
          </w:p>
        </w:tc>
        <w:tc>
          <w:tcPr>
            <w:tcW w:w="1699" w:type="pct"/>
            <w:tcBorders>
              <w:top w:val="single" w:color="auto" w:sz="6" w:space="0"/>
              <w:left w:val="single" w:color="auto" w:sz="6" w:space="0"/>
              <w:bottom w:val="single" w:color="auto" w:sz="6" w:space="0"/>
              <w:right w:val="single" w:color="auto" w:sz="8" w:space="0"/>
            </w:tcBorders>
            <w:vAlign w:val="center"/>
          </w:tcPr>
          <w:p>
            <w:pPr>
              <w:spacing w:line="360" w:lineRule="exact"/>
              <w:jc w:val="center"/>
              <w:rPr>
                <w:szCs w:val="21"/>
              </w:rPr>
            </w:pPr>
            <w:r>
              <w:rPr>
                <w:szCs w:val="21"/>
              </w:rPr>
              <w:t>85-98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6" w:type="pct"/>
            <w:tcBorders>
              <w:top w:val="single" w:color="auto" w:sz="6" w:space="0"/>
              <w:left w:val="single" w:color="auto" w:sz="8" w:space="0"/>
              <w:bottom w:val="single" w:color="auto" w:sz="6" w:space="0"/>
              <w:right w:val="single" w:color="auto" w:sz="6" w:space="0"/>
            </w:tcBorders>
          </w:tcPr>
          <w:p>
            <w:pPr>
              <w:spacing w:line="360" w:lineRule="exact"/>
              <w:jc w:val="center"/>
              <w:rPr>
                <w:szCs w:val="21"/>
              </w:rPr>
            </w:pPr>
            <w:r>
              <w:rPr>
                <w:szCs w:val="21"/>
              </w:rPr>
              <w:t>6</w:t>
            </w:r>
          </w:p>
        </w:tc>
        <w:tc>
          <w:tcPr>
            <w:tcW w:w="222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szCs w:val="21"/>
              </w:rPr>
            </w:pPr>
            <w:r>
              <w:rPr>
                <w:szCs w:val="21"/>
              </w:rPr>
              <w:t>平土机</w:t>
            </w:r>
          </w:p>
        </w:tc>
        <w:tc>
          <w:tcPr>
            <w:tcW w:w="1699" w:type="pct"/>
            <w:tcBorders>
              <w:top w:val="single" w:color="auto" w:sz="6" w:space="0"/>
              <w:left w:val="single" w:color="auto" w:sz="6" w:space="0"/>
              <w:bottom w:val="single" w:color="auto" w:sz="6" w:space="0"/>
              <w:right w:val="single" w:color="auto" w:sz="8" w:space="0"/>
            </w:tcBorders>
            <w:vAlign w:val="center"/>
          </w:tcPr>
          <w:p>
            <w:pPr>
              <w:spacing w:line="360" w:lineRule="exact"/>
              <w:jc w:val="center"/>
              <w:rPr>
                <w:szCs w:val="21"/>
              </w:rPr>
            </w:pPr>
            <w:r>
              <w:rPr>
                <w:szCs w:val="21"/>
              </w:rPr>
              <w:t>85-95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6" w:type="pct"/>
            <w:tcBorders>
              <w:top w:val="single" w:color="auto" w:sz="6" w:space="0"/>
              <w:left w:val="single" w:color="auto" w:sz="8" w:space="0"/>
              <w:bottom w:val="single" w:color="auto" w:sz="6" w:space="0"/>
              <w:right w:val="single" w:color="auto" w:sz="6" w:space="0"/>
            </w:tcBorders>
          </w:tcPr>
          <w:p>
            <w:pPr>
              <w:spacing w:line="360" w:lineRule="exact"/>
              <w:jc w:val="center"/>
              <w:rPr>
                <w:szCs w:val="21"/>
              </w:rPr>
            </w:pPr>
            <w:r>
              <w:rPr>
                <w:szCs w:val="21"/>
              </w:rPr>
              <w:t>7</w:t>
            </w:r>
          </w:p>
        </w:tc>
        <w:tc>
          <w:tcPr>
            <w:tcW w:w="222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szCs w:val="21"/>
              </w:rPr>
            </w:pPr>
            <w:r>
              <w:rPr>
                <w:szCs w:val="21"/>
              </w:rPr>
              <w:t>铺路机</w:t>
            </w:r>
          </w:p>
        </w:tc>
        <w:tc>
          <w:tcPr>
            <w:tcW w:w="1699" w:type="pct"/>
            <w:tcBorders>
              <w:top w:val="single" w:color="auto" w:sz="6" w:space="0"/>
              <w:left w:val="single" w:color="auto" w:sz="6" w:space="0"/>
              <w:bottom w:val="single" w:color="auto" w:sz="6" w:space="0"/>
              <w:right w:val="single" w:color="auto" w:sz="8" w:space="0"/>
            </w:tcBorders>
            <w:vAlign w:val="center"/>
          </w:tcPr>
          <w:p>
            <w:pPr>
              <w:spacing w:line="360" w:lineRule="exact"/>
              <w:jc w:val="center"/>
              <w:rPr>
                <w:szCs w:val="21"/>
              </w:rPr>
            </w:pPr>
            <w:r>
              <w:rPr>
                <w:szCs w:val="21"/>
              </w:rPr>
              <w:t>82-92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6" w:type="pct"/>
            <w:tcBorders>
              <w:top w:val="single" w:color="auto" w:sz="6" w:space="0"/>
              <w:left w:val="single" w:color="auto" w:sz="8" w:space="0"/>
              <w:bottom w:val="single" w:color="auto" w:sz="6" w:space="0"/>
              <w:right w:val="single" w:color="auto" w:sz="6" w:space="0"/>
            </w:tcBorders>
          </w:tcPr>
          <w:p>
            <w:pPr>
              <w:spacing w:line="360" w:lineRule="exact"/>
              <w:jc w:val="center"/>
              <w:rPr>
                <w:szCs w:val="21"/>
              </w:rPr>
            </w:pPr>
            <w:r>
              <w:rPr>
                <w:szCs w:val="21"/>
              </w:rPr>
              <w:t>8</w:t>
            </w:r>
          </w:p>
        </w:tc>
        <w:tc>
          <w:tcPr>
            <w:tcW w:w="222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szCs w:val="21"/>
              </w:rPr>
            </w:pPr>
            <w:r>
              <w:rPr>
                <w:szCs w:val="21"/>
              </w:rPr>
              <w:t>卡车</w:t>
            </w:r>
          </w:p>
        </w:tc>
        <w:tc>
          <w:tcPr>
            <w:tcW w:w="1699" w:type="pct"/>
            <w:tcBorders>
              <w:top w:val="single" w:color="auto" w:sz="6" w:space="0"/>
              <w:left w:val="single" w:color="auto" w:sz="6" w:space="0"/>
              <w:bottom w:val="single" w:color="auto" w:sz="6" w:space="0"/>
              <w:right w:val="single" w:color="auto" w:sz="8" w:space="0"/>
            </w:tcBorders>
            <w:vAlign w:val="center"/>
          </w:tcPr>
          <w:p>
            <w:pPr>
              <w:spacing w:line="360" w:lineRule="exact"/>
              <w:jc w:val="center"/>
              <w:rPr>
                <w:szCs w:val="21"/>
              </w:rPr>
            </w:pPr>
            <w:r>
              <w:rPr>
                <w:szCs w:val="21"/>
              </w:rPr>
              <w:t>93-98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6" w:type="pct"/>
            <w:tcBorders>
              <w:top w:val="single" w:color="auto" w:sz="6" w:space="0"/>
              <w:left w:val="single" w:color="auto" w:sz="8" w:space="0"/>
              <w:bottom w:val="single" w:color="auto" w:sz="6" w:space="0"/>
              <w:right w:val="single" w:color="auto" w:sz="6" w:space="0"/>
            </w:tcBorders>
          </w:tcPr>
          <w:p>
            <w:pPr>
              <w:spacing w:line="360" w:lineRule="exact"/>
              <w:jc w:val="center"/>
              <w:rPr>
                <w:szCs w:val="21"/>
              </w:rPr>
            </w:pPr>
            <w:r>
              <w:rPr>
                <w:szCs w:val="21"/>
              </w:rPr>
              <w:t>9</w:t>
            </w:r>
          </w:p>
        </w:tc>
        <w:tc>
          <w:tcPr>
            <w:tcW w:w="222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szCs w:val="21"/>
              </w:rPr>
            </w:pPr>
            <w:r>
              <w:rPr>
                <w:szCs w:val="21"/>
              </w:rPr>
              <w:t>混凝土搅拌机</w:t>
            </w:r>
          </w:p>
        </w:tc>
        <w:tc>
          <w:tcPr>
            <w:tcW w:w="1699" w:type="pct"/>
            <w:tcBorders>
              <w:top w:val="single" w:color="auto" w:sz="6" w:space="0"/>
              <w:left w:val="single" w:color="auto" w:sz="6" w:space="0"/>
              <w:bottom w:val="single" w:color="auto" w:sz="6" w:space="0"/>
              <w:right w:val="single" w:color="auto" w:sz="8" w:space="0"/>
            </w:tcBorders>
            <w:vAlign w:val="center"/>
          </w:tcPr>
          <w:p>
            <w:pPr>
              <w:spacing w:line="360" w:lineRule="exact"/>
              <w:jc w:val="center"/>
              <w:rPr>
                <w:szCs w:val="21"/>
              </w:rPr>
            </w:pPr>
            <w:r>
              <w:rPr>
                <w:szCs w:val="21"/>
              </w:rPr>
              <w:t>85-93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6" w:type="pct"/>
            <w:tcBorders>
              <w:top w:val="single" w:color="auto" w:sz="6" w:space="0"/>
              <w:left w:val="single" w:color="auto" w:sz="8" w:space="0"/>
              <w:bottom w:val="single" w:color="auto" w:sz="6" w:space="0"/>
              <w:right w:val="single" w:color="auto" w:sz="6" w:space="0"/>
            </w:tcBorders>
          </w:tcPr>
          <w:p>
            <w:pPr>
              <w:spacing w:line="360" w:lineRule="exact"/>
              <w:jc w:val="center"/>
              <w:rPr>
                <w:szCs w:val="21"/>
              </w:rPr>
            </w:pPr>
            <w:r>
              <w:rPr>
                <w:szCs w:val="21"/>
              </w:rPr>
              <w:t>10</w:t>
            </w:r>
          </w:p>
        </w:tc>
        <w:tc>
          <w:tcPr>
            <w:tcW w:w="2225"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szCs w:val="21"/>
              </w:rPr>
            </w:pPr>
            <w:r>
              <w:rPr>
                <w:szCs w:val="21"/>
              </w:rPr>
              <w:t>振捣器</w:t>
            </w:r>
          </w:p>
        </w:tc>
        <w:tc>
          <w:tcPr>
            <w:tcW w:w="1699" w:type="pct"/>
            <w:tcBorders>
              <w:top w:val="single" w:color="auto" w:sz="6" w:space="0"/>
              <w:left w:val="single" w:color="auto" w:sz="6" w:space="0"/>
              <w:bottom w:val="single" w:color="auto" w:sz="6" w:space="0"/>
              <w:right w:val="single" w:color="auto" w:sz="8" w:space="0"/>
            </w:tcBorders>
            <w:vAlign w:val="center"/>
          </w:tcPr>
          <w:p>
            <w:pPr>
              <w:spacing w:line="360" w:lineRule="exact"/>
              <w:jc w:val="center"/>
              <w:rPr>
                <w:szCs w:val="21"/>
              </w:rPr>
            </w:pPr>
            <w:r>
              <w:rPr>
                <w:szCs w:val="21"/>
              </w:rPr>
              <w:t>100-105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76" w:type="pct"/>
            <w:tcBorders>
              <w:top w:val="single" w:color="auto" w:sz="6" w:space="0"/>
              <w:left w:val="single" w:color="auto" w:sz="8" w:space="0"/>
              <w:bottom w:val="single" w:color="auto" w:sz="8" w:space="0"/>
              <w:right w:val="single" w:color="auto" w:sz="6" w:space="0"/>
            </w:tcBorders>
          </w:tcPr>
          <w:p>
            <w:pPr>
              <w:spacing w:line="360" w:lineRule="exact"/>
              <w:jc w:val="center"/>
              <w:rPr>
                <w:szCs w:val="21"/>
              </w:rPr>
            </w:pPr>
            <w:r>
              <w:rPr>
                <w:szCs w:val="21"/>
              </w:rPr>
              <w:t>11</w:t>
            </w:r>
          </w:p>
        </w:tc>
        <w:tc>
          <w:tcPr>
            <w:tcW w:w="2225" w:type="pct"/>
            <w:tcBorders>
              <w:top w:val="single" w:color="auto" w:sz="6" w:space="0"/>
              <w:left w:val="single" w:color="auto" w:sz="6" w:space="0"/>
              <w:bottom w:val="single" w:color="auto" w:sz="8" w:space="0"/>
              <w:right w:val="single" w:color="auto" w:sz="6" w:space="0"/>
            </w:tcBorders>
            <w:vAlign w:val="center"/>
          </w:tcPr>
          <w:p>
            <w:pPr>
              <w:spacing w:line="360" w:lineRule="exact"/>
              <w:jc w:val="center"/>
              <w:rPr>
                <w:szCs w:val="21"/>
              </w:rPr>
            </w:pPr>
            <w:r>
              <w:rPr>
                <w:szCs w:val="21"/>
              </w:rPr>
              <w:t>夯土机</w:t>
            </w:r>
          </w:p>
        </w:tc>
        <w:tc>
          <w:tcPr>
            <w:tcW w:w="1699" w:type="pct"/>
            <w:tcBorders>
              <w:top w:val="single" w:color="auto" w:sz="6" w:space="0"/>
              <w:left w:val="single" w:color="auto" w:sz="6" w:space="0"/>
              <w:bottom w:val="single" w:color="auto" w:sz="8" w:space="0"/>
              <w:right w:val="single" w:color="auto" w:sz="8" w:space="0"/>
            </w:tcBorders>
            <w:vAlign w:val="center"/>
          </w:tcPr>
          <w:p>
            <w:pPr>
              <w:spacing w:line="360" w:lineRule="exact"/>
              <w:jc w:val="center"/>
              <w:rPr>
                <w:szCs w:val="21"/>
              </w:rPr>
            </w:pPr>
            <w:r>
              <w:rPr>
                <w:szCs w:val="21"/>
              </w:rPr>
              <w:t>94-110</w:t>
            </w:r>
          </w:p>
        </w:tc>
      </w:tr>
    </w:tbl>
    <w:p>
      <w:pPr>
        <w:spacing w:line="520" w:lineRule="exact"/>
        <w:ind w:firstLine="480" w:firstLineChars="200"/>
        <w:rPr>
          <w:sz w:val="24"/>
          <w:szCs w:val="24"/>
        </w:rPr>
      </w:pPr>
      <w:r>
        <w:rPr>
          <w:sz w:val="24"/>
          <w:szCs w:val="24"/>
        </w:rPr>
        <w:t>由上表可知，各类机械施工的噪声级均比较大，加之人为噪声及其它施工声响，</w:t>
      </w:r>
      <w:r>
        <w:rPr>
          <w:rFonts w:hint="eastAsia"/>
          <w:sz w:val="24"/>
          <w:szCs w:val="24"/>
        </w:rPr>
        <w:t>工程施工时会对周边局面产生一定的影响。但是施工期结束后，影响也会随之结束，仅在短期内对周边环境产生影响。为尽可能减少施工期噪声对周边环境及敏感点的影响，建设单位在施工期间必须严格遵守相关规定，施工期采取的噪声控制措施汇总如下：</w:t>
      </w:r>
    </w:p>
    <w:p>
      <w:pPr>
        <w:spacing w:line="520" w:lineRule="exact"/>
        <w:ind w:firstLine="480" w:firstLineChars="200"/>
        <w:rPr>
          <w:sz w:val="24"/>
          <w:szCs w:val="24"/>
        </w:rPr>
      </w:pPr>
      <w:r>
        <w:rPr>
          <w:rFonts w:hint="eastAsia"/>
          <w:sz w:val="24"/>
          <w:szCs w:val="24"/>
        </w:rPr>
        <w:t>（</w:t>
      </w:r>
      <w:r>
        <w:rPr>
          <w:sz w:val="24"/>
          <w:szCs w:val="24"/>
        </w:rPr>
        <w:t>1</w:t>
      </w:r>
      <w:r>
        <w:rPr>
          <w:rFonts w:hint="eastAsia"/>
          <w:sz w:val="24"/>
          <w:szCs w:val="24"/>
        </w:rPr>
        <w:t>）合理安排施工时间：制订施工计划时，应尽可能避免大量的高噪声设备同时施工，避开周围环境对噪声的敏感时间，严禁夜间（</w:t>
      </w:r>
      <w:r>
        <w:rPr>
          <w:sz w:val="24"/>
          <w:szCs w:val="24"/>
        </w:rPr>
        <w:t>22</w:t>
      </w:r>
      <w:r>
        <w:rPr>
          <w:rFonts w:hint="eastAsia"/>
          <w:sz w:val="24"/>
          <w:szCs w:val="24"/>
        </w:rPr>
        <w:t>:</w:t>
      </w:r>
      <w:r>
        <w:rPr>
          <w:sz w:val="24"/>
          <w:szCs w:val="24"/>
        </w:rPr>
        <w:t>00</w:t>
      </w:r>
      <w:r>
        <w:rPr>
          <w:rFonts w:hint="eastAsia"/>
          <w:sz w:val="24"/>
          <w:szCs w:val="24"/>
        </w:rPr>
        <w:t>至</w:t>
      </w:r>
      <w:r>
        <w:rPr>
          <w:sz w:val="24"/>
          <w:szCs w:val="24"/>
        </w:rPr>
        <w:t>06</w:t>
      </w:r>
      <w:r>
        <w:rPr>
          <w:rFonts w:hint="eastAsia"/>
          <w:sz w:val="24"/>
          <w:szCs w:val="24"/>
        </w:rPr>
        <w:t>:</w:t>
      </w:r>
      <w:r>
        <w:rPr>
          <w:sz w:val="24"/>
          <w:szCs w:val="24"/>
        </w:rPr>
        <w:t>00</w:t>
      </w:r>
      <w:r>
        <w:rPr>
          <w:rFonts w:hint="eastAsia"/>
          <w:sz w:val="24"/>
          <w:szCs w:val="24"/>
        </w:rPr>
        <w:t>）施工。加快施工进度，缩短整个工期。距离现有敏感点较近施工时，应选用低噪声机械设备或带隔声、消声的设备，严格控制施工时间，夜间严禁施工，设置临时隔声屏障，并控制运输车辆不得在靠近敏感区的位置鸣笛，以减少噪声对敏感点的影响。</w:t>
      </w:r>
    </w:p>
    <w:p>
      <w:pPr>
        <w:spacing w:line="520" w:lineRule="exact"/>
        <w:ind w:firstLine="480" w:firstLineChars="200"/>
        <w:rPr>
          <w:sz w:val="24"/>
          <w:szCs w:val="24"/>
        </w:rPr>
      </w:pPr>
      <w:r>
        <w:rPr>
          <w:rFonts w:hint="eastAsia"/>
          <w:sz w:val="24"/>
          <w:szCs w:val="24"/>
        </w:rPr>
        <w:t>（</w:t>
      </w:r>
      <w:r>
        <w:rPr>
          <w:sz w:val="24"/>
          <w:szCs w:val="24"/>
        </w:rPr>
        <w:t>2</w:t>
      </w:r>
      <w:r>
        <w:rPr>
          <w:rFonts w:hint="eastAsia"/>
          <w:sz w:val="24"/>
          <w:szCs w:val="24"/>
        </w:rPr>
        <w:t>）合理布局施工场地：将施工场地设置在远离敏感目标的一侧，避免对近距离敏感目标产生较大影响，并设置临时隔声屏障，减少污染。</w:t>
      </w:r>
    </w:p>
    <w:p>
      <w:pPr>
        <w:spacing w:line="520" w:lineRule="exact"/>
        <w:ind w:firstLine="480" w:firstLineChars="200"/>
        <w:rPr>
          <w:sz w:val="24"/>
          <w:szCs w:val="24"/>
        </w:rPr>
      </w:pPr>
      <w:r>
        <w:rPr>
          <w:rFonts w:hint="eastAsia"/>
          <w:sz w:val="24"/>
          <w:szCs w:val="24"/>
        </w:rPr>
        <w:t>（</w:t>
      </w:r>
      <w:r>
        <w:rPr>
          <w:sz w:val="24"/>
          <w:szCs w:val="24"/>
        </w:rPr>
        <w:t>3</w:t>
      </w:r>
      <w:r>
        <w:rPr>
          <w:rFonts w:hint="eastAsia"/>
          <w:sz w:val="24"/>
          <w:szCs w:val="24"/>
        </w:rPr>
        <w:t>）降低设备声级：设备选型上尽量采用低噪声设备；可通过排气管消音器和隔离发动机振动部件的方法降低噪声；对动力机械设备进行维修、养护，减少易松动部件的振动所造成的噪声；闲置不用的设备应立即关闭；运输车辆进入现场应减速，并减少鸣笛。</w:t>
      </w:r>
    </w:p>
    <w:p>
      <w:pPr>
        <w:spacing w:line="520" w:lineRule="exact"/>
        <w:ind w:firstLine="480" w:firstLineChars="200"/>
        <w:rPr>
          <w:sz w:val="24"/>
          <w:szCs w:val="24"/>
        </w:rPr>
      </w:pPr>
      <w:r>
        <w:rPr>
          <w:rFonts w:hint="eastAsia"/>
          <w:sz w:val="24"/>
          <w:szCs w:val="24"/>
        </w:rPr>
        <w:t>（</w:t>
      </w:r>
      <w:r>
        <w:rPr>
          <w:sz w:val="24"/>
          <w:szCs w:val="24"/>
        </w:rPr>
        <w:t>4</w:t>
      </w:r>
      <w:r>
        <w:rPr>
          <w:rFonts w:hint="eastAsia"/>
          <w:sz w:val="24"/>
          <w:szCs w:val="24"/>
        </w:rPr>
        <w:t>）建立临时声障：对位置相对固定的机械设备，能于棚内操作的尽量进入操作间，可在施工场地周围设置临时声屏障（声屏障高度不低于1</w:t>
      </w:r>
      <w:r>
        <w:rPr>
          <w:sz w:val="24"/>
          <w:szCs w:val="24"/>
        </w:rPr>
        <w:t>.8m</w:t>
      </w:r>
      <w:r>
        <w:rPr>
          <w:rFonts w:hint="eastAsia"/>
          <w:sz w:val="24"/>
          <w:szCs w:val="24"/>
        </w:rPr>
        <w:t>），削减施工噪声。</w:t>
      </w:r>
    </w:p>
    <w:p>
      <w:pPr>
        <w:spacing w:line="520" w:lineRule="exact"/>
        <w:ind w:firstLine="482" w:firstLineChars="200"/>
        <w:outlineLvl w:val="4"/>
        <w:rPr>
          <w:b/>
          <w:bCs/>
          <w:sz w:val="24"/>
          <w:szCs w:val="24"/>
        </w:rPr>
      </w:pPr>
      <w:r>
        <w:rPr>
          <w:rFonts w:hint="eastAsia"/>
          <w:b/>
          <w:bCs/>
          <w:sz w:val="24"/>
          <w:szCs w:val="24"/>
        </w:rPr>
        <w:t>四</w:t>
      </w:r>
      <w:r>
        <w:rPr>
          <w:b/>
          <w:bCs/>
          <w:sz w:val="24"/>
          <w:szCs w:val="24"/>
        </w:rPr>
        <w:t>、固体废物</w:t>
      </w:r>
    </w:p>
    <w:p>
      <w:pPr>
        <w:spacing w:line="520" w:lineRule="exact"/>
        <w:ind w:firstLine="480" w:firstLineChars="200"/>
        <w:rPr>
          <w:sz w:val="24"/>
          <w:szCs w:val="24"/>
        </w:rPr>
      </w:pPr>
      <w:r>
        <w:rPr>
          <w:sz w:val="24"/>
          <w:szCs w:val="24"/>
        </w:rPr>
        <w:t>本项目施工活动较为简单，施工期固废主要为施工工程产生的建筑垃圾、施工人员产生的生活垃圾。</w:t>
      </w:r>
    </w:p>
    <w:p>
      <w:pPr>
        <w:spacing w:line="520" w:lineRule="exact"/>
        <w:ind w:firstLine="480" w:firstLineChars="200"/>
        <w:outlineLvl w:val="5"/>
        <w:rPr>
          <w:sz w:val="24"/>
          <w:szCs w:val="24"/>
        </w:rPr>
      </w:pPr>
      <w:r>
        <w:rPr>
          <w:sz w:val="24"/>
          <w:szCs w:val="24"/>
        </w:rPr>
        <w:t>（1）建筑垃圾</w:t>
      </w:r>
    </w:p>
    <w:p>
      <w:pPr>
        <w:spacing w:line="520" w:lineRule="exact"/>
        <w:ind w:firstLine="480" w:firstLineChars="200"/>
        <w:rPr>
          <w:sz w:val="24"/>
          <w:szCs w:val="24"/>
          <w:highlight w:val="yellow"/>
        </w:rPr>
      </w:pPr>
      <w:r>
        <w:rPr>
          <w:sz w:val="24"/>
          <w:szCs w:val="24"/>
        </w:rPr>
        <w:t>施工建筑垃圾主要有开挖土地产生的土方、建材损耗产生的垃圾、装修产生的建筑垃圾。根据有关资料，建筑垃圾产生系数为1.3t/100m</w:t>
      </w:r>
      <w:r>
        <w:rPr>
          <w:sz w:val="24"/>
          <w:szCs w:val="24"/>
          <w:vertAlign w:val="superscript"/>
        </w:rPr>
        <w:t>2</w:t>
      </w:r>
      <w:r>
        <w:rPr>
          <w:sz w:val="24"/>
          <w:szCs w:val="24"/>
        </w:rPr>
        <w:t>，本项目总建筑面积</w:t>
      </w:r>
      <w:r>
        <w:rPr>
          <w:rFonts w:hint="eastAsia"/>
          <w:sz w:val="24"/>
          <w:szCs w:val="24"/>
        </w:rPr>
        <w:t>约</w:t>
      </w:r>
      <w:r>
        <w:rPr>
          <w:sz w:val="24"/>
          <w:szCs w:val="24"/>
        </w:rPr>
        <w:t>9</w:t>
      </w:r>
      <w:r>
        <w:rPr>
          <w:rFonts w:hint="eastAsia"/>
          <w:sz w:val="24"/>
          <w:szCs w:val="24"/>
        </w:rPr>
        <w:t>3418.86</w:t>
      </w:r>
      <w:r>
        <w:rPr>
          <w:sz w:val="24"/>
          <w:szCs w:val="24"/>
        </w:rPr>
        <w:t>m</w:t>
      </w:r>
      <w:r>
        <w:rPr>
          <w:sz w:val="24"/>
          <w:szCs w:val="24"/>
          <w:vertAlign w:val="superscript"/>
        </w:rPr>
        <w:t>2</w:t>
      </w:r>
      <w:r>
        <w:rPr>
          <w:sz w:val="24"/>
          <w:szCs w:val="24"/>
        </w:rPr>
        <w:t>，故施工期产生的建筑垃圾约1</w:t>
      </w:r>
      <w:r>
        <w:rPr>
          <w:rFonts w:hint="eastAsia"/>
          <w:sz w:val="24"/>
          <w:szCs w:val="24"/>
        </w:rPr>
        <w:t>214</w:t>
      </w:r>
      <w:r>
        <w:rPr>
          <w:sz w:val="24"/>
          <w:szCs w:val="24"/>
        </w:rPr>
        <w:t>t。为减轻施工过程中建筑垃圾对周围环境的影响，施工方应将建筑垃圾收集后堆放于指定地点，能进行回收利用的尽量回收利用，并及时运至专门的建筑垃圾堆放场。</w:t>
      </w:r>
    </w:p>
    <w:p>
      <w:pPr>
        <w:spacing w:line="520" w:lineRule="exact"/>
        <w:ind w:firstLine="480" w:firstLineChars="200"/>
        <w:outlineLvl w:val="5"/>
        <w:rPr>
          <w:sz w:val="24"/>
          <w:szCs w:val="24"/>
        </w:rPr>
      </w:pPr>
      <w:r>
        <w:rPr>
          <w:sz w:val="24"/>
          <w:szCs w:val="24"/>
        </w:rPr>
        <w:t>（2）生活垃圾</w:t>
      </w:r>
    </w:p>
    <w:p>
      <w:pPr>
        <w:spacing w:line="520" w:lineRule="exact"/>
        <w:ind w:firstLine="480" w:firstLineChars="200"/>
        <w:rPr>
          <w:sz w:val="24"/>
          <w:szCs w:val="24"/>
        </w:rPr>
      </w:pPr>
      <w:r>
        <w:rPr>
          <w:sz w:val="24"/>
          <w:szCs w:val="24"/>
        </w:rPr>
        <w:t>本项目施工高峰期施工人员200人，施工人员生活垃圾产生量按0.5kg/人·d 计，则生活垃圾产生量为100kg/d，厂区收集后由环卫部门集中清运并合理处置。</w:t>
      </w:r>
    </w:p>
    <w:p>
      <w:pPr>
        <w:spacing w:line="520" w:lineRule="exact"/>
        <w:ind w:firstLine="482" w:firstLineChars="200"/>
        <w:outlineLvl w:val="4"/>
        <w:rPr>
          <w:b/>
          <w:bCs/>
          <w:sz w:val="24"/>
          <w:szCs w:val="24"/>
        </w:rPr>
      </w:pPr>
      <w:r>
        <w:rPr>
          <w:rFonts w:hint="eastAsia"/>
          <w:b/>
          <w:bCs/>
          <w:sz w:val="24"/>
          <w:szCs w:val="24"/>
        </w:rPr>
        <w:t>五</w:t>
      </w:r>
      <w:r>
        <w:rPr>
          <w:b/>
          <w:bCs/>
          <w:sz w:val="24"/>
          <w:szCs w:val="24"/>
        </w:rPr>
        <w:t>、生态环境</w:t>
      </w:r>
    </w:p>
    <w:p>
      <w:pPr>
        <w:spacing w:line="520" w:lineRule="exact"/>
        <w:ind w:firstLine="480" w:firstLineChars="200"/>
        <w:outlineLvl w:val="5"/>
        <w:rPr>
          <w:sz w:val="24"/>
          <w:szCs w:val="24"/>
        </w:rPr>
      </w:pPr>
      <w:r>
        <w:rPr>
          <w:sz w:val="24"/>
          <w:szCs w:val="24"/>
        </w:rPr>
        <w:t>（1）生态现状</w:t>
      </w:r>
    </w:p>
    <w:p>
      <w:pPr>
        <w:spacing w:line="520" w:lineRule="exact"/>
        <w:ind w:firstLine="480" w:firstLineChars="200"/>
        <w:rPr>
          <w:sz w:val="24"/>
          <w:szCs w:val="24"/>
        </w:rPr>
      </w:pPr>
      <w:r>
        <w:rPr>
          <w:sz w:val="24"/>
          <w:szCs w:val="24"/>
        </w:rPr>
        <w:t>本项目位于</w:t>
      </w:r>
      <w:r>
        <w:rPr>
          <w:bCs/>
          <w:sz w:val="24"/>
          <w:szCs w:val="24"/>
        </w:rPr>
        <w:t>原阳县</w:t>
      </w:r>
      <w:r>
        <w:rPr>
          <w:rFonts w:hint="eastAsia"/>
          <w:sz w:val="24"/>
          <w:szCs w:val="24"/>
        </w:rPr>
        <w:t>产业集聚区</w:t>
      </w:r>
      <w:r>
        <w:rPr>
          <w:bCs/>
          <w:sz w:val="24"/>
          <w:szCs w:val="24"/>
        </w:rPr>
        <w:t>永安路南侧、金祥南街西侧、小庄排河东侧</w:t>
      </w:r>
      <w:r>
        <w:rPr>
          <w:sz w:val="24"/>
          <w:szCs w:val="24"/>
        </w:rPr>
        <w:t>，用地现状为空地，地表植被较为简单，主要为季节性草灌等。受人为活动影响，项目区域动物数量较少</w:t>
      </w:r>
      <w:r>
        <w:rPr>
          <w:rFonts w:hint="eastAsia"/>
          <w:sz w:val="24"/>
          <w:szCs w:val="24"/>
        </w:rPr>
        <w:t>，</w:t>
      </w:r>
      <w:r>
        <w:rPr>
          <w:sz w:val="24"/>
          <w:szCs w:val="24"/>
        </w:rPr>
        <w:t>故本项目建设不会对区域生态现状造成大的影响。</w:t>
      </w:r>
    </w:p>
    <w:p>
      <w:pPr>
        <w:spacing w:line="520" w:lineRule="exact"/>
        <w:ind w:firstLine="480" w:firstLineChars="200"/>
        <w:outlineLvl w:val="5"/>
        <w:rPr>
          <w:sz w:val="24"/>
          <w:szCs w:val="24"/>
        </w:rPr>
      </w:pPr>
      <w:r>
        <w:rPr>
          <w:sz w:val="24"/>
          <w:szCs w:val="24"/>
        </w:rPr>
        <w:t>（2）水土流失</w:t>
      </w:r>
    </w:p>
    <w:p>
      <w:pPr>
        <w:spacing w:line="520" w:lineRule="exact"/>
        <w:ind w:firstLine="480" w:firstLineChars="200"/>
        <w:rPr>
          <w:sz w:val="24"/>
          <w:szCs w:val="24"/>
        </w:rPr>
      </w:pPr>
      <w:r>
        <w:rPr>
          <w:sz w:val="24"/>
          <w:szCs w:val="24"/>
        </w:rPr>
        <w:t>本项目施工期间开挖地基、平整场地等施工活动，需要进行土方开挖，并且开挖面较大，在开挖土方和临时堆存处会产生水土流失的现象。在项目施工活动中造成水土流失的因素较多，主要包括降雨、土壤、植被、地形地貌等自然因素以及工程施工等人为因素。就本项目而言，产生水土流失的主要因素是降雨和工程施工。在降雨条件下，工程施工开挖的土石方会导致一定量的水土流失</w:t>
      </w:r>
      <w:r>
        <w:rPr>
          <w:rFonts w:hint="eastAsia"/>
          <w:sz w:val="24"/>
          <w:szCs w:val="24"/>
        </w:rPr>
        <w:t>，故评价提出以下措施：</w:t>
      </w:r>
    </w:p>
    <w:p>
      <w:pPr>
        <w:spacing w:line="520" w:lineRule="exact"/>
        <w:ind w:firstLine="480" w:firstLineChars="200"/>
        <w:rPr>
          <w:sz w:val="24"/>
          <w:szCs w:val="24"/>
        </w:rPr>
      </w:pPr>
      <w:r>
        <w:rPr>
          <w:rFonts w:hint="eastAsia"/>
          <w:sz w:val="24"/>
          <w:szCs w:val="24"/>
        </w:rPr>
        <w:t>①工程施工避开雨季，本区域降雨量主要集中在5-9月，大雨时造成水土流失的重要原因，因此大开挖施工尽量避开雨季，可以大大减少土壤的流失量。</w:t>
      </w:r>
    </w:p>
    <w:p>
      <w:pPr>
        <w:spacing w:line="520" w:lineRule="exact"/>
        <w:ind w:firstLine="480" w:firstLineChars="200"/>
        <w:rPr>
          <w:sz w:val="24"/>
          <w:szCs w:val="24"/>
        </w:rPr>
      </w:pPr>
      <w:r>
        <w:rPr>
          <w:rFonts w:hint="eastAsia"/>
          <w:sz w:val="24"/>
          <w:szCs w:val="24"/>
        </w:rPr>
        <w:t>②施工期间，各项施工应严格按照水土保持方案中提出的措施实施，减少施工引起的水土流失问题。</w:t>
      </w:r>
    </w:p>
    <w:p>
      <w:pPr>
        <w:spacing w:line="520" w:lineRule="exact"/>
        <w:ind w:firstLine="480" w:firstLineChars="200"/>
        <w:rPr>
          <w:sz w:val="24"/>
          <w:szCs w:val="24"/>
        </w:rPr>
      </w:pPr>
      <w:r>
        <w:rPr>
          <w:rFonts w:hint="eastAsia"/>
          <w:sz w:val="24"/>
          <w:szCs w:val="24"/>
        </w:rPr>
        <w:t>采取以上措施后，可以有效减少施工期出现水土流失问题。</w:t>
      </w:r>
    </w:p>
    <w:p>
      <w:pPr>
        <w:keepNext/>
        <w:keepLines/>
        <w:spacing w:line="520" w:lineRule="exact"/>
        <w:outlineLvl w:val="2"/>
        <w:rPr>
          <w:rFonts w:eastAsia="黑体"/>
          <w:bCs/>
          <w:sz w:val="28"/>
          <w:szCs w:val="28"/>
        </w:rPr>
      </w:pPr>
      <w:r>
        <w:rPr>
          <w:rFonts w:eastAsia="黑体"/>
          <w:bCs/>
          <w:sz w:val="28"/>
          <w:szCs w:val="28"/>
        </w:rPr>
        <w:t>3.1.9 本次工程营运期</w:t>
      </w:r>
      <w:r>
        <w:rPr>
          <w:rFonts w:hint="eastAsia" w:eastAsia="黑体"/>
          <w:bCs/>
          <w:sz w:val="28"/>
          <w:szCs w:val="28"/>
        </w:rPr>
        <w:t>污染源</w:t>
      </w:r>
      <w:r>
        <w:rPr>
          <w:rFonts w:eastAsia="黑体"/>
          <w:bCs/>
          <w:sz w:val="28"/>
          <w:szCs w:val="28"/>
        </w:rPr>
        <w:t>分析</w:t>
      </w:r>
    </w:p>
    <w:p>
      <w:pPr>
        <w:spacing w:line="500" w:lineRule="exact"/>
        <w:outlineLvl w:val="3"/>
        <w:rPr>
          <w:b/>
          <w:bCs/>
          <w:sz w:val="24"/>
          <w:szCs w:val="24"/>
        </w:rPr>
      </w:pPr>
      <w:r>
        <w:rPr>
          <w:b/>
          <w:bCs/>
          <w:sz w:val="24"/>
          <w:szCs w:val="24"/>
        </w:rPr>
        <w:t xml:space="preserve">3.1.9.1 </w:t>
      </w:r>
      <w:r>
        <w:rPr>
          <w:rFonts w:hint="eastAsia"/>
          <w:b/>
          <w:bCs/>
          <w:sz w:val="24"/>
          <w:szCs w:val="24"/>
        </w:rPr>
        <w:t>营运</w:t>
      </w:r>
      <w:r>
        <w:rPr>
          <w:b/>
          <w:bCs/>
          <w:sz w:val="24"/>
          <w:szCs w:val="24"/>
        </w:rPr>
        <w:t>期工艺流程图</w:t>
      </w:r>
    </w:p>
    <w:p>
      <w:pPr>
        <w:spacing w:line="480" w:lineRule="exact"/>
        <w:ind w:firstLine="480" w:firstLineChars="200"/>
        <w:rPr>
          <w:kern w:val="0"/>
          <w:sz w:val="24"/>
        </w:rPr>
      </w:pPr>
      <w:r>
        <w:rPr>
          <w:kern w:val="0"/>
          <w:sz w:val="24"/>
        </w:rPr>
        <w:t>本项目</w:t>
      </w:r>
      <w:r>
        <w:rPr>
          <w:rFonts w:hint="eastAsia"/>
          <w:kern w:val="0"/>
          <w:sz w:val="24"/>
        </w:rPr>
        <w:t>营运期污染源主要来自污水处理站。污水处理站工艺流程如下：</w:t>
      </w:r>
    </w:p>
    <w:p>
      <w:pPr>
        <w:jc w:val="center"/>
        <w:rPr>
          <w:rFonts w:ascii="宋体" w:hAnsi="Courier New" w:cs="Courier New"/>
          <w:highlight w:val="yellow"/>
        </w:rPr>
      </w:pPr>
      <w:r>
        <w:rPr>
          <w:rFonts w:ascii="宋体" w:hAnsi="Courier New" w:cs="Courier New"/>
        </w:rPr>
        <w:object>
          <v:shape id="_x0000_i1027" o:spt="75" alt="" type="#_x0000_t75" style="height:174pt;width:436.5pt;" o:ole="t" filled="f" o:preferrelative="t" stroked="f" coordsize="21600,21600">
            <v:path/>
            <v:fill on="f" focussize="0,0"/>
            <v:stroke on="f"/>
            <v:imagedata r:id="rId48" o:title=""/>
            <o:lock v:ext="edit" aspectratio="t"/>
            <w10:wrap type="none"/>
            <w10:anchorlock/>
          </v:shape>
          <o:OLEObject Type="Embed" ProgID="Visio.Drawing.15" ShapeID="_x0000_i1027" DrawAspect="Content" ObjectID="_1468075727" r:id="rId47">
            <o:LockedField>false</o:LockedField>
          </o:OLEObject>
        </w:object>
      </w:r>
    </w:p>
    <w:p>
      <w:pPr>
        <w:jc w:val="center"/>
        <w:rPr>
          <w:rFonts w:eastAsia="黑体"/>
          <w:color w:val="000000"/>
          <w:sz w:val="24"/>
        </w:rPr>
      </w:pPr>
      <w:r>
        <w:rPr>
          <w:rFonts w:eastAsia="黑体"/>
          <w:color w:val="000000"/>
          <w:sz w:val="24"/>
        </w:rPr>
        <w:t xml:space="preserve">图3.1-5   </w:t>
      </w:r>
      <w:r>
        <w:rPr>
          <w:rFonts w:hint="eastAsia" w:eastAsia="黑体"/>
          <w:color w:val="000000"/>
          <w:sz w:val="24"/>
        </w:rPr>
        <w:t>污水处理站</w:t>
      </w:r>
      <w:r>
        <w:rPr>
          <w:rFonts w:eastAsia="黑体"/>
          <w:color w:val="000000"/>
          <w:sz w:val="24"/>
        </w:rPr>
        <w:t>营运工艺及产污流程图</w:t>
      </w:r>
    </w:p>
    <w:p>
      <w:pPr>
        <w:spacing w:line="520" w:lineRule="exact"/>
        <w:ind w:firstLine="480" w:firstLineChars="200"/>
        <w:rPr>
          <w:color w:val="000000"/>
          <w:sz w:val="24"/>
          <w:szCs w:val="24"/>
        </w:rPr>
      </w:pPr>
      <w:r>
        <w:rPr>
          <w:rFonts w:hint="eastAsia"/>
          <w:color w:val="000000"/>
          <w:sz w:val="24"/>
          <w:szCs w:val="24"/>
        </w:rPr>
        <w:t>本项目污水处理站营运工艺流程如下：</w:t>
      </w:r>
    </w:p>
    <w:p>
      <w:pPr>
        <w:spacing w:line="520" w:lineRule="exact"/>
        <w:ind w:firstLine="480" w:firstLineChars="200"/>
        <w:rPr>
          <w:color w:val="000000"/>
          <w:sz w:val="24"/>
          <w:szCs w:val="24"/>
        </w:rPr>
      </w:pPr>
      <w:r>
        <w:rPr>
          <w:rFonts w:hint="eastAsia"/>
          <w:color w:val="000000"/>
          <w:sz w:val="24"/>
          <w:szCs w:val="24"/>
        </w:rPr>
        <w:t>园区废水通过机械格栅截阻废水中的大块悬浮物、漂浮物、纤维和固体颗粒物质，以避免堵塞后续管道和设备，保证后续处理工序正常有效运行。经过格栅后的废水汇集至集水池，集水池提升废水经过超微过滤机，去除截留污水中大部分的细小的毛发和微小悬浮物，大大减轻后续生化系统的运行负荷，保证废水处理的稳定运行。</w:t>
      </w:r>
    </w:p>
    <w:p>
      <w:pPr>
        <w:spacing w:line="520" w:lineRule="exact"/>
        <w:ind w:firstLine="480" w:firstLineChars="200"/>
        <w:rPr>
          <w:color w:val="000000"/>
          <w:sz w:val="24"/>
          <w:szCs w:val="24"/>
        </w:rPr>
      </w:pPr>
      <w:r>
        <w:rPr>
          <w:rFonts w:hint="eastAsia"/>
          <w:color w:val="000000"/>
          <w:sz w:val="24"/>
          <w:szCs w:val="24"/>
        </w:rPr>
        <w:t>废水通过初沉池时加入1</w:t>
      </w:r>
      <w:r>
        <w:rPr>
          <w:color w:val="000000"/>
          <w:sz w:val="24"/>
          <w:szCs w:val="24"/>
        </w:rPr>
        <w:t>0</w:t>
      </w:r>
      <w:r>
        <w:rPr>
          <w:rFonts w:hint="eastAsia"/>
          <w:color w:val="000000"/>
          <w:sz w:val="24"/>
          <w:szCs w:val="24"/>
        </w:rPr>
        <w:t>%</w:t>
      </w:r>
      <w:r>
        <w:rPr>
          <w:rFonts w:hint="eastAsia"/>
          <w:sz w:val="24"/>
        </w:rPr>
        <w:t>混凝剂（P</w:t>
      </w:r>
      <w:r>
        <w:rPr>
          <w:sz w:val="24"/>
        </w:rPr>
        <w:t>AC</w:t>
      </w:r>
      <w:r>
        <w:rPr>
          <w:rFonts w:hint="eastAsia"/>
          <w:sz w:val="24"/>
        </w:rPr>
        <w:t>）</w:t>
      </w:r>
      <w:r>
        <w:rPr>
          <w:color w:val="000000"/>
          <w:sz w:val="24"/>
          <w:szCs w:val="24"/>
        </w:rPr>
        <w:t>和1.5‰</w:t>
      </w:r>
      <w:r>
        <w:rPr>
          <w:rFonts w:hint="eastAsia"/>
          <w:sz w:val="24"/>
        </w:rPr>
        <w:t>絮凝剂（PAM）</w:t>
      </w:r>
      <w:r>
        <w:rPr>
          <w:rFonts w:hint="eastAsia"/>
          <w:color w:val="000000"/>
          <w:sz w:val="24"/>
          <w:szCs w:val="24"/>
        </w:rPr>
        <w:t>溶液去除水中悬浮固体，主要去除无机颗粒和部分有机物。通过调节池提高对有机物负荷的缓解能力，防止生物处理负荷的急剧变化，确保</w:t>
      </w:r>
      <w:r>
        <w:rPr>
          <w:color w:val="000000"/>
          <w:sz w:val="24"/>
          <w:szCs w:val="24"/>
        </w:rPr>
        <w:t>废水在进行处理前有一个较为稳定的水量和均匀的水质</w:t>
      </w:r>
      <w:r>
        <w:rPr>
          <w:rFonts w:hint="eastAsia"/>
          <w:color w:val="000000"/>
          <w:sz w:val="24"/>
          <w:szCs w:val="24"/>
        </w:rPr>
        <w:t>。</w:t>
      </w:r>
    </w:p>
    <w:p>
      <w:pPr>
        <w:spacing w:line="520" w:lineRule="exact"/>
        <w:ind w:firstLine="480" w:firstLineChars="200"/>
        <w:rPr>
          <w:color w:val="000000"/>
          <w:sz w:val="24"/>
          <w:szCs w:val="24"/>
        </w:rPr>
      </w:pPr>
      <w:r>
        <w:rPr>
          <w:rFonts w:hint="eastAsia"/>
          <w:color w:val="000000"/>
          <w:sz w:val="24"/>
          <w:szCs w:val="24"/>
        </w:rPr>
        <w:t>废水进入水解酸化池，通过微生物胞外酶将悬浮性有机物和大分子物质（碳水化合物、脂肪和脂类等）水解成小分子，小分子有机物在酸化菌作用下转化成挥发性脂肪酸。同时可以将悬浮性固体水解为溶解性有机物、将难生物降解的大分子物质转化为易生物降解的小分子物质。</w:t>
      </w:r>
    </w:p>
    <w:p>
      <w:pPr>
        <w:spacing w:line="520" w:lineRule="exact"/>
        <w:ind w:firstLine="480" w:firstLineChars="200"/>
        <w:rPr>
          <w:color w:val="000000"/>
          <w:sz w:val="24"/>
          <w:szCs w:val="24"/>
        </w:rPr>
      </w:pPr>
      <w:r>
        <w:rPr>
          <w:rFonts w:hint="eastAsia"/>
          <w:color w:val="000000"/>
          <w:sz w:val="24"/>
          <w:szCs w:val="24"/>
        </w:rPr>
        <w:t>废水进入厌氧池，利用厌氧菌的作用，去除废水中的有机物，并提高污水的可生化性</w:t>
      </w:r>
      <w:r>
        <w:rPr>
          <w:color w:val="000000"/>
          <w:sz w:val="24"/>
          <w:szCs w:val="24"/>
        </w:rPr>
        <w:t>。</w:t>
      </w:r>
      <w:r>
        <w:rPr>
          <w:rFonts w:hint="eastAsia"/>
          <w:color w:val="000000"/>
          <w:sz w:val="24"/>
          <w:szCs w:val="24"/>
        </w:rPr>
        <w:t>废水进入缺氧池，池中的反硝化细菌以污水中未分解的含碳有机物为碳源，将好氧池内通过内循环回流进来的硝酸根还原为N</w:t>
      </w:r>
      <w:r>
        <w:rPr>
          <w:color w:val="000000"/>
          <w:sz w:val="24"/>
          <w:szCs w:val="24"/>
        </w:rPr>
        <w:t>₂</w:t>
      </w:r>
      <w:r>
        <w:rPr>
          <w:rFonts w:hint="eastAsia" w:ascii="宋体" w:hAnsi="宋体" w:cs="宋体"/>
          <w:color w:val="000000"/>
          <w:sz w:val="24"/>
          <w:szCs w:val="24"/>
        </w:rPr>
        <w:t>而释放</w:t>
      </w:r>
      <w:r>
        <w:rPr>
          <w:rFonts w:hint="eastAsia"/>
          <w:color w:val="000000"/>
          <w:sz w:val="24"/>
          <w:szCs w:val="24"/>
        </w:rPr>
        <w:t>，达到脱氮的效果。废水进入好氧池，通过活性污泥进一步将有机物分解成无机物，去除废水中的污染物。</w:t>
      </w:r>
    </w:p>
    <w:p>
      <w:pPr>
        <w:spacing w:line="520" w:lineRule="exact"/>
        <w:ind w:firstLine="480" w:firstLineChars="200"/>
        <w:rPr>
          <w:sz w:val="24"/>
        </w:rPr>
      </w:pPr>
      <w:r>
        <w:rPr>
          <w:rFonts w:hint="eastAsia"/>
          <w:color w:val="000000"/>
          <w:sz w:val="24"/>
          <w:szCs w:val="24"/>
        </w:rPr>
        <w:t>废水进入二沉池进行泥水分离，</w:t>
      </w:r>
      <w:r>
        <w:rPr>
          <w:color w:val="000000"/>
          <w:sz w:val="24"/>
          <w:szCs w:val="24"/>
        </w:rPr>
        <w:t>使混合液澄清、</w:t>
      </w:r>
      <w:r>
        <w:fldChar w:fldCharType="begin"/>
      </w:r>
      <w:r>
        <w:instrText xml:space="preserve"> HYPERLINK "https://baike.baidu.com/item/%E6%B1%A1%E6%B3%A5%E6%B5%93%E7%BC%A9/10863773?fromModule=lemma_inlink" \t "_blank" </w:instrText>
      </w:r>
      <w:r>
        <w:fldChar w:fldCharType="separate"/>
      </w:r>
      <w:r>
        <w:rPr>
          <w:sz w:val="24"/>
          <w:szCs w:val="24"/>
        </w:rPr>
        <w:t>污泥浓缩</w:t>
      </w:r>
      <w:r>
        <w:rPr>
          <w:sz w:val="24"/>
          <w:szCs w:val="24"/>
        </w:rPr>
        <w:fldChar w:fldCharType="end"/>
      </w:r>
      <w:r>
        <w:rPr>
          <w:color w:val="000000"/>
          <w:sz w:val="24"/>
          <w:szCs w:val="24"/>
        </w:rPr>
        <w:t>并将分离的污泥回流到</w:t>
      </w:r>
      <w:r>
        <w:rPr>
          <w:rFonts w:hint="eastAsia"/>
          <w:color w:val="000000"/>
          <w:sz w:val="24"/>
          <w:szCs w:val="24"/>
        </w:rPr>
        <w:t>厌氧池。通过三沉池时加入除磷剂和</w:t>
      </w:r>
      <w:r>
        <w:rPr>
          <w:color w:val="000000"/>
          <w:sz w:val="24"/>
          <w:szCs w:val="24"/>
        </w:rPr>
        <w:t>1.5‰</w:t>
      </w:r>
      <w:r>
        <w:rPr>
          <w:rFonts w:hint="eastAsia"/>
          <w:sz w:val="24"/>
        </w:rPr>
        <w:t>絮凝剂（PAM），通过絮凝沉淀去除废水中的悬浮物和磷。处理后的废水进入原阳县产业集聚区污水处理厂进一步处理，达标后排入东关排，最终汇入文岩渠。</w:t>
      </w:r>
    </w:p>
    <w:p>
      <w:pPr>
        <w:spacing w:line="520" w:lineRule="exact"/>
        <w:ind w:firstLine="480" w:firstLineChars="200"/>
        <w:rPr>
          <w:color w:val="000000"/>
          <w:sz w:val="24"/>
          <w:szCs w:val="24"/>
        </w:rPr>
      </w:pPr>
      <w:r>
        <w:rPr>
          <w:rFonts w:hint="eastAsia"/>
          <w:sz w:val="24"/>
        </w:rPr>
        <w:t>初沉池、二沉池和三沉池产生的污泥进入污泥池，污泥池中的上清液回至集水池，污泥进入污泥脱水间利用叠螺污泥脱水机进行脱水，得到的滤液回至集水池，脱水后的污泥外运。同时废水处理过程中格栅、集水池、初沉池、调节池、水解酸化池、厌氧池、缺氧池、好氧池、污泥池、污泥脱水间均会产生臭气，设计采用洗涤除臭装置</w:t>
      </w:r>
      <w:r>
        <w:rPr>
          <w:rFonts w:hint="eastAsia"/>
          <w:bCs/>
          <w:sz w:val="24"/>
        </w:rPr>
        <w:t>（碱喷淋+生物除臭剂喷淋）</w:t>
      </w:r>
      <w:r>
        <w:rPr>
          <w:rFonts w:hint="eastAsia"/>
          <w:sz w:val="24"/>
        </w:rPr>
        <w:t>进行处理，处理后经</w:t>
      </w:r>
      <w:r>
        <w:rPr>
          <w:sz w:val="24"/>
        </w:rPr>
        <w:t>15m</w:t>
      </w:r>
      <w:r>
        <w:rPr>
          <w:rFonts w:hint="eastAsia"/>
          <w:sz w:val="24"/>
        </w:rPr>
        <w:t>高排气筒排放。</w:t>
      </w:r>
    </w:p>
    <w:p>
      <w:pPr>
        <w:spacing w:line="500" w:lineRule="exact"/>
        <w:outlineLvl w:val="3"/>
        <w:rPr>
          <w:b/>
          <w:bCs/>
          <w:sz w:val="24"/>
          <w:szCs w:val="24"/>
        </w:rPr>
      </w:pPr>
      <w:r>
        <w:rPr>
          <w:b/>
          <w:bCs/>
          <w:sz w:val="24"/>
          <w:szCs w:val="24"/>
        </w:rPr>
        <w:t>3.1.9.2</w:t>
      </w:r>
      <w:r>
        <w:rPr>
          <w:rFonts w:hint="eastAsia"/>
          <w:b/>
          <w:bCs/>
          <w:sz w:val="24"/>
          <w:szCs w:val="24"/>
        </w:rPr>
        <w:t>营运期</w:t>
      </w:r>
      <w:r>
        <w:rPr>
          <w:b/>
          <w:bCs/>
          <w:sz w:val="24"/>
          <w:szCs w:val="24"/>
        </w:rPr>
        <w:t>产污环节</w:t>
      </w:r>
    </w:p>
    <w:p>
      <w:pPr>
        <w:spacing w:line="520" w:lineRule="exact"/>
        <w:ind w:firstLine="480" w:firstLineChars="200"/>
        <w:rPr>
          <w:sz w:val="24"/>
          <w:szCs w:val="24"/>
        </w:rPr>
      </w:pPr>
      <w:r>
        <w:rPr>
          <w:sz w:val="24"/>
          <w:szCs w:val="24"/>
        </w:rPr>
        <w:t>本次工程</w:t>
      </w:r>
      <w:r>
        <w:rPr>
          <w:rFonts w:hint="eastAsia"/>
          <w:sz w:val="24"/>
          <w:szCs w:val="24"/>
        </w:rPr>
        <w:t>营运期</w:t>
      </w:r>
      <w:r>
        <w:rPr>
          <w:sz w:val="24"/>
          <w:szCs w:val="24"/>
        </w:rPr>
        <w:t>期产排污环节一览表见下表：</w:t>
      </w:r>
    </w:p>
    <w:p>
      <w:pPr>
        <w:spacing w:line="520" w:lineRule="exact"/>
        <w:ind w:firstLine="480" w:firstLineChars="200"/>
        <w:rPr>
          <w:rFonts w:eastAsia="黑体"/>
          <w:sz w:val="24"/>
          <w:szCs w:val="24"/>
        </w:rPr>
      </w:pPr>
      <w:r>
        <w:rPr>
          <w:rFonts w:eastAsia="黑体"/>
          <w:sz w:val="24"/>
          <w:szCs w:val="24"/>
        </w:rPr>
        <w:t>表3.1-15            本工程</w:t>
      </w:r>
      <w:r>
        <w:rPr>
          <w:rFonts w:hint="eastAsia" w:eastAsia="黑体"/>
          <w:sz w:val="24"/>
          <w:szCs w:val="24"/>
        </w:rPr>
        <w:t>营运期</w:t>
      </w:r>
      <w:r>
        <w:rPr>
          <w:rFonts w:eastAsia="黑体"/>
          <w:sz w:val="24"/>
          <w:szCs w:val="24"/>
        </w:rPr>
        <w:t>产污环节一览表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274"/>
        <w:gridCol w:w="2183"/>
        <w:gridCol w:w="3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op w:val="single" w:color="auto" w:sz="4" w:space="0"/>
              <w:left w:val="single" w:color="auto" w:sz="4" w:space="0"/>
              <w:bottom w:val="single" w:color="auto" w:sz="4" w:space="0"/>
              <w:right w:val="single" w:color="auto" w:sz="4" w:space="0"/>
            </w:tcBorders>
            <w:vAlign w:val="center"/>
          </w:tcPr>
          <w:p>
            <w:pPr>
              <w:jc w:val="center"/>
              <w:rPr>
                <w:b/>
              </w:rPr>
            </w:pPr>
            <w:r>
              <w:rPr>
                <w:b/>
              </w:rPr>
              <w:t>类别</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b/>
              </w:rPr>
            </w:pPr>
            <w:r>
              <w:rPr>
                <w:b/>
              </w:rPr>
              <w:t>产污工序</w:t>
            </w:r>
          </w:p>
        </w:tc>
        <w:tc>
          <w:tcPr>
            <w:tcW w:w="1220" w:type="pct"/>
            <w:tcBorders>
              <w:top w:val="single" w:color="auto" w:sz="4" w:space="0"/>
              <w:left w:val="single" w:color="auto" w:sz="4" w:space="0"/>
              <w:bottom w:val="single" w:color="auto" w:sz="4" w:space="0"/>
              <w:right w:val="single" w:color="auto" w:sz="4" w:space="0"/>
            </w:tcBorders>
            <w:vAlign w:val="center"/>
          </w:tcPr>
          <w:p>
            <w:pPr>
              <w:jc w:val="center"/>
              <w:rPr>
                <w:b/>
              </w:rPr>
            </w:pPr>
            <w:r>
              <w:rPr>
                <w:b/>
              </w:rPr>
              <w:t>污染物名称</w:t>
            </w:r>
          </w:p>
        </w:tc>
        <w:tc>
          <w:tcPr>
            <w:tcW w:w="2077" w:type="pct"/>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b/>
              </w:rPr>
              <w:t>防治</w:t>
            </w:r>
            <w:r>
              <w:rPr>
                <w:b/>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op w:val="single" w:color="auto" w:sz="4" w:space="0"/>
              <w:left w:val="single" w:color="auto" w:sz="4" w:space="0"/>
              <w:right w:val="single" w:color="auto" w:sz="4" w:space="0"/>
            </w:tcBorders>
            <w:vAlign w:val="center"/>
          </w:tcPr>
          <w:p>
            <w:pPr>
              <w:jc w:val="center"/>
              <w:rPr>
                <w:bCs/>
              </w:rPr>
            </w:pPr>
            <w:r>
              <w:rPr>
                <w:bCs/>
              </w:rPr>
              <w:t>废气</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bCs/>
              </w:rPr>
            </w:pPr>
            <w:r>
              <w:rPr>
                <w:rFonts w:hint="eastAsia"/>
                <w:bCs/>
              </w:rPr>
              <w:t>污水处理站</w:t>
            </w:r>
          </w:p>
        </w:tc>
        <w:tc>
          <w:tcPr>
            <w:tcW w:w="1220" w:type="pct"/>
            <w:tcBorders>
              <w:top w:val="single" w:color="auto" w:sz="4" w:space="0"/>
              <w:left w:val="single" w:color="auto" w:sz="4" w:space="0"/>
              <w:bottom w:val="single" w:color="auto" w:sz="4" w:space="0"/>
              <w:right w:val="single" w:color="auto" w:sz="4" w:space="0"/>
            </w:tcBorders>
            <w:vAlign w:val="center"/>
          </w:tcPr>
          <w:p>
            <w:pPr>
              <w:jc w:val="center"/>
              <w:rPr>
                <w:bCs/>
              </w:rPr>
            </w:pPr>
            <w:r>
              <w:rPr>
                <w:rFonts w:hint="eastAsia"/>
                <w:kern w:val="0"/>
              </w:rPr>
              <w:t>臭气浓度、</w:t>
            </w:r>
            <w:r>
              <w:rPr>
                <w:kern w:val="0"/>
              </w:rPr>
              <w:t>NH</w:t>
            </w:r>
            <w:r>
              <w:rPr>
                <w:kern w:val="0"/>
                <w:vertAlign w:val="subscript"/>
              </w:rPr>
              <w:t>3</w:t>
            </w:r>
            <w:r>
              <w:rPr>
                <w:rFonts w:hint="eastAsia"/>
                <w:kern w:val="0"/>
              </w:rPr>
              <w:t>、</w:t>
            </w:r>
            <w:r>
              <w:rPr>
                <w:kern w:val="0"/>
              </w:rPr>
              <w:t>H</w:t>
            </w:r>
            <w:r>
              <w:rPr>
                <w:kern w:val="0"/>
                <w:vertAlign w:val="subscript"/>
              </w:rPr>
              <w:t>2</w:t>
            </w:r>
            <w:r>
              <w:rPr>
                <w:kern w:val="0"/>
              </w:rPr>
              <w:t>S</w:t>
            </w:r>
          </w:p>
        </w:tc>
        <w:tc>
          <w:tcPr>
            <w:tcW w:w="2077" w:type="pct"/>
            <w:tcBorders>
              <w:top w:val="single" w:color="auto" w:sz="4" w:space="0"/>
              <w:left w:val="single" w:color="auto" w:sz="4" w:space="0"/>
              <w:bottom w:val="single" w:color="auto" w:sz="4" w:space="0"/>
              <w:right w:val="single" w:color="auto" w:sz="4" w:space="0"/>
            </w:tcBorders>
            <w:vAlign w:val="center"/>
          </w:tcPr>
          <w:p>
            <w:pPr>
              <w:jc w:val="center"/>
              <w:rPr>
                <w:bCs/>
              </w:rPr>
            </w:pPr>
            <w:r>
              <w:rPr>
                <w:rFonts w:hint="eastAsia"/>
                <w:bCs/>
              </w:rPr>
              <w:t>产臭气</w:t>
            </w:r>
            <w:r>
              <w:rPr>
                <w:bCs/>
              </w:rPr>
              <w:t>处理单元加盖密闭</w:t>
            </w:r>
            <w:r>
              <w:rPr>
                <w:rFonts w:hint="eastAsia"/>
                <w:bCs/>
              </w:rPr>
              <w:t>+</w:t>
            </w:r>
            <w:r>
              <w:rPr>
                <w:bCs/>
              </w:rPr>
              <w:t>负压收集管道</w:t>
            </w:r>
            <w:r>
              <w:rPr>
                <w:rFonts w:hint="eastAsia"/>
                <w:bCs/>
              </w:rPr>
              <w:t>+洗涤除臭装置（碱喷淋+生物除臭剂喷淋）+15m高排气筒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left w:val="single" w:color="auto" w:sz="4" w:space="0"/>
              <w:right w:val="single" w:color="auto" w:sz="4" w:space="0"/>
            </w:tcBorders>
            <w:vAlign w:val="center"/>
          </w:tcPr>
          <w:p>
            <w:pPr>
              <w:jc w:val="center"/>
              <w:rPr>
                <w:bCs/>
              </w:rPr>
            </w:pPr>
            <w:r>
              <w:rPr>
                <w:bCs/>
              </w:rPr>
              <w:t>废水</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bCs/>
              </w:rPr>
            </w:pPr>
            <w:r>
              <w:rPr>
                <w:rFonts w:hint="eastAsia"/>
                <w:bCs/>
              </w:rPr>
              <w:t>入驻企业生产废水</w:t>
            </w:r>
          </w:p>
        </w:tc>
        <w:tc>
          <w:tcPr>
            <w:tcW w:w="1220" w:type="pct"/>
            <w:tcBorders>
              <w:top w:val="single" w:color="auto" w:sz="4" w:space="0"/>
              <w:left w:val="single" w:color="auto" w:sz="4" w:space="0"/>
              <w:bottom w:val="single" w:color="auto" w:sz="4" w:space="0"/>
              <w:right w:val="single" w:color="auto" w:sz="4" w:space="0"/>
            </w:tcBorders>
            <w:vAlign w:val="center"/>
          </w:tcPr>
          <w:p>
            <w:pPr>
              <w:jc w:val="center"/>
              <w:rPr>
                <w:bCs/>
              </w:rPr>
            </w:pPr>
            <w:r>
              <w:rPr>
                <w:color w:val="000000"/>
              </w:rPr>
              <w:t>COD</w:t>
            </w:r>
            <w:r>
              <w:rPr>
                <w:rFonts w:hAnsi="Courier New"/>
                <w:color w:val="000000"/>
              </w:rPr>
              <w:t>、</w:t>
            </w:r>
            <w:r>
              <w:rPr>
                <w:color w:val="000000"/>
              </w:rPr>
              <w:t>SS</w:t>
            </w:r>
            <w:r>
              <w:rPr>
                <w:rFonts w:hint="eastAsia"/>
                <w:color w:val="000000"/>
              </w:rPr>
              <w:t>、B</w:t>
            </w:r>
            <w:r>
              <w:rPr>
                <w:color w:val="000000"/>
              </w:rPr>
              <w:t>OD</w:t>
            </w:r>
            <w:r>
              <w:rPr>
                <w:color w:val="000000"/>
                <w:vertAlign w:val="subscript"/>
              </w:rPr>
              <w:t>5</w:t>
            </w:r>
            <w:r>
              <w:rPr>
                <w:rFonts w:hint="eastAsia"/>
                <w:color w:val="000000"/>
              </w:rPr>
              <w:t>、</w:t>
            </w:r>
            <w:r>
              <w:rPr>
                <w:color w:val="000000"/>
              </w:rPr>
              <w:t>NH</w:t>
            </w:r>
            <w:r>
              <w:rPr>
                <w:color w:val="000000"/>
                <w:vertAlign w:val="subscript"/>
              </w:rPr>
              <w:t>3</w:t>
            </w:r>
            <w:r>
              <w:rPr>
                <w:color w:val="000000"/>
              </w:rPr>
              <w:t>-N</w:t>
            </w:r>
            <w:r>
              <w:rPr>
                <w:rFonts w:hint="eastAsia"/>
                <w:color w:val="000000"/>
              </w:rPr>
              <w:t>、TP、TN、动植物油</w:t>
            </w:r>
          </w:p>
        </w:tc>
        <w:tc>
          <w:tcPr>
            <w:tcW w:w="2077" w:type="pct"/>
            <w:tcBorders>
              <w:left w:val="single" w:color="auto" w:sz="4" w:space="0"/>
              <w:right w:val="single" w:color="auto" w:sz="4" w:space="0"/>
            </w:tcBorders>
            <w:vAlign w:val="center"/>
          </w:tcPr>
          <w:p>
            <w:pPr>
              <w:jc w:val="center"/>
              <w:rPr>
                <w:bCs/>
              </w:rPr>
            </w:pPr>
            <w:r>
              <w:rPr>
                <w:rFonts w:hint="eastAsia"/>
                <w:bCs/>
              </w:rPr>
              <w:t>经厂区污水处理站（</w:t>
            </w:r>
            <w:r>
              <w:rPr>
                <w:rFonts w:hint="eastAsia" w:ascii="宋体" w:hAnsi="Courier New" w:cs="Courier New"/>
                <w:bCs/>
                <w:kern w:val="0"/>
              </w:rPr>
              <w:t>格栅+集水池+超微过滤机+初沉池+调节池+水解酸化池+厌氧池+缺氧池+好氧池+二沉池+三沉池</w:t>
            </w:r>
            <w:r>
              <w:rPr>
                <w:rFonts w:hint="eastAsia"/>
                <w:bCs/>
              </w:rPr>
              <w:t>）处理后排入原阳县产业集聚区污水处理厂进一步处理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left w:val="single" w:color="auto" w:sz="4" w:space="0"/>
              <w:right w:val="single" w:color="auto" w:sz="4" w:space="0"/>
            </w:tcBorders>
            <w:vAlign w:val="center"/>
          </w:tcPr>
          <w:p>
            <w:pPr>
              <w:jc w:val="center"/>
              <w:rPr>
                <w:bCs/>
              </w:rPr>
            </w:pPr>
            <w:r>
              <w:rPr>
                <w:bCs/>
              </w:rPr>
              <w:t>噪声</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bCs/>
              </w:rPr>
            </w:pPr>
            <w:r>
              <w:rPr>
                <w:rFonts w:hint="eastAsia"/>
                <w:bCs/>
              </w:rPr>
              <w:t>风机、超微过滤机、泵类、叠螺污泥脱水机等</w:t>
            </w:r>
          </w:p>
        </w:tc>
        <w:tc>
          <w:tcPr>
            <w:tcW w:w="1220" w:type="pct"/>
            <w:tcBorders>
              <w:top w:val="single" w:color="auto" w:sz="4" w:space="0"/>
              <w:left w:val="single" w:color="auto" w:sz="4" w:space="0"/>
              <w:bottom w:val="single" w:color="auto" w:sz="4" w:space="0"/>
              <w:right w:val="single" w:color="auto" w:sz="4" w:space="0"/>
            </w:tcBorders>
            <w:vAlign w:val="center"/>
          </w:tcPr>
          <w:p>
            <w:pPr>
              <w:jc w:val="center"/>
              <w:rPr>
                <w:bCs/>
              </w:rPr>
            </w:pPr>
            <w:r>
              <w:rPr>
                <w:rFonts w:hint="eastAsia"/>
                <w:bCs/>
              </w:rPr>
              <w:t>设备噪声</w:t>
            </w:r>
          </w:p>
        </w:tc>
        <w:tc>
          <w:tcPr>
            <w:tcW w:w="2077" w:type="pct"/>
            <w:tcBorders>
              <w:left w:val="single" w:color="auto" w:sz="4" w:space="0"/>
              <w:right w:val="single" w:color="auto" w:sz="4" w:space="0"/>
            </w:tcBorders>
            <w:vAlign w:val="center"/>
          </w:tcPr>
          <w:p>
            <w:pPr>
              <w:jc w:val="center"/>
              <w:rPr>
                <w:bCs/>
              </w:rPr>
            </w:pPr>
            <w:r>
              <w:rPr>
                <w:rFonts w:hint="eastAsia"/>
                <w:bCs/>
              </w:rPr>
              <w:t>基础减振、建筑隔声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restart"/>
            <w:tcBorders>
              <w:left w:val="single" w:color="auto" w:sz="4" w:space="0"/>
              <w:right w:val="single" w:color="auto" w:sz="4" w:space="0"/>
            </w:tcBorders>
            <w:vAlign w:val="center"/>
          </w:tcPr>
          <w:p>
            <w:pPr>
              <w:jc w:val="center"/>
              <w:rPr>
                <w:bCs/>
              </w:rPr>
            </w:pPr>
            <w:r>
              <w:rPr>
                <w:bCs/>
              </w:rPr>
              <w:t>固废</w:t>
            </w: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bCs/>
              </w:rPr>
            </w:pPr>
            <w:r>
              <w:rPr>
                <w:rFonts w:hint="eastAsia"/>
                <w:bCs/>
              </w:rPr>
              <w:t>格栅、超微过滤机</w:t>
            </w:r>
          </w:p>
        </w:tc>
        <w:tc>
          <w:tcPr>
            <w:tcW w:w="1220" w:type="pct"/>
            <w:tcBorders>
              <w:top w:val="single" w:color="auto" w:sz="4" w:space="0"/>
              <w:left w:val="single" w:color="auto" w:sz="4" w:space="0"/>
              <w:bottom w:val="single" w:color="auto" w:sz="4" w:space="0"/>
              <w:right w:val="single" w:color="auto" w:sz="4" w:space="0"/>
            </w:tcBorders>
            <w:vAlign w:val="center"/>
          </w:tcPr>
          <w:p>
            <w:pPr>
              <w:jc w:val="center"/>
              <w:rPr>
                <w:bCs/>
              </w:rPr>
            </w:pPr>
            <w:r>
              <w:rPr>
                <w:rFonts w:hint="eastAsia"/>
                <w:bCs/>
              </w:rPr>
              <w:t>废渣</w:t>
            </w:r>
          </w:p>
        </w:tc>
        <w:tc>
          <w:tcPr>
            <w:tcW w:w="2077" w:type="pct"/>
            <w:tcBorders>
              <w:left w:val="single" w:color="auto" w:sz="4" w:space="0"/>
              <w:right w:val="single" w:color="auto" w:sz="4" w:space="0"/>
            </w:tcBorders>
            <w:vAlign w:val="center"/>
          </w:tcPr>
          <w:p>
            <w:pPr>
              <w:jc w:val="center"/>
              <w:rPr>
                <w:bCs/>
              </w:rPr>
            </w:pPr>
            <w:r>
              <w:rPr>
                <w:rFonts w:hint="eastAsia"/>
                <w:bCs/>
              </w:rPr>
              <w:t>一般固废间暂存后，外运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tcBorders>
              <w:left w:val="single" w:color="auto" w:sz="4" w:space="0"/>
              <w:right w:val="single" w:color="auto" w:sz="4" w:space="0"/>
            </w:tcBorders>
            <w:vAlign w:val="center"/>
          </w:tcPr>
          <w:p>
            <w:pPr>
              <w:jc w:val="center"/>
              <w:rPr>
                <w:bCs/>
              </w:rPr>
            </w:pP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bCs/>
              </w:rPr>
            </w:pPr>
            <w:r>
              <w:rPr>
                <w:rFonts w:hint="eastAsia" w:ascii="宋体" w:hAnsi="Courier New" w:cs="Courier New"/>
                <w:bCs/>
              </w:rPr>
              <w:t>污泥脱水间</w:t>
            </w:r>
          </w:p>
        </w:tc>
        <w:tc>
          <w:tcPr>
            <w:tcW w:w="1220" w:type="pct"/>
            <w:tcBorders>
              <w:top w:val="single" w:color="auto" w:sz="4" w:space="0"/>
              <w:left w:val="single" w:color="auto" w:sz="4" w:space="0"/>
              <w:bottom w:val="single" w:color="auto" w:sz="4" w:space="0"/>
              <w:right w:val="single" w:color="auto" w:sz="4" w:space="0"/>
            </w:tcBorders>
            <w:vAlign w:val="center"/>
          </w:tcPr>
          <w:p>
            <w:pPr>
              <w:jc w:val="center"/>
              <w:rPr>
                <w:bCs/>
              </w:rPr>
            </w:pPr>
            <w:r>
              <w:rPr>
                <w:rFonts w:hint="eastAsia"/>
                <w:bCs/>
              </w:rPr>
              <w:t>污泥</w:t>
            </w:r>
          </w:p>
        </w:tc>
        <w:tc>
          <w:tcPr>
            <w:tcW w:w="2077" w:type="pct"/>
            <w:tcBorders>
              <w:left w:val="single" w:color="auto" w:sz="4" w:space="0"/>
              <w:right w:val="single" w:color="auto" w:sz="4" w:space="0"/>
            </w:tcBorders>
            <w:vAlign w:val="center"/>
          </w:tcPr>
          <w:p>
            <w:pPr>
              <w:jc w:val="center"/>
              <w:rPr>
                <w:bCs/>
              </w:rPr>
            </w:pPr>
            <w:r>
              <w:rPr>
                <w:rFonts w:hint="eastAsia"/>
                <w:bCs/>
              </w:rPr>
              <w:t>污泥暂存间暂存后交由污泥处置单位处置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vMerge w:val="continue"/>
            <w:tcBorders>
              <w:left w:val="single" w:color="auto" w:sz="4" w:space="0"/>
              <w:right w:val="single" w:color="auto" w:sz="4" w:space="0"/>
            </w:tcBorders>
            <w:vAlign w:val="center"/>
          </w:tcPr>
          <w:p>
            <w:pPr>
              <w:jc w:val="center"/>
              <w:rPr>
                <w:bCs/>
              </w:rPr>
            </w:pPr>
          </w:p>
        </w:tc>
        <w:tc>
          <w:tcPr>
            <w:tcW w:w="1271" w:type="pct"/>
            <w:tcBorders>
              <w:top w:val="single" w:color="auto" w:sz="4" w:space="0"/>
              <w:left w:val="single" w:color="auto" w:sz="4" w:space="0"/>
              <w:bottom w:val="single" w:color="auto" w:sz="4" w:space="0"/>
              <w:right w:val="single" w:color="auto" w:sz="4" w:space="0"/>
            </w:tcBorders>
            <w:vAlign w:val="center"/>
          </w:tcPr>
          <w:p>
            <w:pPr>
              <w:jc w:val="center"/>
              <w:rPr>
                <w:bCs/>
              </w:rPr>
            </w:pPr>
            <w:r>
              <w:rPr>
                <w:rFonts w:hint="eastAsia"/>
                <w:bCs/>
              </w:rPr>
              <w:t>职工生活</w:t>
            </w:r>
          </w:p>
        </w:tc>
        <w:tc>
          <w:tcPr>
            <w:tcW w:w="1220" w:type="pct"/>
            <w:tcBorders>
              <w:top w:val="single" w:color="auto" w:sz="4" w:space="0"/>
              <w:left w:val="single" w:color="auto" w:sz="4" w:space="0"/>
              <w:bottom w:val="single" w:color="auto" w:sz="4" w:space="0"/>
              <w:right w:val="single" w:color="auto" w:sz="4" w:space="0"/>
            </w:tcBorders>
            <w:vAlign w:val="center"/>
          </w:tcPr>
          <w:p>
            <w:pPr>
              <w:jc w:val="center"/>
              <w:rPr>
                <w:bCs/>
              </w:rPr>
            </w:pPr>
            <w:r>
              <w:rPr>
                <w:rFonts w:ascii="宋体" w:hAnsi="Courier New" w:cs="Courier New"/>
                <w:bCs/>
              </w:rPr>
              <w:t>生活垃圾</w:t>
            </w:r>
          </w:p>
        </w:tc>
        <w:tc>
          <w:tcPr>
            <w:tcW w:w="2077" w:type="pct"/>
            <w:tcBorders>
              <w:left w:val="single" w:color="auto" w:sz="4" w:space="0"/>
              <w:right w:val="single" w:color="auto" w:sz="4" w:space="0"/>
            </w:tcBorders>
            <w:vAlign w:val="center"/>
          </w:tcPr>
          <w:p>
            <w:pPr>
              <w:jc w:val="center"/>
              <w:rPr>
                <w:bCs/>
              </w:rPr>
            </w:pPr>
            <w:r>
              <w:rPr>
                <w:rFonts w:hint="eastAsia"/>
                <w:bCs/>
              </w:rPr>
              <w:t>收集后交由环卫工人清运处理</w:t>
            </w:r>
          </w:p>
        </w:tc>
      </w:tr>
    </w:tbl>
    <w:p>
      <w:pPr>
        <w:rPr>
          <w:rFonts w:ascii="宋体" w:hAnsi="Courier New" w:cs="Courier New"/>
          <w:highlight w:val="yellow"/>
        </w:rPr>
      </w:pPr>
    </w:p>
    <w:p>
      <w:pPr>
        <w:spacing w:line="500" w:lineRule="exact"/>
        <w:outlineLvl w:val="3"/>
        <w:rPr>
          <w:b/>
          <w:bCs/>
          <w:sz w:val="24"/>
          <w:szCs w:val="24"/>
        </w:rPr>
      </w:pPr>
      <w:r>
        <w:rPr>
          <w:b/>
          <w:bCs/>
          <w:sz w:val="24"/>
          <w:szCs w:val="24"/>
        </w:rPr>
        <w:t xml:space="preserve">3.1.9.3 </w:t>
      </w:r>
      <w:r>
        <w:rPr>
          <w:rFonts w:hint="eastAsia"/>
          <w:b/>
          <w:bCs/>
          <w:sz w:val="24"/>
          <w:szCs w:val="24"/>
        </w:rPr>
        <w:t>营运期</w:t>
      </w:r>
      <w:r>
        <w:rPr>
          <w:b/>
          <w:bCs/>
          <w:sz w:val="24"/>
          <w:szCs w:val="24"/>
        </w:rPr>
        <w:t>产排污情况</w:t>
      </w:r>
    </w:p>
    <w:p>
      <w:pPr>
        <w:spacing w:line="520" w:lineRule="exact"/>
        <w:ind w:firstLine="482" w:firstLineChars="200"/>
        <w:outlineLvl w:val="4"/>
        <w:rPr>
          <w:b/>
          <w:bCs/>
          <w:sz w:val="24"/>
          <w:szCs w:val="24"/>
        </w:rPr>
      </w:pPr>
      <w:r>
        <w:rPr>
          <w:rFonts w:hint="eastAsia"/>
          <w:b/>
          <w:bCs/>
          <w:sz w:val="24"/>
          <w:szCs w:val="24"/>
        </w:rPr>
        <w:t>一、废水</w:t>
      </w:r>
    </w:p>
    <w:p>
      <w:pPr>
        <w:spacing w:line="520" w:lineRule="exact"/>
        <w:ind w:firstLine="480" w:firstLineChars="200"/>
        <w:outlineLvl w:val="5"/>
        <w:rPr>
          <w:sz w:val="24"/>
          <w:szCs w:val="24"/>
        </w:rPr>
      </w:pPr>
      <w:r>
        <w:rPr>
          <w:rFonts w:hint="eastAsia"/>
          <w:sz w:val="24"/>
          <w:szCs w:val="24"/>
        </w:rPr>
        <w:t>（1）废水产生情况</w:t>
      </w:r>
    </w:p>
    <w:p>
      <w:pPr>
        <w:spacing w:line="520" w:lineRule="exact"/>
        <w:ind w:firstLine="480" w:firstLineChars="200"/>
        <w:rPr>
          <w:bCs/>
          <w:sz w:val="24"/>
          <w:szCs w:val="24"/>
        </w:rPr>
      </w:pPr>
      <w:r>
        <w:rPr>
          <w:rFonts w:hint="eastAsia"/>
          <w:sz w:val="24"/>
          <w:szCs w:val="24"/>
        </w:rPr>
        <w:t>本项目园区主要入驻企业为食品加工和预制菜生产加工企业及相关配套企业，其生产过程中产生的废水污染物为</w:t>
      </w:r>
      <w:r>
        <w:rPr>
          <w:sz w:val="24"/>
          <w:szCs w:val="24"/>
        </w:rPr>
        <w:t>COD</w:t>
      </w:r>
      <w:r>
        <w:rPr>
          <w:rFonts w:hint="eastAsia"/>
          <w:sz w:val="24"/>
          <w:szCs w:val="24"/>
        </w:rPr>
        <w:t>、B</w:t>
      </w:r>
      <w:r>
        <w:rPr>
          <w:sz w:val="24"/>
          <w:szCs w:val="24"/>
        </w:rPr>
        <w:t>OD</w:t>
      </w:r>
      <w:r>
        <w:rPr>
          <w:sz w:val="24"/>
          <w:szCs w:val="24"/>
          <w:vertAlign w:val="subscript"/>
        </w:rPr>
        <w:t>5</w:t>
      </w:r>
      <w:r>
        <w:rPr>
          <w:rFonts w:hint="eastAsia"/>
          <w:sz w:val="24"/>
          <w:szCs w:val="24"/>
        </w:rPr>
        <w:t>、S</w:t>
      </w:r>
      <w:r>
        <w:rPr>
          <w:sz w:val="24"/>
          <w:szCs w:val="24"/>
        </w:rPr>
        <w:t>S</w:t>
      </w:r>
      <w:r>
        <w:rPr>
          <w:rFonts w:hint="eastAsia"/>
          <w:sz w:val="24"/>
          <w:szCs w:val="24"/>
        </w:rPr>
        <w:t>、氨氮、T</w:t>
      </w:r>
      <w:r>
        <w:rPr>
          <w:sz w:val="24"/>
          <w:szCs w:val="24"/>
        </w:rPr>
        <w:t>P</w:t>
      </w:r>
      <w:r>
        <w:rPr>
          <w:rFonts w:hint="eastAsia"/>
          <w:sz w:val="24"/>
          <w:szCs w:val="24"/>
        </w:rPr>
        <w:t>、T</w:t>
      </w:r>
      <w:r>
        <w:rPr>
          <w:sz w:val="24"/>
          <w:szCs w:val="24"/>
        </w:rPr>
        <w:t>N</w:t>
      </w:r>
      <w:r>
        <w:rPr>
          <w:rFonts w:hint="eastAsia"/>
          <w:sz w:val="24"/>
          <w:szCs w:val="24"/>
        </w:rPr>
        <w:t>、动植物油，该部分废水经</w:t>
      </w:r>
      <w:r>
        <w:rPr>
          <w:rFonts w:hint="eastAsia"/>
          <w:bCs/>
          <w:color w:val="000000"/>
          <w:sz w:val="24"/>
          <w:szCs w:val="24"/>
        </w:rPr>
        <w:t>园区污水处理站处理后进入原阳县产业集聚区污水处理厂进一步处理。</w:t>
      </w:r>
    </w:p>
    <w:p>
      <w:pPr>
        <w:spacing w:line="520" w:lineRule="exact"/>
        <w:ind w:firstLine="480" w:firstLineChars="200"/>
        <w:rPr>
          <w:sz w:val="24"/>
          <w:szCs w:val="24"/>
        </w:rPr>
      </w:pPr>
      <w:r>
        <w:rPr>
          <w:rFonts w:hint="eastAsia"/>
          <w:sz w:val="24"/>
          <w:szCs w:val="24"/>
        </w:rPr>
        <w:t>I）废水水量</w:t>
      </w:r>
    </w:p>
    <w:p>
      <w:pPr>
        <w:spacing w:line="520" w:lineRule="exact"/>
        <w:ind w:firstLine="480" w:firstLineChars="200"/>
        <w:rPr>
          <w:sz w:val="24"/>
          <w:szCs w:val="24"/>
        </w:rPr>
      </w:pPr>
      <w:r>
        <w:rPr>
          <w:rFonts w:hint="eastAsia"/>
          <w:sz w:val="24"/>
          <w:szCs w:val="24"/>
        </w:rPr>
        <w:t>本项目废水主要为</w:t>
      </w:r>
      <w:r>
        <w:rPr>
          <w:sz w:val="24"/>
          <w:szCs w:val="24"/>
        </w:rPr>
        <w:t>入驻企业</w:t>
      </w:r>
      <w:r>
        <w:rPr>
          <w:rFonts w:hint="eastAsia"/>
          <w:sz w:val="24"/>
          <w:szCs w:val="24"/>
        </w:rPr>
        <w:t>生产</w:t>
      </w:r>
      <w:r>
        <w:rPr>
          <w:sz w:val="24"/>
          <w:szCs w:val="24"/>
        </w:rPr>
        <w:t>废水</w:t>
      </w:r>
      <w:r>
        <w:rPr>
          <w:rFonts w:hint="eastAsia"/>
          <w:sz w:val="24"/>
          <w:szCs w:val="24"/>
        </w:rPr>
        <w:t>。根据《</w:t>
      </w:r>
      <w:r>
        <w:rPr>
          <w:sz w:val="24"/>
          <w:szCs w:val="24"/>
        </w:rPr>
        <w:t>排放源统计调查产排污核算方法和系数手册</w:t>
      </w:r>
      <w:r>
        <w:rPr>
          <w:rFonts w:hint="eastAsia"/>
          <w:sz w:val="24"/>
          <w:szCs w:val="24"/>
        </w:rPr>
        <w:t xml:space="preserve">》、《排污许可证申请与核发技术规范 </w:t>
      </w:r>
      <w:r>
        <w:rPr>
          <w:sz w:val="24"/>
          <w:szCs w:val="24"/>
        </w:rPr>
        <w:t>食品制造工业-方便食品、食品及饲料添加剂制造工业</w:t>
      </w:r>
      <w:r>
        <w:rPr>
          <w:rFonts w:hint="eastAsia"/>
          <w:sz w:val="24"/>
          <w:szCs w:val="24"/>
        </w:rPr>
        <w:t>》（H</w:t>
      </w:r>
      <w:r>
        <w:rPr>
          <w:sz w:val="24"/>
          <w:szCs w:val="24"/>
        </w:rPr>
        <w:t>J 1030.3-2019</w:t>
      </w:r>
      <w:r>
        <w:rPr>
          <w:rFonts w:hint="eastAsia"/>
          <w:sz w:val="24"/>
          <w:szCs w:val="24"/>
        </w:rPr>
        <w:t>）中单位产品排水量以及同类行业验收数据，核算拟入驻企业排水量为</w:t>
      </w:r>
      <w:r>
        <w:rPr>
          <w:sz w:val="24"/>
          <w:szCs w:val="24"/>
        </w:rPr>
        <w:t>1313.9</w:t>
      </w:r>
      <w:r>
        <w:rPr>
          <w:rFonts w:hint="eastAsia"/>
          <w:sz w:val="24"/>
          <w:szCs w:val="24"/>
        </w:rPr>
        <w:t>m</w:t>
      </w:r>
      <w:r>
        <w:rPr>
          <w:rFonts w:hint="eastAsia"/>
          <w:sz w:val="24"/>
          <w:szCs w:val="24"/>
          <w:vertAlign w:val="superscript"/>
        </w:rPr>
        <w:t>3</w:t>
      </w:r>
      <w:r>
        <w:rPr>
          <w:rFonts w:hint="eastAsia"/>
          <w:sz w:val="24"/>
          <w:szCs w:val="24"/>
        </w:rPr>
        <w:t>/d。考虑到未预见水量按废水水量的10%计算，则污水量合计为1</w:t>
      </w:r>
      <w:r>
        <w:rPr>
          <w:sz w:val="24"/>
          <w:szCs w:val="24"/>
        </w:rPr>
        <w:t>445.3</w:t>
      </w:r>
      <w:r>
        <w:rPr>
          <w:rFonts w:hint="eastAsia"/>
          <w:sz w:val="24"/>
          <w:szCs w:val="24"/>
        </w:rPr>
        <w:t>m</w:t>
      </w:r>
      <w:r>
        <w:rPr>
          <w:rFonts w:hint="eastAsia"/>
          <w:sz w:val="24"/>
          <w:szCs w:val="24"/>
          <w:vertAlign w:val="superscript"/>
        </w:rPr>
        <w:t>3</w:t>
      </w:r>
      <w:r>
        <w:rPr>
          <w:rFonts w:hint="eastAsia"/>
          <w:sz w:val="24"/>
          <w:szCs w:val="24"/>
        </w:rPr>
        <w:t>/d，考虑到污水处理设计水量应留有设计余量，本次取污水预计排放量的20%，则理论设计量为1</w:t>
      </w:r>
      <w:r>
        <w:rPr>
          <w:sz w:val="24"/>
          <w:szCs w:val="24"/>
        </w:rPr>
        <w:t>734.4</w:t>
      </w:r>
      <w:r>
        <w:rPr>
          <w:rFonts w:hint="eastAsia"/>
          <w:sz w:val="24"/>
          <w:szCs w:val="24"/>
        </w:rPr>
        <w:t>m</w:t>
      </w:r>
      <w:r>
        <w:rPr>
          <w:rFonts w:hint="eastAsia"/>
          <w:sz w:val="24"/>
          <w:szCs w:val="24"/>
          <w:vertAlign w:val="superscript"/>
        </w:rPr>
        <w:t>3</w:t>
      </w:r>
      <w:r>
        <w:rPr>
          <w:rFonts w:hint="eastAsia"/>
          <w:sz w:val="24"/>
          <w:szCs w:val="24"/>
        </w:rPr>
        <w:t>/d，将污水处理站设计处理规模确定为2000m</w:t>
      </w:r>
      <w:r>
        <w:rPr>
          <w:rFonts w:hint="eastAsia"/>
          <w:sz w:val="24"/>
          <w:szCs w:val="24"/>
          <w:vertAlign w:val="superscript"/>
        </w:rPr>
        <w:t>3</w:t>
      </w:r>
      <w:r>
        <w:rPr>
          <w:rFonts w:hint="eastAsia"/>
          <w:sz w:val="24"/>
          <w:szCs w:val="24"/>
        </w:rPr>
        <w:t>/d，</w:t>
      </w:r>
      <w:r>
        <w:rPr>
          <w:sz w:val="24"/>
          <w:szCs w:val="24"/>
        </w:rPr>
        <w:t>60</w:t>
      </w:r>
      <w:r>
        <w:rPr>
          <w:rFonts w:hint="eastAsia"/>
          <w:sz w:val="24"/>
          <w:szCs w:val="24"/>
        </w:rPr>
        <w:t>万</w:t>
      </w:r>
      <w:r>
        <w:rPr>
          <w:sz w:val="24"/>
          <w:szCs w:val="24"/>
        </w:rPr>
        <w:t>m</w:t>
      </w:r>
      <w:r>
        <w:rPr>
          <w:sz w:val="24"/>
          <w:szCs w:val="24"/>
          <w:vertAlign w:val="superscript"/>
        </w:rPr>
        <w:t>3</w:t>
      </w:r>
      <w:r>
        <w:rPr>
          <w:sz w:val="24"/>
          <w:szCs w:val="24"/>
        </w:rPr>
        <w:t>/a</w:t>
      </w:r>
      <w:r>
        <w:rPr>
          <w:rFonts w:hint="eastAsia"/>
          <w:sz w:val="24"/>
          <w:szCs w:val="24"/>
        </w:rPr>
        <w:t>（园区企业平均工作时间为3</w:t>
      </w:r>
      <w:r>
        <w:rPr>
          <w:sz w:val="24"/>
          <w:szCs w:val="24"/>
        </w:rPr>
        <w:t>00</w:t>
      </w:r>
      <w:r>
        <w:rPr>
          <w:rFonts w:hint="eastAsia"/>
          <w:sz w:val="24"/>
          <w:szCs w:val="24"/>
        </w:rPr>
        <w:t>d/a，</w:t>
      </w:r>
      <w:r>
        <w:rPr>
          <w:sz w:val="24"/>
          <w:szCs w:val="24"/>
        </w:rPr>
        <w:t>园区废水量将根据企业开停情况而存在小范围变动，园区企业废水产生后通过管网进入调节池，匀化水质水量，以恒定流速进入后续废水处理系统，故污水处理站可保持全年运行状态。故本次废水产生量以300d/a计</w:t>
      </w:r>
      <w:r>
        <w:rPr>
          <w:rFonts w:hint="eastAsia"/>
          <w:sz w:val="24"/>
          <w:szCs w:val="24"/>
        </w:rPr>
        <w:t>）。</w:t>
      </w:r>
    </w:p>
    <w:p>
      <w:pPr>
        <w:spacing w:line="520" w:lineRule="exact"/>
        <w:ind w:firstLine="480" w:firstLineChars="200"/>
        <w:rPr>
          <w:sz w:val="24"/>
          <w:szCs w:val="24"/>
        </w:rPr>
      </w:pPr>
      <w:r>
        <w:rPr>
          <w:rFonts w:hint="eastAsia"/>
          <w:sz w:val="24"/>
          <w:szCs w:val="24"/>
        </w:rPr>
        <w:t>I</w:t>
      </w:r>
      <w:r>
        <w:rPr>
          <w:sz w:val="24"/>
          <w:szCs w:val="24"/>
        </w:rPr>
        <w:t>I</w:t>
      </w:r>
      <w:r>
        <w:rPr>
          <w:rFonts w:hint="eastAsia"/>
          <w:sz w:val="24"/>
          <w:szCs w:val="24"/>
        </w:rPr>
        <w:t>）废水水质</w:t>
      </w:r>
    </w:p>
    <w:p>
      <w:pPr>
        <w:spacing w:line="520" w:lineRule="exact"/>
        <w:ind w:firstLine="480" w:firstLineChars="200"/>
        <w:rPr>
          <w:sz w:val="24"/>
          <w:szCs w:val="24"/>
        </w:rPr>
      </w:pPr>
      <w:r>
        <w:rPr>
          <w:rFonts w:hint="eastAsia"/>
          <w:sz w:val="24"/>
          <w:szCs w:val="24"/>
        </w:rPr>
        <w:t>本次评价的废水水质类比河南餐饮中央厨房产业园水质。该产业园同样位于原阳县产业集聚区内的农副产品深加工产业区，入驻的企业类型为食品加工和预制菜生产加工企业，入驻企业生产工艺为蔬菜挑拣、清洗、切配等，面粉和面、搅拌、醒发、蒸制等，肉类切割腌制、熟化等。</w:t>
      </w:r>
      <w:r>
        <w:rPr>
          <w:rFonts w:hint="eastAsia"/>
          <w:color w:val="000000"/>
          <w:sz w:val="24"/>
          <w:szCs w:val="24"/>
        </w:rPr>
        <w:t>该园区与本项目基本情况、入驻企业类型、企业主要原料及生产工艺等类似，故入驻企业产生的废水水质类似，具有可类比性。</w:t>
      </w:r>
    </w:p>
    <w:p>
      <w:pPr>
        <w:spacing w:line="520" w:lineRule="exact"/>
        <w:ind w:firstLine="480" w:firstLineChars="200"/>
        <w:rPr>
          <w:sz w:val="24"/>
          <w:szCs w:val="24"/>
        </w:rPr>
      </w:pPr>
      <w:r>
        <w:rPr>
          <w:rFonts w:hint="eastAsia"/>
          <w:sz w:val="24"/>
          <w:szCs w:val="24"/>
        </w:rPr>
        <w:t>根据《原阳县中央厨房产业园污水处理及配套设施扩建项目竣工环境保护验收监测报告表》，中央厨房产业园废水产生浓度为</w:t>
      </w:r>
      <w:r>
        <w:rPr>
          <w:sz w:val="24"/>
          <w:szCs w:val="24"/>
        </w:rPr>
        <w:t>COD 985.8</w:t>
      </w:r>
      <w:r>
        <w:rPr>
          <w:rFonts w:hint="eastAsia"/>
          <w:sz w:val="24"/>
          <w:szCs w:val="24"/>
        </w:rPr>
        <w:t>mg/L、氨氮3</w:t>
      </w:r>
      <w:r>
        <w:rPr>
          <w:sz w:val="24"/>
          <w:szCs w:val="24"/>
        </w:rPr>
        <w:t>8.76</w:t>
      </w:r>
      <w:r>
        <w:rPr>
          <w:rFonts w:hint="eastAsia"/>
          <w:sz w:val="24"/>
          <w:szCs w:val="24"/>
        </w:rPr>
        <w:t>mg/L、T</w:t>
      </w:r>
      <w:r>
        <w:rPr>
          <w:sz w:val="24"/>
          <w:szCs w:val="24"/>
        </w:rPr>
        <w:t>P 8.56</w:t>
      </w:r>
      <w:r>
        <w:rPr>
          <w:rFonts w:hint="eastAsia"/>
          <w:sz w:val="24"/>
          <w:szCs w:val="24"/>
        </w:rPr>
        <w:t>mg/L、T</w:t>
      </w:r>
      <w:r>
        <w:rPr>
          <w:sz w:val="24"/>
          <w:szCs w:val="24"/>
        </w:rPr>
        <w:t>N 44.91</w:t>
      </w:r>
      <w:r>
        <w:rPr>
          <w:rFonts w:hint="eastAsia"/>
          <w:sz w:val="24"/>
          <w:szCs w:val="24"/>
        </w:rPr>
        <w:t>mg/L，本项目污水处理站设计进水水质为</w:t>
      </w:r>
      <w:r>
        <w:rPr>
          <w:sz w:val="24"/>
          <w:szCs w:val="24"/>
        </w:rPr>
        <w:t>COD 3000</w:t>
      </w:r>
      <w:r>
        <w:rPr>
          <w:rFonts w:hint="eastAsia"/>
          <w:sz w:val="24"/>
          <w:szCs w:val="24"/>
        </w:rPr>
        <w:t>mg/L、B</w:t>
      </w:r>
      <w:r>
        <w:rPr>
          <w:sz w:val="24"/>
          <w:szCs w:val="24"/>
        </w:rPr>
        <w:t>OD</w:t>
      </w:r>
      <w:r>
        <w:rPr>
          <w:sz w:val="24"/>
          <w:szCs w:val="24"/>
          <w:vertAlign w:val="subscript"/>
        </w:rPr>
        <w:t>5</w:t>
      </w:r>
      <w:r>
        <w:rPr>
          <w:sz w:val="24"/>
          <w:szCs w:val="24"/>
        </w:rPr>
        <w:t xml:space="preserve"> 1200</w:t>
      </w:r>
      <w:r>
        <w:rPr>
          <w:rFonts w:hint="eastAsia"/>
          <w:sz w:val="24"/>
          <w:szCs w:val="24"/>
        </w:rPr>
        <w:t>mg/L、S</w:t>
      </w:r>
      <w:r>
        <w:rPr>
          <w:sz w:val="24"/>
          <w:szCs w:val="24"/>
        </w:rPr>
        <w:t>S 1500</w:t>
      </w:r>
      <w:r>
        <w:rPr>
          <w:rFonts w:hint="eastAsia"/>
          <w:sz w:val="24"/>
          <w:szCs w:val="24"/>
        </w:rPr>
        <w:t>mg/L、氨氮</w:t>
      </w:r>
      <w:r>
        <w:rPr>
          <w:sz w:val="24"/>
          <w:szCs w:val="24"/>
        </w:rPr>
        <w:t>100</w:t>
      </w:r>
      <w:r>
        <w:rPr>
          <w:rFonts w:hint="eastAsia"/>
          <w:sz w:val="24"/>
          <w:szCs w:val="24"/>
        </w:rPr>
        <w:t>mg/L、T</w:t>
      </w:r>
      <w:r>
        <w:rPr>
          <w:sz w:val="24"/>
          <w:szCs w:val="24"/>
        </w:rPr>
        <w:t>P 30</w:t>
      </w:r>
      <w:r>
        <w:rPr>
          <w:rFonts w:hint="eastAsia"/>
          <w:sz w:val="24"/>
          <w:szCs w:val="24"/>
        </w:rPr>
        <w:t>mg/L、T</w:t>
      </w:r>
      <w:r>
        <w:rPr>
          <w:sz w:val="24"/>
          <w:szCs w:val="24"/>
        </w:rPr>
        <w:t>N 200</w:t>
      </w:r>
      <w:r>
        <w:rPr>
          <w:rFonts w:hint="eastAsia"/>
          <w:sz w:val="24"/>
          <w:szCs w:val="24"/>
        </w:rPr>
        <w:t>mg/L、动植物油1</w:t>
      </w:r>
      <w:r>
        <w:rPr>
          <w:sz w:val="24"/>
          <w:szCs w:val="24"/>
        </w:rPr>
        <w:t>20</w:t>
      </w:r>
      <w:r>
        <w:rPr>
          <w:rFonts w:hint="eastAsia"/>
          <w:sz w:val="24"/>
          <w:szCs w:val="24"/>
        </w:rPr>
        <w:t>mg/L，均大于中央厨房产业园废水产生浓度，故按照环评最不利原则，本次按设计进水水质进行计算。</w:t>
      </w:r>
    </w:p>
    <w:p>
      <w:pPr>
        <w:spacing w:line="520" w:lineRule="exact"/>
        <w:ind w:firstLine="480" w:firstLineChars="200"/>
        <w:outlineLvl w:val="5"/>
        <w:rPr>
          <w:sz w:val="24"/>
          <w:szCs w:val="24"/>
        </w:rPr>
      </w:pPr>
      <w:r>
        <w:rPr>
          <w:rFonts w:hint="eastAsia"/>
          <w:sz w:val="24"/>
          <w:szCs w:val="24"/>
        </w:rPr>
        <w:t>（</w:t>
      </w:r>
      <w:r>
        <w:rPr>
          <w:sz w:val="24"/>
          <w:szCs w:val="24"/>
        </w:rPr>
        <w:t>2</w:t>
      </w:r>
      <w:r>
        <w:rPr>
          <w:rFonts w:hint="eastAsia"/>
          <w:sz w:val="24"/>
          <w:szCs w:val="24"/>
        </w:rPr>
        <w:t>）废水处理达标情况</w:t>
      </w:r>
    </w:p>
    <w:p>
      <w:pPr>
        <w:spacing w:line="520" w:lineRule="exact"/>
        <w:ind w:firstLine="480" w:firstLineChars="200"/>
        <w:rPr>
          <w:sz w:val="24"/>
          <w:szCs w:val="24"/>
        </w:rPr>
      </w:pPr>
      <w:r>
        <w:rPr>
          <w:rFonts w:hint="eastAsia"/>
          <w:sz w:val="24"/>
          <w:szCs w:val="24"/>
        </w:rPr>
        <w:t>本项目废水经厂区污水处理站处理后排入原阳县产业集聚区污水处理厂进一步处理，处理后</w:t>
      </w:r>
      <w:r>
        <w:rPr>
          <w:sz w:val="24"/>
          <w:szCs w:val="24"/>
        </w:rPr>
        <w:t>排入</w:t>
      </w:r>
      <w:r>
        <w:rPr>
          <w:rFonts w:hint="eastAsia"/>
          <w:sz w:val="24"/>
          <w:szCs w:val="24"/>
        </w:rPr>
        <w:t>东关排，最终汇入文岩渠</w:t>
      </w:r>
      <w:r>
        <w:rPr>
          <w:sz w:val="24"/>
          <w:szCs w:val="24"/>
        </w:rPr>
        <w:t>。</w:t>
      </w:r>
      <w:r>
        <w:rPr>
          <w:rFonts w:hint="eastAsia"/>
          <w:sz w:val="24"/>
          <w:szCs w:val="24"/>
        </w:rPr>
        <w:t>污水处理站工艺为</w:t>
      </w:r>
      <w:r>
        <w:rPr>
          <w:rFonts w:hint="eastAsia"/>
          <w:bCs/>
          <w:sz w:val="24"/>
          <w:szCs w:val="24"/>
        </w:rPr>
        <w:t>“格栅</w:t>
      </w:r>
      <w:r>
        <w:rPr>
          <w:bCs/>
          <w:sz w:val="24"/>
          <w:szCs w:val="24"/>
        </w:rPr>
        <w:t>+</w:t>
      </w:r>
      <w:r>
        <w:rPr>
          <w:rFonts w:hint="eastAsia"/>
          <w:bCs/>
          <w:sz w:val="24"/>
          <w:szCs w:val="24"/>
        </w:rPr>
        <w:t>集水池+超微过滤机+初沉池+调节池+水解酸化池+</w:t>
      </w:r>
      <w:r>
        <w:rPr>
          <w:sz w:val="24"/>
          <w:szCs w:val="24"/>
        </w:rPr>
        <w:t xml:space="preserve"> </w:t>
      </w:r>
      <w:r>
        <w:rPr>
          <w:bCs/>
          <w:sz w:val="24"/>
          <w:szCs w:val="24"/>
        </w:rPr>
        <w:t>A</w:t>
      </w:r>
      <w:r>
        <w:rPr>
          <w:rFonts w:hint="eastAsia"/>
          <w:bCs/>
          <w:sz w:val="24"/>
          <w:szCs w:val="24"/>
          <w:vertAlign w:val="superscript"/>
        </w:rPr>
        <w:t>2</w:t>
      </w:r>
      <w:r>
        <w:rPr>
          <w:rFonts w:hint="eastAsia"/>
          <w:bCs/>
          <w:sz w:val="24"/>
          <w:szCs w:val="24"/>
        </w:rPr>
        <w:t>/</w:t>
      </w:r>
      <w:r>
        <w:rPr>
          <w:bCs/>
          <w:sz w:val="24"/>
          <w:szCs w:val="24"/>
        </w:rPr>
        <w:t>O</w:t>
      </w:r>
      <w:r>
        <w:rPr>
          <w:rFonts w:hint="eastAsia"/>
          <w:bCs/>
          <w:sz w:val="24"/>
          <w:szCs w:val="24"/>
        </w:rPr>
        <w:t>生化</w:t>
      </w:r>
      <w:r>
        <w:rPr>
          <w:bCs/>
          <w:sz w:val="24"/>
          <w:szCs w:val="24"/>
        </w:rPr>
        <w:t>池</w:t>
      </w:r>
      <w:r>
        <w:rPr>
          <w:rFonts w:hint="eastAsia"/>
          <w:bCs/>
          <w:sz w:val="24"/>
          <w:szCs w:val="24"/>
        </w:rPr>
        <w:t>+二沉池+三沉池”，设计处理能力为2</w:t>
      </w:r>
      <w:r>
        <w:rPr>
          <w:bCs/>
          <w:sz w:val="24"/>
          <w:szCs w:val="24"/>
        </w:rPr>
        <w:t>000</w:t>
      </w:r>
      <w:r>
        <w:rPr>
          <w:rFonts w:hint="eastAsia"/>
          <w:sz w:val="24"/>
          <w:szCs w:val="24"/>
        </w:rPr>
        <w:t>m</w:t>
      </w:r>
      <w:r>
        <w:rPr>
          <w:rFonts w:hint="eastAsia"/>
          <w:sz w:val="24"/>
          <w:szCs w:val="24"/>
          <w:vertAlign w:val="superscript"/>
        </w:rPr>
        <w:t>3</w:t>
      </w:r>
      <w:r>
        <w:rPr>
          <w:rFonts w:hint="eastAsia"/>
          <w:sz w:val="24"/>
          <w:szCs w:val="24"/>
        </w:rPr>
        <w:t>/d。根据设计进水水质和去除效率，本项目废水处理及达标排放情况见下表。</w:t>
      </w:r>
    </w:p>
    <w:p>
      <w:pPr>
        <w:spacing w:line="520" w:lineRule="exact"/>
        <w:ind w:firstLine="480" w:firstLineChars="200"/>
        <w:rPr>
          <w:sz w:val="24"/>
          <w:szCs w:val="24"/>
        </w:rPr>
      </w:pPr>
    </w:p>
    <w:p>
      <w:pPr>
        <w:spacing w:line="520" w:lineRule="exact"/>
        <w:ind w:firstLine="480" w:firstLineChars="200"/>
        <w:rPr>
          <w:sz w:val="24"/>
          <w:szCs w:val="24"/>
        </w:rPr>
      </w:pPr>
    </w:p>
    <w:p>
      <w:pPr>
        <w:spacing w:line="520" w:lineRule="exact"/>
        <w:ind w:firstLine="480" w:firstLineChars="200"/>
        <w:rPr>
          <w:rFonts w:eastAsia="黑体"/>
          <w:sz w:val="24"/>
        </w:rPr>
      </w:pPr>
      <w:r>
        <w:rPr>
          <w:rFonts w:eastAsia="黑体"/>
          <w:sz w:val="24"/>
        </w:rPr>
        <w:t>表3.1-</w:t>
      </w:r>
      <w:r>
        <w:rPr>
          <w:rFonts w:hint="eastAsia" w:eastAsia="黑体"/>
          <w:sz w:val="24"/>
        </w:rPr>
        <w:t>1</w:t>
      </w:r>
      <w:r>
        <w:rPr>
          <w:rFonts w:eastAsia="黑体"/>
          <w:sz w:val="24"/>
        </w:rPr>
        <w:t>6            本项目污水处理效果一览表</w:t>
      </w:r>
    </w:p>
    <w:tbl>
      <w:tblPr>
        <w:tblStyle w:val="4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985"/>
        <w:gridCol w:w="854"/>
        <w:gridCol w:w="855"/>
        <w:gridCol w:w="854"/>
        <w:gridCol w:w="712"/>
        <w:gridCol w:w="997"/>
        <w:gridCol w:w="712"/>
        <w:gridCol w:w="783"/>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blHeader/>
        </w:trPr>
        <w:tc>
          <w:tcPr>
            <w:tcW w:w="1975" w:type="dxa"/>
            <w:vMerge w:val="restart"/>
            <w:tcBorders>
              <w:top w:val="single" w:color="auto" w:sz="8" w:space="0"/>
              <w:left w:val="single" w:color="auto" w:sz="8" w:space="0"/>
              <w:bottom w:val="single" w:color="auto" w:sz="4" w:space="0"/>
              <w:tl2br w:val="single" w:color="auto" w:sz="6" w:space="0"/>
            </w:tcBorders>
            <w:tcMar>
              <w:top w:w="0" w:type="dxa"/>
              <w:left w:w="11" w:type="dxa"/>
              <w:bottom w:w="0" w:type="dxa"/>
              <w:right w:w="11" w:type="dxa"/>
            </w:tcMar>
            <w:vAlign w:val="center"/>
          </w:tcPr>
          <w:p>
            <w:pPr>
              <w:ind w:right="211"/>
              <w:jc w:val="right"/>
              <w:rPr>
                <w:b/>
                <w:bCs/>
                <w:color w:val="000000"/>
                <w:szCs w:val="21"/>
              </w:rPr>
            </w:pPr>
            <w:r>
              <w:rPr>
                <w:rFonts w:hint="eastAsia"/>
                <w:b/>
                <w:bCs/>
                <w:color w:val="000000"/>
                <w:szCs w:val="21"/>
              </w:rPr>
              <w:t>指标</w:t>
            </w:r>
          </w:p>
          <w:p>
            <w:pPr>
              <w:jc w:val="left"/>
              <w:rPr>
                <w:b/>
                <w:bCs/>
                <w:color w:val="000000"/>
                <w:szCs w:val="21"/>
              </w:rPr>
            </w:pPr>
            <w:r>
              <w:rPr>
                <w:rFonts w:hint="eastAsia"/>
                <w:b/>
                <w:bCs/>
                <w:color w:val="000000"/>
                <w:szCs w:val="21"/>
              </w:rPr>
              <w:t>处理构筑物</w:t>
            </w:r>
          </w:p>
        </w:tc>
        <w:tc>
          <w:tcPr>
            <w:tcW w:w="850" w:type="dxa"/>
            <w:vMerge w:val="restart"/>
            <w:tcBorders>
              <w:top w:val="single" w:color="auto" w:sz="8"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污染源</w:t>
            </w:r>
          </w:p>
        </w:tc>
        <w:tc>
          <w:tcPr>
            <w:tcW w:w="5885" w:type="dxa"/>
            <w:gridSpan w:val="7"/>
            <w:tcBorders>
              <w:top w:val="single" w:color="auto" w:sz="8" w:space="0"/>
              <w:bottom w:val="single" w:color="auto" w:sz="4" w:space="0"/>
              <w:right w:val="single" w:color="auto" w:sz="8" w:space="0"/>
            </w:tcBorders>
            <w:tcMar>
              <w:top w:w="0" w:type="dxa"/>
              <w:left w:w="11" w:type="dxa"/>
              <w:bottom w:w="0" w:type="dxa"/>
              <w:right w:w="11" w:type="dxa"/>
            </w:tcMar>
            <w:vAlign w:val="center"/>
          </w:tcPr>
          <w:p>
            <w:pPr>
              <w:jc w:val="center"/>
              <w:rPr>
                <w:b/>
                <w:bCs/>
                <w:color w:val="000000"/>
                <w:szCs w:val="21"/>
              </w:rPr>
            </w:pPr>
            <w:r>
              <w:rPr>
                <w:b/>
                <w:bCs/>
                <w:color w:val="000000"/>
                <w:szCs w:val="21"/>
              </w:rPr>
              <w:t>污染物浓度(mg/L)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blHeader/>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b/>
                <w:bCs/>
                <w:color w:val="000000"/>
                <w:szCs w:val="21"/>
              </w:rPr>
            </w:pPr>
          </w:p>
        </w:tc>
        <w:tc>
          <w:tcPr>
            <w:tcW w:w="850" w:type="dxa"/>
            <w:vMerge w:val="continue"/>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COD</w:t>
            </w:r>
            <w:r>
              <w:rPr>
                <w:rFonts w:hint="eastAsia"/>
                <w:b/>
                <w:bCs/>
                <w:color w:val="000000"/>
                <w:szCs w:val="21"/>
              </w:rPr>
              <w:t>cr</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BOD</w:t>
            </w:r>
            <w:r>
              <w:rPr>
                <w:b/>
                <w:bCs/>
                <w:color w:val="000000"/>
                <w:szCs w:val="21"/>
                <w:vertAlign w:val="subscript"/>
              </w:rPr>
              <w:t>5</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SS</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NH</w:t>
            </w:r>
            <w:r>
              <w:rPr>
                <w:b/>
                <w:bCs/>
                <w:color w:val="000000"/>
                <w:szCs w:val="21"/>
                <w:vertAlign w:val="subscript"/>
              </w:rPr>
              <w:t>3</w:t>
            </w:r>
            <w:r>
              <w:rPr>
                <w:b/>
                <w:bCs/>
                <w:color w:val="000000"/>
                <w:szCs w:val="21"/>
              </w:rPr>
              <w:t>-N</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TN</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TP</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b/>
                <w:bCs/>
                <w:color w:val="000000"/>
                <w:szCs w:val="21"/>
              </w:rPr>
            </w:pPr>
            <w:r>
              <w:rPr>
                <w:rFonts w:hint="eastAsia"/>
                <w:b/>
                <w:bCs/>
                <w:color w:val="000000"/>
                <w:szCs w:val="21"/>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restart"/>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格栅</w:t>
            </w:r>
            <w:r>
              <w:rPr>
                <w:color w:val="000000"/>
                <w:szCs w:val="21"/>
              </w:rPr>
              <w:t>+</w:t>
            </w:r>
            <w:r>
              <w:rPr>
                <w:rFonts w:hint="eastAsia"/>
                <w:color w:val="000000"/>
                <w:szCs w:val="21"/>
              </w:rPr>
              <w:t>集水池+超微过滤机+初沉池</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进水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3</w:t>
            </w:r>
            <w:r>
              <w:rPr>
                <w:rFonts w:hint="eastAsia"/>
                <w:color w:val="000000"/>
                <w:szCs w:val="21"/>
              </w:rPr>
              <w:t>000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2</w:t>
            </w:r>
            <w:r>
              <w:rPr>
                <w:rFonts w:hint="eastAsia"/>
                <w:color w:val="000000"/>
                <w:szCs w:val="21"/>
              </w:rPr>
              <w:t>00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1</w:t>
            </w:r>
            <w:r>
              <w:rPr>
                <w:rFonts w:hint="eastAsia"/>
                <w:color w:val="000000"/>
                <w:szCs w:val="21"/>
              </w:rPr>
              <w:t>5</w:t>
            </w:r>
            <w:r>
              <w:rPr>
                <w:color w:val="000000"/>
                <w:szCs w:val="21"/>
              </w:rPr>
              <w:t>00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100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200</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30</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去除率%</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4</w:t>
            </w:r>
            <w:r>
              <w:rPr>
                <w:color w:val="000000"/>
                <w:szCs w:val="21"/>
              </w:rPr>
              <w:t>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60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5</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15</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出水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500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20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5</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70</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2</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restart"/>
            <w:tcBorders>
              <w:top w:val="single" w:color="auto" w:sz="4" w:space="0"/>
              <w:lef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水解酸化池</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进水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500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20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5</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70</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2</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left w:val="single" w:color="auto" w:sz="8"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去除率%</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-15</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r>
              <w:rPr>
                <w:color w:val="000000"/>
                <w:szCs w:val="21"/>
              </w:rPr>
              <w:t>5</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r>
              <w:rPr>
                <w:color w:val="000000"/>
                <w:szCs w:val="21"/>
              </w:rPr>
              <w:t>10</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出水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050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04</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2</w:t>
            </w:r>
            <w:r>
              <w:rPr>
                <w:color w:val="000000"/>
                <w:szCs w:val="21"/>
              </w:rPr>
              <w:t>40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9</w:t>
            </w:r>
            <w:r>
              <w:rPr>
                <w:color w:val="000000"/>
                <w:szCs w:val="21"/>
              </w:rPr>
              <w:t>7.8</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78.5</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3.2</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restart"/>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A</w:t>
            </w:r>
            <w:r>
              <w:rPr>
                <w:color w:val="000000"/>
                <w:szCs w:val="21"/>
                <w:vertAlign w:val="superscript"/>
              </w:rPr>
              <w:t>2</w:t>
            </w:r>
            <w:r>
              <w:rPr>
                <w:color w:val="000000"/>
                <w:szCs w:val="21"/>
              </w:rPr>
              <w:t>O</w:t>
            </w:r>
            <w:r>
              <w:rPr>
                <w:rFonts w:hint="eastAsia"/>
                <w:color w:val="000000"/>
                <w:szCs w:val="21"/>
              </w:rPr>
              <w:t>反应池+二沉池</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进水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050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04</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2</w:t>
            </w:r>
            <w:r>
              <w:rPr>
                <w:color w:val="000000"/>
                <w:szCs w:val="21"/>
              </w:rPr>
              <w:t>40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9</w:t>
            </w:r>
            <w:r>
              <w:rPr>
                <w:color w:val="000000"/>
                <w:szCs w:val="21"/>
              </w:rPr>
              <w:t>7.8</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78.5</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3.2</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去除率%</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9</w:t>
            </w:r>
            <w:r>
              <w:rPr>
                <w:color w:val="000000"/>
                <w:szCs w:val="21"/>
              </w:rPr>
              <w:t>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9</w:t>
            </w:r>
            <w:r>
              <w:rPr>
                <w:color w:val="000000"/>
                <w:szCs w:val="21"/>
              </w:rPr>
              <w:t>5</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80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0</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出水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05</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2</w:t>
            </w:r>
            <w:r>
              <w:rPr>
                <w:color w:val="000000"/>
                <w:szCs w:val="21"/>
              </w:rPr>
              <w:t>5.2</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4</w:t>
            </w:r>
            <w:r>
              <w:rPr>
                <w:color w:val="000000"/>
                <w:szCs w:val="21"/>
              </w:rPr>
              <w:t>8</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9.6</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5.7</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.3</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restart"/>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三沉池</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进水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05</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2</w:t>
            </w:r>
            <w:r>
              <w:rPr>
                <w:color w:val="000000"/>
                <w:szCs w:val="21"/>
              </w:rPr>
              <w:t>5.2</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4</w:t>
            </w:r>
            <w:r>
              <w:rPr>
                <w:color w:val="000000"/>
                <w:szCs w:val="21"/>
              </w:rPr>
              <w:t>8</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9.6</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5.7</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.3</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去除率%</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70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5</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出水</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3.5</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7.6</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4.4</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9.6</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5.7</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0.8</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《污水综合排放标准》（GB8978-1996）表4</w:t>
            </w:r>
            <w:r>
              <w:rPr>
                <w:rFonts w:hint="eastAsia"/>
                <w:color w:val="000000"/>
                <w:szCs w:val="21"/>
              </w:rPr>
              <w:t>二</w:t>
            </w:r>
            <w:r>
              <w:rPr>
                <w:color w:val="000000"/>
                <w:szCs w:val="21"/>
              </w:rPr>
              <w:t>级标准</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原阳县产业集聚区污水处理厂进水水质</w:t>
            </w:r>
            <w:r>
              <w:rPr>
                <w:color w:val="000000"/>
                <w:szCs w:val="21"/>
              </w:rPr>
              <w:t>标准</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420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21</w:t>
            </w:r>
            <w:r>
              <w:rPr>
                <w:rFonts w:hint="eastAsia"/>
                <w:color w:val="000000"/>
                <w:szCs w:val="21"/>
              </w:rPr>
              <w:t>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350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40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50</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4</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本项目执行标准</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8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420</w:t>
            </w:r>
          </w:p>
        </w:tc>
        <w:tc>
          <w:tcPr>
            <w:tcW w:w="850"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21</w:t>
            </w:r>
            <w:r>
              <w:rPr>
                <w:rFonts w:hint="eastAsia"/>
                <w:color w:val="000000"/>
                <w:szCs w:val="21"/>
              </w:rPr>
              <w:t>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350</w:t>
            </w:r>
          </w:p>
        </w:tc>
        <w:tc>
          <w:tcPr>
            <w:tcW w:w="992"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40</w:t>
            </w:r>
          </w:p>
        </w:tc>
        <w:tc>
          <w:tcPr>
            <w:tcW w:w="70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50</w:t>
            </w:r>
          </w:p>
        </w:tc>
        <w:tc>
          <w:tcPr>
            <w:tcW w:w="7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4</w:t>
            </w:r>
          </w:p>
        </w:tc>
        <w:tc>
          <w:tcPr>
            <w:tcW w:w="995"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975" w:type="dxa"/>
            <w:tcBorders>
              <w:top w:val="single" w:color="auto" w:sz="4" w:space="0"/>
              <w:left w:val="single" w:color="auto" w:sz="8" w:space="0"/>
              <w:bottom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达标情况</w:t>
            </w:r>
          </w:p>
        </w:tc>
        <w:tc>
          <w:tcPr>
            <w:tcW w:w="850"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851"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达标</w:t>
            </w:r>
          </w:p>
        </w:tc>
        <w:tc>
          <w:tcPr>
            <w:tcW w:w="850"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达标</w:t>
            </w:r>
          </w:p>
        </w:tc>
        <w:tc>
          <w:tcPr>
            <w:tcW w:w="709"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达标</w:t>
            </w:r>
          </w:p>
        </w:tc>
        <w:tc>
          <w:tcPr>
            <w:tcW w:w="992"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达标</w:t>
            </w:r>
          </w:p>
        </w:tc>
        <w:tc>
          <w:tcPr>
            <w:tcW w:w="709"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达标</w:t>
            </w:r>
          </w:p>
        </w:tc>
        <w:tc>
          <w:tcPr>
            <w:tcW w:w="779"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达标</w:t>
            </w:r>
          </w:p>
        </w:tc>
        <w:tc>
          <w:tcPr>
            <w:tcW w:w="995" w:type="dxa"/>
            <w:tcBorders>
              <w:top w:val="single" w:color="auto" w:sz="4" w:space="0"/>
              <w:bottom w:val="single" w:color="auto" w:sz="8"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达标</w:t>
            </w:r>
          </w:p>
        </w:tc>
      </w:tr>
    </w:tbl>
    <w:p>
      <w:pPr>
        <w:spacing w:line="520" w:lineRule="exact"/>
        <w:ind w:firstLine="480" w:firstLineChars="200"/>
        <w:rPr>
          <w:sz w:val="24"/>
          <w:szCs w:val="24"/>
        </w:rPr>
      </w:pPr>
      <w:r>
        <w:rPr>
          <w:rFonts w:hint="eastAsia"/>
          <w:sz w:val="24"/>
          <w:szCs w:val="24"/>
        </w:rPr>
        <w:t>根据上表，厂区污水处理站废水设计出水水质为</w:t>
      </w:r>
      <w:r>
        <w:rPr>
          <w:sz w:val="24"/>
          <w:szCs w:val="24"/>
        </w:rPr>
        <w:t>COD 73.5</w:t>
      </w:r>
      <w:r>
        <w:rPr>
          <w:rFonts w:hint="eastAsia"/>
          <w:sz w:val="24"/>
          <w:szCs w:val="24"/>
        </w:rPr>
        <w:t>mg/L、B</w:t>
      </w:r>
      <w:r>
        <w:rPr>
          <w:sz w:val="24"/>
          <w:szCs w:val="24"/>
        </w:rPr>
        <w:t>OD</w:t>
      </w:r>
      <w:r>
        <w:rPr>
          <w:sz w:val="24"/>
          <w:szCs w:val="24"/>
          <w:vertAlign w:val="subscript"/>
        </w:rPr>
        <w:t>5</w:t>
      </w:r>
      <w:r>
        <w:rPr>
          <w:sz w:val="24"/>
          <w:szCs w:val="24"/>
        </w:rPr>
        <w:t xml:space="preserve"> 17.6</w:t>
      </w:r>
      <w:r>
        <w:rPr>
          <w:rFonts w:hint="eastAsia"/>
          <w:sz w:val="24"/>
          <w:szCs w:val="24"/>
        </w:rPr>
        <w:t>mg/L、S</w:t>
      </w:r>
      <w:r>
        <w:rPr>
          <w:sz w:val="24"/>
          <w:szCs w:val="24"/>
        </w:rPr>
        <w:t>S 14.4</w:t>
      </w:r>
      <w:r>
        <w:rPr>
          <w:rFonts w:hint="eastAsia"/>
          <w:sz w:val="24"/>
          <w:szCs w:val="24"/>
        </w:rPr>
        <w:t>mg/L、氨氮</w:t>
      </w:r>
      <w:r>
        <w:rPr>
          <w:sz w:val="24"/>
          <w:szCs w:val="24"/>
        </w:rPr>
        <w:t>19.6</w:t>
      </w:r>
      <w:r>
        <w:rPr>
          <w:rFonts w:hint="eastAsia"/>
          <w:sz w:val="24"/>
          <w:szCs w:val="24"/>
        </w:rPr>
        <w:t>mg/L、T</w:t>
      </w:r>
      <w:r>
        <w:rPr>
          <w:sz w:val="24"/>
          <w:szCs w:val="24"/>
        </w:rPr>
        <w:t>P 0.8</w:t>
      </w:r>
      <w:r>
        <w:rPr>
          <w:rFonts w:hint="eastAsia"/>
          <w:sz w:val="24"/>
          <w:szCs w:val="24"/>
        </w:rPr>
        <w:t>mg/L、T</w:t>
      </w:r>
      <w:r>
        <w:rPr>
          <w:sz w:val="24"/>
          <w:szCs w:val="24"/>
        </w:rPr>
        <w:t>N 35.7</w:t>
      </w:r>
      <w:r>
        <w:rPr>
          <w:rFonts w:hint="eastAsia"/>
          <w:sz w:val="24"/>
          <w:szCs w:val="24"/>
        </w:rPr>
        <w:t>mg/L、动植物油</w:t>
      </w:r>
      <w:r>
        <w:rPr>
          <w:sz w:val="24"/>
          <w:szCs w:val="24"/>
        </w:rPr>
        <w:t>5</w:t>
      </w:r>
      <w:r>
        <w:rPr>
          <w:rFonts w:hint="eastAsia"/>
          <w:sz w:val="24"/>
          <w:szCs w:val="24"/>
        </w:rPr>
        <w:t>mg/L，满足原阳县产业集聚区污水处理厂收水标准（</w:t>
      </w:r>
      <w:r>
        <w:rPr>
          <w:sz w:val="24"/>
          <w:szCs w:val="24"/>
        </w:rPr>
        <w:t>COD 420</w:t>
      </w:r>
      <w:r>
        <w:rPr>
          <w:rFonts w:hint="eastAsia"/>
          <w:sz w:val="24"/>
          <w:szCs w:val="24"/>
        </w:rPr>
        <w:t>mg/L、B</w:t>
      </w:r>
      <w:r>
        <w:rPr>
          <w:sz w:val="24"/>
          <w:szCs w:val="24"/>
        </w:rPr>
        <w:t>OD</w:t>
      </w:r>
      <w:r>
        <w:rPr>
          <w:sz w:val="24"/>
          <w:szCs w:val="24"/>
          <w:vertAlign w:val="subscript"/>
        </w:rPr>
        <w:t>5</w:t>
      </w:r>
      <w:r>
        <w:rPr>
          <w:sz w:val="24"/>
          <w:szCs w:val="24"/>
        </w:rPr>
        <w:t xml:space="preserve"> 210</w:t>
      </w:r>
      <w:r>
        <w:rPr>
          <w:rFonts w:hint="eastAsia"/>
          <w:sz w:val="24"/>
          <w:szCs w:val="24"/>
        </w:rPr>
        <w:t>mg/L、S</w:t>
      </w:r>
      <w:r>
        <w:rPr>
          <w:sz w:val="24"/>
          <w:szCs w:val="24"/>
        </w:rPr>
        <w:t>S 350</w:t>
      </w:r>
      <w:r>
        <w:rPr>
          <w:rFonts w:hint="eastAsia"/>
          <w:sz w:val="24"/>
          <w:szCs w:val="24"/>
        </w:rPr>
        <w:t>mg/L、氨氮</w:t>
      </w:r>
      <w:r>
        <w:rPr>
          <w:sz w:val="24"/>
          <w:szCs w:val="24"/>
        </w:rPr>
        <w:t>40</w:t>
      </w:r>
      <w:r>
        <w:rPr>
          <w:rFonts w:hint="eastAsia"/>
          <w:sz w:val="24"/>
          <w:szCs w:val="24"/>
        </w:rPr>
        <w:t>mg/L、T</w:t>
      </w:r>
      <w:r>
        <w:rPr>
          <w:sz w:val="24"/>
          <w:szCs w:val="24"/>
        </w:rPr>
        <w:t>P 4</w:t>
      </w:r>
      <w:r>
        <w:rPr>
          <w:rFonts w:hint="eastAsia"/>
          <w:sz w:val="24"/>
          <w:szCs w:val="24"/>
        </w:rPr>
        <w:t>mg/L、T</w:t>
      </w:r>
      <w:r>
        <w:rPr>
          <w:sz w:val="24"/>
          <w:szCs w:val="24"/>
        </w:rPr>
        <w:t>N 50</w:t>
      </w:r>
      <w:r>
        <w:rPr>
          <w:rFonts w:hint="eastAsia"/>
          <w:sz w:val="24"/>
          <w:szCs w:val="24"/>
        </w:rPr>
        <w:t>mg/L）和《污水综合排放标准》（G</w:t>
      </w:r>
      <w:r>
        <w:rPr>
          <w:sz w:val="24"/>
          <w:szCs w:val="24"/>
        </w:rPr>
        <w:t>B 8978-1996</w:t>
      </w:r>
      <w:r>
        <w:rPr>
          <w:rFonts w:hint="eastAsia"/>
          <w:sz w:val="24"/>
          <w:szCs w:val="24"/>
        </w:rPr>
        <w:t>）中二级标准：动植物油1</w:t>
      </w:r>
      <w:r>
        <w:rPr>
          <w:sz w:val="24"/>
          <w:szCs w:val="24"/>
        </w:rPr>
        <w:t>5mg/L</w:t>
      </w:r>
      <w:r>
        <w:rPr>
          <w:rFonts w:hint="eastAsia"/>
          <w:sz w:val="24"/>
          <w:szCs w:val="24"/>
        </w:rPr>
        <w:t>的标准限值。</w:t>
      </w:r>
    </w:p>
    <w:p>
      <w:pPr>
        <w:spacing w:line="520" w:lineRule="exact"/>
        <w:ind w:firstLine="480" w:firstLineChars="200"/>
        <w:rPr>
          <w:sz w:val="24"/>
          <w:szCs w:val="24"/>
        </w:rPr>
      </w:pPr>
      <w:r>
        <w:rPr>
          <w:rFonts w:hint="eastAsia"/>
          <w:sz w:val="24"/>
          <w:szCs w:val="24"/>
        </w:rPr>
        <w:t>原阳县产业集聚区污水处理厂废水TN、SS、动植物油指标执行《城镇污水处理厂污染物排放标准》GB18918-2002)中一级A标准（TN</w:t>
      </w:r>
      <w:r>
        <w:rPr>
          <w:sz w:val="24"/>
          <w:szCs w:val="24"/>
        </w:rPr>
        <w:t xml:space="preserve"> 15</w:t>
      </w:r>
      <w:r>
        <w:rPr>
          <w:rFonts w:hint="eastAsia"/>
          <w:sz w:val="24"/>
          <w:szCs w:val="24"/>
        </w:rPr>
        <w:t>mg/L、SS</w:t>
      </w:r>
      <w:r>
        <w:rPr>
          <w:sz w:val="24"/>
          <w:szCs w:val="24"/>
        </w:rPr>
        <w:t xml:space="preserve"> 10</w:t>
      </w:r>
      <w:r>
        <w:rPr>
          <w:rFonts w:hint="eastAsia"/>
          <w:sz w:val="24"/>
          <w:szCs w:val="24"/>
        </w:rPr>
        <w:t>mg/L、动植物油</w:t>
      </w:r>
      <w:r>
        <w:rPr>
          <w:sz w:val="24"/>
          <w:szCs w:val="24"/>
        </w:rPr>
        <w:t>1</w:t>
      </w:r>
      <w:r>
        <w:rPr>
          <w:rFonts w:hint="eastAsia"/>
          <w:sz w:val="24"/>
          <w:szCs w:val="24"/>
        </w:rPr>
        <w:t>mg/L），COD、BOD</w:t>
      </w:r>
      <w:r>
        <w:rPr>
          <w:rFonts w:hint="eastAsia"/>
          <w:sz w:val="24"/>
          <w:szCs w:val="24"/>
          <w:vertAlign w:val="subscript"/>
        </w:rPr>
        <w:t>5</w:t>
      </w:r>
      <w:r>
        <w:rPr>
          <w:rFonts w:hint="eastAsia"/>
          <w:sz w:val="24"/>
          <w:szCs w:val="24"/>
        </w:rPr>
        <w:t>、NH-N、TP指标执行《地表水环境质量标准》（GB3838-2002）V类水质标准（COD</w:t>
      </w:r>
      <w:r>
        <w:rPr>
          <w:sz w:val="24"/>
          <w:szCs w:val="24"/>
        </w:rPr>
        <w:t xml:space="preserve"> 40</w:t>
      </w:r>
      <w:r>
        <w:rPr>
          <w:rFonts w:hint="eastAsia"/>
          <w:sz w:val="24"/>
          <w:szCs w:val="24"/>
        </w:rPr>
        <w:t>mg/L、BOD</w:t>
      </w:r>
      <w:r>
        <w:rPr>
          <w:rFonts w:hint="eastAsia"/>
          <w:sz w:val="24"/>
          <w:szCs w:val="24"/>
          <w:vertAlign w:val="subscript"/>
        </w:rPr>
        <w:t>5</w:t>
      </w:r>
      <w:r>
        <w:rPr>
          <w:sz w:val="24"/>
          <w:szCs w:val="24"/>
        </w:rPr>
        <w:t xml:space="preserve"> 10</w:t>
      </w:r>
      <w:r>
        <w:rPr>
          <w:rFonts w:hint="eastAsia"/>
          <w:sz w:val="24"/>
          <w:szCs w:val="24"/>
        </w:rPr>
        <w:t>mg/L、NH</w:t>
      </w:r>
      <w:r>
        <w:rPr>
          <w:sz w:val="24"/>
          <w:szCs w:val="24"/>
          <w:vertAlign w:val="subscript"/>
        </w:rPr>
        <w:t>3</w:t>
      </w:r>
      <w:r>
        <w:rPr>
          <w:rFonts w:hint="eastAsia"/>
          <w:sz w:val="24"/>
          <w:szCs w:val="24"/>
        </w:rPr>
        <w:t>-N</w:t>
      </w:r>
      <w:r>
        <w:rPr>
          <w:sz w:val="24"/>
          <w:szCs w:val="24"/>
        </w:rPr>
        <w:t xml:space="preserve"> 2</w:t>
      </w:r>
      <w:r>
        <w:rPr>
          <w:rFonts w:hint="eastAsia"/>
          <w:sz w:val="24"/>
          <w:szCs w:val="24"/>
        </w:rPr>
        <w:t>mg/L、TP</w:t>
      </w:r>
      <w:r>
        <w:rPr>
          <w:sz w:val="24"/>
          <w:szCs w:val="24"/>
        </w:rPr>
        <w:t xml:space="preserve"> 0.4</w:t>
      </w:r>
      <w:r>
        <w:rPr>
          <w:rFonts w:hint="eastAsia"/>
          <w:sz w:val="24"/>
          <w:szCs w:val="24"/>
        </w:rPr>
        <w:t>mg/L）。</w:t>
      </w:r>
    </w:p>
    <w:p>
      <w:pPr>
        <w:spacing w:line="520" w:lineRule="exact"/>
        <w:ind w:firstLine="480" w:firstLineChars="200"/>
        <w:outlineLvl w:val="5"/>
        <w:rPr>
          <w:sz w:val="24"/>
          <w:szCs w:val="24"/>
        </w:rPr>
      </w:pPr>
      <w:r>
        <w:rPr>
          <w:rFonts w:hint="eastAsia"/>
          <w:sz w:val="24"/>
          <w:szCs w:val="24"/>
        </w:rPr>
        <w:t>（3）污染物排放信息</w:t>
      </w:r>
    </w:p>
    <w:p>
      <w:pPr>
        <w:spacing w:line="520" w:lineRule="exact"/>
        <w:ind w:firstLine="480" w:firstLineChars="200"/>
        <w:outlineLvl w:val="6"/>
        <w:rPr>
          <w:sz w:val="24"/>
          <w:szCs w:val="24"/>
        </w:rPr>
      </w:pPr>
      <w:r>
        <w:rPr>
          <w:rFonts w:hint="eastAsia"/>
          <w:sz w:val="24"/>
          <w:szCs w:val="24"/>
        </w:rPr>
        <w:t>①</w:t>
      </w:r>
      <w:r>
        <w:rPr>
          <w:rFonts w:hint="eastAsia"/>
          <w:bCs/>
          <w:sz w:val="24"/>
          <w:szCs w:val="24"/>
        </w:rPr>
        <w:t>废水类别、污染物及污染治理设施信息表</w:t>
      </w:r>
    </w:p>
    <w:p>
      <w:pPr>
        <w:spacing w:line="520" w:lineRule="exact"/>
        <w:ind w:firstLine="480" w:firstLineChars="200"/>
        <w:rPr>
          <w:rFonts w:eastAsia="黑体"/>
          <w:sz w:val="24"/>
        </w:rPr>
      </w:pPr>
      <w:r>
        <w:rPr>
          <w:rFonts w:hint="eastAsia" w:eastAsia="黑体"/>
          <w:sz w:val="24"/>
        </w:rPr>
        <w:t>表</w:t>
      </w:r>
      <w:r>
        <w:rPr>
          <w:rFonts w:eastAsia="黑体"/>
          <w:sz w:val="24"/>
        </w:rPr>
        <w:t xml:space="preserve">3.1-17        </w:t>
      </w:r>
      <w:r>
        <w:rPr>
          <w:rFonts w:hint="eastAsia" w:eastAsia="黑体"/>
          <w:sz w:val="24"/>
        </w:rPr>
        <w:t>废水类别、污染物及污染治理设施信息表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56"/>
        <w:gridCol w:w="570"/>
        <w:gridCol w:w="1205"/>
        <w:gridCol w:w="571"/>
        <w:gridCol w:w="571"/>
        <w:gridCol w:w="856"/>
        <w:gridCol w:w="857"/>
        <w:gridCol w:w="999"/>
        <w:gridCol w:w="571"/>
        <w:gridCol w:w="751"/>
        <w:gridCol w:w="14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4" w:type="dxa"/>
            <w:vMerge w:val="restart"/>
            <w:tcMar>
              <w:top w:w="0" w:type="dxa"/>
              <w:left w:w="0" w:type="dxa"/>
              <w:bottom w:w="0" w:type="dxa"/>
              <w:right w:w="0" w:type="dxa"/>
            </w:tcMar>
            <w:vAlign w:val="center"/>
          </w:tcPr>
          <w:p>
            <w:pPr>
              <w:jc w:val="center"/>
              <w:rPr>
                <w:rFonts w:cs="宋体"/>
                <w:b/>
                <w:color w:val="000000"/>
                <w:szCs w:val="20"/>
              </w:rPr>
            </w:pPr>
            <w:r>
              <w:rPr>
                <w:rFonts w:hint="eastAsia" w:cs="宋体"/>
                <w:b/>
                <w:color w:val="000000"/>
                <w:szCs w:val="20"/>
              </w:rPr>
              <w:t>序号</w:t>
            </w:r>
          </w:p>
        </w:tc>
        <w:tc>
          <w:tcPr>
            <w:tcW w:w="566" w:type="dxa"/>
            <w:vMerge w:val="restart"/>
            <w:vAlign w:val="center"/>
          </w:tcPr>
          <w:p>
            <w:pPr>
              <w:jc w:val="center"/>
              <w:rPr>
                <w:rFonts w:cs="宋体"/>
                <w:b/>
                <w:color w:val="000000"/>
                <w:szCs w:val="20"/>
              </w:rPr>
            </w:pPr>
            <w:r>
              <w:rPr>
                <w:rFonts w:hint="eastAsia" w:cs="宋体"/>
                <w:b/>
                <w:color w:val="000000"/>
                <w:szCs w:val="20"/>
              </w:rPr>
              <w:t>废水类别</w:t>
            </w:r>
          </w:p>
        </w:tc>
        <w:tc>
          <w:tcPr>
            <w:tcW w:w="1197" w:type="dxa"/>
            <w:vMerge w:val="restart"/>
            <w:vAlign w:val="center"/>
          </w:tcPr>
          <w:p>
            <w:pPr>
              <w:jc w:val="center"/>
              <w:rPr>
                <w:rFonts w:cs="宋体"/>
                <w:b/>
                <w:color w:val="000000"/>
                <w:szCs w:val="20"/>
              </w:rPr>
            </w:pPr>
            <w:r>
              <w:rPr>
                <w:rFonts w:hint="eastAsia" w:cs="宋体"/>
                <w:b/>
                <w:color w:val="000000"/>
                <w:szCs w:val="20"/>
              </w:rPr>
              <w:t>污染物种类</w:t>
            </w:r>
          </w:p>
        </w:tc>
        <w:tc>
          <w:tcPr>
            <w:tcW w:w="567" w:type="dxa"/>
            <w:vMerge w:val="restart"/>
            <w:vAlign w:val="center"/>
          </w:tcPr>
          <w:p>
            <w:pPr>
              <w:jc w:val="center"/>
              <w:rPr>
                <w:rFonts w:cs="宋体"/>
                <w:b/>
                <w:color w:val="000000"/>
                <w:szCs w:val="20"/>
              </w:rPr>
            </w:pPr>
            <w:r>
              <w:rPr>
                <w:rFonts w:hint="eastAsia" w:cs="宋体"/>
                <w:b/>
                <w:color w:val="000000"/>
                <w:szCs w:val="20"/>
              </w:rPr>
              <w:t>排放去向</w:t>
            </w:r>
          </w:p>
        </w:tc>
        <w:tc>
          <w:tcPr>
            <w:tcW w:w="567" w:type="dxa"/>
            <w:vMerge w:val="restart"/>
            <w:vAlign w:val="center"/>
          </w:tcPr>
          <w:p>
            <w:pPr>
              <w:jc w:val="center"/>
              <w:rPr>
                <w:rFonts w:cs="宋体"/>
                <w:b/>
                <w:color w:val="000000"/>
                <w:szCs w:val="20"/>
              </w:rPr>
            </w:pPr>
            <w:r>
              <w:rPr>
                <w:rFonts w:hint="eastAsia" w:cs="宋体"/>
                <w:b/>
                <w:color w:val="000000"/>
                <w:szCs w:val="20"/>
              </w:rPr>
              <w:t>排放规律</w:t>
            </w:r>
          </w:p>
        </w:tc>
        <w:tc>
          <w:tcPr>
            <w:tcW w:w="2693" w:type="dxa"/>
            <w:gridSpan w:val="3"/>
            <w:vAlign w:val="center"/>
          </w:tcPr>
          <w:p>
            <w:pPr>
              <w:jc w:val="center"/>
              <w:rPr>
                <w:rFonts w:cs="宋体"/>
                <w:b/>
                <w:color w:val="000000"/>
                <w:szCs w:val="20"/>
              </w:rPr>
            </w:pPr>
            <w:r>
              <w:rPr>
                <w:rFonts w:hint="eastAsia" w:cs="宋体"/>
                <w:b/>
                <w:color w:val="000000"/>
                <w:szCs w:val="20"/>
              </w:rPr>
              <w:t>污染治理措施</w:t>
            </w:r>
          </w:p>
        </w:tc>
        <w:tc>
          <w:tcPr>
            <w:tcW w:w="567" w:type="dxa"/>
            <w:vMerge w:val="restart"/>
            <w:vAlign w:val="center"/>
          </w:tcPr>
          <w:p>
            <w:pPr>
              <w:jc w:val="center"/>
              <w:rPr>
                <w:rFonts w:cs="宋体"/>
                <w:b/>
                <w:color w:val="000000"/>
                <w:szCs w:val="20"/>
              </w:rPr>
            </w:pPr>
            <w:r>
              <w:rPr>
                <w:rFonts w:hint="eastAsia" w:cs="宋体"/>
                <w:b/>
                <w:color w:val="000000"/>
                <w:szCs w:val="20"/>
              </w:rPr>
              <w:t>排放口编号</w:t>
            </w:r>
          </w:p>
        </w:tc>
        <w:tc>
          <w:tcPr>
            <w:tcW w:w="746" w:type="dxa"/>
            <w:vMerge w:val="restart"/>
            <w:vAlign w:val="center"/>
          </w:tcPr>
          <w:p>
            <w:pPr>
              <w:jc w:val="center"/>
              <w:rPr>
                <w:rFonts w:cs="宋体"/>
                <w:b/>
                <w:color w:val="000000"/>
                <w:szCs w:val="20"/>
              </w:rPr>
            </w:pPr>
            <w:r>
              <w:rPr>
                <w:rFonts w:hint="eastAsia" w:cs="宋体"/>
                <w:b/>
                <w:color w:val="000000"/>
                <w:szCs w:val="20"/>
              </w:rPr>
              <w:t>排放口设置是否符合要求</w:t>
            </w:r>
          </w:p>
        </w:tc>
        <w:tc>
          <w:tcPr>
            <w:tcW w:w="1453" w:type="dxa"/>
            <w:vMerge w:val="restart"/>
            <w:vAlign w:val="center"/>
          </w:tcPr>
          <w:p>
            <w:pPr>
              <w:jc w:val="center"/>
              <w:rPr>
                <w:rFonts w:cs="宋体"/>
                <w:b/>
                <w:color w:val="000000"/>
                <w:szCs w:val="20"/>
              </w:rPr>
            </w:pPr>
            <w:r>
              <w:rPr>
                <w:rFonts w:hint="eastAsia" w:cs="宋体"/>
                <w:b/>
                <w:color w:val="000000"/>
                <w:szCs w:val="20"/>
              </w:rPr>
              <w:t>排放口类型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4" w:type="dxa"/>
            <w:vMerge w:val="continue"/>
            <w:vAlign w:val="center"/>
          </w:tcPr>
          <w:p>
            <w:pPr>
              <w:jc w:val="center"/>
              <w:rPr>
                <w:rFonts w:cs="宋体"/>
                <w:b/>
                <w:color w:val="000000"/>
                <w:szCs w:val="20"/>
              </w:rPr>
            </w:pPr>
          </w:p>
        </w:tc>
        <w:tc>
          <w:tcPr>
            <w:tcW w:w="566" w:type="dxa"/>
            <w:vMerge w:val="continue"/>
            <w:vAlign w:val="center"/>
          </w:tcPr>
          <w:p>
            <w:pPr>
              <w:jc w:val="center"/>
              <w:rPr>
                <w:rFonts w:cs="宋体"/>
                <w:b/>
                <w:color w:val="000000"/>
                <w:szCs w:val="20"/>
              </w:rPr>
            </w:pPr>
          </w:p>
        </w:tc>
        <w:tc>
          <w:tcPr>
            <w:tcW w:w="1197" w:type="dxa"/>
            <w:vMerge w:val="continue"/>
            <w:vAlign w:val="center"/>
          </w:tcPr>
          <w:p>
            <w:pPr>
              <w:jc w:val="center"/>
              <w:rPr>
                <w:rFonts w:cs="宋体"/>
                <w:b/>
                <w:color w:val="000000"/>
                <w:szCs w:val="20"/>
              </w:rPr>
            </w:pPr>
          </w:p>
        </w:tc>
        <w:tc>
          <w:tcPr>
            <w:tcW w:w="567" w:type="dxa"/>
            <w:vMerge w:val="continue"/>
            <w:vAlign w:val="center"/>
          </w:tcPr>
          <w:p>
            <w:pPr>
              <w:jc w:val="center"/>
              <w:rPr>
                <w:rFonts w:cs="宋体"/>
                <w:b/>
                <w:color w:val="000000"/>
                <w:szCs w:val="20"/>
              </w:rPr>
            </w:pPr>
          </w:p>
        </w:tc>
        <w:tc>
          <w:tcPr>
            <w:tcW w:w="567" w:type="dxa"/>
            <w:vMerge w:val="continue"/>
            <w:vAlign w:val="center"/>
          </w:tcPr>
          <w:p>
            <w:pPr>
              <w:jc w:val="center"/>
              <w:rPr>
                <w:rFonts w:cs="宋体"/>
                <w:b/>
                <w:color w:val="000000"/>
                <w:szCs w:val="20"/>
              </w:rPr>
            </w:pPr>
          </w:p>
        </w:tc>
        <w:tc>
          <w:tcPr>
            <w:tcW w:w="850" w:type="dxa"/>
            <w:tcMar>
              <w:top w:w="0" w:type="dxa"/>
              <w:left w:w="0" w:type="dxa"/>
              <w:bottom w:w="0" w:type="dxa"/>
              <w:right w:w="0" w:type="dxa"/>
            </w:tcMar>
            <w:vAlign w:val="center"/>
          </w:tcPr>
          <w:p>
            <w:pPr>
              <w:jc w:val="center"/>
              <w:rPr>
                <w:rFonts w:cs="宋体"/>
                <w:b/>
                <w:color w:val="000000"/>
                <w:szCs w:val="20"/>
              </w:rPr>
            </w:pPr>
            <w:r>
              <w:rPr>
                <w:rFonts w:hint="eastAsia" w:cs="宋体"/>
                <w:b/>
                <w:color w:val="000000"/>
                <w:szCs w:val="20"/>
              </w:rPr>
              <w:t>污染治理措施编号</w:t>
            </w:r>
          </w:p>
        </w:tc>
        <w:tc>
          <w:tcPr>
            <w:tcW w:w="851" w:type="dxa"/>
            <w:vAlign w:val="center"/>
          </w:tcPr>
          <w:p>
            <w:pPr>
              <w:jc w:val="center"/>
              <w:rPr>
                <w:rFonts w:cs="宋体"/>
                <w:b/>
                <w:color w:val="000000"/>
                <w:szCs w:val="20"/>
              </w:rPr>
            </w:pPr>
            <w:r>
              <w:rPr>
                <w:rFonts w:hint="eastAsia" w:cs="宋体"/>
                <w:b/>
                <w:color w:val="000000"/>
                <w:szCs w:val="20"/>
              </w:rPr>
              <w:t>污染治理措施名称</w:t>
            </w:r>
          </w:p>
        </w:tc>
        <w:tc>
          <w:tcPr>
            <w:tcW w:w="992" w:type="dxa"/>
            <w:vAlign w:val="center"/>
          </w:tcPr>
          <w:p>
            <w:pPr>
              <w:jc w:val="center"/>
              <w:rPr>
                <w:rFonts w:cs="宋体"/>
                <w:b/>
                <w:color w:val="000000"/>
                <w:szCs w:val="20"/>
              </w:rPr>
            </w:pPr>
            <w:r>
              <w:rPr>
                <w:rFonts w:hint="eastAsia" w:cs="宋体"/>
                <w:b/>
                <w:color w:val="000000"/>
                <w:szCs w:val="20"/>
              </w:rPr>
              <w:t>污染治理措施工艺</w:t>
            </w:r>
          </w:p>
        </w:tc>
        <w:tc>
          <w:tcPr>
            <w:tcW w:w="567" w:type="dxa"/>
            <w:vMerge w:val="continue"/>
            <w:vAlign w:val="center"/>
          </w:tcPr>
          <w:p>
            <w:pPr>
              <w:jc w:val="center"/>
              <w:rPr>
                <w:rFonts w:cs="宋体"/>
                <w:b/>
                <w:color w:val="000000"/>
                <w:szCs w:val="20"/>
              </w:rPr>
            </w:pPr>
          </w:p>
        </w:tc>
        <w:tc>
          <w:tcPr>
            <w:tcW w:w="746" w:type="dxa"/>
            <w:vMerge w:val="continue"/>
            <w:vAlign w:val="center"/>
          </w:tcPr>
          <w:p>
            <w:pPr>
              <w:jc w:val="center"/>
              <w:rPr>
                <w:rFonts w:cs="宋体"/>
                <w:b/>
                <w:color w:val="000000"/>
                <w:szCs w:val="20"/>
              </w:rPr>
            </w:pPr>
          </w:p>
        </w:tc>
        <w:tc>
          <w:tcPr>
            <w:tcW w:w="1453" w:type="dxa"/>
            <w:vMerge w:val="continue"/>
            <w:vAlign w:val="center"/>
          </w:tcPr>
          <w:p>
            <w:pPr>
              <w:jc w:val="center"/>
              <w:rPr>
                <w:rFonts w:cs="宋体"/>
                <w:b/>
                <w:color w:val="000000"/>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54" w:type="dxa"/>
            <w:tcMar>
              <w:top w:w="0" w:type="dxa"/>
              <w:left w:w="0" w:type="dxa"/>
              <w:bottom w:w="0" w:type="dxa"/>
              <w:right w:w="0" w:type="dxa"/>
            </w:tcMar>
            <w:vAlign w:val="center"/>
          </w:tcPr>
          <w:p>
            <w:pPr>
              <w:contextualSpacing/>
              <w:jc w:val="center"/>
              <w:textAlignment w:val="baseline"/>
              <w:rPr>
                <w:color w:val="000000"/>
                <w:szCs w:val="21"/>
              </w:rPr>
            </w:pPr>
            <w:r>
              <w:rPr>
                <w:color w:val="000000"/>
                <w:szCs w:val="21"/>
              </w:rPr>
              <w:t>1</w:t>
            </w:r>
          </w:p>
        </w:tc>
        <w:tc>
          <w:tcPr>
            <w:tcW w:w="566" w:type="dxa"/>
            <w:vAlign w:val="center"/>
          </w:tcPr>
          <w:p>
            <w:pPr>
              <w:contextualSpacing/>
              <w:jc w:val="center"/>
              <w:textAlignment w:val="baseline"/>
              <w:rPr>
                <w:color w:val="000000"/>
                <w:szCs w:val="21"/>
              </w:rPr>
            </w:pPr>
            <w:r>
              <w:rPr>
                <w:rFonts w:hint="eastAsia"/>
                <w:color w:val="000000"/>
                <w:szCs w:val="21"/>
              </w:rPr>
              <w:t>生产</w:t>
            </w:r>
            <w:r>
              <w:rPr>
                <w:color w:val="000000"/>
                <w:szCs w:val="21"/>
              </w:rPr>
              <w:t>废水</w:t>
            </w:r>
          </w:p>
        </w:tc>
        <w:tc>
          <w:tcPr>
            <w:tcW w:w="1197" w:type="dxa"/>
            <w:vAlign w:val="center"/>
          </w:tcPr>
          <w:p>
            <w:pPr>
              <w:contextualSpacing/>
              <w:jc w:val="center"/>
              <w:textAlignment w:val="baseline"/>
              <w:rPr>
                <w:color w:val="000000"/>
                <w:szCs w:val="21"/>
              </w:rPr>
            </w:pPr>
            <w:r>
              <w:rPr>
                <w:color w:val="000000"/>
                <w:spacing w:val="-4"/>
                <w:szCs w:val="21"/>
              </w:rPr>
              <w:t>p</w:t>
            </w:r>
            <w:r>
              <w:rPr>
                <w:rFonts w:hint="eastAsia"/>
                <w:color w:val="000000"/>
                <w:spacing w:val="-4"/>
                <w:szCs w:val="21"/>
              </w:rPr>
              <w:t>H、</w:t>
            </w:r>
            <w:r>
              <w:rPr>
                <w:color w:val="000000"/>
                <w:spacing w:val="-4"/>
                <w:szCs w:val="21"/>
              </w:rPr>
              <w:t>COD</w:t>
            </w:r>
            <w:r>
              <w:rPr>
                <w:rFonts w:hint="eastAsia"/>
                <w:color w:val="000000"/>
                <w:spacing w:val="-4"/>
                <w:szCs w:val="21"/>
              </w:rPr>
              <w:t>、SS、</w:t>
            </w:r>
            <w:r>
              <w:rPr>
                <w:color w:val="000000"/>
                <w:spacing w:val="-4"/>
                <w:szCs w:val="21"/>
              </w:rPr>
              <w:t>NH</w:t>
            </w:r>
            <w:r>
              <w:rPr>
                <w:color w:val="000000"/>
                <w:spacing w:val="-4"/>
                <w:szCs w:val="21"/>
                <w:vertAlign w:val="subscript"/>
              </w:rPr>
              <w:t>3</w:t>
            </w:r>
            <w:r>
              <w:rPr>
                <w:color w:val="000000"/>
                <w:spacing w:val="-4"/>
                <w:szCs w:val="21"/>
              </w:rPr>
              <w:t>-N</w:t>
            </w:r>
            <w:r>
              <w:rPr>
                <w:rFonts w:hint="eastAsia"/>
                <w:color w:val="000000"/>
                <w:spacing w:val="-4"/>
                <w:szCs w:val="21"/>
              </w:rPr>
              <w:t>、</w:t>
            </w:r>
            <w:r>
              <w:rPr>
                <w:color w:val="000000"/>
                <w:spacing w:val="-4"/>
                <w:szCs w:val="21"/>
              </w:rPr>
              <w:t>TP</w:t>
            </w:r>
            <w:r>
              <w:rPr>
                <w:rFonts w:hint="eastAsia"/>
                <w:color w:val="000000"/>
                <w:spacing w:val="-4"/>
                <w:szCs w:val="21"/>
              </w:rPr>
              <w:t>、</w:t>
            </w:r>
            <w:r>
              <w:rPr>
                <w:color w:val="000000"/>
                <w:spacing w:val="-4"/>
                <w:szCs w:val="21"/>
              </w:rPr>
              <w:t>TN</w:t>
            </w:r>
            <w:r>
              <w:rPr>
                <w:rFonts w:hint="eastAsia"/>
                <w:color w:val="000000"/>
                <w:spacing w:val="-4"/>
                <w:szCs w:val="21"/>
              </w:rPr>
              <w:t>、动植物油</w:t>
            </w:r>
          </w:p>
        </w:tc>
        <w:tc>
          <w:tcPr>
            <w:tcW w:w="567" w:type="dxa"/>
            <w:vAlign w:val="center"/>
          </w:tcPr>
          <w:p>
            <w:pPr>
              <w:contextualSpacing/>
              <w:jc w:val="center"/>
              <w:textAlignment w:val="baseline"/>
              <w:rPr>
                <w:color w:val="000000"/>
                <w:szCs w:val="21"/>
              </w:rPr>
            </w:pPr>
            <w:r>
              <w:rPr>
                <w:color w:val="000000"/>
                <w:kern w:val="0"/>
                <w:szCs w:val="21"/>
              </w:rPr>
              <w:t>城镇污水处理厂</w:t>
            </w:r>
          </w:p>
        </w:tc>
        <w:tc>
          <w:tcPr>
            <w:tcW w:w="567" w:type="dxa"/>
            <w:vAlign w:val="center"/>
          </w:tcPr>
          <w:p>
            <w:pPr>
              <w:contextualSpacing/>
              <w:jc w:val="center"/>
              <w:textAlignment w:val="baseline"/>
              <w:rPr>
                <w:color w:val="000000"/>
                <w:szCs w:val="21"/>
              </w:rPr>
            </w:pPr>
            <w:r>
              <w:rPr>
                <w:rFonts w:hint="eastAsia"/>
                <w:color w:val="000000"/>
                <w:szCs w:val="21"/>
              </w:rPr>
              <w:t>连续排放</w:t>
            </w:r>
          </w:p>
        </w:tc>
        <w:tc>
          <w:tcPr>
            <w:tcW w:w="850" w:type="dxa"/>
            <w:vAlign w:val="center"/>
          </w:tcPr>
          <w:p>
            <w:pPr>
              <w:contextualSpacing/>
              <w:jc w:val="center"/>
              <w:textAlignment w:val="baseline"/>
              <w:rPr>
                <w:color w:val="000000"/>
                <w:szCs w:val="21"/>
              </w:rPr>
            </w:pPr>
            <w:r>
              <w:rPr>
                <w:color w:val="000000"/>
                <w:szCs w:val="21"/>
              </w:rPr>
              <w:t>TW001</w:t>
            </w:r>
          </w:p>
        </w:tc>
        <w:tc>
          <w:tcPr>
            <w:tcW w:w="851" w:type="dxa"/>
            <w:vAlign w:val="center"/>
          </w:tcPr>
          <w:p>
            <w:pPr>
              <w:contextualSpacing/>
              <w:jc w:val="center"/>
              <w:textAlignment w:val="baseline"/>
              <w:rPr>
                <w:color w:val="000000"/>
                <w:kern w:val="0"/>
                <w:szCs w:val="21"/>
              </w:rPr>
            </w:pPr>
            <w:r>
              <w:rPr>
                <w:rFonts w:hint="eastAsia"/>
                <w:color w:val="000000"/>
                <w:kern w:val="0"/>
                <w:szCs w:val="21"/>
              </w:rPr>
              <w:t>生产废水处理系统</w:t>
            </w:r>
          </w:p>
        </w:tc>
        <w:tc>
          <w:tcPr>
            <w:tcW w:w="992" w:type="dxa"/>
            <w:vAlign w:val="center"/>
          </w:tcPr>
          <w:p>
            <w:pPr>
              <w:contextualSpacing/>
              <w:jc w:val="center"/>
              <w:textAlignment w:val="baseline"/>
              <w:rPr>
                <w:color w:val="000000"/>
                <w:kern w:val="0"/>
                <w:szCs w:val="21"/>
              </w:rPr>
            </w:pPr>
            <w:r>
              <w:rPr>
                <w:rFonts w:hint="eastAsia"/>
                <w:bCs/>
                <w:color w:val="000000"/>
                <w:kern w:val="0"/>
                <w:szCs w:val="21"/>
              </w:rPr>
              <w:t>格栅+集水池+超微过滤机+初沉池+调节池+水解酸化池+厌氧池+缺氧池+好氧池+二沉池+三沉池</w:t>
            </w:r>
          </w:p>
        </w:tc>
        <w:tc>
          <w:tcPr>
            <w:tcW w:w="567" w:type="dxa"/>
            <w:vAlign w:val="center"/>
          </w:tcPr>
          <w:p>
            <w:pPr>
              <w:contextualSpacing/>
              <w:jc w:val="center"/>
              <w:textAlignment w:val="baseline"/>
              <w:rPr>
                <w:color w:val="000000"/>
                <w:szCs w:val="21"/>
              </w:rPr>
            </w:pPr>
            <w:r>
              <w:rPr>
                <w:color w:val="000000"/>
                <w:szCs w:val="21"/>
              </w:rPr>
              <w:t>DW001</w:t>
            </w:r>
          </w:p>
        </w:tc>
        <w:tc>
          <w:tcPr>
            <w:tcW w:w="746" w:type="dxa"/>
            <w:vAlign w:val="center"/>
          </w:tcPr>
          <w:p>
            <w:pPr>
              <w:contextualSpacing/>
              <w:jc w:val="center"/>
              <w:textAlignment w:val="baseline"/>
              <w:rPr>
                <w:color w:val="000000"/>
                <w:szCs w:val="21"/>
              </w:rPr>
            </w:pPr>
            <w:r>
              <w:rPr>
                <w:rFonts w:eastAsia="MS Mincho"/>
                <w:color w:val="000000"/>
                <w:kern w:val="0"/>
                <w:szCs w:val="21"/>
              </w:rPr>
              <w:sym w:font="Wingdings" w:char="F0FE"/>
            </w:r>
            <w:r>
              <w:rPr>
                <w:rFonts w:hint="eastAsia"/>
                <w:color w:val="000000"/>
                <w:szCs w:val="21"/>
              </w:rPr>
              <w:t>是</w:t>
            </w:r>
          </w:p>
          <w:p>
            <w:pPr>
              <w:contextualSpacing/>
              <w:jc w:val="center"/>
              <w:textAlignment w:val="baseline"/>
              <w:rPr>
                <w:rFonts w:hAnsi="MS Mincho" w:eastAsia="MS Mincho"/>
                <w:color w:val="000000"/>
                <w:szCs w:val="21"/>
              </w:rPr>
            </w:pPr>
            <w:r>
              <w:rPr>
                <w:rFonts w:hint="eastAsia" w:ascii="宋体" w:hAnsi="宋体"/>
                <w:color w:val="000000"/>
                <w:spacing w:val="-1"/>
                <w:szCs w:val="21"/>
              </w:rPr>
              <w:t>□</w:t>
            </w:r>
            <w:r>
              <w:rPr>
                <w:rFonts w:hint="eastAsia"/>
                <w:color w:val="000000"/>
                <w:szCs w:val="21"/>
              </w:rPr>
              <w:t>否</w:t>
            </w:r>
          </w:p>
        </w:tc>
        <w:tc>
          <w:tcPr>
            <w:tcW w:w="1453" w:type="dxa"/>
            <w:vAlign w:val="center"/>
          </w:tcPr>
          <w:p>
            <w:pPr>
              <w:contextualSpacing/>
              <w:textAlignment w:val="baseline"/>
              <w:rPr>
                <w:color w:val="000000"/>
                <w:szCs w:val="21"/>
              </w:rPr>
            </w:pPr>
            <w:r>
              <w:rPr>
                <w:rFonts w:eastAsia="MS Mincho"/>
                <w:color w:val="000000"/>
                <w:kern w:val="0"/>
                <w:szCs w:val="21"/>
              </w:rPr>
              <w:sym w:font="Wingdings" w:char="F0FE"/>
            </w:r>
            <w:r>
              <w:rPr>
                <w:rFonts w:hint="eastAsia"/>
                <w:color w:val="000000"/>
                <w:szCs w:val="21"/>
              </w:rPr>
              <w:t>企业总排</w:t>
            </w:r>
          </w:p>
          <w:p>
            <w:pPr>
              <w:contextualSpacing/>
              <w:textAlignment w:val="baseline"/>
              <w:rPr>
                <w:color w:val="000000"/>
                <w:szCs w:val="21"/>
              </w:rPr>
            </w:pPr>
            <w:r>
              <w:rPr>
                <w:rFonts w:hint="eastAsia" w:ascii="宋体" w:hAnsi="宋体"/>
                <w:color w:val="000000"/>
                <w:spacing w:val="-1"/>
                <w:szCs w:val="21"/>
              </w:rPr>
              <w:t>□</w:t>
            </w:r>
            <w:r>
              <w:rPr>
                <w:rFonts w:hint="eastAsia"/>
                <w:color w:val="000000"/>
                <w:szCs w:val="21"/>
              </w:rPr>
              <w:t>雨水排放</w:t>
            </w:r>
          </w:p>
          <w:p>
            <w:pPr>
              <w:contextualSpacing/>
              <w:textAlignment w:val="baseline"/>
              <w:rPr>
                <w:color w:val="000000"/>
                <w:szCs w:val="21"/>
              </w:rPr>
            </w:pPr>
            <w:r>
              <w:rPr>
                <w:rFonts w:hint="eastAsia" w:ascii="宋体" w:hAnsi="宋体"/>
                <w:color w:val="000000"/>
                <w:spacing w:val="-1"/>
                <w:szCs w:val="21"/>
              </w:rPr>
              <w:t>□</w:t>
            </w:r>
            <w:r>
              <w:rPr>
                <w:rFonts w:hint="eastAsia"/>
                <w:color w:val="000000"/>
                <w:szCs w:val="21"/>
              </w:rPr>
              <w:t>清净下水排放</w:t>
            </w:r>
          </w:p>
          <w:p>
            <w:pPr>
              <w:contextualSpacing/>
              <w:textAlignment w:val="baseline"/>
              <w:rPr>
                <w:color w:val="000000"/>
                <w:szCs w:val="21"/>
              </w:rPr>
            </w:pPr>
            <w:r>
              <w:rPr>
                <w:rFonts w:hint="eastAsia" w:ascii="宋体" w:hAnsi="宋体"/>
                <w:color w:val="000000"/>
                <w:spacing w:val="-1"/>
                <w:szCs w:val="21"/>
              </w:rPr>
              <w:t>□</w:t>
            </w:r>
            <w:r>
              <w:rPr>
                <w:rFonts w:hint="eastAsia"/>
                <w:color w:val="000000"/>
                <w:szCs w:val="21"/>
              </w:rPr>
              <w:t>温排水排放</w:t>
            </w:r>
          </w:p>
          <w:p>
            <w:pPr>
              <w:contextualSpacing/>
              <w:textAlignment w:val="baseline"/>
              <w:rPr>
                <w:rFonts w:hAnsi="MS Mincho" w:eastAsia="MS Mincho"/>
                <w:color w:val="000000"/>
                <w:szCs w:val="21"/>
              </w:rPr>
            </w:pPr>
            <w:r>
              <w:rPr>
                <w:rFonts w:hint="eastAsia" w:ascii="宋体" w:hAnsi="宋体"/>
                <w:color w:val="000000"/>
                <w:spacing w:val="-1"/>
                <w:szCs w:val="21"/>
              </w:rPr>
              <w:t>□</w:t>
            </w:r>
            <w:r>
              <w:rPr>
                <w:rFonts w:hint="eastAsia"/>
                <w:color w:val="000000"/>
                <w:szCs w:val="21"/>
              </w:rPr>
              <w:t>车间或车间处理设施排放口排放</w:t>
            </w:r>
          </w:p>
        </w:tc>
      </w:tr>
    </w:tbl>
    <w:p>
      <w:pPr>
        <w:spacing w:line="520" w:lineRule="exact"/>
        <w:ind w:firstLine="480" w:firstLineChars="200"/>
        <w:outlineLvl w:val="6"/>
        <w:rPr>
          <w:bCs/>
          <w:sz w:val="24"/>
          <w:szCs w:val="24"/>
        </w:rPr>
      </w:pPr>
      <w:r>
        <w:rPr>
          <w:rFonts w:hint="eastAsia"/>
          <w:bCs/>
          <w:sz w:val="24"/>
          <w:szCs w:val="24"/>
        </w:rPr>
        <w:t>②废水总排口基本情况</w:t>
      </w:r>
    </w:p>
    <w:p>
      <w:pPr>
        <w:spacing w:line="520" w:lineRule="exact"/>
        <w:ind w:firstLine="480" w:firstLineChars="200"/>
        <w:rPr>
          <w:rFonts w:eastAsia="黑体"/>
          <w:sz w:val="24"/>
        </w:rPr>
      </w:pPr>
      <w:r>
        <w:rPr>
          <w:rFonts w:hint="eastAsia" w:eastAsia="黑体"/>
          <w:sz w:val="24"/>
        </w:rPr>
        <w:t>表</w:t>
      </w:r>
      <w:r>
        <w:rPr>
          <w:rFonts w:eastAsia="黑体"/>
          <w:sz w:val="24"/>
        </w:rPr>
        <w:t xml:space="preserve">3.1-18               </w:t>
      </w:r>
      <w:r>
        <w:rPr>
          <w:rFonts w:hint="eastAsia" w:eastAsia="黑体"/>
          <w:sz w:val="24"/>
        </w:rPr>
        <w:t>废水总排口基本情况表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355"/>
        <w:gridCol w:w="490"/>
        <w:gridCol w:w="712"/>
        <w:gridCol w:w="857"/>
        <w:gridCol w:w="736"/>
        <w:gridCol w:w="736"/>
        <w:gridCol w:w="518"/>
        <w:gridCol w:w="854"/>
        <w:gridCol w:w="712"/>
        <w:gridCol w:w="997"/>
        <w:gridCol w:w="17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3" w:type="dxa"/>
            <w:vMerge w:val="restart"/>
            <w:tcMar>
              <w:top w:w="0" w:type="dxa"/>
              <w:left w:w="0" w:type="dxa"/>
              <w:bottom w:w="0" w:type="dxa"/>
              <w:right w:w="0" w:type="dxa"/>
            </w:tcMar>
            <w:vAlign w:val="center"/>
          </w:tcPr>
          <w:p>
            <w:pPr>
              <w:jc w:val="center"/>
              <w:rPr>
                <w:rFonts w:cs="宋体"/>
                <w:b/>
                <w:color w:val="000000"/>
                <w:szCs w:val="20"/>
              </w:rPr>
            </w:pPr>
            <w:r>
              <w:rPr>
                <w:rFonts w:hint="eastAsia" w:cs="宋体"/>
                <w:b/>
                <w:color w:val="000000"/>
                <w:szCs w:val="20"/>
              </w:rPr>
              <w:t>序号</w:t>
            </w:r>
          </w:p>
        </w:tc>
        <w:tc>
          <w:tcPr>
            <w:tcW w:w="488" w:type="dxa"/>
            <w:vMerge w:val="restart"/>
            <w:vAlign w:val="center"/>
          </w:tcPr>
          <w:p>
            <w:pPr>
              <w:jc w:val="center"/>
              <w:rPr>
                <w:rFonts w:cs="宋体"/>
                <w:b/>
                <w:color w:val="000000"/>
                <w:szCs w:val="20"/>
              </w:rPr>
            </w:pPr>
            <w:r>
              <w:rPr>
                <w:rFonts w:hint="eastAsia" w:cs="宋体"/>
                <w:b/>
                <w:color w:val="000000"/>
                <w:szCs w:val="20"/>
              </w:rPr>
              <w:t>排放口编号</w:t>
            </w:r>
          </w:p>
        </w:tc>
        <w:tc>
          <w:tcPr>
            <w:tcW w:w="1562" w:type="dxa"/>
            <w:gridSpan w:val="2"/>
            <w:vAlign w:val="center"/>
          </w:tcPr>
          <w:p>
            <w:pPr>
              <w:jc w:val="center"/>
              <w:rPr>
                <w:rFonts w:cs="宋体"/>
                <w:b/>
                <w:color w:val="000000"/>
                <w:szCs w:val="20"/>
              </w:rPr>
            </w:pPr>
            <w:r>
              <w:rPr>
                <w:rFonts w:hint="eastAsia" w:cs="宋体"/>
                <w:b/>
                <w:color w:val="000000"/>
                <w:szCs w:val="20"/>
              </w:rPr>
              <w:t>排放口地理坐标</w:t>
            </w:r>
          </w:p>
        </w:tc>
        <w:tc>
          <w:tcPr>
            <w:tcW w:w="733" w:type="dxa"/>
            <w:vMerge w:val="restart"/>
            <w:vAlign w:val="center"/>
          </w:tcPr>
          <w:p>
            <w:pPr>
              <w:jc w:val="center"/>
              <w:rPr>
                <w:rFonts w:cs="宋体"/>
                <w:b/>
                <w:color w:val="000000"/>
                <w:szCs w:val="20"/>
              </w:rPr>
            </w:pPr>
            <w:r>
              <w:rPr>
                <w:rFonts w:hint="eastAsia" w:cs="宋体"/>
                <w:b/>
                <w:color w:val="000000"/>
                <w:szCs w:val="20"/>
              </w:rPr>
              <w:t>废水排放量</w:t>
            </w:r>
            <w:r>
              <w:rPr>
                <w:rFonts w:cs="宋体"/>
                <w:b/>
                <w:color w:val="000000"/>
                <w:szCs w:val="20"/>
              </w:rPr>
              <w:t>/</w:t>
            </w:r>
            <w:r>
              <w:rPr>
                <w:rFonts w:hint="eastAsia" w:cs="宋体"/>
                <w:b/>
                <w:color w:val="000000"/>
                <w:szCs w:val="20"/>
              </w:rPr>
              <w:t>（万</w:t>
            </w:r>
            <w:r>
              <w:rPr>
                <w:rFonts w:cs="宋体"/>
                <w:b/>
                <w:color w:val="000000"/>
                <w:szCs w:val="20"/>
              </w:rPr>
              <w:t>t/a</w:t>
            </w:r>
            <w:r>
              <w:rPr>
                <w:rFonts w:hint="eastAsia" w:cs="宋体"/>
                <w:b/>
                <w:color w:val="000000"/>
                <w:szCs w:val="20"/>
              </w:rPr>
              <w:t>）</w:t>
            </w:r>
          </w:p>
        </w:tc>
        <w:tc>
          <w:tcPr>
            <w:tcW w:w="733" w:type="dxa"/>
            <w:vMerge w:val="restart"/>
            <w:vAlign w:val="center"/>
          </w:tcPr>
          <w:p>
            <w:pPr>
              <w:jc w:val="center"/>
              <w:rPr>
                <w:rFonts w:cs="宋体"/>
                <w:b/>
                <w:color w:val="000000"/>
                <w:szCs w:val="20"/>
              </w:rPr>
            </w:pPr>
            <w:r>
              <w:rPr>
                <w:rFonts w:hint="eastAsia" w:cs="宋体"/>
                <w:b/>
                <w:color w:val="000000"/>
                <w:szCs w:val="20"/>
              </w:rPr>
              <w:t>排放去向</w:t>
            </w:r>
          </w:p>
        </w:tc>
        <w:tc>
          <w:tcPr>
            <w:tcW w:w="516" w:type="dxa"/>
            <w:vMerge w:val="restart"/>
            <w:vAlign w:val="center"/>
          </w:tcPr>
          <w:p>
            <w:pPr>
              <w:jc w:val="center"/>
              <w:rPr>
                <w:rFonts w:cs="宋体"/>
                <w:b/>
                <w:color w:val="000000"/>
                <w:szCs w:val="20"/>
              </w:rPr>
            </w:pPr>
            <w:r>
              <w:rPr>
                <w:rFonts w:hint="eastAsia" w:cs="宋体"/>
                <w:b/>
                <w:color w:val="000000"/>
                <w:szCs w:val="20"/>
              </w:rPr>
              <w:t>排放规律</w:t>
            </w:r>
          </w:p>
        </w:tc>
        <w:tc>
          <w:tcPr>
            <w:tcW w:w="850" w:type="dxa"/>
            <w:vMerge w:val="restart"/>
            <w:vAlign w:val="center"/>
          </w:tcPr>
          <w:p>
            <w:pPr>
              <w:jc w:val="center"/>
              <w:rPr>
                <w:rFonts w:cs="宋体"/>
                <w:b/>
                <w:color w:val="000000"/>
                <w:szCs w:val="20"/>
              </w:rPr>
            </w:pPr>
            <w:r>
              <w:rPr>
                <w:rFonts w:hint="eastAsia" w:cs="宋体"/>
                <w:b/>
                <w:color w:val="000000"/>
                <w:szCs w:val="20"/>
              </w:rPr>
              <w:t>间歇排放时段</w:t>
            </w:r>
          </w:p>
        </w:tc>
        <w:tc>
          <w:tcPr>
            <w:tcW w:w="3475" w:type="dxa"/>
            <w:gridSpan w:val="3"/>
            <w:vAlign w:val="center"/>
          </w:tcPr>
          <w:p>
            <w:pPr>
              <w:jc w:val="center"/>
              <w:rPr>
                <w:rFonts w:cs="宋体"/>
                <w:b/>
                <w:color w:val="000000"/>
                <w:szCs w:val="20"/>
              </w:rPr>
            </w:pPr>
            <w:r>
              <w:rPr>
                <w:rFonts w:hint="eastAsia" w:cs="宋体"/>
                <w:b/>
                <w:color w:val="000000"/>
                <w:szCs w:val="20"/>
              </w:rPr>
              <w:t>受纳污水处理厂信息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3" w:type="dxa"/>
            <w:vMerge w:val="continue"/>
            <w:vAlign w:val="center"/>
          </w:tcPr>
          <w:p>
            <w:pPr>
              <w:jc w:val="center"/>
              <w:rPr>
                <w:rFonts w:cs="宋体"/>
                <w:b/>
                <w:color w:val="000000"/>
                <w:szCs w:val="20"/>
              </w:rPr>
            </w:pPr>
          </w:p>
        </w:tc>
        <w:tc>
          <w:tcPr>
            <w:tcW w:w="488" w:type="dxa"/>
            <w:vMerge w:val="continue"/>
            <w:vAlign w:val="center"/>
          </w:tcPr>
          <w:p>
            <w:pPr>
              <w:jc w:val="center"/>
              <w:rPr>
                <w:rFonts w:cs="宋体"/>
                <w:b/>
                <w:color w:val="000000"/>
                <w:szCs w:val="20"/>
              </w:rPr>
            </w:pPr>
          </w:p>
        </w:tc>
        <w:tc>
          <w:tcPr>
            <w:tcW w:w="709" w:type="dxa"/>
            <w:tcMar>
              <w:top w:w="0" w:type="dxa"/>
              <w:left w:w="0" w:type="dxa"/>
              <w:bottom w:w="0" w:type="dxa"/>
              <w:right w:w="0" w:type="dxa"/>
            </w:tcMar>
            <w:vAlign w:val="center"/>
          </w:tcPr>
          <w:p>
            <w:pPr>
              <w:jc w:val="center"/>
              <w:rPr>
                <w:rFonts w:cs="宋体"/>
                <w:b/>
                <w:color w:val="000000"/>
                <w:szCs w:val="20"/>
              </w:rPr>
            </w:pPr>
            <w:r>
              <w:rPr>
                <w:rFonts w:hint="eastAsia" w:cs="宋体"/>
                <w:b/>
                <w:color w:val="000000"/>
                <w:szCs w:val="20"/>
              </w:rPr>
              <w:t>经度</w:t>
            </w:r>
          </w:p>
        </w:tc>
        <w:tc>
          <w:tcPr>
            <w:tcW w:w="853" w:type="dxa"/>
            <w:vAlign w:val="center"/>
          </w:tcPr>
          <w:p>
            <w:pPr>
              <w:jc w:val="center"/>
              <w:rPr>
                <w:rFonts w:cs="宋体"/>
                <w:b/>
                <w:color w:val="000000"/>
                <w:szCs w:val="20"/>
              </w:rPr>
            </w:pPr>
            <w:r>
              <w:rPr>
                <w:rFonts w:hint="eastAsia" w:cs="宋体"/>
                <w:b/>
                <w:color w:val="000000"/>
                <w:szCs w:val="20"/>
              </w:rPr>
              <w:t>纬度</w:t>
            </w:r>
          </w:p>
        </w:tc>
        <w:tc>
          <w:tcPr>
            <w:tcW w:w="733" w:type="dxa"/>
            <w:vMerge w:val="continue"/>
            <w:vAlign w:val="center"/>
          </w:tcPr>
          <w:p>
            <w:pPr>
              <w:jc w:val="center"/>
              <w:rPr>
                <w:rFonts w:cs="宋体"/>
                <w:b/>
                <w:color w:val="000000"/>
                <w:szCs w:val="20"/>
              </w:rPr>
            </w:pPr>
          </w:p>
        </w:tc>
        <w:tc>
          <w:tcPr>
            <w:tcW w:w="733" w:type="dxa"/>
            <w:vMerge w:val="continue"/>
            <w:vAlign w:val="center"/>
          </w:tcPr>
          <w:p>
            <w:pPr>
              <w:jc w:val="center"/>
              <w:rPr>
                <w:rFonts w:cs="宋体"/>
                <w:b/>
                <w:color w:val="000000"/>
                <w:szCs w:val="20"/>
              </w:rPr>
            </w:pPr>
          </w:p>
        </w:tc>
        <w:tc>
          <w:tcPr>
            <w:tcW w:w="516" w:type="dxa"/>
            <w:vMerge w:val="continue"/>
            <w:vAlign w:val="center"/>
          </w:tcPr>
          <w:p>
            <w:pPr>
              <w:jc w:val="center"/>
              <w:rPr>
                <w:rFonts w:cs="宋体"/>
                <w:b/>
                <w:color w:val="000000"/>
                <w:szCs w:val="20"/>
              </w:rPr>
            </w:pPr>
          </w:p>
        </w:tc>
        <w:tc>
          <w:tcPr>
            <w:tcW w:w="850" w:type="dxa"/>
            <w:vMerge w:val="continue"/>
            <w:vAlign w:val="center"/>
          </w:tcPr>
          <w:p>
            <w:pPr>
              <w:jc w:val="center"/>
              <w:rPr>
                <w:rFonts w:cs="宋体"/>
                <w:b/>
                <w:color w:val="000000"/>
                <w:szCs w:val="20"/>
              </w:rPr>
            </w:pPr>
          </w:p>
        </w:tc>
        <w:tc>
          <w:tcPr>
            <w:tcW w:w="709" w:type="dxa"/>
            <w:vAlign w:val="center"/>
          </w:tcPr>
          <w:p>
            <w:pPr>
              <w:jc w:val="center"/>
              <w:rPr>
                <w:rFonts w:cs="宋体"/>
                <w:b/>
                <w:color w:val="000000"/>
                <w:szCs w:val="20"/>
              </w:rPr>
            </w:pPr>
            <w:r>
              <w:rPr>
                <w:rFonts w:hint="eastAsia" w:cs="宋体"/>
                <w:b/>
                <w:color w:val="000000"/>
                <w:szCs w:val="20"/>
              </w:rPr>
              <w:t>名称</w:t>
            </w:r>
          </w:p>
        </w:tc>
        <w:tc>
          <w:tcPr>
            <w:tcW w:w="992" w:type="dxa"/>
            <w:vAlign w:val="center"/>
          </w:tcPr>
          <w:p>
            <w:pPr>
              <w:jc w:val="center"/>
              <w:rPr>
                <w:rFonts w:cs="宋体"/>
                <w:b/>
                <w:color w:val="000000"/>
                <w:szCs w:val="20"/>
              </w:rPr>
            </w:pPr>
            <w:r>
              <w:rPr>
                <w:rFonts w:hint="eastAsia" w:cs="宋体"/>
                <w:b/>
                <w:color w:val="000000"/>
                <w:szCs w:val="20"/>
              </w:rPr>
              <w:t>污染物种类</w:t>
            </w:r>
          </w:p>
        </w:tc>
        <w:tc>
          <w:tcPr>
            <w:tcW w:w="1774" w:type="dxa"/>
            <w:vAlign w:val="center"/>
          </w:tcPr>
          <w:p>
            <w:pPr>
              <w:jc w:val="center"/>
              <w:rPr>
                <w:rFonts w:cs="宋体"/>
                <w:b/>
                <w:color w:val="000000"/>
                <w:szCs w:val="20"/>
              </w:rPr>
            </w:pPr>
            <w:r>
              <w:rPr>
                <w:rFonts w:hint="eastAsia" w:cs="宋体"/>
                <w:b/>
                <w:color w:val="000000"/>
                <w:szCs w:val="20"/>
              </w:rPr>
              <w:t>国家或地方污染物排放标准浓度限值</w:t>
            </w:r>
            <w:r>
              <w:rPr>
                <w:rFonts w:cs="宋体"/>
                <w:b/>
                <w:color w:val="000000"/>
                <w:szCs w:val="20"/>
              </w:rPr>
              <w:t>/</w:t>
            </w:r>
            <w:r>
              <w:rPr>
                <w:rFonts w:hint="eastAsia" w:cs="宋体"/>
                <w:b/>
                <w:color w:val="000000"/>
                <w:szCs w:val="20"/>
              </w:rPr>
              <w:t>（</w:t>
            </w:r>
            <w:r>
              <w:rPr>
                <w:rFonts w:cs="宋体"/>
                <w:b/>
                <w:color w:val="000000"/>
                <w:szCs w:val="20"/>
              </w:rPr>
              <w:t>mg/L</w:t>
            </w:r>
            <w:r>
              <w:rPr>
                <w:rFonts w:hint="eastAsia" w:cs="宋体"/>
                <w:b/>
                <w:color w:val="000000"/>
                <w:szCs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3" w:type="dxa"/>
            <w:vMerge w:val="restart"/>
            <w:tcMar>
              <w:top w:w="0" w:type="dxa"/>
              <w:left w:w="0" w:type="dxa"/>
              <w:bottom w:w="0" w:type="dxa"/>
              <w:right w:w="0" w:type="dxa"/>
            </w:tcMar>
            <w:vAlign w:val="center"/>
          </w:tcPr>
          <w:p>
            <w:pPr>
              <w:contextualSpacing/>
              <w:jc w:val="center"/>
              <w:textAlignment w:val="baseline"/>
              <w:rPr>
                <w:color w:val="000000"/>
                <w:szCs w:val="21"/>
              </w:rPr>
            </w:pPr>
            <w:r>
              <w:rPr>
                <w:color w:val="000000"/>
                <w:szCs w:val="21"/>
              </w:rPr>
              <w:t>1</w:t>
            </w:r>
          </w:p>
        </w:tc>
        <w:tc>
          <w:tcPr>
            <w:tcW w:w="488" w:type="dxa"/>
            <w:vMerge w:val="restart"/>
            <w:vAlign w:val="center"/>
          </w:tcPr>
          <w:p>
            <w:pPr>
              <w:contextualSpacing/>
              <w:jc w:val="center"/>
              <w:textAlignment w:val="baseline"/>
              <w:rPr>
                <w:color w:val="000000"/>
                <w:szCs w:val="21"/>
              </w:rPr>
            </w:pPr>
            <w:r>
              <w:rPr>
                <w:color w:val="000000"/>
                <w:szCs w:val="21"/>
              </w:rPr>
              <w:t>DW001</w:t>
            </w:r>
          </w:p>
        </w:tc>
        <w:tc>
          <w:tcPr>
            <w:tcW w:w="709" w:type="dxa"/>
            <w:vMerge w:val="restart"/>
            <w:vAlign w:val="center"/>
          </w:tcPr>
          <w:p>
            <w:pPr>
              <w:contextualSpacing/>
              <w:jc w:val="center"/>
              <w:textAlignment w:val="baseline"/>
              <w:rPr>
                <w:color w:val="000000"/>
                <w:szCs w:val="21"/>
              </w:rPr>
            </w:pPr>
            <w:r>
              <w:rPr>
                <w:color w:val="000000"/>
                <w:szCs w:val="21"/>
              </w:rPr>
              <w:t>113.907709°</w:t>
            </w:r>
          </w:p>
        </w:tc>
        <w:tc>
          <w:tcPr>
            <w:tcW w:w="853" w:type="dxa"/>
            <w:vMerge w:val="restart"/>
            <w:vAlign w:val="center"/>
          </w:tcPr>
          <w:p>
            <w:pPr>
              <w:contextualSpacing/>
              <w:jc w:val="center"/>
              <w:textAlignment w:val="baseline"/>
              <w:rPr>
                <w:color w:val="000000"/>
                <w:szCs w:val="21"/>
              </w:rPr>
            </w:pPr>
            <w:r>
              <w:rPr>
                <w:color w:val="000000"/>
                <w:szCs w:val="21"/>
              </w:rPr>
              <w:t>35.043039°</w:t>
            </w:r>
          </w:p>
        </w:tc>
        <w:tc>
          <w:tcPr>
            <w:tcW w:w="733" w:type="dxa"/>
            <w:vMerge w:val="restart"/>
            <w:vAlign w:val="center"/>
          </w:tcPr>
          <w:p>
            <w:pPr>
              <w:contextualSpacing/>
              <w:jc w:val="center"/>
              <w:textAlignment w:val="baseline"/>
              <w:rPr>
                <w:color w:val="000000"/>
                <w:szCs w:val="21"/>
              </w:rPr>
            </w:pPr>
            <w:r>
              <w:rPr>
                <w:color w:val="000000"/>
                <w:szCs w:val="21"/>
              </w:rPr>
              <w:t>60</w:t>
            </w:r>
          </w:p>
        </w:tc>
        <w:tc>
          <w:tcPr>
            <w:tcW w:w="733" w:type="dxa"/>
            <w:vMerge w:val="restart"/>
            <w:vAlign w:val="center"/>
          </w:tcPr>
          <w:p>
            <w:pPr>
              <w:contextualSpacing/>
              <w:jc w:val="center"/>
              <w:textAlignment w:val="baseline"/>
              <w:rPr>
                <w:color w:val="000000"/>
                <w:szCs w:val="21"/>
              </w:rPr>
            </w:pPr>
            <w:r>
              <w:rPr>
                <w:rFonts w:hint="eastAsia"/>
                <w:color w:val="000000"/>
                <w:szCs w:val="21"/>
              </w:rPr>
              <w:t>城市污水处理厂</w:t>
            </w:r>
          </w:p>
        </w:tc>
        <w:tc>
          <w:tcPr>
            <w:tcW w:w="516" w:type="dxa"/>
            <w:vMerge w:val="restart"/>
            <w:vAlign w:val="center"/>
          </w:tcPr>
          <w:p>
            <w:pPr>
              <w:contextualSpacing/>
              <w:jc w:val="center"/>
              <w:textAlignment w:val="baseline"/>
              <w:rPr>
                <w:color w:val="000000"/>
                <w:szCs w:val="21"/>
              </w:rPr>
            </w:pPr>
            <w:r>
              <w:rPr>
                <w:rFonts w:hint="eastAsia"/>
                <w:color w:val="000000"/>
                <w:szCs w:val="21"/>
              </w:rPr>
              <w:t>连续排放</w:t>
            </w:r>
          </w:p>
        </w:tc>
        <w:tc>
          <w:tcPr>
            <w:tcW w:w="850" w:type="dxa"/>
            <w:vMerge w:val="restart"/>
            <w:vAlign w:val="center"/>
          </w:tcPr>
          <w:p>
            <w:pPr>
              <w:contextualSpacing/>
              <w:jc w:val="center"/>
              <w:textAlignment w:val="baseline"/>
              <w:rPr>
                <w:color w:val="000000"/>
                <w:szCs w:val="21"/>
              </w:rPr>
            </w:pPr>
            <w:r>
              <w:rPr>
                <w:rFonts w:hint="eastAsia"/>
                <w:color w:val="000000"/>
                <w:szCs w:val="21"/>
              </w:rPr>
              <w:t>0</w:t>
            </w:r>
            <w:r>
              <w:rPr>
                <w:color w:val="000000"/>
                <w:szCs w:val="21"/>
              </w:rPr>
              <w:t>:00~</w:t>
            </w:r>
          </w:p>
          <w:p>
            <w:pPr>
              <w:contextualSpacing/>
              <w:jc w:val="center"/>
              <w:textAlignment w:val="baseline"/>
              <w:rPr>
                <w:color w:val="000000"/>
                <w:szCs w:val="21"/>
              </w:rPr>
            </w:pPr>
            <w:r>
              <w:rPr>
                <w:rFonts w:hint="eastAsia"/>
                <w:color w:val="000000"/>
                <w:szCs w:val="21"/>
              </w:rPr>
              <w:t>24</w:t>
            </w:r>
            <w:r>
              <w:rPr>
                <w:color w:val="000000"/>
                <w:szCs w:val="21"/>
              </w:rPr>
              <w:t>:00</w:t>
            </w:r>
          </w:p>
        </w:tc>
        <w:tc>
          <w:tcPr>
            <w:tcW w:w="709" w:type="dxa"/>
            <w:vMerge w:val="restart"/>
            <w:vAlign w:val="center"/>
          </w:tcPr>
          <w:p>
            <w:pPr>
              <w:contextualSpacing/>
              <w:jc w:val="center"/>
              <w:textAlignment w:val="baseline"/>
              <w:rPr>
                <w:color w:val="000000"/>
                <w:szCs w:val="21"/>
              </w:rPr>
            </w:pPr>
            <w:r>
              <w:rPr>
                <w:rFonts w:hint="eastAsia"/>
                <w:color w:val="000000"/>
                <w:kern w:val="0"/>
                <w:szCs w:val="21"/>
              </w:rPr>
              <w:t>原阳县产业集聚区污水处理厂</w:t>
            </w:r>
          </w:p>
        </w:tc>
        <w:tc>
          <w:tcPr>
            <w:tcW w:w="992" w:type="dxa"/>
            <w:vAlign w:val="center"/>
          </w:tcPr>
          <w:p>
            <w:pPr>
              <w:contextualSpacing/>
              <w:jc w:val="center"/>
              <w:textAlignment w:val="baseline"/>
              <w:rPr>
                <w:color w:val="000000"/>
                <w:spacing w:val="-4"/>
                <w:szCs w:val="21"/>
              </w:rPr>
            </w:pPr>
            <w:r>
              <w:rPr>
                <w:color w:val="000000"/>
                <w:spacing w:val="-4"/>
                <w:szCs w:val="21"/>
              </w:rPr>
              <w:t>COD</w:t>
            </w:r>
          </w:p>
        </w:tc>
        <w:tc>
          <w:tcPr>
            <w:tcW w:w="1774" w:type="dxa"/>
            <w:vAlign w:val="center"/>
          </w:tcPr>
          <w:p>
            <w:pPr>
              <w:contextualSpacing/>
              <w:jc w:val="center"/>
              <w:textAlignment w:val="baseline"/>
              <w:rPr>
                <w:color w:val="000000"/>
                <w:szCs w:val="21"/>
              </w:rPr>
            </w:pPr>
            <w:r>
              <w:rPr>
                <w:rFonts w:hint="eastAsia"/>
                <w:color w:val="000000"/>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3" w:type="dxa"/>
            <w:vMerge w:val="continue"/>
            <w:vAlign w:val="center"/>
          </w:tcPr>
          <w:p>
            <w:pPr>
              <w:contextualSpacing/>
              <w:jc w:val="center"/>
              <w:textAlignment w:val="baseline"/>
              <w:rPr>
                <w:color w:val="000000"/>
                <w:szCs w:val="21"/>
              </w:rPr>
            </w:pPr>
          </w:p>
        </w:tc>
        <w:tc>
          <w:tcPr>
            <w:tcW w:w="488" w:type="dxa"/>
            <w:vMerge w:val="continue"/>
            <w:vAlign w:val="center"/>
          </w:tcPr>
          <w:p>
            <w:pPr>
              <w:contextualSpacing/>
              <w:jc w:val="center"/>
              <w:textAlignment w:val="baseline"/>
              <w:rPr>
                <w:color w:val="000000"/>
                <w:szCs w:val="21"/>
              </w:rPr>
            </w:pPr>
          </w:p>
        </w:tc>
        <w:tc>
          <w:tcPr>
            <w:tcW w:w="709" w:type="dxa"/>
            <w:vMerge w:val="continue"/>
            <w:vAlign w:val="center"/>
          </w:tcPr>
          <w:p>
            <w:pPr>
              <w:contextualSpacing/>
              <w:jc w:val="center"/>
              <w:textAlignment w:val="baseline"/>
              <w:rPr>
                <w:color w:val="000000"/>
                <w:spacing w:val="-20"/>
                <w:szCs w:val="21"/>
              </w:rPr>
            </w:pPr>
          </w:p>
        </w:tc>
        <w:tc>
          <w:tcPr>
            <w:tcW w:w="853" w:type="dxa"/>
            <w:vMerge w:val="continue"/>
            <w:vAlign w:val="center"/>
          </w:tcPr>
          <w:p>
            <w:pPr>
              <w:contextualSpacing/>
              <w:jc w:val="center"/>
              <w:textAlignment w:val="baseline"/>
              <w:rPr>
                <w:color w:val="000000"/>
                <w:spacing w:val="-20"/>
                <w:szCs w:val="21"/>
              </w:rPr>
            </w:pPr>
          </w:p>
        </w:tc>
        <w:tc>
          <w:tcPr>
            <w:tcW w:w="733" w:type="dxa"/>
            <w:vMerge w:val="continue"/>
            <w:vAlign w:val="center"/>
          </w:tcPr>
          <w:p>
            <w:pPr>
              <w:contextualSpacing/>
              <w:jc w:val="center"/>
              <w:textAlignment w:val="baseline"/>
              <w:rPr>
                <w:color w:val="000000"/>
                <w:szCs w:val="21"/>
              </w:rPr>
            </w:pPr>
          </w:p>
        </w:tc>
        <w:tc>
          <w:tcPr>
            <w:tcW w:w="733" w:type="dxa"/>
            <w:vMerge w:val="continue"/>
            <w:vAlign w:val="center"/>
          </w:tcPr>
          <w:p>
            <w:pPr>
              <w:contextualSpacing/>
              <w:jc w:val="center"/>
              <w:textAlignment w:val="baseline"/>
              <w:rPr>
                <w:color w:val="000000"/>
                <w:szCs w:val="21"/>
              </w:rPr>
            </w:pPr>
          </w:p>
        </w:tc>
        <w:tc>
          <w:tcPr>
            <w:tcW w:w="516" w:type="dxa"/>
            <w:vMerge w:val="continue"/>
            <w:vAlign w:val="center"/>
          </w:tcPr>
          <w:p>
            <w:pPr>
              <w:contextualSpacing/>
              <w:jc w:val="center"/>
              <w:textAlignment w:val="baseline"/>
              <w:rPr>
                <w:color w:val="000000"/>
                <w:szCs w:val="21"/>
              </w:rPr>
            </w:pPr>
          </w:p>
        </w:tc>
        <w:tc>
          <w:tcPr>
            <w:tcW w:w="850" w:type="dxa"/>
            <w:vMerge w:val="continue"/>
            <w:vAlign w:val="center"/>
          </w:tcPr>
          <w:p>
            <w:pPr>
              <w:contextualSpacing/>
              <w:jc w:val="center"/>
              <w:textAlignment w:val="baseline"/>
              <w:rPr>
                <w:color w:val="000000"/>
                <w:szCs w:val="21"/>
              </w:rPr>
            </w:pPr>
          </w:p>
        </w:tc>
        <w:tc>
          <w:tcPr>
            <w:tcW w:w="709" w:type="dxa"/>
            <w:vMerge w:val="continue"/>
            <w:vAlign w:val="center"/>
          </w:tcPr>
          <w:p>
            <w:pPr>
              <w:contextualSpacing/>
              <w:jc w:val="center"/>
              <w:textAlignment w:val="baseline"/>
              <w:rPr>
                <w:color w:val="000000"/>
                <w:szCs w:val="21"/>
              </w:rPr>
            </w:pPr>
          </w:p>
        </w:tc>
        <w:tc>
          <w:tcPr>
            <w:tcW w:w="992" w:type="dxa"/>
            <w:tcMar>
              <w:top w:w="0" w:type="dxa"/>
              <w:left w:w="0" w:type="dxa"/>
              <w:bottom w:w="0" w:type="dxa"/>
              <w:right w:w="0" w:type="dxa"/>
            </w:tcMar>
            <w:vAlign w:val="center"/>
          </w:tcPr>
          <w:p>
            <w:pPr>
              <w:contextualSpacing/>
              <w:jc w:val="center"/>
              <w:textAlignment w:val="baseline"/>
              <w:rPr>
                <w:color w:val="000000"/>
                <w:szCs w:val="21"/>
              </w:rPr>
            </w:pPr>
            <w:r>
              <w:rPr>
                <w:color w:val="000000"/>
                <w:spacing w:val="-4"/>
                <w:szCs w:val="21"/>
              </w:rPr>
              <w:t>NH</w:t>
            </w:r>
            <w:r>
              <w:rPr>
                <w:color w:val="000000"/>
                <w:spacing w:val="-4"/>
                <w:szCs w:val="21"/>
                <w:vertAlign w:val="subscript"/>
              </w:rPr>
              <w:t>3</w:t>
            </w:r>
            <w:r>
              <w:rPr>
                <w:color w:val="000000"/>
                <w:spacing w:val="-4"/>
                <w:szCs w:val="21"/>
              </w:rPr>
              <w:t>-N</w:t>
            </w:r>
          </w:p>
        </w:tc>
        <w:tc>
          <w:tcPr>
            <w:tcW w:w="1774" w:type="dxa"/>
            <w:vAlign w:val="center"/>
          </w:tcPr>
          <w:p>
            <w:pPr>
              <w:contextualSpacing/>
              <w:jc w:val="center"/>
              <w:textAlignment w:val="baseline"/>
              <w:rPr>
                <w:color w:val="000000"/>
                <w:szCs w:val="21"/>
              </w:rPr>
            </w:pPr>
            <w:r>
              <w:rPr>
                <w:rFonts w:hint="eastAsia"/>
                <w:color w:val="000000"/>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3" w:type="dxa"/>
            <w:vMerge w:val="continue"/>
            <w:vAlign w:val="center"/>
          </w:tcPr>
          <w:p>
            <w:pPr>
              <w:contextualSpacing/>
              <w:jc w:val="center"/>
              <w:textAlignment w:val="baseline"/>
              <w:rPr>
                <w:color w:val="000000"/>
                <w:szCs w:val="21"/>
              </w:rPr>
            </w:pPr>
          </w:p>
        </w:tc>
        <w:tc>
          <w:tcPr>
            <w:tcW w:w="488" w:type="dxa"/>
            <w:vMerge w:val="continue"/>
            <w:vAlign w:val="center"/>
          </w:tcPr>
          <w:p>
            <w:pPr>
              <w:contextualSpacing/>
              <w:jc w:val="center"/>
              <w:textAlignment w:val="baseline"/>
              <w:rPr>
                <w:color w:val="000000"/>
                <w:szCs w:val="21"/>
              </w:rPr>
            </w:pPr>
          </w:p>
        </w:tc>
        <w:tc>
          <w:tcPr>
            <w:tcW w:w="709" w:type="dxa"/>
            <w:vMerge w:val="continue"/>
            <w:vAlign w:val="center"/>
          </w:tcPr>
          <w:p>
            <w:pPr>
              <w:contextualSpacing/>
              <w:jc w:val="center"/>
              <w:textAlignment w:val="baseline"/>
              <w:rPr>
                <w:color w:val="000000"/>
                <w:spacing w:val="-20"/>
                <w:szCs w:val="21"/>
              </w:rPr>
            </w:pPr>
          </w:p>
        </w:tc>
        <w:tc>
          <w:tcPr>
            <w:tcW w:w="853" w:type="dxa"/>
            <w:vMerge w:val="continue"/>
            <w:vAlign w:val="center"/>
          </w:tcPr>
          <w:p>
            <w:pPr>
              <w:contextualSpacing/>
              <w:jc w:val="center"/>
              <w:textAlignment w:val="baseline"/>
              <w:rPr>
                <w:color w:val="000000"/>
                <w:spacing w:val="-20"/>
                <w:szCs w:val="21"/>
              </w:rPr>
            </w:pPr>
          </w:p>
        </w:tc>
        <w:tc>
          <w:tcPr>
            <w:tcW w:w="733" w:type="dxa"/>
            <w:vMerge w:val="continue"/>
            <w:vAlign w:val="center"/>
          </w:tcPr>
          <w:p>
            <w:pPr>
              <w:contextualSpacing/>
              <w:jc w:val="center"/>
              <w:textAlignment w:val="baseline"/>
              <w:rPr>
                <w:color w:val="000000"/>
                <w:szCs w:val="21"/>
              </w:rPr>
            </w:pPr>
          </w:p>
        </w:tc>
        <w:tc>
          <w:tcPr>
            <w:tcW w:w="733" w:type="dxa"/>
            <w:vMerge w:val="continue"/>
            <w:vAlign w:val="center"/>
          </w:tcPr>
          <w:p>
            <w:pPr>
              <w:contextualSpacing/>
              <w:jc w:val="center"/>
              <w:textAlignment w:val="baseline"/>
              <w:rPr>
                <w:color w:val="000000"/>
                <w:szCs w:val="21"/>
              </w:rPr>
            </w:pPr>
          </w:p>
        </w:tc>
        <w:tc>
          <w:tcPr>
            <w:tcW w:w="516" w:type="dxa"/>
            <w:vMerge w:val="continue"/>
            <w:vAlign w:val="center"/>
          </w:tcPr>
          <w:p>
            <w:pPr>
              <w:contextualSpacing/>
              <w:jc w:val="center"/>
              <w:textAlignment w:val="baseline"/>
              <w:rPr>
                <w:color w:val="000000"/>
                <w:szCs w:val="21"/>
              </w:rPr>
            </w:pPr>
          </w:p>
        </w:tc>
        <w:tc>
          <w:tcPr>
            <w:tcW w:w="850" w:type="dxa"/>
            <w:vMerge w:val="continue"/>
            <w:vAlign w:val="center"/>
          </w:tcPr>
          <w:p>
            <w:pPr>
              <w:contextualSpacing/>
              <w:jc w:val="center"/>
              <w:textAlignment w:val="baseline"/>
              <w:rPr>
                <w:color w:val="000000"/>
                <w:szCs w:val="21"/>
              </w:rPr>
            </w:pPr>
          </w:p>
        </w:tc>
        <w:tc>
          <w:tcPr>
            <w:tcW w:w="709" w:type="dxa"/>
            <w:vMerge w:val="continue"/>
            <w:vAlign w:val="center"/>
          </w:tcPr>
          <w:p>
            <w:pPr>
              <w:contextualSpacing/>
              <w:jc w:val="center"/>
              <w:textAlignment w:val="baseline"/>
              <w:rPr>
                <w:color w:val="000000"/>
                <w:szCs w:val="21"/>
              </w:rPr>
            </w:pPr>
          </w:p>
        </w:tc>
        <w:tc>
          <w:tcPr>
            <w:tcW w:w="992" w:type="dxa"/>
            <w:tcMar>
              <w:top w:w="0" w:type="dxa"/>
              <w:left w:w="0" w:type="dxa"/>
              <w:bottom w:w="0" w:type="dxa"/>
              <w:right w:w="0" w:type="dxa"/>
            </w:tcMar>
            <w:vAlign w:val="center"/>
          </w:tcPr>
          <w:p>
            <w:pPr>
              <w:contextualSpacing/>
              <w:jc w:val="center"/>
              <w:textAlignment w:val="baseline"/>
              <w:rPr>
                <w:color w:val="000000"/>
                <w:szCs w:val="21"/>
              </w:rPr>
            </w:pPr>
            <w:r>
              <w:rPr>
                <w:color w:val="000000"/>
                <w:spacing w:val="-4"/>
                <w:szCs w:val="21"/>
              </w:rPr>
              <w:t>TP</w:t>
            </w:r>
          </w:p>
        </w:tc>
        <w:tc>
          <w:tcPr>
            <w:tcW w:w="1774" w:type="dxa"/>
            <w:vAlign w:val="center"/>
          </w:tcPr>
          <w:p>
            <w:pPr>
              <w:contextualSpacing/>
              <w:jc w:val="center"/>
              <w:textAlignment w:val="baseline"/>
              <w:rPr>
                <w:color w:val="000000"/>
                <w:szCs w:val="21"/>
              </w:rPr>
            </w:pPr>
            <w:r>
              <w:rPr>
                <w:rFonts w:hint="eastAsia"/>
                <w:color w:val="000000"/>
                <w:szCs w:val="21"/>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3" w:type="dxa"/>
            <w:vMerge w:val="continue"/>
            <w:vAlign w:val="center"/>
          </w:tcPr>
          <w:p>
            <w:pPr>
              <w:contextualSpacing/>
              <w:jc w:val="center"/>
              <w:textAlignment w:val="baseline"/>
              <w:rPr>
                <w:color w:val="000000"/>
                <w:szCs w:val="21"/>
              </w:rPr>
            </w:pPr>
          </w:p>
        </w:tc>
        <w:tc>
          <w:tcPr>
            <w:tcW w:w="488" w:type="dxa"/>
            <w:vMerge w:val="continue"/>
            <w:vAlign w:val="center"/>
          </w:tcPr>
          <w:p>
            <w:pPr>
              <w:contextualSpacing/>
              <w:jc w:val="center"/>
              <w:textAlignment w:val="baseline"/>
              <w:rPr>
                <w:color w:val="000000"/>
                <w:szCs w:val="21"/>
              </w:rPr>
            </w:pPr>
          </w:p>
        </w:tc>
        <w:tc>
          <w:tcPr>
            <w:tcW w:w="709" w:type="dxa"/>
            <w:vMerge w:val="continue"/>
            <w:vAlign w:val="center"/>
          </w:tcPr>
          <w:p>
            <w:pPr>
              <w:contextualSpacing/>
              <w:jc w:val="center"/>
              <w:textAlignment w:val="baseline"/>
              <w:rPr>
                <w:color w:val="000000"/>
                <w:spacing w:val="-20"/>
                <w:szCs w:val="21"/>
              </w:rPr>
            </w:pPr>
          </w:p>
        </w:tc>
        <w:tc>
          <w:tcPr>
            <w:tcW w:w="853" w:type="dxa"/>
            <w:vMerge w:val="continue"/>
            <w:vAlign w:val="center"/>
          </w:tcPr>
          <w:p>
            <w:pPr>
              <w:contextualSpacing/>
              <w:jc w:val="center"/>
              <w:textAlignment w:val="baseline"/>
              <w:rPr>
                <w:color w:val="000000"/>
                <w:spacing w:val="-20"/>
                <w:szCs w:val="21"/>
              </w:rPr>
            </w:pPr>
          </w:p>
        </w:tc>
        <w:tc>
          <w:tcPr>
            <w:tcW w:w="733" w:type="dxa"/>
            <w:vMerge w:val="continue"/>
            <w:vAlign w:val="center"/>
          </w:tcPr>
          <w:p>
            <w:pPr>
              <w:contextualSpacing/>
              <w:jc w:val="center"/>
              <w:textAlignment w:val="baseline"/>
              <w:rPr>
                <w:color w:val="000000"/>
                <w:szCs w:val="21"/>
              </w:rPr>
            </w:pPr>
          </w:p>
        </w:tc>
        <w:tc>
          <w:tcPr>
            <w:tcW w:w="733" w:type="dxa"/>
            <w:vMerge w:val="continue"/>
            <w:vAlign w:val="center"/>
          </w:tcPr>
          <w:p>
            <w:pPr>
              <w:contextualSpacing/>
              <w:jc w:val="center"/>
              <w:textAlignment w:val="baseline"/>
              <w:rPr>
                <w:color w:val="000000"/>
                <w:szCs w:val="21"/>
              </w:rPr>
            </w:pPr>
          </w:p>
        </w:tc>
        <w:tc>
          <w:tcPr>
            <w:tcW w:w="516" w:type="dxa"/>
            <w:vMerge w:val="continue"/>
            <w:vAlign w:val="center"/>
          </w:tcPr>
          <w:p>
            <w:pPr>
              <w:contextualSpacing/>
              <w:jc w:val="center"/>
              <w:textAlignment w:val="baseline"/>
              <w:rPr>
                <w:color w:val="000000"/>
                <w:szCs w:val="21"/>
              </w:rPr>
            </w:pPr>
          </w:p>
        </w:tc>
        <w:tc>
          <w:tcPr>
            <w:tcW w:w="850" w:type="dxa"/>
            <w:vMerge w:val="continue"/>
            <w:vAlign w:val="center"/>
          </w:tcPr>
          <w:p>
            <w:pPr>
              <w:contextualSpacing/>
              <w:jc w:val="center"/>
              <w:textAlignment w:val="baseline"/>
              <w:rPr>
                <w:color w:val="000000"/>
                <w:szCs w:val="21"/>
              </w:rPr>
            </w:pPr>
          </w:p>
        </w:tc>
        <w:tc>
          <w:tcPr>
            <w:tcW w:w="709" w:type="dxa"/>
            <w:vMerge w:val="continue"/>
            <w:vAlign w:val="center"/>
          </w:tcPr>
          <w:p>
            <w:pPr>
              <w:contextualSpacing/>
              <w:jc w:val="center"/>
              <w:textAlignment w:val="baseline"/>
              <w:rPr>
                <w:color w:val="000000"/>
                <w:szCs w:val="21"/>
              </w:rPr>
            </w:pPr>
          </w:p>
        </w:tc>
        <w:tc>
          <w:tcPr>
            <w:tcW w:w="992" w:type="dxa"/>
            <w:tcMar>
              <w:top w:w="0" w:type="dxa"/>
              <w:left w:w="0" w:type="dxa"/>
              <w:bottom w:w="0" w:type="dxa"/>
              <w:right w:w="0" w:type="dxa"/>
            </w:tcMar>
            <w:vAlign w:val="center"/>
          </w:tcPr>
          <w:p>
            <w:pPr>
              <w:contextualSpacing/>
              <w:jc w:val="center"/>
              <w:textAlignment w:val="baseline"/>
              <w:rPr>
                <w:rFonts w:hAnsi="MS Mincho" w:eastAsia="MS Mincho"/>
                <w:color w:val="000000"/>
                <w:szCs w:val="21"/>
              </w:rPr>
            </w:pPr>
            <w:r>
              <w:rPr>
                <w:color w:val="000000"/>
                <w:spacing w:val="-4"/>
                <w:szCs w:val="21"/>
              </w:rPr>
              <w:t>TN</w:t>
            </w:r>
          </w:p>
        </w:tc>
        <w:tc>
          <w:tcPr>
            <w:tcW w:w="1774" w:type="dxa"/>
            <w:vAlign w:val="center"/>
          </w:tcPr>
          <w:p>
            <w:pPr>
              <w:contextualSpacing/>
              <w:jc w:val="center"/>
              <w:textAlignment w:val="baseline"/>
              <w:rPr>
                <w:rFonts w:hAnsi="MS Mincho"/>
                <w:color w:val="000000"/>
                <w:szCs w:val="21"/>
              </w:rPr>
            </w:pPr>
            <w:r>
              <w:rPr>
                <w:rFonts w:hAnsi="MS Mincho"/>
                <w:color w:val="000000"/>
                <w:szCs w:val="21"/>
              </w:rPr>
              <w:t>15</w:t>
            </w:r>
          </w:p>
        </w:tc>
      </w:tr>
    </w:tbl>
    <w:p>
      <w:pPr>
        <w:spacing w:line="520" w:lineRule="exact"/>
        <w:ind w:firstLine="480" w:firstLineChars="200"/>
        <w:outlineLvl w:val="6"/>
        <w:rPr>
          <w:bCs/>
          <w:sz w:val="24"/>
          <w:szCs w:val="24"/>
        </w:rPr>
      </w:pPr>
      <w:r>
        <w:rPr>
          <w:rFonts w:hint="eastAsia"/>
          <w:bCs/>
          <w:sz w:val="24"/>
          <w:szCs w:val="24"/>
        </w:rPr>
        <w:t>③废水污染物排放执行标准表</w:t>
      </w:r>
    </w:p>
    <w:p>
      <w:pPr>
        <w:spacing w:line="520" w:lineRule="exact"/>
        <w:ind w:firstLine="480" w:firstLineChars="200"/>
        <w:rPr>
          <w:rFonts w:eastAsia="黑体"/>
          <w:sz w:val="24"/>
        </w:rPr>
      </w:pPr>
      <w:r>
        <w:rPr>
          <w:rFonts w:hint="eastAsia" w:eastAsia="黑体"/>
          <w:sz w:val="24"/>
        </w:rPr>
        <w:t>表</w:t>
      </w:r>
      <w:r>
        <w:rPr>
          <w:rFonts w:eastAsia="黑体"/>
          <w:sz w:val="24"/>
        </w:rPr>
        <w:t xml:space="preserve">3.1-19             </w:t>
      </w:r>
      <w:r>
        <w:rPr>
          <w:rFonts w:hint="eastAsia" w:eastAsia="黑体"/>
          <w:sz w:val="24"/>
        </w:rPr>
        <w:t>废水污染物排放执行标准表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950"/>
        <w:gridCol w:w="1353"/>
        <w:gridCol w:w="3836"/>
        <w:gridCol w:w="21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388" w:type="pct"/>
            <w:vMerge w:val="restart"/>
            <w:vAlign w:val="center"/>
          </w:tcPr>
          <w:p>
            <w:pPr>
              <w:jc w:val="center"/>
              <w:rPr>
                <w:rFonts w:cs="宋体"/>
                <w:b/>
                <w:color w:val="000000"/>
                <w:szCs w:val="20"/>
              </w:rPr>
            </w:pPr>
            <w:r>
              <w:rPr>
                <w:rFonts w:hint="eastAsia" w:cs="宋体"/>
                <w:b/>
                <w:color w:val="000000"/>
                <w:szCs w:val="20"/>
              </w:rPr>
              <w:t>序号</w:t>
            </w:r>
          </w:p>
        </w:tc>
        <w:tc>
          <w:tcPr>
            <w:tcW w:w="531" w:type="pct"/>
            <w:vMerge w:val="restart"/>
            <w:vAlign w:val="center"/>
          </w:tcPr>
          <w:p>
            <w:pPr>
              <w:jc w:val="center"/>
              <w:rPr>
                <w:rFonts w:cs="宋体"/>
                <w:b/>
                <w:color w:val="000000"/>
                <w:szCs w:val="20"/>
              </w:rPr>
            </w:pPr>
            <w:r>
              <w:rPr>
                <w:rFonts w:hint="eastAsia" w:cs="宋体"/>
                <w:b/>
                <w:color w:val="000000"/>
                <w:szCs w:val="20"/>
              </w:rPr>
              <w:t>排放口编号</w:t>
            </w:r>
          </w:p>
        </w:tc>
        <w:tc>
          <w:tcPr>
            <w:tcW w:w="756" w:type="pct"/>
            <w:vMerge w:val="restart"/>
            <w:vAlign w:val="center"/>
          </w:tcPr>
          <w:p>
            <w:pPr>
              <w:jc w:val="center"/>
              <w:rPr>
                <w:rFonts w:cs="宋体"/>
                <w:b/>
                <w:color w:val="000000"/>
                <w:szCs w:val="20"/>
              </w:rPr>
            </w:pPr>
            <w:r>
              <w:rPr>
                <w:rFonts w:hint="eastAsia" w:cs="宋体"/>
                <w:b/>
                <w:color w:val="000000"/>
                <w:szCs w:val="20"/>
              </w:rPr>
              <w:t>污染物种类</w:t>
            </w:r>
          </w:p>
        </w:tc>
        <w:tc>
          <w:tcPr>
            <w:tcW w:w="3325" w:type="pct"/>
            <w:gridSpan w:val="2"/>
            <w:vAlign w:val="center"/>
          </w:tcPr>
          <w:p>
            <w:pPr>
              <w:jc w:val="center"/>
              <w:rPr>
                <w:rFonts w:cs="宋体"/>
                <w:b/>
                <w:color w:val="000000"/>
                <w:szCs w:val="20"/>
              </w:rPr>
            </w:pPr>
            <w:r>
              <w:rPr>
                <w:rFonts w:hint="eastAsia" w:cs="宋体"/>
                <w:b/>
                <w:color w:val="000000"/>
                <w:szCs w:val="20"/>
              </w:rPr>
              <w:t>国家或地方污染物排放标准及其他按规定商定的排放协议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vAlign w:val="center"/>
          </w:tcPr>
          <w:p>
            <w:pPr>
              <w:jc w:val="center"/>
              <w:rPr>
                <w:rFonts w:cs="宋体"/>
                <w:b/>
                <w:color w:val="000000"/>
                <w:szCs w:val="20"/>
              </w:rPr>
            </w:pPr>
          </w:p>
        </w:tc>
        <w:tc>
          <w:tcPr>
            <w:tcW w:w="0" w:type="auto"/>
            <w:vMerge w:val="continue"/>
            <w:vAlign w:val="center"/>
          </w:tcPr>
          <w:p>
            <w:pPr>
              <w:jc w:val="center"/>
              <w:rPr>
                <w:rFonts w:cs="宋体"/>
                <w:b/>
                <w:color w:val="000000"/>
                <w:szCs w:val="20"/>
              </w:rPr>
            </w:pPr>
          </w:p>
        </w:tc>
        <w:tc>
          <w:tcPr>
            <w:tcW w:w="0" w:type="auto"/>
            <w:vMerge w:val="continue"/>
            <w:vAlign w:val="center"/>
          </w:tcPr>
          <w:p>
            <w:pPr>
              <w:jc w:val="center"/>
              <w:rPr>
                <w:rFonts w:cs="宋体"/>
                <w:b/>
                <w:color w:val="000000"/>
                <w:szCs w:val="20"/>
              </w:rPr>
            </w:pPr>
          </w:p>
        </w:tc>
        <w:tc>
          <w:tcPr>
            <w:tcW w:w="2144" w:type="pct"/>
            <w:vAlign w:val="center"/>
          </w:tcPr>
          <w:p>
            <w:pPr>
              <w:jc w:val="center"/>
              <w:rPr>
                <w:rFonts w:cs="宋体"/>
                <w:b/>
                <w:color w:val="000000"/>
                <w:szCs w:val="20"/>
              </w:rPr>
            </w:pPr>
            <w:r>
              <w:rPr>
                <w:rFonts w:hint="eastAsia" w:cs="宋体"/>
                <w:b/>
                <w:color w:val="000000"/>
                <w:szCs w:val="20"/>
              </w:rPr>
              <w:t>名称</w:t>
            </w:r>
          </w:p>
        </w:tc>
        <w:tc>
          <w:tcPr>
            <w:tcW w:w="1181" w:type="pct"/>
            <w:vAlign w:val="center"/>
          </w:tcPr>
          <w:p>
            <w:pPr>
              <w:jc w:val="center"/>
              <w:rPr>
                <w:rFonts w:cs="宋体"/>
                <w:b/>
                <w:color w:val="000000"/>
                <w:szCs w:val="20"/>
              </w:rPr>
            </w:pPr>
            <w:r>
              <w:rPr>
                <w:rFonts w:hint="eastAsia" w:cs="宋体"/>
                <w:b/>
                <w:color w:val="000000"/>
                <w:szCs w:val="20"/>
              </w:rPr>
              <w:t>浓度限值</w:t>
            </w:r>
            <w:r>
              <w:rPr>
                <w:rFonts w:cs="宋体"/>
                <w:b/>
                <w:color w:val="000000"/>
                <w:szCs w:val="20"/>
              </w:rPr>
              <w:t>/</w:t>
            </w:r>
            <w:r>
              <w:rPr>
                <w:rFonts w:hint="eastAsia" w:cs="宋体"/>
                <w:b/>
                <w:color w:val="000000"/>
                <w:szCs w:val="20"/>
              </w:rPr>
              <w:t>（</w:t>
            </w:r>
            <w:r>
              <w:rPr>
                <w:rFonts w:cs="宋体"/>
                <w:b/>
                <w:color w:val="000000"/>
                <w:szCs w:val="20"/>
              </w:rPr>
              <w:t>mg/L</w:t>
            </w:r>
            <w:r>
              <w:rPr>
                <w:rFonts w:hint="eastAsia" w:cs="宋体"/>
                <w:b/>
                <w:color w:val="000000"/>
                <w:szCs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contextualSpacing/>
              <w:jc w:val="center"/>
              <w:textAlignment w:val="baseline"/>
              <w:rPr>
                <w:color w:val="000000"/>
                <w:szCs w:val="21"/>
              </w:rPr>
            </w:pPr>
            <w:r>
              <w:rPr>
                <w:color w:val="000000"/>
                <w:szCs w:val="21"/>
              </w:rPr>
              <w:t>1</w:t>
            </w:r>
          </w:p>
        </w:tc>
        <w:tc>
          <w:tcPr>
            <w:tcW w:w="531" w:type="pct"/>
            <w:vMerge w:val="restart"/>
            <w:vAlign w:val="center"/>
          </w:tcPr>
          <w:p>
            <w:pPr>
              <w:contextualSpacing/>
              <w:jc w:val="center"/>
              <w:textAlignment w:val="baseline"/>
              <w:rPr>
                <w:color w:val="000000"/>
                <w:szCs w:val="21"/>
              </w:rPr>
            </w:pPr>
            <w:r>
              <w:rPr>
                <w:color w:val="000000"/>
                <w:szCs w:val="21"/>
              </w:rPr>
              <w:t>DW001</w:t>
            </w:r>
          </w:p>
        </w:tc>
        <w:tc>
          <w:tcPr>
            <w:tcW w:w="756" w:type="pct"/>
            <w:vAlign w:val="center"/>
          </w:tcPr>
          <w:p>
            <w:pPr>
              <w:contextualSpacing/>
              <w:jc w:val="center"/>
              <w:textAlignment w:val="baseline"/>
              <w:rPr>
                <w:color w:val="000000"/>
                <w:spacing w:val="-4"/>
                <w:szCs w:val="21"/>
              </w:rPr>
            </w:pPr>
            <w:r>
              <w:rPr>
                <w:color w:val="000000"/>
                <w:spacing w:val="-4"/>
                <w:szCs w:val="21"/>
              </w:rPr>
              <w:t>COD</w:t>
            </w:r>
          </w:p>
        </w:tc>
        <w:tc>
          <w:tcPr>
            <w:tcW w:w="2144" w:type="pct"/>
            <w:vMerge w:val="restart"/>
            <w:vAlign w:val="center"/>
          </w:tcPr>
          <w:p>
            <w:pPr>
              <w:contextualSpacing/>
              <w:jc w:val="center"/>
              <w:textAlignment w:val="baseline"/>
              <w:rPr>
                <w:color w:val="000000"/>
                <w:kern w:val="0"/>
                <w:szCs w:val="21"/>
              </w:rPr>
            </w:pPr>
            <w:r>
              <w:rPr>
                <w:rFonts w:hint="eastAsia"/>
                <w:color w:val="000000"/>
                <w:kern w:val="0"/>
                <w:szCs w:val="21"/>
              </w:rPr>
              <w:t>原阳县产业集聚区</w:t>
            </w:r>
            <w:r>
              <w:rPr>
                <w:color w:val="000000"/>
                <w:kern w:val="0"/>
                <w:szCs w:val="21"/>
              </w:rPr>
              <w:t>污水处理厂</w:t>
            </w:r>
            <w:r>
              <w:rPr>
                <w:rFonts w:hint="eastAsia"/>
                <w:color w:val="000000"/>
                <w:kern w:val="0"/>
                <w:szCs w:val="21"/>
              </w:rPr>
              <w:t>收水标准、</w:t>
            </w:r>
            <w:r>
              <w:rPr>
                <w:color w:val="000000"/>
                <w:kern w:val="0"/>
                <w:szCs w:val="21"/>
              </w:rPr>
              <w:t>《污水综合排放标准》（GB8978-1996）表4</w:t>
            </w:r>
          </w:p>
        </w:tc>
        <w:tc>
          <w:tcPr>
            <w:tcW w:w="1181" w:type="pct"/>
            <w:vAlign w:val="center"/>
          </w:tcPr>
          <w:p>
            <w:pPr>
              <w:contextualSpacing/>
              <w:jc w:val="center"/>
              <w:textAlignment w:val="baseline"/>
              <w:rPr>
                <w:color w:val="000000"/>
                <w:kern w:val="0"/>
                <w:szCs w:val="21"/>
              </w:rPr>
            </w:pPr>
            <w:r>
              <w:rPr>
                <w:rFonts w:hint="eastAsia"/>
                <w:color w:val="000000"/>
                <w:kern w:val="0"/>
                <w:szCs w:val="21"/>
              </w:rPr>
              <w:t>4</w:t>
            </w:r>
            <w:r>
              <w:rPr>
                <w:color w:val="000000"/>
                <w:kern w:val="0"/>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contextualSpacing/>
              <w:jc w:val="center"/>
              <w:textAlignment w:val="baseline"/>
              <w:rPr>
                <w:color w:val="000000"/>
                <w:szCs w:val="21"/>
              </w:rPr>
            </w:pPr>
            <w:r>
              <w:rPr>
                <w:color w:val="000000"/>
                <w:szCs w:val="21"/>
              </w:rPr>
              <w:t>2</w:t>
            </w:r>
          </w:p>
        </w:tc>
        <w:tc>
          <w:tcPr>
            <w:tcW w:w="531" w:type="pct"/>
            <w:vMerge w:val="continue"/>
            <w:vAlign w:val="center"/>
          </w:tcPr>
          <w:p>
            <w:pPr>
              <w:contextualSpacing/>
              <w:jc w:val="center"/>
              <w:textAlignment w:val="baseline"/>
              <w:rPr>
                <w:color w:val="000000"/>
                <w:szCs w:val="21"/>
              </w:rPr>
            </w:pPr>
          </w:p>
        </w:tc>
        <w:tc>
          <w:tcPr>
            <w:tcW w:w="756" w:type="pct"/>
            <w:vAlign w:val="center"/>
          </w:tcPr>
          <w:p>
            <w:pPr>
              <w:contextualSpacing/>
              <w:jc w:val="center"/>
              <w:textAlignment w:val="baseline"/>
              <w:rPr>
                <w:color w:val="000000"/>
                <w:szCs w:val="21"/>
              </w:rPr>
            </w:pPr>
            <w:r>
              <w:rPr>
                <w:color w:val="000000"/>
                <w:spacing w:val="-4"/>
                <w:szCs w:val="21"/>
              </w:rPr>
              <w:t>BOD</w:t>
            </w:r>
            <w:r>
              <w:rPr>
                <w:color w:val="000000"/>
                <w:spacing w:val="-4"/>
                <w:szCs w:val="21"/>
                <w:vertAlign w:val="subscript"/>
              </w:rPr>
              <w:t>5</w:t>
            </w:r>
          </w:p>
        </w:tc>
        <w:tc>
          <w:tcPr>
            <w:tcW w:w="2144" w:type="pct"/>
            <w:vMerge w:val="continue"/>
            <w:vAlign w:val="center"/>
          </w:tcPr>
          <w:p>
            <w:pPr>
              <w:contextualSpacing/>
              <w:jc w:val="center"/>
              <w:textAlignment w:val="baseline"/>
              <w:rPr>
                <w:b/>
                <w:color w:val="000000"/>
                <w:szCs w:val="21"/>
                <w:u w:val="single"/>
              </w:rPr>
            </w:pPr>
          </w:p>
        </w:tc>
        <w:tc>
          <w:tcPr>
            <w:tcW w:w="1181" w:type="pct"/>
            <w:vAlign w:val="center"/>
          </w:tcPr>
          <w:p>
            <w:pPr>
              <w:contextualSpacing/>
              <w:jc w:val="center"/>
              <w:textAlignment w:val="baseline"/>
              <w:rPr>
                <w:color w:val="000000"/>
                <w:kern w:val="0"/>
                <w:szCs w:val="21"/>
              </w:rPr>
            </w:pPr>
            <w:r>
              <w:rPr>
                <w:rFonts w:hint="eastAsia"/>
                <w:color w:val="000000"/>
                <w:kern w:val="0"/>
                <w:szCs w:val="21"/>
              </w:rPr>
              <w:t>2</w:t>
            </w:r>
            <w:r>
              <w:rPr>
                <w:color w:val="000000"/>
                <w:kern w:val="0"/>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contextualSpacing/>
              <w:jc w:val="center"/>
              <w:textAlignment w:val="baseline"/>
              <w:rPr>
                <w:color w:val="000000"/>
                <w:szCs w:val="21"/>
              </w:rPr>
            </w:pPr>
            <w:r>
              <w:rPr>
                <w:color w:val="000000"/>
                <w:szCs w:val="21"/>
              </w:rPr>
              <w:t>3</w:t>
            </w:r>
          </w:p>
        </w:tc>
        <w:tc>
          <w:tcPr>
            <w:tcW w:w="531" w:type="pct"/>
            <w:vMerge w:val="continue"/>
            <w:vAlign w:val="center"/>
          </w:tcPr>
          <w:p>
            <w:pPr>
              <w:contextualSpacing/>
              <w:jc w:val="center"/>
              <w:textAlignment w:val="baseline"/>
              <w:rPr>
                <w:color w:val="000000"/>
                <w:szCs w:val="21"/>
              </w:rPr>
            </w:pPr>
          </w:p>
        </w:tc>
        <w:tc>
          <w:tcPr>
            <w:tcW w:w="756" w:type="pct"/>
            <w:vAlign w:val="center"/>
          </w:tcPr>
          <w:p>
            <w:pPr>
              <w:contextualSpacing/>
              <w:jc w:val="center"/>
              <w:textAlignment w:val="baseline"/>
              <w:rPr>
                <w:color w:val="000000"/>
                <w:spacing w:val="-4"/>
                <w:szCs w:val="21"/>
              </w:rPr>
            </w:pPr>
            <w:r>
              <w:rPr>
                <w:rFonts w:hint="eastAsia"/>
                <w:color w:val="000000"/>
                <w:spacing w:val="-4"/>
                <w:szCs w:val="21"/>
              </w:rPr>
              <w:t>SS</w:t>
            </w:r>
          </w:p>
        </w:tc>
        <w:tc>
          <w:tcPr>
            <w:tcW w:w="2144" w:type="pct"/>
            <w:vMerge w:val="continue"/>
            <w:vAlign w:val="center"/>
          </w:tcPr>
          <w:p>
            <w:pPr>
              <w:contextualSpacing/>
              <w:jc w:val="center"/>
              <w:textAlignment w:val="baseline"/>
              <w:rPr>
                <w:color w:val="000000"/>
                <w:kern w:val="0"/>
                <w:szCs w:val="21"/>
              </w:rPr>
            </w:pPr>
          </w:p>
        </w:tc>
        <w:tc>
          <w:tcPr>
            <w:tcW w:w="1181" w:type="pct"/>
            <w:vAlign w:val="center"/>
          </w:tcPr>
          <w:p>
            <w:pPr>
              <w:contextualSpacing/>
              <w:jc w:val="center"/>
              <w:textAlignment w:val="baseline"/>
              <w:rPr>
                <w:color w:val="000000"/>
                <w:kern w:val="0"/>
                <w:szCs w:val="21"/>
              </w:rPr>
            </w:pPr>
            <w:r>
              <w:rPr>
                <w:rFonts w:hint="eastAsia"/>
                <w:color w:val="000000"/>
                <w:kern w:val="0"/>
                <w:szCs w:val="21"/>
              </w:rPr>
              <w:t>3</w:t>
            </w:r>
            <w:r>
              <w:rPr>
                <w:color w:val="000000"/>
                <w:kern w:val="0"/>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contextualSpacing/>
              <w:jc w:val="center"/>
              <w:textAlignment w:val="baseline"/>
              <w:rPr>
                <w:color w:val="000000"/>
                <w:szCs w:val="21"/>
              </w:rPr>
            </w:pPr>
            <w:r>
              <w:rPr>
                <w:color w:val="000000"/>
                <w:szCs w:val="21"/>
              </w:rPr>
              <w:t>4</w:t>
            </w:r>
          </w:p>
        </w:tc>
        <w:tc>
          <w:tcPr>
            <w:tcW w:w="531" w:type="pct"/>
            <w:vMerge w:val="continue"/>
            <w:vAlign w:val="center"/>
          </w:tcPr>
          <w:p>
            <w:pPr>
              <w:contextualSpacing/>
              <w:jc w:val="center"/>
              <w:textAlignment w:val="baseline"/>
              <w:rPr>
                <w:color w:val="000000"/>
                <w:szCs w:val="21"/>
              </w:rPr>
            </w:pPr>
          </w:p>
        </w:tc>
        <w:tc>
          <w:tcPr>
            <w:tcW w:w="756" w:type="pct"/>
            <w:vAlign w:val="center"/>
          </w:tcPr>
          <w:p>
            <w:pPr>
              <w:contextualSpacing/>
              <w:jc w:val="center"/>
              <w:textAlignment w:val="baseline"/>
              <w:rPr>
                <w:color w:val="000000"/>
                <w:spacing w:val="-4"/>
                <w:szCs w:val="21"/>
              </w:rPr>
            </w:pPr>
            <w:r>
              <w:rPr>
                <w:color w:val="000000"/>
                <w:spacing w:val="-4"/>
                <w:szCs w:val="21"/>
              </w:rPr>
              <w:t>NH</w:t>
            </w:r>
            <w:r>
              <w:rPr>
                <w:color w:val="000000"/>
                <w:spacing w:val="-4"/>
                <w:szCs w:val="21"/>
                <w:vertAlign w:val="subscript"/>
              </w:rPr>
              <w:t>3</w:t>
            </w:r>
            <w:r>
              <w:rPr>
                <w:color w:val="000000"/>
                <w:spacing w:val="-4"/>
                <w:szCs w:val="21"/>
              </w:rPr>
              <w:t>-N</w:t>
            </w:r>
          </w:p>
        </w:tc>
        <w:tc>
          <w:tcPr>
            <w:tcW w:w="2144" w:type="pct"/>
            <w:vMerge w:val="continue"/>
            <w:vAlign w:val="center"/>
          </w:tcPr>
          <w:p>
            <w:pPr>
              <w:contextualSpacing/>
              <w:jc w:val="center"/>
              <w:textAlignment w:val="baseline"/>
              <w:rPr>
                <w:color w:val="000000"/>
                <w:kern w:val="0"/>
                <w:szCs w:val="21"/>
              </w:rPr>
            </w:pPr>
          </w:p>
        </w:tc>
        <w:tc>
          <w:tcPr>
            <w:tcW w:w="1181" w:type="pct"/>
            <w:vAlign w:val="center"/>
          </w:tcPr>
          <w:p>
            <w:pPr>
              <w:contextualSpacing/>
              <w:jc w:val="center"/>
              <w:textAlignment w:val="baseline"/>
              <w:rPr>
                <w:color w:val="000000"/>
                <w:kern w:val="0"/>
                <w:szCs w:val="21"/>
              </w:rPr>
            </w:pPr>
            <w:r>
              <w:rPr>
                <w:rFonts w:hint="eastAsia"/>
                <w:color w:val="000000"/>
                <w:kern w:val="0"/>
                <w:szCs w:val="21"/>
              </w:rPr>
              <w:t>4</w:t>
            </w:r>
            <w:r>
              <w:rPr>
                <w:color w:val="000000"/>
                <w:kern w:val="0"/>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contextualSpacing/>
              <w:jc w:val="center"/>
              <w:textAlignment w:val="baseline"/>
              <w:rPr>
                <w:color w:val="000000"/>
                <w:szCs w:val="21"/>
              </w:rPr>
            </w:pPr>
            <w:r>
              <w:rPr>
                <w:rFonts w:hint="eastAsia"/>
                <w:color w:val="000000"/>
                <w:szCs w:val="21"/>
              </w:rPr>
              <w:t>5</w:t>
            </w:r>
          </w:p>
        </w:tc>
        <w:tc>
          <w:tcPr>
            <w:tcW w:w="0" w:type="auto"/>
            <w:vMerge w:val="continue"/>
            <w:vAlign w:val="center"/>
          </w:tcPr>
          <w:p>
            <w:pPr>
              <w:contextualSpacing/>
              <w:jc w:val="center"/>
              <w:textAlignment w:val="baseline"/>
              <w:rPr>
                <w:color w:val="000000"/>
                <w:szCs w:val="21"/>
              </w:rPr>
            </w:pPr>
          </w:p>
        </w:tc>
        <w:tc>
          <w:tcPr>
            <w:tcW w:w="756" w:type="pct"/>
            <w:vAlign w:val="center"/>
          </w:tcPr>
          <w:p>
            <w:pPr>
              <w:contextualSpacing/>
              <w:jc w:val="center"/>
              <w:textAlignment w:val="baseline"/>
              <w:rPr>
                <w:color w:val="000000"/>
                <w:szCs w:val="21"/>
              </w:rPr>
            </w:pPr>
            <w:r>
              <w:rPr>
                <w:color w:val="000000"/>
                <w:spacing w:val="-4"/>
                <w:szCs w:val="21"/>
              </w:rPr>
              <w:t>TP</w:t>
            </w:r>
          </w:p>
        </w:tc>
        <w:tc>
          <w:tcPr>
            <w:tcW w:w="2144" w:type="pct"/>
            <w:vMerge w:val="continue"/>
            <w:vAlign w:val="center"/>
          </w:tcPr>
          <w:p>
            <w:pPr>
              <w:contextualSpacing/>
              <w:jc w:val="center"/>
              <w:textAlignment w:val="baseline"/>
              <w:rPr>
                <w:b/>
                <w:color w:val="000000"/>
                <w:szCs w:val="21"/>
                <w:u w:val="single"/>
              </w:rPr>
            </w:pPr>
          </w:p>
        </w:tc>
        <w:tc>
          <w:tcPr>
            <w:tcW w:w="1181" w:type="pct"/>
            <w:vAlign w:val="center"/>
          </w:tcPr>
          <w:p>
            <w:pPr>
              <w:contextualSpacing/>
              <w:jc w:val="center"/>
              <w:textAlignment w:val="baseline"/>
              <w:rPr>
                <w:color w:val="000000"/>
                <w:kern w:val="0"/>
                <w:szCs w:val="21"/>
              </w:rPr>
            </w:pPr>
            <w:r>
              <w:rPr>
                <w:rFonts w:hint="eastAsia"/>
                <w:color w:val="000000"/>
                <w:kern w:val="0"/>
                <w:szCs w:val="21"/>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contextualSpacing/>
              <w:jc w:val="center"/>
              <w:textAlignment w:val="baseline"/>
              <w:rPr>
                <w:color w:val="000000"/>
                <w:szCs w:val="21"/>
              </w:rPr>
            </w:pPr>
            <w:r>
              <w:rPr>
                <w:rFonts w:hint="eastAsia"/>
                <w:color w:val="000000"/>
                <w:szCs w:val="21"/>
              </w:rPr>
              <w:t>6</w:t>
            </w:r>
          </w:p>
        </w:tc>
        <w:tc>
          <w:tcPr>
            <w:tcW w:w="0" w:type="auto"/>
            <w:vMerge w:val="continue"/>
            <w:vAlign w:val="center"/>
          </w:tcPr>
          <w:p>
            <w:pPr>
              <w:contextualSpacing/>
              <w:jc w:val="center"/>
              <w:textAlignment w:val="baseline"/>
              <w:rPr>
                <w:color w:val="000000"/>
                <w:szCs w:val="21"/>
              </w:rPr>
            </w:pPr>
          </w:p>
        </w:tc>
        <w:tc>
          <w:tcPr>
            <w:tcW w:w="756" w:type="pct"/>
            <w:vAlign w:val="center"/>
          </w:tcPr>
          <w:p>
            <w:pPr>
              <w:contextualSpacing/>
              <w:jc w:val="center"/>
              <w:textAlignment w:val="baseline"/>
              <w:rPr>
                <w:color w:val="000000"/>
                <w:szCs w:val="21"/>
              </w:rPr>
            </w:pPr>
            <w:r>
              <w:rPr>
                <w:color w:val="000000"/>
                <w:spacing w:val="-4"/>
                <w:szCs w:val="21"/>
              </w:rPr>
              <w:t>TN</w:t>
            </w:r>
          </w:p>
        </w:tc>
        <w:tc>
          <w:tcPr>
            <w:tcW w:w="2144" w:type="pct"/>
            <w:vMerge w:val="continue"/>
            <w:vAlign w:val="center"/>
          </w:tcPr>
          <w:p>
            <w:pPr>
              <w:contextualSpacing/>
              <w:jc w:val="center"/>
              <w:textAlignment w:val="baseline"/>
              <w:rPr>
                <w:b/>
                <w:color w:val="000000"/>
                <w:szCs w:val="21"/>
                <w:u w:val="single"/>
              </w:rPr>
            </w:pPr>
          </w:p>
        </w:tc>
        <w:tc>
          <w:tcPr>
            <w:tcW w:w="1181" w:type="pct"/>
            <w:vAlign w:val="center"/>
          </w:tcPr>
          <w:p>
            <w:pPr>
              <w:contextualSpacing/>
              <w:jc w:val="center"/>
              <w:textAlignment w:val="baseline"/>
              <w:rPr>
                <w:color w:val="000000"/>
                <w:kern w:val="0"/>
                <w:szCs w:val="21"/>
              </w:rPr>
            </w:pPr>
            <w:r>
              <w:rPr>
                <w:rFonts w:hint="eastAsia"/>
                <w:color w:val="000000"/>
                <w:kern w:val="0"/>
                <w:szCs w:val="21"/>
              </w:rPr>
              <w:t>5</w:t>
            </w:r>
            <w:r>
              <w:rPr>
                <w:color w:val="000000"/>
                <w:kern w:val="0"/>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contextualSpacing/>
              <w:jc w:val="center"/>
              <w:textAlignment w:val="baseline"/>
              <w:rPr>
                <w:color w:val="000000"/>
                <w:szCs w:val="21"/>
              </w:rPr>
            </w:pPr>
            <w:r>
              <w:rPr>
                <w:rFonts w:hint="eastAsia"/>
                <w:color w:val="000000"/>
                <w:szCs w:val="21"/>
              </w:rPr>
              <w:t>7</w:t>
            </w:r>
          </w:p>
        </w:tc>
        <w:tc>
          <w:tcPr>
            <w:tcW w:w="0" w:type="auto"/>
            <w:vMerge w:val="continue"/>
            <w:vAlign w:val="center"/>
          </w:tcPr>
          <w:p>
            <w:pPr>
              <w:contextualSpacing/>
              <w:jc w:val="center"/>
              <w:textAlignment w:val="baseline"/>
              <w:rPr>
                <w:color w:val="000000"/>
                <w:szCs w:val="21"/>
              </w:rPr>
            </w:pPr>
          </w:p>
        </w:tc>
        <w:tc>
          <w:tcPr>
            <w:tcW w:w="756" w:type="pct"/>
            <w:vAlign w:val="center"/>
          </w:tcPr>
          <w:p>
            <w:pPr>
              <w:contextualSpacing/>
              <w:jc w:val="center"/>
              <w:textAlignment w:val="baseline"/>
              <w:rPr>
                <w:color w:val="000000"/>
                <w:spacing w:val="-4"/>
                <w:szCs w:val="21"/>
              </w:rPr>
            </w:pPr>
            <w:r>
              <w:rPr>
                <w:rFonts w:hint="eastAsia"/>
                <w:color w:val="000000"/>
                <w:spacing w:val="-4"/>
                <w:szCs w:val="21"/>
              </w:rPr>
              <w:t>动植物油</w:t>
            </w:r>
          </w:p>
        </w:tc>
        <w:tc>
          <w:tcPr>
            <w:tcW w:w="2144" w:type="pct"/>
            <w:vMerge w:val="continue"/>
            <w:vAlign w:val="center"/>
          </w:tcPr>
          <w:p>
            <w:pPr>
              <w:contextualSpacing/>
              <w:jc w:val="center"/>
              <w:textAlignment w:val="baseline"/>
              <w:rPr>
                <w:b/>
                <w:color w:val="000000"/>
                <w:szCs w:val="21"/>
                <w:u w:val="single"/>
              </w:rPr>
            </w:pPr>
          </w:p>
        </w:tc>
        <w:tc>
          <w:tcPr>
            <w:tcW w:w="1181" w:type="pct"/>
            <w:vAlign w:val="center"/>
          </w:tcPr>
          <w:p>
            <w:pPr>
              <w:contextualSpacing/>
              <w:jc w:val="center"/>
              <w:textAlignment w:val="baseline"/>
              <w:rPr>
                <w:color w:val="000000"/>
                <w:kern w:val="0"/>
                <w:szCs w:val="21"/>
              </w:rPr>
            </w:pPr>
            <w:r>
              <w:rPr>
                <w:rFonts w:hint="eastAsia"/>
                <w:color w:val="000000"/>
                <w:kern w:val="0"/>
                <w:szCs w:val="21"/>
              </w:rPr>
              <w:t>1</w:t>
            </w:r>
            <w:r>
              <w:rPr>
                <w:color w:val="000000"/>
                <w:kern w:val="0"/>
                <w:szCs w:val="21"/>
              </w:rPr>
              <w:t>5</w:t>
            </w:r>
          </w:p>
        </w:tc>
      </w:tr>
    </w:tbl>
    <w:p>
      <w:pPr>
        <w:spacing w:line="520" w:lineRule="exact"/>
        <w:ind w:firstLine="480" w:firstLineChars="200"/>
        <w:outlineLvl w:val="6"/>
        <w:rPr>
          <w:bCs/>
          <w:sz w:val="24"/>
          <w:szCs w:val="24"/>
        </w:rPr>
      </w:pPr>
      <w:r>
        <w:rPr>
          <w:rFonts w:hint="eastAsia"/>
          <w:bCs/>
          <w:sz w:val="24"/>
          <w:szCs w:val="24"/>
        </w:rPr>
        <w:t>④废水污染物排放信息表</w:t>
      </w:r>
    </w:p>
    <w:p>
      <w:pPr>
        <w:spacing w:line="520" w:lineRule="exact"/>
        <w:ind w:firstLine="480" w:firstLineChars="200"/>
        <w:rPr>
          <w:rFonts w:eastAsia="黑体"/>
          <w:sz w:val="24"/>
        </w:rPr>
      </w:pPr>
      <w:r>
        <w:rPr>
          <w:rFonts w:hint="eastAsia" w:eastAsia="黑体"/>
          <w:sz w:val="24"/>
        </w:rPr>
        <w:t>表</w:t>
      </w:r>
      <w:r>
        <w:rPr>
          <w:rFonts w:eastAsia="黑体"/>
          <w:sz w:val="24"/>
        </w:rPr>
        <w:t xml:space="preserve">3.1-20             </w:t>
      </w:r>
      <w:r>
        <w:rPr>
          <w:rFonts w:hint="eastAsia" w:eastAsia="黑体"/>
          <w:sz w:val="24"/>
        </w:rPr>
        <w:t>废水污染物排放信息表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62"/>
        <w:gridCol w:w="1146"/>
        <w:gridCol w:w="1427"/>
        <w:gridCol w:w="1861"/>
        <w:gridCol w:w="2001"/>
        <w:gridCol w:w="17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20" w:type="pct"/>
            <w:vAlign w:val="center"/>
          </w:tcPr>
          <w:p>
            <w:pPr>
              <w:jc w:val="center"/>
              <w:rPr>
                <w:rFonts w:cs="宋体"/>
                <w:b/>
                <w:color w:val="000000"/>
                <w:szCs w:val="20"/>
              </w:rPr>
            </w:pPr>
            <w:r>
              <w:rPr>
                <w:rFonts w:hint="eastAsia" w:cs="宋体"/>
                <w:b/>
                <w:color w:val="000000"/>
                <w:szCs w:val="20"/>
              </w:rPr>
              <w:t>序号</w:t>
            </w:r>
          </w:p>
        </w:tc>
        <w:tc>
          <w:tcPr>
            <w:tcW w:w="652" w:type="pct"/>
            <w:vAlign w:val="center"/>
          </w:tcPr>
          <w:p>
            <w:pPr>
              <w:jc w:val="center"/>
              <w:rPr>
                <w:rFonts w:cs="宋体"/>
                <w:b/>
                <w:color w:val="000000"/>
                <w:szCs w:val="20"/>
              </w:rPr>
            </w:pPr>
            <w:r>
              <w:rPr>
                <w:rFonts w:hint="eastAsia" w:cs="宋体"/>
                <w:b/>
                <w:color w:val="000000"/>
                <w:szCs w:val="20"/>
              </w:rPr>
              <w:t>排放口编号</w:t>
            </w:r>
          </w:p>
        </w:tc>
        <w:tc>
          <w:tcPr>
            <w:tcW w:w="812" w:type="pct"/>
            <w:vAlign w:val="center"/>
          </w:tcPr>
          <w:p>
            <w:pPr>
              <w:jc w:val="center"/>
              <w:rPr>
                <w:rFonts w:cs="宋体"/>
                <w:b/>
                <w:color w:val="000000"/>
                <w:szCs w:val="20"/>
              </w:rPr>
            </w:pPr>
            <w:r>
              <w:rPr>
                <w:rFonts w:hint="eastAsia" w:cs="宋体"/>
                <w:b/>
                <w:color w:val="000000"/>
                <w:szCs w:val="20"/>
              </w:rPr>
              <w:t>污染物种类</w:t>
            </w:r>
          </w:p>
        </w:tc>
        <w:tc>
          <w:tcPr>
            <w:tcW w:w="1059" w:type="pct"/>
            <w:vAlign w:val="center"/>
          </w:tcPr>
          <w:p>
            <w:pPr>
              <w:jc w:val="center"/>
              <w:rPr>
                <w:rFonts w:cs="宋体"/>
                <w:b/>
                <w:color w:val="000000"/>
                <w:szCs w:val="20"/>
              </w:rPr>
            </w:pPr>
            <w:r>
              <w:rPr>
                <w:rFonts w:hint="eastAsia" w:cs="宋体"/>
                <w:b/>
                <w:color w:val="000000"/>
                <w:szCs w:val="20"/>
              </w:rPr>
              <w:t>排放浓度</w:t>
            </w:r>
            <w:r>
              <w:rPr>
                <w:rFonts w:cs="宋体"/>
                <w:b/>
                <w:color w:val="000000"/>
                <w:szCs w:val="20"/>
              </w:rPr>
              <w:t>/</w:t>
            </w:r>
            <w:r>
              <w:rPr>
                <w:rFonts w:hint="eastAsia" w:cs="宋体"/>
                <w:b/>
                <w:color w:val="000000"/>
                <w:szCs w:val="20"/>
              </w:rPr>
              <w:t>（</w:t>
            </w:r>
            <w:r>
              <w:rPr>
                <w:rFonts w:cs="宋体"/>
                <w:b/>
                <w:color w:val="000000"/>
                <w:szCs w:val="20"/>
              </w:rPr>
              <w:t>mg/L</w:t>
            </w:r>
            <w:r>
              <w:rPr>
                <w:rFonts w:hint="eastAsia" w:cs="宋体"/>
                <w:b/>
                <w:color w:val="000000"/>
                <w:szCs w:val="20"/>
              </w:rPr>
              <w:t>）</w:t>
            </w:r>
          </w:p>
        </w:tc>
        <w:tc>
          <w:tcPr>
            <w:tcW w:w="1139" w:type="pct"/>
            <w:vAlign w:val="center"/>
          </w:tcPr>
          <w:p>
            <w:pPr>
              <w:jc w:val="center"/>
              <w:rPr>
                <w:rFonts w:cs="宋体"/>
                <w:b/>
                <w:color w:val="000000"/>
                <w:szCs w:val="20"/>
              </w:rPr>
            </w:pPr>
            <w:r>
              <w:rPr>
                <w:rFonts w:hint="eastAsia" w:cs="宋体"/>
                <w:b/>
                <w:color w:val="000000"/>
                <w:szCs w:val="20"/>
              </w:rPr>
              <w:t>日排放量</w:t>
            </w:r>
            <w:r>
              <w:rPr>
                <w:rFonts w:cs="宋体"/>
                <w:b/>
                <w:color w:val="000000"/>
                <w:szCs w:val="20"/>
              </w:rPr>
              <w:t>/</w:t>
            </w:r>
            <w:r>
              <w:rPr>
                <w:rFonts w:hint="eastAsia" w:cs="宋体"/>
                <w:b/>
                <w:color w:val="000000"/>
                <w:szCs w:val="20"/>
              </w:rPr>
              <w:t>（</w:t>
            </w:r>
            <w:r>
              <w:rPr>
                <w:rFonts w:cs="宋体"/>
                <w:b/>
                <w:color w:val="000000"/>
                <w:szCs w:val="20"/>
              </w:rPr>
              <w:t>kg/d</w:t>
            </w:r>
            <w:r>
              <w:rPr>
                <w:rFonts w:hint="eastAsia" w:cs="宋体"/>
                <w:b/>
                <w:color w:val="000000"/>
                <w:szCs w:val="20"/>
              </w:rPr>
              <w:t>）</w:t>
            </w:r>
          </w:p>
        </w:tc>
        <w:tc>
          <w:tcPr>
            <w:tcW w:w="1018" w:type="pct"/>
            <w:vAlign w:val="center"/>
          </w:tcPr>
          <w:p>
            <w:pPr>
              <w:jc w:val="center"/>
              <w:rPr>
                <w:rFonts w:cs="宋体"/>
                <w:b/>
                <w:color w:val="000000"/>
                <w:szCs w:val="20"/>
              </w:rPr>
            </w:pPr>
            <w:r>
              <w:rPr>
                <w:rFonts w:hint="eastAsia" w:cs="宋体"/>
                <w:b/>
                <w:color w:val="000000"/>
                <w:szCs w:val="20"/>
              </w:rPr>
              <w:t>年排放量</w:t>
            </w:r>
            <w:r>
              <w:rPr>
                <w:rFonts w:cs="宋体"/>
                <w:b/>
                <w:color w:val="000000"/>
                <w:szCs w:val="20"/>
              </w:rPr>
              <w:t>/</w:t>
            </w:r>
            <w:r>
              <w:rPr>
                <w:rFonts w:hint="eastAsia" w:cs="宋体"/>
                <w:b/>
                <w:color w:val="000000"/>
                <w:szCs w:val="20"/>
              </w:rPr>
              <w:t>（</w:t>
            </w:r>
            <w:r>
              <w:rPr>
                <w:rFonts w:cs="宋体"/>
                <w:b/>
                <w:color w:val="000000"/>
                <w:szCs w:val="20"/>
              </w:rPr>
              <w:t>t/a</w:t>
            </w:r>
            <w:r>
              <w:rPr>
                <w:rFonts w:hint="eastAsia" w:cs="宋体"/>
                <w:b/>
                <w:color w:val="000000"/>
                <w:szCs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20" w:type="pct"/>
            <w:vAlign w:val="center"/>
          </w:tcPr>
          <w:p>
            <w:pPr>
              <w:contextualSpacing/>
              <w:jc w:val="center"/>
              <w:textAlignment w:val="baseline"/>
              <w:rPr>
                <w:color w:val="000000"/>
                <w:szCs w:val="21"/>
              </w:rPr>
            </w:pPr>
            <w:r>
              <w:rPr>
                <w:color w:val="000000"/>
                <w:szCs w:val="21"/>
              </w:rPr>
              <w:t>1</w:t>
            </w:r>
          </w:p>
        </w:tc>
        <w:tc>
          <w:tcPr>
            <w:tcW w:w="652" w:type="pct"/>
            <w:vMerge w:val="restart"/>
            <w:vAlign w:val="center"/>
          </w:tcPr>
          <w:p>
            <w:pPr>
              <w:contextualSpacing/>
              <w:jc w:val="center"/>
              <w:textAlignment w:val="baseline"/>
              <w:rPr>
                <w:color w:val="000000"/>
                <w:szCs w:val="21"/>
              </w:rPr>
            </w:pPr>
            <w:r>
              <w:rPr>
                <w:color w:val="000000"/>
                <w:szCs w:val="21"/>
              </w:rPr>
              <w:t>DW001</w:t>
            </w:r>
          </w:p>
        </w:tc>
        <w:tc>
          <w:tcPr>
            <w:tcW w:w="812" w:type="pct"/>
            <w:vAlign w:val="center"/>
          </w:tcPr>
          <w:p>
            <w:pPr>
              <w:contextualSpacing/>
              <w:jc w:val="center"/>
              <w:textAlignment w:val="baseline"/>
              <w:rPr>
                <w:color w:val="000000"/>
                <w:szCs w:val="21"/>
              </w:rPr>
            </w:pPr>
            <w:r>
              <w:rPr>
                <w:color w:val="000000"/>
                <w:spacing w:val="-4"/>
                <w:szCs w:val="21"/>
              </w:rPr>
              <w:t>COD</w:t>
            </w:r>
          </w:p>
        </w:tc>
        <w:tc>
          <w:tcPr>
            <w:tcW w:w="1059" w:type="pct"/>
            <w:vAlign w:val="center"/>
          </w:tcPr>
          <w:p>
            <w:pPr>
              <w:contextualSpacing/>
              <w:jc w:val="center"/>
              <w:textAlignment w:val="baseline"/>
              <w:rPr>
                <w:color w:val="000000"/>
                <w:kern w:val="0"/>
                <w:szCs w:val="21"/>
              </w:rPr>
            </w:pPr>
            <w:r>
              <w:rPr>
                <w:rFonts w:eastAsia="等线"/>
                <w:color w:val="000000"/>
                <w:kern w:val="0"/>
                <w:szCs w:val="21"/>
              </w:rPr>
              <w:t>73.5</w:t>
            </w:r>
          </w:p>
        </w:tc>
        <w:tc>
          <w:tcPr>
            <w:tcW w:w="1139" w:type="pct"/>
            <w:vAlign w:val="center"/>
          </w:tcPr>
          <w:p>
            <w:pPr>
              <w:contextualSpacing/>
              <w:jc w:val="center"/>
              <w:textAlignment w:val="baseline"/>
              <w:rPr>
                <w:rFonts w:eastAsia="等线"/>
                <w:color w:val="000000"/>
                <w:kern w:val="0"/>
                <w:szCs w:val="21"/>
              </w:rPr>
            </w:pPr>
            <w:r>
              <w:rPr>
                <w:rFonts w:hint="eastAsia" w:eastAsia="等线"/>
                <w:color w:val="000000"/>
                <w:kern w:val="0"/>
                <w:szCs w:val="21"/>
              </w:rPr>
              <w:t>1</w:t>
            </w:r>
            <w:r>
              <w:rPr>
                <w:rFonts w:eastAsia="等线"/>
                <w:color w:val="000000"/>
                <w:kern w:val="0"/>
                <w:szCs w:val="21"/>
              </w:rPr>
              <w:t>47</w:t>
            </w:r>
          </w:p>
        </w:tc>
        <w:tc>
          <w:tcPr>
            <w:tcW w:w="1018" w:type="pct"/>
            <w:vAlign w:val="center"/>
          </w:tcPr>
          <w:p>
            <w:pPr>
              <w:contextualSpacing/>
              <w:jc w:val="center"/>
              <w:textAlignment w:val="baseline"/>
              <w:rPr>
                <w:rFonts w:eastAsia="等线"/>
                <w:color w:val="000000"/>
                <w:kern w:val="0"/>
                <w:szCs w:val="21"/>
              </w:rPr>
            </w:pPr>
            <w:r>
              <w:rPr>
                <w:rFonts w:eastAsia="等线"/>
                <w:color w:val="000000"/>
                <w:kern w:val="0"/>
                <w:szCs w:val="21"/>
              </w:rPr>
              <w:t>44.1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20" w:type="pct"/>
            <w:vAlign w:val="center"/>
          </w:tcPr>
          <w:p>
            <w:pPr>
              <w:contextualSpacing/>
              <w:jc w:val="center"/>
              <w:textAlignment w:val="baseline"/>
              <w:rPr>
                <w:color w:val="000000"/>
                <w:szCs w:val="21"/>
              </w:rPr>
            </w:pPr>
            <w:r>
              <w:rPr>
                <w:color w:val="000000"/>
                <w:szCs w:val="21"/>
              </w:rPr>
              <w:t>2</w:t>
            </w:r>
          </w:p>
        </w:tc>
        <w:tc>
          <w:tcPr>
            <w:tcW w:w="652" w:type="pct"/>
            <w:vMerge w:val="continue"/>
            <w:vAlign w:val="center"/>
          </w:tcPr>
          <w:p>
            <w:pPr>
              <w:contextualSpacing/>
              <w:jc w:val="center"/>
              <w:textAlignment w:val="baseline"/>
              <w:rPr>
                <w:color w:val="000000"/>
                <w:szCs w:val="21"/>
              </w:rPr>
            </w:pPr>
          </w:p>
        </w:tc>
        <w:tc>
          <w:tcPr>
            <w:tcW w:w="812" w:type="pct"/>
            <w:vAlign w:val="center"/>
          </w:tcPr>
          <w:p>
            <w:pPr>
              <w:contextualSpacing/>
              <w:jc w:val="center"/>
              <w:textAlignment w:val="baseline"/>
              <w:rPr>
                <w:color w:val="000000"/>
                <w:szCs w:val="21"/>
              </w:rPr>
            </w:pPr>
            <w:r>
              <w:rPr>
                <w:color w:val="000000"/>
                <w:spacing w:val="-4"/>
                <w:szCs w:val="21"/>
              </w:rPr>
              <w:t>NH</w:t>
            </w:r>
            <w:r>
              <w:rPr>
                <w:color w:val="000000"/>
                <w:spacing w:val="-4"/>
                <w:szCs w:val="21"/>
                <w:vertAlign w:val="subscript"/>
              </w:rPr>
              <w:t>3</w:t>
            </w:r>
            <w:r>
              <w:rPr>
                <w:color w:val="000000"/>
                <w:spacing w:val="-4"/>
                <w:szCs w:val="21"/>
              </w:rPr>
              <w:t>-N</w:t>
            </w:r>
          </w:p>
        </w:tc>
        <w:tc>
          <w:tcPr>
            <w:tcW w:w="1059" w:type="pct"/>
            <w:vAlign w:val="center"/>
          </w:tcPr>
          <w:p>
            <w:pPr>
              <w:contextualSpacing/>
              <w:jc w:val="center"/>
              <w:textAlignment w:val="baseline"/>
              <w:rPr>
                <w:color w:val="000000"/>
                <w:kern w:val="0"/>
                <w:szCs w:val="21"/>
              </w:rPr>
            </w:pPr>
            <w:r>
              <w:rPr>
                <w:rFonts w:eastAsia="等线"/>
                <w:color w:val="000000"/>
                <w:kern w:val="0"/>
                <w:szCs w:val="21"/>
              </w:rPr>
              <w:t>19.6</w:t>
            </w:r>
          </w:p>
        </w:tc>
        <w:tc>
          <w:tcPr>
            <w:tcW w:w="1139" w:type="pct"/>
            <w:vAlign w:val="center"/>
          </w:tcPr>
          <w:p>
            <w:pPr>
              <w:contextualSpacing/>
              <w:jc w:val="center"/>
              <w:textAlignment w:val="baseline"/>
              <w:rPr>
                <w:color w:val="000000"/>
                <w:kern w:val="0"/>
                <w:szCs w:val="21"/>
              </w:rPr>
            </w:pPr>
            <w:r>
              <w:rPr>
                <w:rFonts w:hint="eastAsia"/>
                <w:color w:val="000000"/>
                <w:kern w:val="0"/>
                <w:szCs w:val="21"/>
              </w:rPr>
              <w:t>3</w:t>
            </w:r>
            <w:r>
              <w:rPr>
                <w:color w:val="000000"/>
                <w:kern w:val="0"/>
                <w:szCs w:val="21"/>
              </w:rPr>
              <w:t>9.2</w:t>
            </w:r>
          </w:p>
        </w:tc>
        <w:tc>
          <w:tcPr>
            <w:tcW w:w="1018" w:type="pct"/>
            <w:vAlign w:val="center"/>
          </w:tcPr>
          <w:p>
            <w:pPr>
              <w:contextualSpacing/>
              <w:jc w:val="center"/>
              <w:textAlignment w:val="baseline"/>
              <w:rPr>
                <w:color w:val="000000"/>
                <w:kern w:val="0"/>
                <w:szCs w:val="21"/>
              </w:rPr>
            </w:pPr>
            <w:r>
              <w:rPr>
                <w:color w:val="000000"/>
                <w:kern w:val="0"/>
                <w:szCs w:val="21"/>
              </w:rPr>
              <w:t>11.76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20" w:type="pct"/>
            <w:vAlign w:val="center"/>
          </w:tcPr>
          <w:p>
            <w:pPr>
              <w:contextualSpacing/>
              <w:jc w:val="center"/>
              <w:textAlignment w:val="baseline"/>
              <w:rPr>
                <w:color w:val="000000"/>
                <w:szCs w:val="21"/>
              </w:rPr>
            </w:pPr>
            <w:r>
              <w:rPr>
                <w:color w:val="000000"/>
                <w:szCs w:val="21"/>
              </w:rPr>
              <w:t>3</w:t>
            </w:r>
          </w:p>
        </w:tc>
        <w:tc>
          <w:tcPr>
            <w:tcW w:w="652" w:type="pct"/>
            <w:vMerge w:val="continue"/>
            <w:vAlign w:val="center"/>
          </w:tcPr>
          <w:p>
            <w:pPr>
              <w:contextualSpacing/>
              <w:jc w:val="center"/>
              <w:textAlignment w:val="baseline"/>
              <w:rPr>
                <w:color w:val="000000"/>
                <w:szCs w:val="21"/>
              </w:rPr>
            </w:pPr>
          </w:p>
        </w:tc>
        <w:tc>
          <w:tcPr>
            <w:tcW w:w="812" w:type="pct"/>
            <w:vAlign w:val="center"/>
          </w:tcPr>
          <w:p>
            <w:pPr>
              <w:contextualSpacing/>
              <w:jc w:val="center"/>
              <w:textAlignment w:val="baseline"/>
              <w:rPr>
                <w:color w:val="000000"/>
                <w:szCs w:val="21"/>
              </w:rPr>
            </w:pPr>
            <w:r>
              <w:rPr>
                <w:color w:val="000000"/>
                <w:spacing w:val="-4"/>
                <w:szCs w:val="21"/>
              </w:rPr>
              <w:t>TP</w:t>
            </w:r>
          </w:p>
        </w:tc>
        <w:tc>
          <w:tcPr>
            <w:tcW w:w="1059" w:type="pct"/>
            <w:vAlign w:val="center"/>
          </w:tcPr>
          <w:p>
            <w:pPr>
              <w:contextualSpacing/>
              <w:jc w:val="center"/>
              <w:textAlignment w:val="baseline"/>
              <w:rPr>
                <w:color w:val="000000"/>
                <w:kern w:val="0"/>
                <w:szCs w:val="21"/>
              </w:rPr>
            </w:pPr>
            <w:r>
              <w:rPr>
                <w:rFonts w:eastAsia="等线"/>
                <w:color w:val="000000"/>
                <w:kern w:val="0"/>
                <w:szCs w:val="21"/>
              </w:rPr>
              <w:t>0.8</w:t>
            </w:r>
          </w:p>
        </w:tc>
        <w:tc>
          <w:tcPr>
            <w:tcW w:w="1139" w:type="pct"/>
            <w:vAlign w:val="center"/>
          </w:tcPr>
          <w:p>
            <w:pPr>
              <w:contextualSpacing/>
              <w:jc w:val="center"/>
              <w:textAlignment w:val="baseline"/>
              <w:rPr>
                <w:color w:val="000000"/>
                <w:kern w:val="0"/>
                <w:szCs w:val="21"/>
              </w:rPr>
            </w:pPr>
            <w:r>
              <w:rPr>
                <w:rFonts w:hint="eastAsia"/>
                <w:color w:val="000000"/>
                <w:kern w:val="0"/>
                <w:szCs w:val="21"/>
              </w:rPr>
              <w:t>1</w:t>
            </w:r>
            <w:r>
              <w:rPr>
                <w:color w:val="000000"/>
                <w:kern w:val="0"/>
                <w:szCs w:val="21"/>
              </w:rPr>
              <w:t>.6</w:t>
            </w:r>
          </w:p>
        </w:tc>
        <w:tc>
          <w:tcPr>
            <w:tcW w:w="1018" w:type="pct"/>
            <w:vAlign w:val="center"/>
          </w:tcPr>
          <w:p>
            <w:pPr>
              <w:contextualSpacing/>
              <w:jc w:val="center"/>
              <w:textAlignment w:val="baseline"/>
              <w:rPr>
                <w:color w:val="000000"/>
                <w:kern w:val="0"/>
                <w:szCs w:val="21"/>
              </w:rPr>
            </w:pPr>
            <w:r>
              <w:rPr>
                <w:rFonts w:hint="eastAsia"/>
                <w:color w:val="000000"/>
                <w:kern w:val="0"/>
                <w:szCs w:val="21"/>
              </w:rPr>
              <w:t>0</w:t>
            </w:r>
            <w:r>
              <w:rPr>
                <w:color w:val="000000"/>
                <w:kern w:val="0"/>
                <w:szCs w:val="21"/>
              </w:rPr>
              <w:t>.48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20" w:type="pct"/>
            <w:vAlign w:val="center"/>
          </w:tcPr>
          <w:p>
            <w:pPr>
              <w:contextualSpacing/>
              <w:jc w:val="center"/>
              <w:textAlignment w:val="baseline"/>
              <w:rPr>
                <w:color w:val="000000"/>
                <w:szCs w:val="21"/>
              </w:rPr>
            </w:pPr>
            <w:r>
              <w:rPr>
                <w:color w:val="000000"/>
                <w:szCs w:val="21"/>
              </w:rPr>
              <w:t>4</w:t>
            </w:r>
          </w:p>
        </w:tc>
        <w:tc>
          <w:tcPr>
            <w:tcW w:w="652" w:type="pct"/>
            <w:vMerge w:val="continue"/>
            <w:vAlign w:val="center"/>
          </w:tcPr>
          <w:p>
            <w:pPr>
              <w:contextualSpacing/>
              <w:jc w:val="center"/>
              <w:textAlignment w:val="baseline"/>
              <w:rPr>
                <w:color w:val="000000"/>
                <w:szCs w:val="21"/>
              </w:rPr>
            </w:pPr>
          </w:p>
        </w:tc>
        <w:tc>
          <w:tcPr>
            <w:tcW w:w="812" w:type="pct"/>
            <w:vAlign w:val="center"/>
          </w:tcPr>
          <w:p>
            <w:pPr>
              <w:contextualSpacing/>
              <w:jc w:val="center"/>
              <w:textAlignment w:val="baseline"/>
              <w:rPr>
                <w:rFonts w:hAnsi="MS Mincho" w:eastAsia="MS Mincho"/>
                <w:color w:val="000000"/>
                <w:szCs w:val="21"/>
              </w:rPr>
            </w:pPr>
            <w:r>
              <w:rPr>
                <w:color w:val="000000"/>
                <w:spacing w:val="-4"/>
                <w:szCs w:val="21"/>
              </w:rPr>
              <w:t>TN</w:t>
            </w:r>
          </w:p>
        </w:tc>
        <w:tc>
          <w:tcPr>
            <w:tcW w:w="1059" w:type="pct"/>
            <w:vAlign w:val="center"/>
          </w:tcPr>
          <w:p>
            <w:pPr>
              <w:contextualSpacing/>
              <w:jc w:val="center"/>
              <w:textAlignment w:val="baseline"/>
              <w:rPr>
                <w:color w:val="000000"/>
                <w:kern w:val="0"/>
                <w:szCs w:val="21"/>
              </w:rPr>
            </w:pPr>
            <w:r>
              <w:rPr>
                <w:rFonts w:eastAsia="等线"/>
                <w:color w:val="000000"/>
                <w:kern w:val="0"/>
                <w:szCs w:val="21"/>
              </w:rPr>
              <w:t>35.7</w:t>
            </w:r>
          </w:p>
        </w:tc>
        <w:tc>
          <w:tcPr>
            <w:tcW w:w="1139" w:type="pct"/>
            <w:vAlign w:val="center"/>
          </w:tcPr>
          <w:p>
            <w:pPr>
              <w:contextualSpacing/>
              <w:jc w:val="center"/>
              <w:textAlignment w:val="baseline"/>
              <w:rPr>
                <w:color w:val="000000"/>
                <w:kern w:val="0"/>
                <w:szCs w:val="21"/>
              </w:rPr>
            </w:pPr>
            <w:r>
              <w:rPr>
                <w:rFonts w:hint="eastAsia"/>
                <w:color w:val="000000"/>
                <w:kern w:val="0"/>
                <w:szCs w:val="21"/>
              </w:rPr>
              <w:t>7</w:t>
            </w:r>
            <w:r>
              <w:rPr>
                <w:color w:val="000000"/>
                <w:kern w:val="0"/>
                <w:szCs w:val="21"/>
              </w:rPr>
              <w:t>1.4</w:t>
            </w:r>
          </w:p>
        </w:tc>
        <w:tc>
          <w:tcPr>
            <w:tcW w:w="1018" w:type="pct"/>
            <w:vAlign w:val="center"/>
          </w:tcPr>
          <w:p>
            <w:pPr>
              <w:contextualSpacing/>
              <w:jc w:val="center"/>
              <w:textAlignment w:val="baseline"/>
              <w:rPr>
                <w:color w:val="000000"/>
                <w:kern w:val="0"/>
                <w:szCs w:val="21"/>
              </w:rPr>
            </w:pPr>
            <w:r>
              <w:rPr>
                <w:rFonts w:hint="eastAsia"/>
                <w:color w:val="000000"/>
                <w:kern w:val="0"/>
                <w:szCs w:val="21"/>
              </w:rPr>
              <w:t>2</w:t>
            </w:r>
            <w:r>
              <w:rPr>
                <w:color w:val="000000"/>
                <w:kern w:val="0"/>
                <w:szCs w:val="21"/>
              </w:rPr>
              <w:t>1.42</w:t>
            </w:r>
          </w:p>
        </w:tc>
      </w:tr>
    </w:tbl>
    <w:p>
      <w:pPr>
        <w:spacing w:line="520" w:lineRule="exact"/>
        <w:ind w:firstLine="480" w:firstLineChars="200"/>
        <w:rPr>
          <w:sz w:val="24"/>
          <w:szCs w:val="24"/>
        </w:rPr>
      </w:pPr>
      <w:r>
        <w:rPr>
          <w:rFonts w:hint="eastAsia"/>
          <w:sz w:val="24"/>
          <w:szCs w:val="24"/>
        </w:rPr>
        <w:t>（4）废水排放总量</w:t>
      </w:r>
    </w:p>
    <w:p>
      <w:pPr>
        <w:spacing w:line="520" w:lineRule="exact"/>
        <w:ind w:firstLine="480" w:firstLineChars="200"/>
        <w:rPr>
          <w:rFonts w:ascii="宋体" w:hAnsi="黑体" w:eastAsia="黑体" w:cs="Courier New"/>
          <w:color w:val="000000"/>
          <w:sz w:val="24"/>
        </w:rPr>
      </w:pPr>
      <w:r>
        <w:rPr>
          <w:rFonts w:hint="eastAsia"/>
          <w:sz w:val="24"/>
          <w:szCs w:val="24"/>
        </w:rPr>
        <w:t>本项目废水排放量为</w:t>
      </w:r>
      <w:r>
        <w:rPr>
          <w:sz w:val="24"/>
          <w:szCs w:val="24"/>
        </w:rPr>
        <w:t>60</w:t>
      </w:r>
      <w:r>
        <w:rPr>
          <w:rFonts w:hint="eastAsia"/>
          <w:sz w:val="24"/>
          <w:szCs w:val="24"/>
        </w:rPr>
        <w:t>万m</w:t>
      </w:r>
      <w:r>
        <w:rPr>
          <w:sz w:val="24"/>
          <w:szCs w:val="24"/>
          <w:vertAlign w:val="superscript"/>
        </w:rPr>
        <w:t>3</w:t>
      </w:r>
      <w:r>
        <w:rPr>
          <w:sz w:val="24"/>
          <w:szCs w:val="24"/>
        </w:rPr>
        <w:t>/a</w:t>
      </w:r>
      <w:r>
        <w:rPr>
          <w:rFonts w:hint="eastAsia"/>
          <w:sz w:val="24"/>
          <w:szCs w:val="24"/>
        </w:rPr>
        <w:t>，根据本项目废水产生量以及总排口、原阳县产业集聚区污水处理厂的出水水质，可以计算出本项目废水污染物的产生及排放情况，见下表。</w:t>
      </w:r>
    </w:p>
    <w:p>
      <w:pPr>
        <w:spacing w:before="156" w:beforeLines="50"/>
        <w:ind w:firstLine="480" w:firstLineChars="200"/>
        <w:rPr>
          <w:rFonts w:hAnsi="黑体" w:eastAsia="黑体"/>
          <w:color w:val="000000"/>
          <w:sz w:val="24"/>
        </w:rPr>
      </w:pPr>
      <w:r>
        <w:rPr>
          <w:rFonts w:hAnsi="黑体" w:eastAsia="黑体"/>
          <w:color w:val="000000"/>
          <w:sz w:val="24"/>
        </w:rPr>
        <w:t xml:space="preserve">表3.1-21          </w:t>
      </w:r>
      <w:r>
        <w:rPr>
          <w:rFonts w:hint="eastAsia" w:hAnsi="黑体" w:eastAsia="黑体"/>
          <w:bCs/>
          <w:color w:val="000000"/>
          <w:sz w:val="24"/>
        </w:rPr>
        <w:t>本项目水</w:t>
      </w:r>
      <w:r>
        <w:rPr>
          <w:rFonts w:hAnsi="黑体" w:eastAsia="黑体"/>
          <w:bCs/>
          <w:color w:val="000000"/>
          <w:sz w:val="24"/>
        </w:rPr>
        <w:t>污染物产生及排放情况一览表</w:t>
      </w:r>
    </w:p>
    <w:tbl>
      <w:tblPr>
        <w:tblStyle w:val="815"/>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62"/>
        <w:gridCol w:w="1002"/>
        <w:gridCol w:w="1001"/>
        <w:gridCol w:w="1001"/>
        <w:gridCol w:w="1001"/>
        <w:gridCol w:w="1002"/>
        <w:gridCol w:w="1144"/>
        <w:gridCol w:w="1144"/>
        <w:gridCol w:w="9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vMerge w:val="restart"/>
            <w:vAlign w:val="center"/>
          </w:tcPr>
          <w:p>
            <w:pPr>
              <w:jc w:val="center"/>
              <w:rPr>
                <w:b/>
                <w:bCs/>
                <w:szCs w:val="21"/>
              </w:rPr>
            </w:pPr>
            <w:r>
              <w:rPr>
                <w:b/>
                <w:bCs/>
                <w:szCs w:val="21"/>
              </w:rPr>
              <w:t>废水量</w:t>
            </w:r>
          </w:p>
        </w:tc>
        <w:tc>
          <w:tcPr>
            <w:tcW w:w="993" w:type="dxa"/>
            <w:vMerge w:val="restart"/>
            <w:vAlign w:val="center"/>
          </w:tcPr>
          <w:p>
            <w:pPr>
              <w:jc w:val="center"/>
              <w:rPr>
                <w:b/>
                <w:bCs/>
                <w:szCs w:val="21"/>
              </w:rPr>
            </w:pPr>
            <w:r>
              <w:rPr>
                <w:b/>
                <w:bCs/>
                <w:szCs w:val="21"/>
              </w:rPr>
              <w:t>污染物</w:t>
            </w:r>
          </w:p>
        </w:tc>
        <w:tc>
          <w:tcPr>
            <w:tcW w:w="1984" w:type="dxa"/>
            <w:gridSpan w:val="2"/>
            <w:vAlign w:val="center"/>
          </w:tcPr>
          <w:p>
            <w:pPr>
              <w:jc w:val="center"/>
              <w:rPr>
                <w:b/>
                <w:bCs/>
                <w:szCs w:val="21"/>
              </w:rPr>
            </w:pPr>
            <w:r>
              <w:rPr>
                <w:b/>
                <w:bCs/>
                <w:szCs w:val="21"/>
              </w:rPr>
              <w:t>进水</w:t>
            </w:r>
          </w:p>
        </w:tc>
        <w:tc>
          <w:tcPr>
            <w:tcW w:w="1985" w:type="dxa"/>
            <w:gridSpan w:val="2"/>
            <w:vAlign w:val="center"/>
          </w:tcPr>
          <w:p>
            <w:pPr>
              <w:jc w:val="center"/>
              <w:rPr>
                <w:b/>
                <w:bCs/>
                <w:szCs w:val="21"/>
              </w:rPr>
            </w:pPr>
            <w:r>
              <w:rPr>
                <w:b/>
                <w:bCs/>
                <w:szCs w:val="21"/>
              </w:rPr>
              <w:t>出水</w:t>
            </w:r>
          </w:p>
        </w:tc>
        <w:tc>
          <w:tcPr>
            <w:tcW w:w="2268" w:type="dxa"/>
            <w:gridSpan w:val="2"/>
            <w:vAlign w:val="center"/>
          </w:tcPr>
          <w:p>
            <w:pPr>
              <w:jc w:val="center"/>
              <w:rPr>
                <w:b/>
                <w:bCs/>
                <w:szCs w:val="21"/>
              </w:rPr>
            </w:pPr>
            <w:r>
              <w:rPr>
                <w:rFonts w:hint="eastAsia"/>
                <w:b/>
                <w:bCs/>
                <w:szCs w:val="21"/>
              </w:rPr>
              <w:t>污水处理厂出水</w:t>
            </w:r>
          </w:p>
        </w:tc>
        <w:tc>
          <w:tcPr>
            <w:tcW w:w="923" w:type="dxa"/>
            <w:vMerge w:val="restart"/>
            <w:vAlign w:val="center"/>
          </w:tcPr>
          <w:p>
            <w:pPr>
              <w:jc w:val="center"/>
              <w:rPr>
                <w:b/>
                <w:bCs/>
                <w:szCs w:val="21"/>
              </w:rPr>
            </w:pPr>
            <w:r>
              <w:rPr>
                <w:b/>
                <w:bCs/>
                <w:szCs w:val="21"/>
              </w:rPr>
              <w:t>削减量</w:t>
            </w:r>
          </w:p>
          <w:p>
            <w:pPr>
              <w:jc w:val="center"/>
              <w:rPr>
                <w:b/>
                <w:bCs/>
                <w:szCs w:val="21"/>
              </w:rPr>
            </w:pPr>
            <w:r>
              <w:rPr>
                <w:b/>
                <w:bCs/>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vMerge w:val="continue"/>
            <w:vAlign w:val="center"/>
          </w:tcPr>
          <w:p>
            <w:pPr>
              <w:jc w:val="center"/>
              <w:rPr>
                <w:szCs w:val="21"/>
              </w:rPr>
            </w:pPr>
          </w:p>
        </w:tc>
        <w:tc>
          <w:tcPr>
            <w:tcW w:w="993" w:type="dxa"/>
            <w:vMerge w:val="continue"/>
            <w:vAlign w:val="center"/>
          </w:tcPr>
          <w:p>
            <w:pPr>
              <w:jc w:val="center"/>
              <w:rPr>
                <w:szCs w:val="21"/>
              </w:rPr>
            </w:pPr>
          </w:p>
        </w:tc>
        <w:tc>
          <w:tcPr>
            <w:tcW w:w="992" w:type="dxa"/>
            <w:vAlign w:val="center"/>
          </w:tcPr>
          <w:p>
            <w:pPr>
              <w:jc w:val="center"/>
              <w:rPr>
                <w:b/>
                <w:bCs/>
                <w:szCs w:val="21"/>
              </w:rPr>
            </w:pPr>
            <w:r>
              <w:rPr>
                <w:b/>
                <w:bCs/>
                <w:szCs w:val="21"/>
              </w:rPr>
              <w:t>浓度（mg/L）</w:t>
            </w:r>
          </w:p>
        </w:tc>
        <w:tc>
          <w:tcPr>
            <w:tcW w:w="992" w:type="dxa"/>
            <w:vAlign w:val="center"/>
          </w:tcPr>
          <w:p>
            <w:pPr>
              <w:jc w:val="center"/>
              <w:rPr>
                <w:b/>
                <w:bCs/>
                <w:szCs w:val="21"/>
              </w:rPr>
            </w:pPr>
            <w:r>
              <w:rPr>
                <w:b/>
                <w:bCs/>
                <w:szCs w:val="21"/>
              </w:rPr>
              <w:t>产生量（t/a）</w:t>
            </w:r>
          </w:p>
        </w:tc>
        <w:tc>
          <w:tcPr>
            <w:tcW w:w="992" w:type="dxa"/>
            <w:vAlign w:val="center"/>
          </w:tcPr>
          <w:p>
            <w:pPr>
              <w:jc w:val="center"/>
              <w:rPr>
                <w:b/>
                <w:bCs/>
                <w:szCs w:val="21"/>
              </w:rPr>
            </w:pPr>
            <w:r>
              <w:rPr>
                <w:b/>
                <w:bCs/>
                <w:szCs w:val="21"/>
              </w:rPr>
              <w:t>浓度（mg/L）</w:t>
            </w:r>
          </w:p>
        </w:tc>
        <w:tc>
          <w:tcPr>
            <w:tcW w:w="993" w:type="dxa"/>
            <w:vAlign w:val="center"/>
          </w:tcPr>
          <w:p>
            <w:pPr>
              <w:jc w:val="center"/>
              <w:rPr>
                <w:b/>
                <w:bCs/>
                <w:szCs w:val="21"/>
              </w:rPr>
            </w:pPr>
            <w:r>
              <w:rPr>
                <w:b/>
                <w:bCs/>
                <w:szCs w:val="21"/>
              </w:rPr>
              <w:t>排放量（t/a）</w:t>
            </w:r>
          </w:p>
        </w:tc>
        <w:tc>
          <w:tcPr>
            <w:tcW w:w="1134" w:type="dxa"/>
            <w:vAlign w:val="center"/>
          </w:tcPr>
          <w:p>
            <w:pPr>
              <w:jc w:val="center"/>
              <w:rPr>
                <w:szCs w:val="21"/>
              </w:rPr>
            </w:pPr>
            <w:r>
              <w:rPr>
                <w:b/>
                <w:bCs/>
                <w:szCs w:val="21"/>
              </w:rPr>
              <w:t>浓度（mg/L）</w:t>
            </w:r>
          </w:p>
        </w:tc>
        <w:tc>
          <w:tcPr>
            <w:tcW w:w="1134" w:type="dxa"/>
            <w:vAlign w:val="center"/>
          </w:tcPr>
          <w:p>
            <w:pPr>
              <w:jc w:val="center"/>
              <w:rPr>
                <w:szCs w:val="21"/>
              </w:rPr>
            </w:pPr>
            <w:r>
              <w:rPr>
                <w:b/>
                <w:bCs/>
                <w:szCs w:val="21"/>
              </w:rPr>
              <w:t>排放量（t/a）</w:t>
            </w:r>
          </w:p>
        </w:tc>
        <w:tc>
          <w:tcPr>
            <w:tcW w:w="923" w:type="dxa"/>
            <w:vMerge w:val="continue"/>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vMerge w:val="restart"/>
            <w:vAlign w:val="center"/>
          </w:tcPr>
          <w:p>
            <w:pPr>
              <w:jc w:val="center"/>
              <w:rPr>
                <w:szCs w:val="21"/>
              </w:rPr>
            </w:pPr>
            <w:r>
              <w:rPr>
                <w:szCs w:val="21"/>
              </w:rPr>
              <w:t>60万m</w:t>
            </w:r>
            <w:r>
              <w:rPr>
                <w:szCs w:val="21"/>
                <w:vertAlign w:val="superscript"/>
              </w:rPr>
              <w:t>3</w:t>
            </w:r>
            <w:r>
              <w:rPr>
                <w:szCs w:val="21"/>
              </w:rPr>
              <w:t>/a</w:t>
            </w:r>
          </w:p>
        </w:tc>
        <w:tc>
          <w:tcPr>
            <w:tcW w:w="993" w:type="dxa"/>
            <w:vAlign w:val="center"/>
          </w:tcPr>
          <w:p>
            <w:pPr>
              <w:jc w:val="center"/>
              <w:rPr>
                <w:szCs w:val="21"/>
              </w:rPr>
            </w:pPr>
            <w:r>
              <w:rPr>
                <w:szCs w:val="21"/>
              </w:rPr>
              <w:t>COD</w:t>
            </w:r>
          </w:p>
        </w:tc>
        <w:tc>
          <w:tcPr>
            <w:tcW w:w="992" w:type="dxa"/>
            <w:vAlign w:val="center"/>
          </w:tcPr>
          <w:p>
            <w:pPr>
              <w:jc w:val="center"/>
              <w:rPr>
                <w:szCs w:val="21"/>
              </w:rPr>
            </w:pPr>
            <w:r>
              <w:rPr>
                <w:rFonts w:hint="eastAsia"/>
                <w:szCs w:val="21"/>
              </w:rPr>
              <w:t>3</w:t>
            </w:r>
            <w:r>
              <w:rPr>
                <w:szCs w:val="21"/>
              </w:rPr>
              <w:t>000</w:t>
            </w:r>
          </w:p>
        </w:tc>
        <w:tc>
          <w:tcPr>
            <w:tcW w:w="992" w:type="dxa"/>
            <w:vAlign w:val="center"/>
          </w:tcPr>
          <w:p>
            <w:pPr>
              <w:widowControl/>
              <w:jc w:val="center"/>
              <w:textAlignment w:val="bottom"/>
              <w:rPr>
                <w:szCs w:val="21"/>
              </w:rPr>
            </w:pPr>
            <w:r>
              <w:rPr>
                <w:rFonts w:eastAsia="等线"/>
                <w:color w:val="000000"/>
                <w:szCs w:val="21"/>
              </w:rPr>
              <w:t>1800</w:t>
            </w:r>
          </w:p>
        </w:tc>
        <w:tc>
          <w:tcPr>
            <w:tcW w:w="992" w:type="dxa"/>
            <w:vAlign w:val="center"/>
          </w:tcPr>
          <w:p>
            <w:pPr>
              <w:widowControl/>
              <w:jc w:val="center"/>
              <w:textAlignment w:val="center"/>
              <w:rPr>
                <w:szCs w:val="21"/>
              </w:rPr>
            </w:pPr>
            <w:r>
              <w:rPr>
                <w:szCs w:val="21"/>
              </w:rPr>
              <w:t>73.5</w:t>
            </w:r>
          </w:p>
        </w:tc>
        <w:tc>
          <w:tcPr>
            <w:tcW w:w="993" w:type="dxa"/>
            <w:vAlign w:val="center"/>
          </w:tcPr>
          <w:p>
            <w:pPr>
              <w:jc w:val="center"/>
              <w:rPr>
                <w:color w:val="000000"/>
                <w:szCs w:val="21"/>
              </w:rPr>
            </w:pPr>
            <w:r>
              <w:rPr>
                <w:rFonts w:eastAsia="等线"/>
                <w:color w:val="000000"/>
                <w:szCs w:val="21"/>
              </w:rPr>
              <w:t>44.1</w:t>
            </w:r>
          </w:p>
        </w:tc>
        <w:tc>
          <w:tcPr>
            <w:tcW w:w="1134" w:type="dxa"/>
            <w:vAlign w:val="center"/>
          </w:tcPr>
          <w:p>
            <w:pPr>
              <w:jc w:val="center"/>
              <w:rPr>
                <w:color w:val="000000"/>
                <w:szCs w:val="21"/>
              </w:rPr>
            </w:pPr>
            <w:r>
              <w:rPr>
                <w:rFonts w:hint="eastAsia"/>
                <w:color w:val="000000"/>
                <w:szCs w:val="21"/>
              </w:rPr>
              <w:t>4</w:t>
            </w:r>
            <w:r>
              <w:rPr>
                <w:color w:val="000000"/>
                <w:szCs w:val="21"/>
              </w:rPr>
              <w:t>0</w:t>
            </w:r>
          </w:p>
        </w:tc>
        <w:tc>
          <w:tcPr>
            <w:tcW w:w="1134" w:type="dxa"/>
            <w:vAlign w:val="center"/>
          </w:tcPr>
          <w:p>
            <w:pPr>
              <w:jc w:val="center"/>
              <w:rPr>
                <w:color w:val="000000"/>
                <w:szCs w:val="21"/>
              </w:rPr>
            </w:pPr>
            <w:r>
              <w:rPr>
                <w:color w:val="000000"/>
                <w:szCs w:val="21"/>
              </w:rPr>
              <w:t>24</w:t>
            </w:r>
          </w:p>
        </w:tc>
        <w:tc>
          <w:tcPr>
            <w:tcW w:w="923" w:type="dxa"/>
            <w:vAlign w:val="center"/>
          </w:tcPr>
          <w:p>
            <w:pPr>
              <w:jc w:val="center"/>
              <w:rPr>
                <w:color w:val="000000"/>
                <w:szCs w:val="21"/>
              </w:rPr>
            </w:pPr>
            <w:r>
              <w:rPr>
                <w:rFonts w:hint="eastAsia"/>
                <w:color w:val="000000"/>
                <w:szCs w:val="21"/>
              </w:rPr>
              <w:t>1</w:t>
            </w:r>
            <w:r>
              <w:rPr>
                <w:color w:val="000000"/>
                <w:szCs w:val="21"/>
              </w:rPr>
              <w:t>755.9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vMerge w:val="continue"/>
            <w:vAlign w:val="center"/>
          </w:tcPr>
          <w:p>
            <w:pPr>
              <w:jc w:val="center"/>
              <w:rPr>
                <w:szCs w:val="21"/>
              </w:rPr>
            </w:pPr>
          </w:p>
        </w:tc>
        <w:tc>
          <w:tcPr>
            <w:tcW w:w="993" w:type="dxa"/>
            <w:vAlign w:val="center"/>
          </w:tcPr>
          <w:p>
            <w:pPr>
              <w:jc w:val="center"/>
              <w:textAlignment w:val="center"/>
              <w:rPr>
                <w:szCs w:val="21"/>
              </w:rPr>
            </w:pPr>
            <w:r>
              <w:rPr>
                <w:szCs w:val="21"/>
              </w:rPr>
              <w:t>BOD</w:t>
            </w:r>
            <w:r>
              <w:rPr>
                <w:szCs w:val="21"/>
                <w:vertAlign w:val="subscript"/>
              </w:rPr>
              <w:t>5</w:t>
            </w:r>
          </w:p>
        </w:tc>
        <w:tc>
          <w:tcPr>
            <w:tcW w:w="992" w:type="dxa"/>
            <w:vAlign w:val="center"/>
          </w:tcPr>
          <w:p>
            <w:pPr>
              <w:jc w:val="center"/>
              <w:textAlignment w:val="center"/>
              <w:rPr>
                <w:szCs w:val="21"/>
              </w:rPr>
            </w:pPr>
            <w:r>
              <w:rPr>
                <w:rFonts w:hint="eastAsia"/>
                <w:szCs w:val="21"/>
              </w:rPr>
              <w:t>1</w:t>
            </w:r>
            <w:r>
              <w:rPr>
                <w:szCs w:val="21"/>
              </w:rPr>
              <w:t>200</w:t>
            </w:r>
          </w:p>
        </w:tc>
        <w:tc>
          <w:tcPr>
            <w:tcW w:w="992" w:type="dxa"/>
            <w:vAlign w:val="center"/>
          </w:tcPr>
          <w:p>
            <w:pPr>
              <w:widowControl/>
              <w:jc w:val="center"/>
              <w:textAlignment w:val="bottom"/>
              <w:rPr>
                <w:szCs w:val="21"/>
              </w:rPr>
            </w:pPr>
            <w:r>
              <w:rPr>
                <w:szCs w:val="21"/>
              </w:rPr>
              <w:t>720</w:t>
            </w:r>
          </w:p>
        </w:tc>
        <w:tc>
          <w:tcPr>
            <w:tcW w:w="992" w:type="dxa"/>
            <w:vAlign w:val="center"/>
          </w:tcPr>
          <w:p>
            <w:pPr>
              <w:widowControl/>
              <w:jc w:val="center"/>
              <w:textAlignment w:val="center"/>
              <w:rPr>
                <w:szCs w:val="21"/>
              </w:rPr>
            </w:pPr>
            <w:r>
              <w:rPr>
                <w:szCs w:val="21"/>
              </w:rPr>
              <w:t>17.6</w:t>
            </w:r>
          </w:p>
        </w:tc>
        <w:tc>
          <w:tcPr>
            <w:tcW w:w="993" w:type="dxa"/>
            <w:vAlign w:val="center"/>
          </w:tcPr>
          <w:p>
            <w:pPr>
              <w:jc w:val="center"/>
              <w:rPr>
                <w:color w:val="000000"/>
                <w:szCs w:val="21"/>
              </w:rPr>
            </w:pPr>
            <w:r>
              <w:rPr>
                <w:rFonts w:eastAsia="等线"/>
                <w:color w:val="000000"/>
                <w:szCs w:val="21"/>
              </w:rPr>
              <w:t>10.56</w:t>
            </w:r>
          </w:p>
        </w:tc>
        <w:tc>
          <w:tcPr>
            <w:tcW w:w="1134" w:type="dxa"/>
            <w:vAlign w:val="center"/>
          </w:tcPr>
          <w:p>
            <w:pPr>
              <w:jc w:val="center"/>
              <w:rPr>
                <w:color w:val="000000"/>
                <w:szCs w:val="21"/>
              </w:rPr>
            </w:pPr>
            <w:r>
              <w:rPr>
                <w:rFonts w:hint="eastAsia"/>
                <w:color w:val="000000"/>
                <w:szCs w:val="21"/>
              </w:rPr>
              <w:t>1</w:t>
            </w:r>
            <w:r>
              <w:rPr>
                <w:color w:val="000000"/>
                <w:szCs w:val="21"/>
              </w:rPr>
              <w:t>0</w:t>
            </w:r>
          </w:p>
        </w:tc>
        <w:tc>
          <w:tcPr>
            <w:tcW w:w="1134" w:type="dxa"/>
            <w:vAlign w:val="center"/>
          </w:tcPr>
          <w:p>
            <w:pPr>
              <w:jc w:val="center"/>
              <w:rPr>
                <w:color w:val="000000"/>
                <w:szCs w:val="21"/>
              </w:rPr>
            </w:pPr>
            <w:r>
              <w:rPr>
                <w:color w:val="000000"/>
                <w:szCs w:val="21"/>
              </w:rPr>
              <w:t>6</w:t>
            </w:r>
          </w:p>
        </w:tc>
        <w:tc>
          <w:tcPr>
            <w:tcW w:w="923" w:type="dxa"/>
            <w:vAlign w:val="center"/>
          </w:tcPr>
          <w:p>
            <w:pPr>
              <w:jc w:val="center"/>
              <w:rPr>
                <w:color w:val="000000"/>
                <w:szCs w:val="21"/>
              </w:rPr>
            </w:pPr>
            <w:r>
              <w:rPr>
                <w:rFonts w:hint="eastAsia"/>
                <w:color w:val="000000"/>
                <w:szCs w:val="21"/>
              </w:rPr>
              <w:t>7</w:t>
            </w:r>
            <w:r>
              <w:rPr>
                <w:color w:val="000000"/>
                <w:szCs w:val="21"/>
              </w:rPr>
              <w:t>09.44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vMerge w:val="continue"/>
            <w:vAlign w:val="center"/>
          </w:tcPr>
          <w:p>
            <w:pPr>
              <w:jc w:val="center"/>
              <w:rPr>
                <w:szCs w:val="21"/>
              </w:rPr>
            </w:pPr>
          </w:p>
        </w:tc>
        <w:tc>
          <w:tcPr>
            <w:tcW w:w="993" w:type="dxa"/>
            <w:vAlign w:val="center"/>
          </w:tcPr>
          <w:p>
            <w:pPr>
              <w:jc w:val="center"/>
              <w:textAlignment w:val="center"/>
              <w:rPr>
                <w:szCs w:val="21"/>
              </w:rPr>
            </w:pPr>
            <w:r>
              <w:rPr>
                <w:szCs w:val="21"/>
              </w:rPr>
              <w:t>SS</w:t>
            </w:r>
          </w:p>
        </w:tc>
        <w:tc>
          <w:tcPr>
            <w:tcW w:w="992" w:type="dxa"/>
            <w:vAlign w:val="center"/>
          </w:tcPr>
          <w:p>
            <w:pPr>
              <w:jc w:val="center"/>
              <w:textAlignment w:val="center"/>
              <w:rPr>
                <w:kern w:val="0"/>
                <w:szCs w:val="21"/>
                <w:lang w:bidi="ar"/>
              </w:rPr>
            </w:pPr>
            <w:r>
              <w:rPr>
                <w:rFonts w:hint="eastAsia"/>
                <w:kern w:val="0"/>
                <w:szCs w:val="21"/>
                <w:lang w:bidi="ar"/>
              </w:rPr>
              <w:t>1</w:t>
            </w:r>
            <w:r>
              <w:rPr>
                <w:kern w:val="0"/>
                <w:szCs w:val="21"/>
                <w:lang w:bidi="ar"/>
              </w:rPr>
              <w:t>500</w:t>
            </w:r>
          </w:p>
        </w:tc>
        <w:tc>
          <w:tcPr>
            <w:tcW w:w="992" w:type="dxa"/>
            <w:vAlign w:val="center"/>
          </w:tcPr>
          <w:p>
            <w:pPr>
              <w:widowControl/>
              <w:jc w:val="center"/>
              <w:textAlignment w:val="bottom"/>
              <w:rPr>
                <w:kern w:val="0"/>
                <w:szCs w:val="21"/>
                <w:lang w:bidi="ar"/>
              </w:rPr>
            </w:pPr>
            <w:r>
              <w:rPr>
                <w:kern w:val="0"/>
                <w:szCs w:val="21"/>
                <w:lang w:bidi="ar"/>
              </w:rPr>
              <w:t>900</w:t>
            </w:r>
          </w:p>
        </w:tc>
        <w:tc>
          <w:tcPr>
            <w:tcW w:w="992" w:type="dxa"/>
            <w:vAlign w:val="center"/>
          </w:tcPr>
          <w:p>
            <w:pPr>
              <w:jc w:val="center"/>
              <w:textAlignment w:val="center"/>
              <w:rPr>
                <w:kern w:val="0"/>
                <w:szCs w:val="21"/>
                <w:lang w:bidi="ar"/>
              </w:rPr>
            </w:pPr>
            <w:r>
              <w:rPr>
                <w:kern w:val="0"/>
                <w:szCs w:val="21"/>
                <w:lang w:bidi="ar"/>
              </w:rPr>
              <w:t>14.4</w:t>
            </w:r>
          </w:p>
        </w:tc>
        <w:tc>
          <w:tcPr>
            <w:tcW w:w="993" w:type="dxa"/>
            <w:vAlign w:val="center"/>
          </w:tcPr>
          <w:p>
            <w:pPr>
              <w:jc w:val="center"/>
              <w:rPr>
                <w:kern w:val="0"/>
                <w:szCs w:val="21"/>
                <w:lang w:bidi="ar"/>
              </w:rPr>
            </w:pPr>
            <w:r>
              <w:rPr>
                <w:rFonts w:eastAsia="等线"/>
                <w:color w:val="000000"/>
                <w:szCs w:val="21"/>
              </w:rPr>
              <w:t>8.64</w:t>
            </w:r>
          </w:p>
        </w:tc>
        <w:tc>
          <w:tcPr>
            <w:tcW w:w="1134" w:type="dxa"/>
            <w:vAlign w:val="center"/>
          </w:tcPr>
          <w:p>
            <w:pPr>
              <w:jc w:val="center"/>
              <w:rPr>
                <w:color w:val="000000"/>
                <w:szCs w:val="21"/>
              </w:rPr>
            </w:pPr>
            <w:r>
              <w:rPr>
                <w:rFonts w:hint="eastAsia"/>
                <w:color w:val="000000"/>
                <w:szCs w:val="21"/>
              </w:rPr>
              <w:t>1</w:t>
            </w:r>
            <w:r>
              <w:rPr>
                <w:color w:val="000000"/>
                <w:szCs w:val="21"/>
              </w:rPr>
              <w:t>0</w:t>
            </w:r>
          </w:p>
        </w:tc>
        <w:tc>
          <w:tcPr>
            <w:tcW w:w="1134" w:type="dxa"/>
            <w:vAlign w:val="center"/>
          </w:tcPr>
          <w:p>
            <w:pPr>
              <w:jc w:val="center"/>
              <w:rPr>
                <w:color w:val="000000"/>
                <w:szCs w:val="21"/>
              </w:rPr>
            </w:pPr>
            <w:r>
              <w:rPr>
                <w:color w:val="000000"/>
                <w:szCs w:val="21"/>
              </w:rPr>
              <w:t>6</w:t>
            </w:r>
          </w:p>
        </w:tc>
        <w:tc>
          <w:tcPr>
            <w:tcW w:w="923" w:type="dxa"/>
            <w:vAlign w:val="center"/>
          </w:tcPr>
          <w:p>
            <w:pPr>
              <w:jc w:val="center"/>
              <w:rPr>
                <w:color w:val="000000"/>
                <w:szCs w:val="21"/>
              </w:rPr>
            </w:pPr>
            <w:r>
              <w:rPr>
                <w:rFonts w:hint="eastAsia"/>
                <w:color w:val="000000"/>
                <w:szCs w:val="21"/>
              </w:rPr>
              <w:t>8</w:t>
            </w:r>
            <w:r>
              <w:rPr>
                <w:color w:val="000000"/>
                <w:szCs w:val="21"/>
              </w:rPr>
              <w:t>91.36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vMerge w:val="continue"/>
            <w:vAlign w:val="center"/>
          </w:tcPr>
          <w:p>
            <w:pPr>
              <w:jc w:val="center"/>
              <w:rPr>
                <w:szCs w:val="21"/>
              </w:rPr>
            </w:pPr>
          </w:p>
        </w:tc>
        <w:tc>
          <w:tcPr>
            <w:tcW w:w="993" w:type="dxa"/>
            <w:vAlign w:val="center"/>
          </w:tcPr>
          <w:p>
            <w:pPr>
              <w:jc w:val="center"/>
              <w:textAlignment w:val="center"/>
              <w:rPr>
                <w:szCs w:val="21"/>
              </w:rPr>
            </w:pPr>
            <w:r>
              <w:rPr>
                <w:szCs w:val="21"/>
              </w:rPr>
              <w:t>氨氮</w:t>
            </w:r>
          </w:p>
        </w:tc>
        <w:tc>
          <w:tcPr>
            <w:tcW w:w="992" w:type="dxa"/>
            <w:vAlign w:val="center"/>
          </w:tcPr>
          <w:p>
            <w:pPr>
              <w:jc w:val="center"/>
              <w:textAlignment w:val="center"/>
              <w:rPr>
                <w:kern w:val="0"/>
                <w:szCs w:val="21"/>
                <w:lang w:bidi="ar"/>
              </w:rPr>
            </w:pPr>
            <w:r>
              <w:rPr>
                <w:rFonts w:hint="eastAsia"/>
                <w:kern w:val="0"/>
                <w:szCs w:val="21"/>
                <w:lang w:bidi="ar"/>
              </w:rPr>
              <w:t>1</w:t>
            </w:r>
            <w:r>
              <w:rPr>
                <w:kern w:val="0"/>
                <w:szCs w:val="21"/>
                <w:lang w:bidi="ar"/>
              </w:rPr>
              <w:t>00</w:t>
            </w:r>
          </w:p>
        </w:tc>
        <w:tc>
          <w:tcPr>
            <w:tcW w:w="992" w:type="dxa"/>
            <w:vAlign w:val="center"/>
          </w:tcPr>
          <w:p>
            <w:pPr>
              <w:widowControl/>
              <w:jc w:val="center"/>
              <w:textAlignment w:val="bottom"/>
              <w:rPr>
                <w:kern w:val="0"/>
                <w:szCs w:val="21"/>
                <w:lang w:bidi="ar"/>
              </w:rPr>
            </w:pPr>
            <w:r>
              <w:rPr>
                <w:kern w:val="0"/>
                <w:szCs w:val="21"/>
                <w:lang w:bidi="ar"/>
              </w:rPr>
              <w:t>60</w:t>
            </w:r>
          </w:p>
        </w:tc>
        <w:tc>
          <w:tcPr>
            <w:tcW w:w="992" w:type="dxa"/>
            <w:vAlign w:val="center"/>
          </w:tcPr>
          <w:p>
            <w:pPr>
              <w:jc w:val="center"/>
              <w:textAlignment w:val="center"/>
              <w:rPr>
                <w:kern w:val="0"/>
                <w:szCs w:val="21"/>
                <w:lang w:bidi="ar"/>
              </w:rPr>
            </w:pPr>
            <w:r>
              <w:rPr>
                <w:kern w:val="0"/>
                <w:szCs w:val="21"/>
                <w:lang w:bidi="ar"/>
              </w:rPr>
              <w:t>19.6</w:t>
            </w:r>
          </w:p>
        </w:tc>
        <w:tc>
          <w:tcPr>
            <w:tcW w:w="993" w:type="dxa"/>
            <w:vAlign w:val="center"/>
          </w:tcPr>
          <w:p>
            <w:pPr>
              <w:jc w:val="center"/>
              <w:rPr>
                <w:kern w:val="0"/>
                <w:szCs w:val="21"/>
                <w:lang w:bidi="ar"/>
              </w:rPr>
            </w:pPr>
            <w:r>
              <w:rPr>
                <w:rFonts w:eastAsia="等线"/>
                <w:color w:val="000000"/>
                <w:szCs w:val="21"/>
              </w:rPr>
              <w:t>11.76</w:t>
            </w:r>
          </w:p>
        </w:tc>
        <w:tc>
          <w:tcPr>
            <w:tcW w:w="1134" w:type="dxa"/>
            <w:vAlign w:val="center"/>
          </w:tcPr>
          <w:p>
            <w:pPr>
              <w:jc w:val="center"/>
              <w:rPr>
                <w:color w:val="000000"/>
                <w:szCs w:val="21"/>
              </w:rPr>
            </w:pPr>
            <w:r>
              <w:rPr>
                <w:rFonts w:hint="eastAsia"/>
                <w:color w:val="000000"/>
                <w:szCs w:val="21"/>
              </w:rPr>
              <w:t>2</w:t>
            </w:r>
          </w:p>
        </w:tc>
        <w:tc>
          <w:tcPr>
            <w:tcW w:w="1134" w:type="dxa"/>
            <w:vAlign w:val="center"/>
          </w:tcPr>
          <w:p>
            <w:pPr>
              <w:jc w:val="center"/>
              <w:rPr>
                <w:color w:val="000000"/>
                <w:szCs w:val="21"/>
              </w:rPr>
            </w:pPr>
            <w:r>
              <w:rPr>
                <w:rFonts w:hint="eastAsia"/>
                <w:color w:val="000000"/>
                <w:szCs w:val="21"/>
              </w:rPr>
              <w:t>1</w:t>
            </w:r>
            <w:r>
              <w:rPr>
                <w:color w:val="000000"/>
                <w:szCs w:val="21"/>
              </w:rPr>
              <w:t>.2</w:t>
            </w:r>
          </w:p>
        </w:tc>
        <w:tc>
          <w:tcPr>
            <w:tcW w:w="923" w:type="dxa"/>
            <w:vAlign w:val="center"/>
          </w:tcPr>
          <w:p>
            <w:pPr>
              <w:jc w:val="center"/>
              <w:rPr>
                <w:color w:val="000000"/>
                <w:szCs w:val="21"/>
              </w:rPr>
            </w:pPr>
            <w:r>
              <w:rPr>
                <w:rFonts w:hint="eastAsia"/>
                <w:color w:val="000000"/>
                <w:szCs w:val="21"/>
              </w:rPr>
              <w:t>4</w:t>
            </w:r>
            <w:r>
              <w:rPr>
                <w:color w:val="000000"/>
                <w:szCs w:val="21"/>
              </w:rPr>
              <w:t>8.24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vMerge w:val="continue"/>
            <w:vAlign w:val="center"/>
          </w:tcPr>
          <w:p>
            <w:pPr>
              <w:jc w:val="center"/>
              <w:rPr>
                <w:szCs w:val="21"/>
              </w:rPr>
            </w:pPr>
          </w:p>
        </w:tc>
        <w:tc>
          <w:tcPr>
            <w:tcW w:w="993" w:type="dxa"/>
            <w:vAlign w:val="center"/>
          </w:tcPr>
          <w:p>
            <w:pPr>
              <w:jc w:val="center"/>
              <w:textAlignment w:val="center"/>
              <w:rPr>
                <w:szCs w:val="21"/>
              </w:rPr>
            </w:pPr>
            <w:r>
              <w:rPr>
                <w:szCs w:val="21"/>
              </w:rPr>
              <w:t>TP</w:t>
            </w:r>
          </w:p>
        </w:tc>
        <w:tc>
          <w:tcPr>
            <w:tcW w:w="992" w:type="dxa"/>
            <w:vAlign w:val="center"/>
          </w:tcPr>
          <w:p>
            <w:pPr>
              <w:jc w:val="center"/>
              <w:textAlignment w:val="center"/>
              <w:rPr>
                <w:kern w:val="0"/>
                <w:szCs w:val="21"/>
                <w:lang w:bidi="ar"/>
              </w:rPr>
            </w:pPr>
            <w:r>
              <w:rPr>
                <w:rFonts w:hint="eastAsia"/>
                <w:kern w:val="0"/>
                <w:szCs w:val="21"/>
                <w:lang w:bidi="ar"/>
              </w:rPr>
              <w:t>3</w:t>
            </w:r>
            <w:r>
              <w:rPr>
                <w:kern w:val="0"/>
                <w:szCs w:val="21"/>
                <w:lang w:bidi="ar"/>
              </w:rPr>
              <w:t>0</w:t>
            </w:r>
          </w:p>
        </w:tc>
        <w:tc>
          <w:tcPr>
            <w:tcW w:w="992" w:type="dxa"/>
            <w:vAlign w:val="center"/>
          </w:tcPr>
          <w:p>
            <w:pPr>
              <w:widowControl/>
              <w:jc w:val="center"/>
              <w:textAlignment w:val="bottom"/>
              <w:rPr>
                <w:kern w:val="0"/>
                <w:szCs w:val="21"/>
                <w:lang w:bidi="ar"/>
              </w:rPr>
            </w:pPr>
            <w:r>
              <w:rPr>
                <w:kern w:val="0"/>
                <w:szCs w:val="21"/>
                <w:lang w:bidi="ar"/>
              </w:rPr>
              <w:t>18</w:t>
            </w:r>
          </w:p>
        </w:tc>
        <w:tc>
          <w:tcPr>
            <w:tcW w:w="992" w:type="dxa"/>
            <w:vAlign w:val="center"/>
          </w:tcPr>
          <w:p>
            <w:pPr>
              <w:jc w:val="center"/>
              <w:textAlignment w:val="center"/>
              <w:rPr>
                <w:kern w:val="0"/>
                <w:szCs w:val="21"/>
                <w:lang w:bidi="ar"/>
              </w:rPr>
            </w:pPr>
            <w:r>
              <w:rPr>
                <w:kern w:val="0"/>
                <w:szCs w:val="21"/>
                <w:lang w:bidi="ar"/>
              </w:rPr>
              <w:t>0.8</w:t>
            </w:r>
          </w:p>
        </w:tc>
        <w:tc>
          <w:tcPr>
            <w:tcW w:w="993" w:type="dxa"/>
            <w:vAlign w:val="center"/>
          </w:tcPr>
          <w:p>
            <w:pPr>
              <w:jc w:val="center"/>
              <w:rPr>
                <w:szCs w:val="21"/>
              </w:rPr>
            </w:pPr>
            <w:r>
              <w:rPr>
                <w:rFonts w:eastAsia="等线"/>
                <w:color w:val="000000"/>
                <w:szCs w:val="21"/>
              </w:rPr>
              <w:t>0.48</w:t>
            </w:r>
          </w:p>
        </w:tc>
        <w:tc>
          <w:tcPr>
            <w:tcW w:w="1134" w:type="dxa"/>
            <w:vAlign w:val="center"/>
          </w:tcPr>
          <w:p>
            <w:pPr>
              <w:jc w:val="center"/>
              <w:rPr>
                <w:color w:val="000000"/>
                <w:szCs w:val="21"/>
              </w:rPr>
            </w:pPr>
            <w:r>
              <w:rPr>
                <w:rFonts w:hint="eastAsia"/>
                <w:color w:val="000000"/>
                <w:szCs w:val="21"/>
              </w:rPr>
              <w:t>0</w:t>
            </w:r>
            <w:r>
              <w:rPr>
                <w:color w:val="000000"/>
                <w:szCs w:val="21"/>
              </w:rPr>
              <w:t>.4</w:t>
            </w:r>
          </w:p>
        </w:tc>
        <w:tc>
          <w:tcPr>
            <w:tcW w:w="1134" w:type="dxa"/>
            <w:vAlign w:val="center"/>
          </w:tcPr>
          <w:p>
            <w:pPr>
              <w:jc w:val="center"/>
              <w:rPr>
                <w:color w:val="000000"/>
                <w:szCs w:val="21"/>
              </w:rPr>
            </w:pPr>
            <w:r>
              <w:rPr>
                <w:rFonts w:hint="eastAsia"/>
                <w:color w:val="000000"/>
                <w:szCs w:val="21"/>
              </w:rPr>
              <w:t>0</w:t>
            </w:r>
            <w:r>
              <w:rPr>
                <w:color w:val="000000"/>
                <w:szCs w:val="21"/>
              </w:rPr>
              <w:t>.24</w:t>
            </w:r>
          </w:p>
        </w:tc>
        <w:tc>
          <w:tcPr>
            <w:tcW w:w="923" w:type="dxa"/>
            <w:vAlign w:val="center"/>
          </w:tcPr>
          <w:p>
            <w:pPr>
              <w:jc w:val="center"/>
              <w:rPr>
                <w:color w:val="000000"/>
                <w:szCs w:val="21"/>
              </w:rPr>
            </w:pPr>
            <w:r>
              <w:rPr>
                <w:rFonts w:hint="eastAsia"/>
                <w:color w:val="000000"/>
                <w:szCs w:val="21"/>
              </w:rPr>
              <w:t>1</w:t>
            </w:r>
            <w:r>
              <w:rPr>
                <w:color w:val="000000"/>
                <w:szCs w:val="21"/>
              </w:rPr>
              <w:t>7.52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vMerge w:val="continue"/>
            <w:vAlign w:val="center"/>
          </w:tcPr>
          <w:p>
            <w:pPr>
              <w:jc w:val="center"/>
              <w:rPr>
                <w:szCs w:val="21"/>
              </w:rPr>
            </w:pPr>
          </w:p>
        </w:tc>
        <w:tc>
          <w:tcPr>
            <w:tcW w:w="993" w:type="dxa"/>
            <w:vAlign w:val="center"/>
          </w:tcPr>
          <w:p>
            <w:pPr>
              <w:jc w:val="center"/>
              <w:textAlignment w:val="center"/>
              <w:rPr>
                <w:szCs w:val="21"/>
              </w:rPr>
            </w:pPr>
            <w:r>
              <w:rPr>
                <w:szCs w:val="21"/>
              </w:rPr>
              <w:t>TN</w:t>
            </w:r>
          </w:p>
        </w:tc>
        <w:tc>
          <w:tcPr>
            <w:tcW w:w="992" w:type="dxa"/>
            <w:vAlign w:val="center"/>
          </w:tcPr>
          <w:p>
            <w:pPr>
              <w:jc w:val="center"/>
              <w:textAlignment w:val="center"/>
              <w:rPr>
                <w:kern w:val="0"/>
                <w:szCs w:val="21"/>
                <w:lang w:bidi="ar"/>
              </w:rPr>
            </w:pPr>
            <w:r>
              <w:rPr>
                <w:rFonts w:hint="eastAsia"/>
                <w:kern w:val="0"/>
                <w:szCs w:val="21"/>
                <w:lang w:bidi="ar"/>
              </w:rPr>
              <w:t>2</w:t>
            </w:r>
            <w:r>
              <w:rPr>
                <w:kern w:val="0"/>
                <w:szCs w:val="21"/>
                <w:lang w:bidi="ar"/>
              </w:rPr>
              <w:t>00</w:t>
            </w:r>
          </w:p>
        </w:tc>
        <w:tc>
          <w:tcPr>
            <w:tcW w:w="992" w:type="dxa"/>
            <w:vAlign w:val="center"/>
          </w:tcPr>
          <w:p>
            <w:pPr>
              <w:widowControl/>
              <w:jc w:val="center"/>
              <w:textAlignment w:val="bottom"/>
              <w:rPr>
                <w:kern w:val="0"/>
                <w:szCs w:val="21"/>
                <w:lang w:bidi="ar"/>
              </w:rPr>
            </w:pPr>
            <w:r>
              <w:rPr>
                <w:rFonts w:hint="eastAsia"/>
                <w:kern w:val="0"/>
                <w:szCs w:val="21"/>
                <w:lang w:bidi="ar"/>
              </w:rPr>
              <w:t>1</w:t>
            </w:r>
            <w:r>
              <w:rPr>
                <w:kern w:val="0"/>
                <w:szCs w:val="21"/>
                <w:lang w:bidi="ar"/>
              </w:rPr>
              <w:t>20</w:t>
            </w:r>
          </w:p>
        </w:tc>
        <w:tc>
          <w:tcPr>
            <w:tcW w:w="992" w:type="dxa"/>
            <w:vAlign w:val="center"/>
          </w:tcPr>
          <w:p>
            <w:pPr>
              <w:jc w:val="center"/>
              <w:textAlignment w:val="center"/>
              <w:rPr>
                <w:kern w:val="0"/>
                <w:szCs w:val="21"/>
                <w:lang w:bidi="ar"/>
              </w:rPr>
            </w:pPr>
            <w:r>
              <w:rPr>
                <w:kern w:val="0"/>
                <w:szCs w:val="21"/>
                <w:lang w:bidi="ar"/>
              </w:rPr>
              <w:t>35.7</w:t>
            </w:r>
          </w:p>
        </w:tc>
        <w:tc>
          <w:tcPr>
            <w:tcW w:w="993" w:type="dxa"/>
            <w:vAlign w:val="center"/>
          </w:tcPr>
          <w:p>
            <w:pPr>
              <w:jc w:val="center"/>
              <w:rPr>
                <w:szCs w:val="21"/>
              </w:rPr>
            </w:pPr>
            <w:r>
              <w:rPr>
                <w:rFonts w:eastAsia="等线"/>
                <w:color w:val="000000"/>
                <w:szCs w:val="21"/>
              </w:rPr>
              <w:t>21.42</w:t>
            </w:r>
          </w:p>
        </w:tc>
        <w:tc>
          <w:tcPr>
            <w:tcW w:w="1134" w:type="dxa"/>
            <w:vAlign w:val="center"/>
          </w:tcPr>
          <w:p>
            <w:pPr>
              <w:jc w:val="center"/>
              <w:rPr>
                <w:color w:val="000000"/>
                <w:szCs w:val="21"/>
              </w:rPr>
            </w:pPr>
            <w:r>
              <w:rPr>
                <w:rFonts w:hint="eastAsia"/>
                <w:color w:val="000000"/>
                <w:szCs w:val="21"/>
              </w:rPr>
              <w:t>1</w:t>
            </w:r>
            <w:r>
              <w:rPr>
                <w:color w:val="000000"/>
                <w:szCs w:val="21"/>
              </w:rPr>
              <w:t>5</w:t>
            </w:r>
          </w:p>
        </w:tc>
        <w:tc>
          <w:tcPr>
            <w:tcW w:w="1134" w:type="dxa"/>
            <w:vAlign w:val="center"/>
          </w:tcPr>
          <w:p>
            <w:pPr>
              <w:jc w:val="center"/>
              <w:rPr>
                <w:color w:val="000000"/>
                <w:szCs w:val="21"/>
              </w:rPr>
            </w:pPr>
            <w:r>
              <w:rPr>
                <w:color w:val="000000"/>
                <w:szCs w:val="21"/>
              </w:rPr>
              <w:t>9</w:t>
            </w:r>
          </w:p>
        </w:tc>
        <w:tc>
          <w:tcPr>
            <w:tcW w:w="923" w:type="dxa"/>
            <w:vAlign w:val="center"/>
          </w:tcPr>
          <w:p>
            <w:pPr>
              <w:jc w:val="center"/>
              <w:rPr>
                <w:color w:val="000000"/>
                <w:szCs w:val="21"/>
              </w:rPr>
            </w:pPr>
            <w:r>
              <w:rPr>
                <w:rFonts w:hint="eastAsia"/>
                <w:color w:val="000000"/>
                <w:szCs w:val="21"/>
              </w:rPr>
              <w:t>9</w:t>
            </w:r>
            <w:r>
              <w:rPr>
                <w:color w:val="000000"/>
                <w:szCs w:val="21"/>
              </w:rPr>
              <w:t>8.58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57" w:type="dxa"/>
            <w:vMerge w:val="continue"/>
            <w:vAlign w:val="center"/>
          </w:tcPr>
          <w:p>
            <w:pPr>
              <w:jc w:val="center"/>
              <w:rPr>
                <w:szCs w:val="21"/>
              </w:rPr>
            </w:pPr>
          </w:p>
        </w:tc>
        <w:tc>
          <w:tcPr>
            <w:tcW w:w="993" w:type="dxa"/>
            <w:vAlign w:val="center"/>
          </w:tcPr>
          <w:p>
            <w:pPr>
              <w:jc w:val="center"/>
              <w:textAlignment w:val="center"/>
              <w:rPr>
                <w:szCs w:val="21"/>
              </w:rPr>
            </w:pPr>
            <w:r>
              <w:rPr>
                <w:rFonts w:hint="eastAsia"/>
                <w:szCs w:val="21"/>
              </w:rPr>
              <w:t>动植物油</w:t>
            </w:r>
          </w:p>
        </w:tc>
        <w:tc>
          <w:tcPr>
            <w:tcW w:w="992" w:type="dxa"/>
            <w:vAlign w:val="center"/>
          </w:tcPr>
          <w:p>
            <w:pPr>
              <w:jc w:val="center"/>
              <w:textAlignment w:val="center"/>
              <w:rPr>
                <w:kern w:val="0"/>
                <w:szCs w:val="21"/>
                <w:lang w:bidi="ar"/>
              </w:rPr>
            </w:pPr>
            <w:r>
              <w:rPr>
                <w:rFonts w:hint="eastAsia"/>
                <w:kern w:val="0"/>
                <w:szCs w:val="21"/>
                <w:lang w:bidi="ar"/>
              </w:rPr>
              <w:t>1</w:t>
            </w:r>
            <w:r>
              <w:rPr>
                <w:kern w:val="0"/>
                <w:szCs w:val="21"/>
                <w:lang w:bidi="ar"/>
              </w:rPr>
              <w:t>20</w:t>
            </w:r>
          </w:p>
        </w:tc>
        <w:tc>
          <w:tcPr>
            <w:tcW w:w="992" w:type="dxa"/>
            <w:vAlign w:val="center"/>
          </w:tcPr>
          <w:p>
            <w:pPr>
              <w:widowControl/>
              <w:jc w:val="center"/>
              <w:textAlignment w:val="bottom"/>
              <w:rPr>
                <w:kern w:val="0"/>
                <w:szCs w:val="21"/>
                <w:lang w:bidi="ar"/>
              </w:rPr>
            </w:pPr>
            <w:r>
              <w:rPr>
                <w:kern w:val="0"/>
                <w:szCs w:val="21"/>
                <w:lang w:bidi="ar"/>
              </w:rPr>
              <w:t>72</w:t>
            </w:r>
          </w:p>
        </w:tc>
        <w:tc>
          <w:tcPr>
            <w:tcW w:w="992" w:type="dxa"/>
            <w:vAlign w:val="center"/>
          </w:tcPr>
          <w:p>
            <w:pPr>
              <w:jc w:val="center"/>
              <w:textAlignment w:val="center"/>
              <w:rPr>
                <w:kern w:val="0"/>
                <w:szCs w:val="21"/>
                <w:lang w:bidi="ar"/>
              </w:rPr>
            </w:pPr>
            <w:r>
              <w:rPr>
                <w:kern w:val="0"/>
                <w:szCs w:val="21"/>
                <w:lang w:bidi="ar"/>
              </w:rPr>
              <w:t>5</w:t>
            </w:r>
          </w:p>
        </w:tc>
        <w:tc>
          <w:tcPr>
            <w:tcW w:w="993" w:type="dxa"/>
            <w:vAlign w:val="center"/>
          </w:tcPr>
          <w:p>
            <w:pPr>
              <w:jc w:val="center"/>
              <w:rPr>
                <w:szCs w:val="21"/>
              </w:rPr>
            </w:pPr>
            <w:r>
              <w:rPr>
                <w:rFonts w:eastAsia="等线"/>
                <w:color w:val="000000"/>
                <w:szCs w:val="21"/>
              </w:rPr>
              <w:t>3</w:t>
            </w:r>
          </w:p>
        </w:tc>
        <w:tc>
          <w:tcPr>
            <w:tcW w:w="1134" w:type="dxa"/>
            <w:vAlign w:val="center"/>
          </w:tcPr>
          <w:p>
            <w:pPr>
              <w:jc w:val="center"/>
              <w:rPr>
                <w:color w:val="000000"/>
                <w:szCs w:val="21"/>
              </w:rPr>
            </w:pPr>
            <w:r>
              <w:rPr>
                <w:rFonts w:hint="eastAsia"/>
                <w:color w:val="000000"/>
                <w:szCs w:val="21"/>
              </w:rPr>
              <w:t>1</w:t>
            </w:r>
          </w:p>
        </w:tc>
        <w:tc>
          <w:tcPr>
            <w:tcW w:w="1134" w:type="dxa"/>
            <w:vAlign w:val="center"/>
          </w:tcPr>
          <w:p>
            <w:pPr>
              <w:jc w:val="center"/>
              <w:rPr>
                <w:color w:val="000000"/>
                <w:szCs w:val="21"/>
              </w:rPr>
            </w:pPr>
            <w:r>
              <w:rPr>
                <w:rFonts w:hint="eastAsia"/>
                <w:color w:val="000000"/>
                <w:szCs w:val="21"/>
              </w:rPr>
              <w:t>0</w:t>
            </w:r>
            <w:r>
              <w:rPr>
                <w:color w:val="000000"/>
                <w:szCs w:val="21"/>
              </w:rPr>
              <w:t>.6</w:t>
            </w:r>
          </w:p>
        </w:tc>
        <w:tc>
          <w:tcPr>
            <w:tcW w:w="923" w:type="dxa"/>
            <w:vAlign w:val="center"/>
          </w:tcPr>
          <w:p>
            <w:pPr>
              <w:jc w:val="center"/>
              <w:rPr>
                <w:color w:val="000000"/>
                <w:szCs w:val="21"/>
              </w:rPr>
            </w:pPr>
            <w:r>
              <w:rPr>
                <w:rFonts w:hint="eastAsia"/>
                <w:color w:val="000000"/>
                <w:szCs w:val="21"/>
              </w:rPr>
              <w:t>6</w:t>
            </w:r>
            <w:r>
              <w:rPr>
                <w:color w:val="000000"/>
                <w:szCs w:val="21"/>
              </w:rPr>
              <w:t>9</w:t>
            </w:r>
          </w:p>
        </w:tc>
      </w:tr>
    </w:tbl>
    <w:p>
      <w:pPr>
        <w:spacing w:line="520" w:lineRule="exact"/>
        <w:ind w:firstLine="482" w:firstLineChars="200"/>
        <w:outlineLvl w:val="4"/>
        <w:rPr>
          <w:b/>
          <w:bCs/>
          <w:sz w:val="24"/>
          <w:szCs w:val="24"/>
        </w:rPr>
      </w:pPr>
      <w:r>
        <w:rPr>
          <w:rFonts w:hint="eastAsia"/>
          <w:b/>
          <w:bCs/>
          <w:sz w:val="24"/>
          <w:szCs w:val="24"/>
        </w:rPr>
        <w:t>二</w:t>
      </w:r>
      <w:r>
        <w:rPr>
          <w:b/>
          <w:bCs/>
          <w:sz w:val="24"/>
          <w:szCs w:val="24"/>
        </w:rPr>
        <w:t>、</w:t>
      </w:r>
      <w:r>
        <w:rPr>
          <w:rFonts w:hint="eastAsia"/>
          <w:b/>
          <w:bCs/>
          <w:sz w:val="24"/>
          <w:szCs w:val="24"/>
        </w:rPr>
        <w:t>废气</w:t>
      </w:r>
    </w:p>
    <w:p>
      <w:pPr>
        <w:spacing w:line="520" w:lineRule="exact"/>
        <w:ind w:firstLine="198"/>
        <w:outlineLvl w:val="5"/>
        <w:rPr>
          <w:sz w:val="24"/>
          <w:szCs w:val="24"/>
        </w:rPr>
      </w:pPr>
      <w:r>
        <w:rPr>
          <w:sz w:val="24"/>
          <w:szCs w:val="24"/>
        </w:rPr>
        <w:t>（1）</w:t>
      </w:r>
      <w:r>
        <w:rPr>
          <w:rFonts w:hint="eastAsia"/>
          <w:sz w:val="24"/>
          <w:szCs w:val="24"/>
        </w:rPr>
        <w:t>污水处理站恶臭</w:t>
      </w:r>
    </w:p>
    <w:p>
      <w:pPr>
        <w:spacing w:line="520" w:lineRule="exact"/>
        <w:ind w:firstLine="480" w:firstLineChars="200"/>
        <w:outlineLvl w:val="6"/>
        <w:rPr>
          <w:rFonts w:ascii="宋体" w:hAnsi="Courier New" w:cs="Courier New"/>
          <w:sz w:val="24"/>
          <w:szCs w:val="24"/>
        </w:rPr>
      </w:pPr>
      <w:r>
        <w:rPr>
          <w:rFonts w:hint="eastAsia" w:ascii="宋体" w:hAnsi="Courier New" w:cs="Courier New"/>
          <w:sz w:val="24"/>
          <w:szCs w:val="24"/>
        </w:rPr>
        <w:t>①污水处理站恶臭源强</w:t>
      </w:r>
    </w:p>
    <w:p>
      <w:pPr>
        <w:spacing w:line="520" w:lineRule="exact"/>
        <w:ind w:firstLine="480" w:firstLineChars="200"/>
        <w:rPr>
          <w:sz w:val="24"/>
          <w:szCs w:val="24"/>
        </w:rPr>
      </w:pPr>
      <w:r>
        <w:rPr>
          <w:sz w:val="24"/>
          <w:szCs w:val="24"/>
        </w:rPr>
        <w:t>项目营运过程中大气污染物主要为污水处理过程中产生的恶臭气体，恶臭物质主要来自污水中含硫蛋白质和无机硫化物等通过厌氧细菌分解产生的H</w:t>
      </w:r>
      <w:r>
        <w:rPr>
          <w:sz w:val="24"/>
          <w:szCs w:val="24"/>
          <w:vertAlign w:val="subscript"/>
        </w:rPr>
        <w:t>2</w:t>
      </w:r>
      <w:r>
        <w:rPr>
          <w:sz w:val="24"/>
          <w:szCs w:val="24"/>
        </w:rPr>
        <w:t>S、NH</w:t>
      </w:r>
      <w:r>
        <w:rPr>
          <w:sz w:val="24"/>
          <w:szCs w:val="24"/>
          <w:vertAlign w:val="subscript"/>
        </w:rPr>
        <w:t>3</w:t>
      </w:r>
      <w:r>
        <w:rPr>
          <w:sz w:val="24"/>
          <w:szCs w:val="24"/>
        </w:rPr>
        <w:t>以及硫醇类、胺类等物质，在这些恶臭物中以H</w:t>
      </w:r>
      <w:r>
        <w:rPr>
          <w:sz w:val="24"/>
          <w:szCs w:val="24"/>
          <w:vertAlign w:val="subscript"/>
        </w:rPr>
        <w:t>2</w:t>
      </w:r>
      <w:r>
        <w:rPr>
          <w:sz w:val="24"/>
          <w:szCs w:val="24"/>
        </w:rPr>
        <w:t>S和NH</w:t>
      </w:r>
      <w:r>
        <w:rPr>
          <w:sz w:val="24"/>
          <w:szCs w:val="24"/>
          <w:vertAlign w:val="subscript"/>
        </w:rPr>
        <w:t>3</w:t>
      </w:r>
      <w:r>
        <w:rPr>
          <w:sz w:val="24"/>
          <w:szCs w:val="24"/>
        </w:rPr>
        <w:t>为主。</w:t>
      </w:r>
    </w:p>
    <w:p>
      <w:pPr>
        <w:spacing w:line="520" w:lineRule="exact"/>
        <w:ind w:firstLine="480" w:firstLineChars="200"/>
        <w:rPr>
          <w:sz w:val="24"/>
          <w:szCs w:val="24"/>
        </w:rPr>
      </w:pPr>
      <w:r>
        <w:rPr>
          <w:rFonts w:hint="eastAsia"/>
          <w:sz w:val="24"/>
          <w:szCs w:val="24"/>
        </w:rPr>
        <w:t>根据美国EPA对城市污水处理厂恶臭污染物产生情况的研究，每处理1g的BOD</w:t>
      </w:r>
      <w:r>
        <w:rPr>
          <w:rFonts w:hint="eastAsia"/>
          <w:sz w:val="24"/>
          <w:szCs w:val="24"/>
          <w:vertAlign w:val="subscript"/>
        </w:rPr>
        <w:t>5</w:t>
      </w:r>
      <w:r>
        <w:rPr>
          <w:rFonts w:hint="eastAsia"/>
          <w:sz w:val="24"/>
          <w:szCs w:val="24"/>
        </w:rPr>
        <w:t>可产生0.0031g的NH</w:t>
      </w:r>
      <w:r>
        <w:rPr>
          <w:rFonts w:hint="eastAsia"/>
          <w:sz w:val="24"/>
          <w:szCs w:val="24"/>
          <w:vertAlign w:val="subscript"/>
        </w:rPr>
        <w:t>3</w:t>
      </w:r>
      <w:r>
        <w:rPr>
          <w:rFonts w:hint="eastAsia"/>
          <w:sz w:val="24"/>
          <w:szCs w:val="24"/>
        </w:rPr>
        <w:t>和0.00012g的H</w:t>
      </w:r>
      <w:r>
        <w:rPr>
          <w:rFonts w:hint="eastAsia"/>
          <w:sz w:val="24"/>
          <w:szCs w:val="24"/>
          <w:vertAlign w:val="subscript"/>
        </w:rPr>
        <w:t>2</w:t>
      </w:r>
      <w:r>
        <w:rPr>
          <w:rFonts w:hint="eastAsia"/>
          <w:sz w:val="24"/>
          <w:szCs w:val="24"/>
        </w:rPr>
        <w:t>S。</w:t>
      </w:r>
    </w:p>
    <w:p>
      <w:pPr>
        <w:spacing w:line="520" w:lineRule="exact"/>
        <w:ind w:firstLine="480" w:firstLineChars="200"/>
        <w:rPr>
          <w:sz w:val="24"/>
          <w:szCs w:val="24"/>
        </w:rPr>
      </w:pPr>
      <w:r>
        <w:rPr>
          <w:sz w:val="24"/>
          <w:szCs w:val="24"/>
        </w:rPr>
        <w:t>本项目日处理污水量为2000m</w:t>
      </w:r>
      <w:r>
        <w:rPr>
          <w:sz w:val="24"/>
          <w:szCs w:val="24"/>
          <w:vertAlign w:val="superscript"/>
        </w:rPr>
        <w:t>3</w:t>
      </w:r>
      <w:r>
        <w:rPr>
          <w:sz w:val="24"/>
          <w:szCs w:val="24"/>
        </w:rPr>
        <w:t>/d，730000m</w:t>
      </w:r>
      <w:r>
        <w:rPr>
          <w:sz w:val="24"/>
          <w:szCs w:val="24"/>
          <w:vertAlign w:val="superscript"/>
        </w:rPr>
        <w:t>3</w:t>
      </w:r>
      <w:r>
        <w:rPr>
          <w:sz w:val="24"/>
          <w:szCs w:val="24"/>
        </w:rPr>
        <w:t>/a，废水BOD</w:t>
      </w:r>
      <w:r>
        <w:rPr>
          <w:sz w:val="24"/>
          <w:szCs w:val="24"/>
          <w:vertAlign w:val="subscript"/>
        </w:rPr>
        <w:t>5</w:t>
      </w:r>
      <w:r>
        <w:rPr>
          <w:sz w:val="24"/>
          <w:szCs w:val="24"/>
        </w:rPr>
        <w:t>的削减量为863.152t/a。污水处理站运行时间为365天，24小时连续运行，年运行时长按8760小时计算。</w:t>
      </w:r>
      <w:r>
        <w:rPr>
          <w:rFonts w:hint="eastAsia"/>
          <w:sz w:val="24"/>
          <w:szCs w:val="24"/>
        </w:rPr>
        <w:t>则污水处理站废气污染物产生情况见下表。</w:t>
      </w:r>
    </w:p>
    <w:p>
      <w:pPr>
        <w:spacing w:line="520" w:lineRule="exact"/>
        <w:ind w:firstLine="480" w:firstLineChars="200"/>
        <w:rPr>
          <w:rFonts w:eastAsia="黑体"/>
          <w:sz w:val="24"/>
          <w:szCs w:val="24"/>
        </w:rPr>
      </w:pPr>
      <w:r>
        <w:rPr>
          <w:rFonts w:eastAsia="黑体"/>
          <w:sz w:val="24"/>
          <w:szCs w:val="24"/>
        </w:rPr>
        <w:t>表3.1-22    本</w:t>
      </w:r>
      <w:r>
        <w:rPr>
          <w:rFonts w:hint="eastAsia" w:eastAsia="黑体"/>
          <w:sz w:val="24"/>
          <w:szCs w:val="24"/>
        </w:rPr>
        <w:t>项目污水处理站废气污染物产生情况</w:t>
      </w:r>
      <w:r>
        <w:rPr>
          <w:rFonts w:eastAsia="黑体"/>
          <w:sz w:val="24"/>
          <w:szCs w:val="24"/>
        </w:rPr>
        <w:t>一览表</w:t>
      </w:r>
    </w:p>
    <w:tbl>
      <w:tblPr>
        <w:tblStyle w:val="4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568"/>
        <w:gridCol w:w="1602"/>
        <w:gridCol w:w="1455"/>
        <w:gridCol w:w="1456"/>
        <w:gridCol w:w="15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98" w:type="dxa"/>
            <w:vMerge w:val="restart"/>
            <w:vAlign w:val="center"/>
          </w:tcPr>
          <w:p>
            <w:pPr>
              <w:jc w:val="center"/>
              <w:rPr>
                <w:b/>
                <w:kern w:val="0"/>
                <w:szCs w:val="21"/>
              </w:rPr>
            </w:pPr>
            <w:r>
              <w:rPr>
                <w:rFonts w:hint="eastAsia"/>
                <w:b/>
                <w:kern w:val="0"/>
                <w:szCs w:val="21"/>
              </w:rPr>
              <w:t>污水处理量（m</w:t>
            </w:r>
            <w:r>
              <w:rPr>
                <w:rFonts w:hint="eastAsia"/>
                <w:b/>
                <w:kern w:val="0"/>
                <w:szCs w:val="21"/>
                <w:vertAlign w:val="superscript"/>
              </w:rPr>
              <w:t>3</w:t>
            </w:r>
            <w:r>
              <w:rPr>
                <w:rFonts w:hint="eastAsia"/>
                <w:b/>
                <w:kern w:val="0"/>
                <w:szCs w:val="21"/>
              </w:rPr>
              <w:t>/d）</w:t>
            </w:r>
          </w:p>
        </w:tc>
        <w:tc>
          <w:tcPr>
            <w:tcW w:w="1527" w:type="dxa"/>
            <w:vMerge w:val="restart"/>
            <w:vAlign w:val="center"/>
          </w:tcPr>
          <w:p>
            <w:pPr>
              <w:spacing w:line="300" w:lineRule="exact"/>
              <w:jc w:val="center"/>
              <w:rPr>
                <w:b/>
                <w:kern w:val="0"/>
                <w:szCs w:val="21"/>
              </w:rPr>
            </w:pPr>
            <w:r>
              <w:rPr>
                <w:rFonts w:hint="eastAsia"/>
                <w:b/>
                <w:kern w:val="0"/>
                <w:szCs w:val="21"/>
              </w:rPr>
              <w:t>B</w:t>
            </w:r>
            <w:r>
              <w:rPr>
                <w:b/>
                <w:kern w:val="0"/>
                <w:szCs w:val="21"/>
              </w:rPr>
              <w:t>OD</w:t>
            </w:r>
            <w:r>
              <w:rPr>
                <w:b/>
                <w:kern w:val="0"/>
                <w:szCs w:val="21"/>
                <w:vertAlign w:val="subscript"/>
              </w:rPr>
              <w:t>5</w:t>
            </w:r>
            <w:r>
              <w:rPr>
                <w:rFonts w:hint="eastAsia"/>
                <w:b/>
                <w:kern w:val="0"/>
                <w:szCs w:val="21"/>
              </w:rPr>
              <w:t>削减量（t/a）</w:t>
            </w:r>
          </w:p>
        </w:tc>
        <w:tc>
          <w:tcPr>
            <w:tcW w:w="2977" w:type="dxa"/>
            <w:gridSpan w:val="2"/>
            <w:vAlign w:val="center"/>
          </w:tcPr>
          <w:p>
            <w:pPr>
              <w:spacing w:line="300" w:lineRule="exact"/>
              <w:jc w:val="center"/>
              <w:rPr>
                <w:b/>
                <w:kern w:val="0"/>
                <w:szCs w:val="21"/>
              </w:rPr>
            </w:pPr>
            <w:r>
              <w:rPr>
                <w:rFonts w:hint="eastAsia"/>
                <w:b/>
                <w:kern w:val="0"/>
                <w:szCs w:val="21"/>
              </w:rPr>
              <w:t>NH</w:t>
            </w:r>
            <w:r>
              <w:rPr>
                <w:rFonts w:hint="eastAsia"/>
                <w:b/>
                <w:kern w:val="0"/>
                <w:szCs w:val="21"/>
                <w:vertAlign w:val="subscript"/>
              </w:rPr>
              <w:t>3</w:t>
            </w:r>
          </w:p>
        </w:tc>
        <w:tc>
          <w:tcPr>
            <w:tcW w:w="2908" w:type="dxa"/>
            <w:gridSpan w:val="2"/>
            <w:vAlign w:val="center"/>
          </w:tcPr>
          <w:p>
            <w:pPr>
              <w:spacing w:line="300" w:lineRule="exact"/>
              <w:jc w:val="center"/>
              <w:rPr>
                <w:b/>
                <w:kern w:val="0"/>
                <w:szCs w:val="21"/>
              </w:rPr>
            </w:pPr>
            <w:r>
              <w:rPr>
                <w:rFonts w:hint="eastAsia"/>
                <w:b/>
                <w:kern w:val="0"/>
                <w:szCs w:val="21"/>
              </w:rPr>
              <w:t>H</w:t>
            </w:r>
            <w:r>
              <w:rPr>
                <w:rFonts w:hint="eastAsia"/>
                <w:b/>
                <w:kern w:val="0"/>
                <w:szCs w:val="21"/>
                <w:vertAlign w:val="subscript"/>
              </w:rPr>
              <w:t>2</w:t>
            </w:r>
            <w:r>
              <w:rPr>
                <w:rFonts w:hint="eastAsia"/>
                <w:b/>
                <w:kern w:val="0"/>
                <w:szCs w:val="21"/>
              </w:rPr>
              <w:t>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98" w:type="dxa"/>
            <w:vMerge w:val="continue"/>
            <w:vAlign w:val="center"/>
          </w:tcPr>
          <w:p>
            <w:pPr>
              <w:jc w:val="center"/>
              <w:rPr>
                <w:b/>
                <w:kern w:val="0"/>
                <w:szCs w:val="21"/>
              </w:rPr>
            </w:pPr>
          </w:p>
        </w:tc>
        <w:tc>
          <w:tcPr>
            <w:tcW w:w="1527" w:type="dxa"/>
            <w:vMerge w:val="continue"/>
            <w:vAlign w:val="center"/>
          </w:tcPr>
          <w:p>
            <w:pPr>
              <w:jc w:val="center"/>
              <w:rPr>
                <w:b/>
                <w:kern w:val="0"/>
                <w:szCs w:val="21"/>
              </w:rPr>
            </w:pPr>
          </w:p>
        </w:tc>
        <w:tc>
          <w:tcPr>
            <w:tcW w:w="1560" w:type="dxa"/>
            <w:vAlign w:val="center"/>
          </w:tcPr>
          <w:p>
            <w:pPr>
              <w:jc w:val="center"/>
              <w:rPr>
                <w:b/>
                <w:kern w:val="0"/>
                <w:szCs w:val="21"/>
              </w:rPr>
            </w:pPr>
            <w:r>
              <w:rPr>
                <w:rFonts w:hint="eastAsia"/>
                <w:b/>
                <w:kern w:val="0"/>
                <w:szCs w:val="21"/>
              </w:rPr>
              <w:t>kg/h</w:t>
            </w:r>
          </w:p>
        </w:tc>
        <w:tc>
          <w:tcPr>
            <w:tcW w:w="1417" w:type="dxa"/>
            <w:vAlign w:val="center"/>
          </w:tcPr>
          <w:p>
            <w:pPr>
              <w:jc w:val="center"/>
              <w:rPr>
                <w:b/>
                <w:kern w:val="0"/>
                <w:szCs w:val="21"/>
              </w:rPr>
            </w:pPr>
            <w:r>
              <w:rPr>
                <w:rFonts w:hint="eastAsia"/>
                <w:b/>
                <w:kern w:val="0"/>
                <w:szCs w:val="21"/>
              </w:rPr>
              <w:t>t/a</w:t>
            </w:r>
          </w:p>
        </w:tc>
        <w:tc>
          <w:tcPr>
            <w:tcW w:w="1418" w:type="dxa"/>
            <w:vAlign w:val="center"/>
          </w:tcPr>
          <w:p>
            <w:pPr>
              <w:jc w:val="center"/>
              <w:rPr>
                <w:b/>
                <w:kern w:val="0"/>
                <w:szCs w:val="21"/>
              </w:rPr>
            </w:pPr>
            <w:r>
              <w:rPr>
                <w:rFonts w:hint="eastAsia"/>
                <w:b/>
                <w:kern w:val="0"/>
                <w:szCs w:val="21"/>
              </w:rPr>
              <w:t>kg/h</w:t>
            </w:r>
          </w:p>
        </w:tc>
        <w:tc>
          <w:tcPr>
            <w:tcW w:w="1490" w:type="dxa"/>
            <w:vAlign w:val="center"/>
          </w:tcPr>
          <w:p>
            <w:pPr>
              <w:jc w:val="center"/>
              <w:rPr>
                <w:b/>
                <w:kern w:val="0"/>
                <w:szCs w:val="21"/>
              </w:rPr>
            </w:pPr>
            <w:r>
              <w:rPr>
                <w:rFonts w:hint="eastAsia"/>
                <w:b/>
                <w:kern w:val="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98" w:type="dxa"/>
            <w:vAlign w:val="center"/>
          </w:tcPr>
          <w:p>
            <w:pPr>
              <w:jc w:val="center"/>
              <w:rPr>
                <w:bCs/>
                <w:kern w:val="0"/>
                <w:szCs w:val="21"/>
              </w:rPr>
            </w:pPr>
            <w:r>
              <w:rPr>
                <w:bCs/>
                <w:kern w:val="0"/>
                <w:szCs w:val="21"/>
              </w:rPr>
              <w:t>2</w:t>
            </w:r>
            <w:r>
              <w:rPr>
                <w:rFonts w:hint="eastAsia"/>
                <w:bCs/>
                <w:kern w:val="0"/>
                <w:szCs w:val="21"/>
              </w:rPr>
              <w:t>000</w:t>
            </w:r>
          </w:p>
        </w:tc>
        <w:tc>
          <w:tcPr>
            <w:tcW w:w="1527" w:type="dxa"/>
            <w:vAlign w:val="center"/>
          </w:tcPr>
          <w:p>
            <w:pPr>
              <w:widowControl/>
              <w:jc w:val="center"/>
              <w:textAlignment w:val="center"/>
              <w:rPr>
                <w:color w:val="000000"/>
                <w:kern w:val="0"/>
                <w:szCs w:val="21"/>
                <w:lang w:bidi="ar"/>
              </w:rPr>
            </w:pPr>
            <w:r>
              <w:rPr>
                <w:color w:val="000000"/>
                <w:kern w:val="0"/>
                <w:szCs w:val="21"/>
                <w:lang w:bidi="ar"/>
              </w:rPr>
              <w:t>709.44</w:t>
            </w:r>
          </w:p>
        </w:tc>
        <w:tc>
          <w:tcPr>
            <w:tcW w:w="1560" w:type="dxa"/>
            <w:vAlign w:val="center"/>
          </w:tcPr>
          <w:p>
            <w:pPr>
              <w:widowControl/>
              <w:jc w:val="center"/>
              <w:textAlignment w:val="center"/>
              <w:rPr>
                <w:bCs/>
                <w:kern w:val="0"/>
                <w:szCs w:val="21"/>
              </w:rPr>
            </w:pPr>
            <w:r>
              <w:rPr>
                <w:rFonts w:hint="eastAsia"/>
                <w:bCs/>
                <w:kern w:val="0"/>
                <w:szCs w:val="21"/>
              </w:rPr>
              <w:t>0</w:t>
            </w:r>
            <w:r>
              <w:rPr>
                <w:bCs/>
                <w:kern w:val="0"/>
                <w:szCs w:val="21"/>
              </w:rPr>
              <w:t>.2511</w:t>
            </w:r>
          </w:p>
        </w:tc>
        <w:tc>
          <w:tcPr>
            <w:tcW w:w="1417" w:type="dxa"/>
            <w:vAlign w:val="center"/>
          </w:tcPr>
          <w:p>
            <w:pPr>
              <w:widowControl/>
              <w:jc w:val="center"/>
              <w:textAlignment w:val="center"/>
              <w:rPr>
                <w:bCs/>
                <w:kern w:val="0"/>
                <w:szCs w:val="21"/>
              </w:rPr>
            </w:pPr>
            <w:r>
              <w:rPr>
                <w:bCs/>
                <w:kern w:val="0"/>
                <w:szCs w:val="21"/>
              </w:rPr>
              <w:t>2.1993</w:t>
            </w:r>
          </w:p>
        </w:tc>
        <w:tc>
          <w:tcPr>
            <w:tcW w:w="1418" w:type="dxa"/>
            <w:vAlign w:val="center"/>
          </w:tcPr>
          <w:p>
            <w:pPr>
              <w:widowControl/>
              <w:jc w:val="center"/>
              <w:textAlignment w:val="center"/>
              <w:rPr>
                <w:bCs/>
                <w:kern w:val="0"/>
                <w:szCs w:val="21"/>
              </w:rPr>
            </w:pPr>
            <w:r>
              <w:rPr>
                <w:rFonts w:hint="eastAsia"/>
                <w:bCs/>
                <w:kern w:val="0"/>
                <w:szCs w:val="21"/>
              </w:rPr>
              <w:t>0</w:t>
            </w:r>
            <w:r>
              <w:rPr>
                <w:bCs/>
                <w:kern w:val="0"/>
                <w:szCs w:val="21"/>
              </w:rPr>
              <w:t>.0097</w:t>
            </w:r>
          </w:p>
        </w:tc>
        <w:tc>
          <w:tcPr>
            <w:tcW w:w="1490" w:type="dxa"/>
            <w:vAlign w:val="center"/>
          </w:tcPr>
          <w:p>
            <w:pPr>
              <w:widowControl/>
              <w:jc w:val="center"/>
              <w:textAlignment w:val="center"/>
              <w:rPr>
                <w:bCs/>
                <w:kern w:val="0"/>
                <w:szCs w:val="21"/>
              </w:rPr>
            </w:pPr>
            <w:r>
              <w:rPr>
                <w:rFonts w:hint="eastAsia"/>
                <w:bCs/>
                <w:kern w:val="0"/>
                <w:szCs w:val="21"/>
              </w:rPr>
              <w:t>0</w:t>
            </w:r>
            <w:r>
              <w:rPr>
                <w:bCs/>
                <w:kern w:val="0"/>
                <w:szCs w:val="21"/>
              </w:rPr>
              <w:t>.0851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710" w:type="dxa"/>
            <w:gridSpan w:val="6"/>
            <w:vAlign w:val="center"/>
          </w:tcPr>
          <w:p>
            <w:pPr>
              <w:widowControl/>
              <w:jc w:val="center"/>
              <w:textAlignment w:val="center"/>
              <w:rPr>
                <w:bCs/>
                <w:kern w:val="0"/>
                <w:szCs w:val="21"/>
              </w:rPr>
            </w:pPr>
            <w:r>
              <w:rPr>
                <w:rFonts w:hint="eastAsia"/>
                <w:bCs/>
                <w:kern w:val="0"/>
                <w:szCs w:val="21"/>
              </w:rPr>
              <w:t>工作时间3</w:t>
            </w:r>
            <w:r>
              <w:rPr>
                <w:bCs/>
                <w:kern w:val="0"/>
                <w:szCs w:val="21"/>
              </w:rPr>
              <w:t>65</w:t>
            </w:r>
            <w:r>
              <w:rPr>
                <w:rFonts w:hint="eastAsia"/>
                <w:bCs/>
                <w:kern w:val="0"/>
                <w:szCs w:val="21"/>
              </w:rPr>
              <w:t>天，2</w:t>
            </w:r>
            <w:r>
              <w:rPr>
                <w:bCs/>
                <w:kern w:val="0"/>
                <w:szCs w:val="21"/>
              </w:rPr>
              <w:t>4</w:t>
            </w:r>
            <w:r>
              <w:rPr>
                <w:rFonts w:hint="eastAsia"/>
                <w:bCs/>
                <w:kern w:val="0"/>
                <w:szCs w:val="21"/>
              </w:rPr>
              <w:t>h/d</w:t>
            </w:r>
          </w:p>
        </w:tc>
      </w:tr>
    </w:tbl>
    <w:p>
      <w:pPr>
        <w:spacing w:line="520" w:lineRule="exact"/>
        <w:ind w:firstLine="480" w:firstLineChars="200"/>
        <w:rPr>
          <w:sz w:val="24"/>
          <w:szCs w:val="24"/>
        </w:rPr>
      </w:pPr>
      <w:r>
        <w:rPr>
          <w:sz w:val="24"/>
          <w:szCs w:val="24"/>
        </w:rPr>
        <w:t>参考《城镇污水处理厂臭气处理规程》（CJJ/T243-2016）可知：污水预处理污水处理区域臭气浓度为1000-5000（无量纲），污泥处理区域臭气浓度为5000-100000（无量纲）。</w:t>
      </w:r>
    </w:p>
    <w:p>
      <w:pPr>
        <w:spacing w:line="520" w:lineRule="exact"/>
        <w:ind w:firstLine="480" w:firstLineChars="200"/>
        <w:outlineLvl w:val="6"/>
        <w:rPr>
          <w:rFonts w:ascii="宋体" w:hAnsi="Courier New" w:cs="Courier New"/>
          <w:sz w:val="24"/>
          <w:szCs w:val="24"/>
        </w:rPr>
      </w:pPr>
      <w:r>
        <w:rPr>
          <w:rFonts w:hint="eastAsia" w:ascii="宋体" w:hAnsi="Courier New" w:cs="Courier New"/>
          <w:sz w:val="24"/>
          <w:szCs w:val="24"/>
        </w:rPr>
        <w:t>②治理措施</w:t>
      </w:r>
    </w:p>
    <w:p>
      <w:pPr>
        <w:spacing w:line="520" w:lineRule="exact"/>
        <w:ind w:firstLine="480" w:firstLineChars="200"/>
        <w:rPr>
          <w:sz w:val="24"/>
          <w:szCs w:val="24"/>
          <w:highlight w:val="yellow"/>
        </w:rPr>
      </w:pPr>
      <w:r>
        <w:rPr>
          <w:rFonts w:hint="eastAsia"/>
          <w:sz w:val="24"/>
          <w:szCs w:val="24"/>
        </w:rPr>
        <w:t>拟对项目进水区（格栅渠、集水池、初沉池、调节池）机械设备尽可能采用全封闭的形式，以节省加盖的投资，并预留臭气收集口，连接臭气收集管路；生化处理区及污泥池采用密封加盖并设置气体捕集口，连接臭气收集管路；污泥脱水间臭气收集采用风机抽吸至臭气收集管路。收集效率按95%，恶臭气体拟引至</w:t>
      </w:r>
      <w:r>
        <w:rPr>
          <w:rFonts w:hint="eastAsia"/>
          <w:bCs/>
          <w:sz w:val="24"/>
          <w:szCs w:val="24"/>
        </w:rPr>
        <w:t>洗涤除臭装置（碱喷淋+生物除臭剂喷淋）</w:t>
      </w:r>
      <w:r>
        <w:rPr>
          <w:rFonts w:hint="eastAsia"/>
          <w:sz w:val="24"/>
          <w:szCs w:val="24"/>
        </w:rPr>
        <w:t>处理后，经1根15m高排气筒排放，除臭装置设计除臭效率为9</w:t>
      </w:r>
      <w:r>
        <w:rPr>
          <w:sz w:val="24"/>
          <w:szCs w:val="24"/>
        </w:rPr>
        <w:t>5</w:t>
      </w:r>
      <w:r>
        <w:rPr>
          <w:rFonts w:hint="eastAsia"/>
          <w:sz w:val="24"/>
          <w:szCs w:val="24"/>
        </w:rPr>
        <w:t>%。为了进一步减少无组织恶臭，建议加强周边绿化，喷洒除臭剂，去除效率可达60%。</w:t>
      </w:r>
    </w:p>
    <w:p>
      <w:pPr>
        <w:spacing w:line="520" w:lineRule="exact"/>
        <w:ind w:firstLine="480" w:firstLineChars="200"/>
        <w:rPr>
          <w:sz w:val="24"/>
          <w:szCs w:val="24"/>
        </w:rPr>
      </w:pPr>
      <w:r>
        <w:rPr>
          <w:sz w:val="24"/>
          <w:szCs w:val="24"/>
        </w:rPr>
        <w:t>参考《城镇污水处理厂臭气处理技术规程》（CJJ/T243-2016）：污水处理构筑物的臭气风量宜根据构筑物种类、散发臭气的水面面积、臭气空间体积等因素综合确定；设备臭气风量宜根据设备种类、封闭程度、封闭空间体积等因素综合确定。</w:t>
      </w:r>
    </w:p>
    <w:p>
      <w:pPr>
        <w:spacing w:line="520" w:lineRule="exact"/>
        <w:ind w:firstLine="480" w:firstLineChars="200"/>
        <w:rPr>
          <w:sz w:val="24"/>
          <w:szCs w:val="24"/>
        </w:rPr>
      </w:pPr>
      <w:r>
        <w:rPr>
          <w:sz w:val="24"/>
          <w:szCs w:val="24"/>
        </w:rPr>
        <w:t>各单元臭气风量计算指标如下：</w:t>
      </w:r>
    </w:p>
    <w:p>
      <w:pPr>
        <w:spacing w:line="520" w:lineRule="exact"/>
        <w:ind w:firstLine="480" w:firstLineChars="200"/>
        <w:rPr>
          <w:sz w:val="24"/>
          <w:szCs w:val="24"/>
        </w:rPr>
      </w:pPr>
      <w:r>
        <w:rPr>
          <w:rFonts w:hint="eastAsia"/>
          <w:sz w:val="24"/>
          <w:szCs w:val="24"/>
        </w:rPr>
        <w:t>①</w:t>
      </w:r>
      <w:r>
        <w:rPr>
          <w:sz w:val="24"/>
          <w:szCs w:val="24"/>
        </w:rPr>
        <w:t>格栅臭气风量按单位水面面积臭气风量指标10m</w:t>
      </w:r>
      <w:r>
        <w:rPr>
          <w:sz w:val="24"/>
          <w:szCs w:val="24"/>
          <w:vertAlign w:val="superscript"/>
        </w:rPr>
        <w:t>3</w:t>
      </w:r>
      <w:r>
        <w:rPr>
          <w:sz w:val="24"/>
          <w:szCs w:val="24"/>
        </w:rPr>
        <w:t>/（m</w:t>
      </w:r>
      <w:r>
        <w:rPr>
          <w:sz w:val="24"/>
          <w:szCs w:val="24"/>
          <w:vertAlign w:val="superscript"/>
        </w:rPr>
        <w:t>2</w:t>
      </w:r>
      <w:r>
        <w:rPr>
          <w:sz w:val="24"/>
          <w:szCs w:val="24"/>
        </w:rPr>
        <w:t>•h）计算</w:t>
      </w:r>
      <w:r>
        <w:rPr>
          <w:rFonts w:hint="eastAsia"/>
          <w:sz w:val="24"/>
          <w:szCs w:val="24"/>
        </w:rPr>
        <w:t>，并增加1次/h~2次/h的空间换气量；</w:t>
      </w:r>
    </w:p>
    <w:p>
      <w:pPr>
        <w:spacing w:line="520" w:lineRule="exact"/>
        <w:ind w:firstLine="480" w:firstLineChars="200"/>
        <w:rPr>
          <w:sz w:val="24"/>
          <w:szCs w:val="24"/>
        </w:rPr>
      </w:pPr>
      <w:r>
        <w:rPr>
          <w:rFonts w:hint="eastAsia"/>
          <w:sz w:val="24"/>
          <w:szCs w:val="24"/>
        </w:rPr>
        <w:t>②集水池、初沉池、</w:t>
      </w:r>
      <w:r>
        <w:rPr>
          <w:sz w:val="24"/>
          <w:szCs w:val="24"/>
        </w:rPr>
        <w:t>调节池、</w:t>
      </w:r>
      <w:r>
        <w:rPr>
          <w:rFonts w:hint="eastAsia"/>
          <w:sz w:val="24"/>
          <w:szCs w:val="24"/>
        </w:rPr>
        <w:t>水解酸化池、厌氧池、缺氧池、</w:t>
      </w:r>
      <w:r>
        <w:rPr>
          <w:sz w:val="24"/>
          <w:szCs w:val="24"/>
        </w:rPr>
        <w:t>污泥</w:t>
      </w:r>
      <w:r>
        <w:rPr>
          <w:rFonts w:hint="eastAsia"/>
          <w:sz w:val="24"/>
          <w:szCs w:val="24"/>
        </w:rPr>
        <w:t>池等构筑物</w:t>
      </w:r>
      <w:r>
        <w:rPr>
          <w:sz w:val="24"/>
          <w:szCs w:val="24"/>
        </w:rPr>
        <w:t>臭气风量按单位水面面积臭气风量指标3m</w:t>
      </w:r>
      <w:r>
        <w:rPr>
          <w:sz w:val="24"/>
          <w:szCs w:val="24"/>
          <w:vertAlign w:val="superscript"/>
        </w:rPr>
        <w:t>3</w:t>
      </w:r>
      <w:r>
        <w:rPr>
          <w:sz w:val="24"/>
          <w:szCs w:val="24"/>
        </w:rPr>
        <w:t>/（m</w:t>
      </w:r>
      <w:r>
        <w:rPr>
          <w:sz w:val="24"/>
          <w:szCs w:val="24"/>
          <w:vertAlign w:val="superscript"/>
        </w:rPr>
        <w:t>2</w:t>
      </w:r>
      <w:r>
        <w:rPr>
          <w:sz w:val="24"/>
          <w:szCs w:val="24"/>
        </w:rPr>
        <w:t>•h）计算</w:t>
      </w:r>
      <w:r>
        <w:rPr>
          <w:rFonts w:hint="eastAsia"/>
          <w:sz w:val="24"/>
          <w:szCs w:val="24"/>
        </w:rPr>
        <w:t>，并增加1次/h~2次/h的空间换气量；</w:t>
      </w:r>
    </w:p>
    <w:p>
      <w:pPr>
        <w:spacing w:line="520" w:lineRule="exact"/>
        <w:ind w:firstLine="480" w:firstLineChars="200"/>
        <w:rPr>
          <w:sz w:val="24"/>
          <w:szCs w:val="24"/>
        </w:rPr>
      </w:pPr>
      <w:r>
        <w:rPr>
          <w:rFonts w:hint="eastAsia"/>
          <w:sz w:val="24"/>
          <w:szCs w:val="24"/>
        </w:rPr>
        <w:t>③好氧池构筑物臭气风向可按曝气量的110%计算；</w:t>
      </w:r>
    </w:p>
    <w:p>
      <w:pPr>
        <w:spacing w:line="520" w:lineRule="exact"/>
        <w:ind w:firstLine="480" w:firstLineChars="200"/>
        <w:rPr>
          <w:sz w:val="24"/>
          <w:szCs w:val="24"/>
        </w:rPr>
      </w:pPr>
      <w:r>
        <w:rPr>
          <w:rFonts w:hint="eastAsia"/>
          <w:sz w:val="24"/>
          <w:szCs w:val="24"/>
        </w:rPr>
        <w:t>④污泥脱水间、落泥间按照</w:t>
      </w:r>
      <w:r>
        <w:rPr>
          <w:sz w:val="24"/>
          <w:szCs w:val="24"/>
        </w:rPr>
        <w:t>8</w:t>
      </w:r>
      <w:r>
        <w:rPr>
          <w:rFonts w:hint="eastAsia"/>
          <w:sz w:val="24"/>
          <w:szCs w:val="24"/>
        </w:rPr>
        <w:t>次/h的空间换气量。</w:t>
      </w:r>
    </w:p>
    <w:p>
      <w:pPr>
        <w:spacing w:line="520" w:lineRule="exact"/>
        <w:ind w:firstLine="480" w:firstLineChars="200"/>
        <w:rPr>
          <w:sz w:val="24"/>
          <w:szCs w:val="24"/>
        </w:rPr>
      </w:pPr>
      <w:r>
        <w:rPr>
          <w:sz w:val="24"/>
          <w:szCs w:val="24"/>
        </w:rPr>
        <w:t>本项目各单元臭气风量见下表。</w:t>
      </w:r>
    </w:p>
    <w:p>
      <w:pPr>
        <w:spacing w:line="520" w:lineRule="exact"/>
        <w:ind w:firstLine="480" w:firstLineChars="200"/>
        <w:rPr>
          <w:rFonts w:eastAsia="黑体"/>
          <w:sz w:val="24"/>
          <w:szCs w:val="24"/>
        </w:rPr>
      </w:pPr>
      <w:r>
        <w:rPr>
          <w:rFonts w:eastAsia="黑体"/>
          <w:sz w:val="24"/>
          <w:szCs w:val="24"/>
        </w:rPr>
        <w:t>表3.1-23     本</w:t>
      </w:r>
      <w:r>
        <w:rPr>
          <w:rFonts w:hint="eastAsia" w:eastAsia="黑体"/>
          <w:sz w:val="24"/>
          <w:szCs w:val="24"/>
        </w:rPr>
        <w:t>项目污水处理站各构筑物臭气风量</w:t>
      </w:r>
      <w:r>
        <w:rPr>
          <w:rFonts w:eastAsia="黑体"/>
          <w:sz w:val="24"/>
          <w:szCs w:val="24"/>
        </w:rPr>
        <w:t>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713"/>
        <w:gridCol w:w="1389"/>
        <w:gridCol w:w="2178"/>
        <w:gridCol w:w="1267"/>
        <w:gridCol w:w="1834"/>
        <w:gridCol w:w="14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707" w:type="dxa"/>
            <w:vAlign w:val="center"/>
          </w:tcPr>
          <w:p>
            <w:pPr>
              <w:adjustRightInd w:val="0"/>
              <w:snapToGrid w:val="0"/>
              <w:jc w:val="center"/>
              <w:rPr>
                <w:b/>
                <w:szCs w:val="21"/>
              </w:rPr>
            </w:pPr>
            <w:r>
              <w:rPr>
                <w:rFonts w:hint="eastAsia"/>
                <w:b/>
                <w:szCs w:val="21"/>
              </w:rPr>
              <w:t>序号</w:t>
            </w:r>
          </w:p>
        </w:tc>
        <w:tc>
          <w:tcPr>
            <w:tcW w:w="1377" w:type="dxa"/>
            <w:vAlign w:val="center"/>
          </w:tcPr>
          <w:p>
            <w:pPr>
              <w:adjustRightInd w:val="0"/>
              <w:snapToGrid w:val="0"/>
              <w:jc w:val="center"/>
              <w:rPr>
                <w:b/>
                <w:szCs w:val="21"/>
              </w:rPr>
            </w:pPr>
            <w:r>
              <w:rPr>
                <w:b/>
                <w:szCs w:val="21"/>
              </w:rPr>
              <w:t>构筑物名称</w:t>
            </w:r>
          </w:p>
        </w:tc>
        <w:tc>
          <w:tcPr>
            <w:tcW w:w="2159" w:type="dxa"/>
            <w:vAlign w:val="center"/>
          </w:tcPr>
          <w:p>
            <w:pPr>
              <w:adjustRightInd w:val="0"/>
              <w:snapToGrid w:val="0"/>
              <w:jc w:val="center"/>
              <w:rPr>
                <w:b/>
                <w:szCs w:val="21"/>
              </w:rPr>
            </w:pPr>
            <w:r>
              <w:rPr>
                <w:rFonts w:hint="eastAsia"/>
                <w:b/>
                <w:szCs w:val="21"/>
              </w:rPr>
              <w:t>面积/</w:t>
            </w:r>
            <w:r>
              <w:rPr>
                <w:b/>
                <w:szCs w:val="21"/>
              </w:rPr>
              <w:t>体积</w:t>
            </w:r>
          </w:p>
        </w:tc>
        <w:tc>
          <w:tcPr>
            <w:tcW w:w="1256" w:type="dxa"/>
            <w:vAlign w:val="center"/>
          </w:tcPr>
          <w:p>
            <w:pPr>
              <w:adjustRightInd w:val="0"/>
              <w:snapToGrid w:val="0"/>
              <w:jc w:val="center"/>
              <w:rPr>
                <w:b/>
                <w:szCs w:val="21"/>
              </w:rPr>
            </w:pPr>
            <w:r>
              <w:rPr>
                <w:rFonts w:hint="eastAsia"/>
                <w:b/>
                <w:szCs w:val="21"/>
              </w:rPr>
              <w:t>数量/座</w:t>
            </w:r>
          </w:p>
        </w:tc>
        <w:tc>
          <w:tcPr>
            <w:tcW w:w="1818" w:type="dxa"/>
            <w:vAlign w:val="center"/>
          </w:tcPr>
          <w:p>
            <w:pPr>
              <w:adjustRightInd w:val="0"/>
              <w:snapToGrid w:val="0"/>
              <w:jc w:val="center"/>
              <w:rPr>
                <w:b/>
                <w:szCs w:val="21"/>
              </w:rPr>
            </w:pPr>
            <w:r>
              <w:rPr>
                <w:b/>
                <w:szCs w:val="21"/>
              </w:rPr>
              <w:t>风量（m</w:t>
            </w:r>
            <w:r>
              <w:rPr>
                <w:b/>
                <w:szCs w:val="21"/>
                <w:vertAlign w:val="superscript"/>
              </w:rPr>
              <w:t>3</w:t>
            </w:r>
            <w:r>
              <w:rPr>
                <w:b/>
                <w:szCs w:val="21"/>
              </w:rPr>
              <w:t>/h）</w:t>
            </w:r>
          </w:p>
        </w:tc>
        <w:tc>
          <w:tcPr>
            <w:tcW w:w="1393" w:type="dxa"/>
            <w:vAlign w:val="center"/>
          </w:tcPr>
          <w:p>
            <w:pPr>
              <w:adjustRightInd w:val="0"/>
              <w:snapToGrid w:val="0"/>
              <w:jc w:val="center"/>
              <w:rPr>
                <w:b/>
                <w:szCs w:val="21"/>
              </w:rPr>
            </w:pPr>
            <w:r>
              <w:rPr>
                <w:rFonts w:hint="eastAsia"/>
                <w:b/>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07" w:type="dxa"/>
            <w:vAlign w:val="center"/>
          </w:tcPr>
          <w:p>
            <w:pPr>
              <w:adjustRightInd w:val="0"/>
              <w:snapToGrid w:val="0"/>
              <w:jc w:val="center"/>
              <w:rPr>
                <w:szCs w:val="21"/>
              </w:rPr>
            </w:pPr>
            <w:r>
              <w:rPr>
                <w:rFonts w:hint="eastAsia"/>
                <w:szCs w:val="21"/>
              </w:rPr>
              <w:t>1</w:t>
            </w:r>
          </w:p>
        </w:tc>
        <w:tc>
          <w:tcPr>
            <w:tcW w:w="1377" w:type="dxa"/>
            <w:vAlign w:val="center"/>
          </w:tcPr>
          <w:p>
            <w:pPr>
              <w:adjustRightInd w:val="0"/>
              <w:snapToGrid w:val="0"/>
              <w:jc w:val="center"/>
              <w:rPr>
                <w:bCs/>
                <w:szCs w:val="21"/>
              </w:rPr>
            </w:pPr>
            <w:r>
              <w:rPr>
                <w:rFonts w:hint="eastAsia"/>
                <w:bCs/>
                <w:szCs w:val="21"/>
              </w:rPr>
              <w:t>格栅渠</w:t>
            </w:r>
          </w:p>
        </w:tc>
        <w:tc>
          <w:tcPr>
            <w:tcW w:w="2159" w:type="dxa"/>
            <w:vAlign w:val="center"/>
          </w:tcPr>
          <w:p>
            <w:pPr>
              <w:adjustRightInd w:val="0"/>
              <w:snapToGrid w:val="0"/>
              <w:jc w:val="center"/>
              <w:rPr>
                <w:bCs/>
                <w:szCs w:val="21"/>
              </w:rPr>
            </w:pPr>
            <w:r>
              <w:rPr>
                <w:bCs/>
                <w:szCs w:val="21"/>
              </w:rPr>
              <w:t>5.4</w:t>
            </w:r>
            <w:r>
              <w:rPr>
                <w:rFonts w:hint="eastAsia"/>
                <w:bCs/>
                <w:szCs w:val="21"/>
              </w:rPr>
              <w:t>m</w:t>
            </w:r>
            <w:r>
              <w:rPr>
                <w:rFonts w:hint="eastAsia"/>
                <w:bCs/>
                <w:szCs w:val="21"/>
                <w:vertAlign w:val="superscript"/>
              </w:rPr>
              <w:t>2</w:t>
            </w:r>
            <w:r>
              <w:rPr>
                <w:rFonts w:hint="eastAsia"/>
                <w:bCs/>
                <w:szCs w:val="21"/>
              </w:rPr>
              <w:t>/1</w:t>
            </w:r>
            <w:r>
              <w:rPr>
                <w:bCs/>
                <w:szCs w:val="21"/>
              </w:rPr>
              <w:t>2.42</w:t>
            </w:r>
            <w:r>
              <w:rPr>
                <w:rFonts w:hint="eastAsia"/>
                <w:bCs/>
                <w:szCs w:val="21"/>
              </w:rPr>
              <w:t>m</w:t>
            </w:r>
            <w:r>
              <w:rPr>
                <w:rFonts w:hint="eastAsia"/>
                <w:bCs/>
                <w:szCs w:val="21"/>
                <w:vertAlign w:val="superscript"/>
              </w:rPr>
              <w:t>3</w:t>
            </w:r>
          </w:p>
        </w:tc>
        <w:tc>
          <w:tcPr>
            <w:tcW w:w="1256" w:type="dxa"/>
            <w:vAlign w:val="center"/>
          </w:tcPr>
          <w:p>
            <w:pPr>
              <w:adjustRightInd w:val="0"/>
              <w:snapToGrid w:val="0"/>
              <w:jc w:val="center"/>
              <w:rPr>
                <w:bCs/>
                <w:szCs w:val="21"/>
              </w:rPr>
            </w:pPr>
            <w:r>
              <w:rPr>
                <w:rFonts w:hint="eastAsia"/>
                <w:bCs/>
                <w:szCs w:val="21"/>
              </w:rPr>
              <w:t>1</w:t>
            </w:r>
          </w:p>
        </w:tc>
        <w:tc>
          <w:tcPr>
            <w:tcW w:w="1818" w:type="dxa"/>
            <w:vAlign w:val="center"/>
          </w:tcPr>
          <w:p>
            <w:pPr>
              <w:adjustRightInd w:val="0"/>
              <w:snapToGrid w:val="0"/>
              <w:jc w:val="center"/>
              <w:rPr>
                <w:bCs/>
                <w:szCs w:val="21"/>
              </w:rPr>
            </w:pPr>
            <w:r>
              <w:rPr>
                <w:rFonts w:hint="eastAsia"/>
                <w:bCs/>
                <w:szCs w:val="21"/>
              </w:rPr>
              <w:t>6</w:t>
            </w:r>
            <w:r>
              <w:rPr>
                <w:bCs/>
                <w:szCs w:val="21"/>
              </w:rPr>
              <w:t>6</w:t>
            </w:r>
          </w:p>
        </w:tc>
        <w:tc>
          <w:tcPr>
            <w:tcW w:w="1393" w:type="dxa"/>
            <w:vAlign w:val="center"/>
          </w:tcPr>
          <w:p>
            <w:pPr>
              <w:adjustRightInd w:val="0"/>
              <w:snapToGrid w:val="0"/>
              <w:jc w:val="center"/>
              <w:rPr>
                <w:bCs/>
                <w:szCs w:val="21"/>
              </w:rPr>
            </w:pPr>
            <w:r>
              <w:rPr>
                <w:rFonts w:hint="eastAsia"/>
                <w:bCs/>
                <w:szCs w:val="21"/>
              </w:rPr>
              <w:t>增加</w:t>
            </w:r>
            <w:r>
              <w:rPr>
                <w:bCs/>
                <w:szCs w:val="21"/>
              </w:rPr>
              <w:t>1</w:t>
            </w:r>
            <w:r>
              <w:rPr>
                <w:rFonts w:hint="eastAsia"/>
                <w:szCs w:val="21"/>
              </w:rPr>
              <w:t>次/h的空间换气量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07" w:type="dxa"/>
            <w:vAlign w:val="center"/>
          </w:tcPr>
          <w:p>
            <w:pPr>
              <w:adjustRightInd w:val="0"/>
              <w:snapToGrid w:val="0"/>
              <w:jc w:val="center"/>
              <w:rPr>
                <w:szCs w:val="21"/>
              </w:rPr>
            </w:pPr>
            <w:r>
              <w:rPr>
                <w:rFonts w:hint="eastAsia"/>
                <w:szCs w:val="21"/>
              </w:rPr>
              <w:t>2</w:t>
            </w:r>
          </w:p>
        </w:tc>
        <w:tc>
          <w:tcPr>
            <w:tcW w:w="1377" w:type="dxa"/>
            <w:vAlign w:val="center"/>
          </w:tcPr>
          <w:p>
            <w:pPr>
              <w:adjustRightInd w:val="0"/>
              <w:snapToGrid w:val="0"/>
              <w:jc w:val="center"/>
              <w:rPr>
                <w:bCs/>
                <w:szCs w:val="21"/>
              </w:rPr>
            </w:pPr>
            <w:r>
              <w:rPr>
                <w:bCs/>
                <w:szCs w:val="21"/>
              </w:rPr>
              <w:t>集水池</w:t>
            </w:r>
          </w:p>
        </w:tc>
        <w:tc>
          <w:tcPr>
            <w:tcW w:w="2159" w:type="dxa"/>
            <w:vAlign w:val="center"/>
          </w:tcPr>
          <w:p>
            <w:pPr>
              <w:adjustRightInd w:val="0"/>
              <w:snapToGrid w:val="0"/>
              <w:jc w:val="center"/>
              <w:rPr>
                <w:bCs/>
                <w:szCs w:val="21"/>
              </w:rPr>
            </w:pPr>
            <w:r>
              <w:rPr>
                <w:rFonts w:hint="eastAsia"/>
                <w:szCs w:val="21"/>
              </w:rPr>
              <w:t>10</w:t>
            </w:r>
            <w:r>
              <w:rPr>
                <w:szCs w:val="21"/>
              </w:rPr>
              <w:t>9.2m</w:t>
            </w:r>
            <w:r>
              <w:rPr>
                <w:szCs w:val="21"/>
                <w:vertAlign w:val="superscript"/>
              </w:rPr>
              <w:t>2</w:t>
            </w:r>
            <w:r>
              <w:rPr>
                <w:rFonts w:hint="eastAsia"/>
                <w:szCs w:val="21"/>
              </w:rPr>
              <w:t>/</w:t>
            </w:r>
            <w:r>
              <w:rPr>
                <w:szCs w:val="21"/>
              </w:rPr>
              <w:t>360.36</w:t>
            </w:r>
            <w:r>
              <w:rPr>
                <w:rFonts w:hint="eastAsia"/>
                <w:bCs/>
                <w:szCs w:val="21"/>
              </w:rPr>
              <w:t>m</w:t>
            </w:r>
            <w:r>
              <w:rPr>
                <w:rFonts w:hint="eastAsia"/>
                <w:bCs/>
                <w:szCs w:val="21"/>
                <w:vertAlign w:val="superscript"/>
              </w:rPr>
              <w:t>3</w:t>
            </w:r>
          </w:p>
        </w:tc>
        <w:tc>
          <w:tcPr>
            <w:tcW w:w="1256" w:type="dxa"/>
            <w:vAlign w:val="center"/>
          </w:tcPr>
          <w:p>
            <w:pPr>
              <w:adjustRightInd w:val="0"/>
              <w:snapToGrid w:val="0"/>
              <w:jc w:val="center"/>
              <w:rPr>
                <w:bCs/>
                <w:szCs w:val="21"/>
              </w:rPr>
            </w:pPr>
            <w:r>
              <w:rPr>
                <w:rFonts w:hint="eastAsia"/>
                <w:bCs/>
                <w:szCs w:val="21"/>
              </w:rPr>
              <w:t>1</w:t>
            </w:r>
          </w:p>
        </w:tc>
        <w:tc>
          <w:tcPr>
            <w:tcW w:w="1818" w:type="dxa"/>
            <w:vAlign w:val="center"/>
          </w:tcPr>
          <w:p>
            <w:pPr>
              <w:adjustRightInd w:val="0"/>
              <w:snapToGrid w:val="0"/>
              <w:jc w:val="center"/>
              <w:rPr>
                <w:bCs/>
                <w:szCs w:val="21"/>
              </w:rPr>
            </w:pPr>
            <w:r>
              <w:rPr>
                <w:rFonts w:hint="eastAsia"/>
                <w:bCs/>
                <w:szCs w:val="21"/>
              </w:rPr>
              <w:t>6</w:t>
            </w:r>
            <w:r>
              <w:rPr>
                <w:bCs/>
                <w:szCs w:val="21"/>
              </w:rPr>
              <w:t>88</w:t>
            </w:r>
          </w:p>
        </w:tc>
        <w:tc>
          <w:tcPr>
            <w:tcW w:w="1393" w:type="dxa"/>
            <w:vAlign w:val="center"/>
          </w:tcPr>
          <w:p>
            <w:pPr>
              <w:adjustRightInd w:val="0"/>
              <w:snapToGrid w:val="0"/>
              <w:jc w:val="center"/>
              <w:rPr>
                <w:bCs/>
                <w:szCs w:val="21"/>
              </w:rPr>
            </w:pPr>
            <w:r>
              <w:rPr>
                <w:rFonts w:hint="eastAsia"/>
                <w:bCs/>
                <w:szCs w:val="21"/>
              </w:rPr>
              <w:t>增加</w:t>
            </w:r>
            <w:r>
              <w:rPr>
                <w:bCs/>
                <w:szCs w:val="21"/>
              </w:rPr>
              <w:t>1</w:t>
            </w:r>
            <w:r>
              <w:rPr>
                <w:rFonts w:hint="eastAsia"/>
                <w:szCs w:val="21"/>
              </w:rPr>
              <w:t>次/h的空间换气量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07" w:type="dxa"/>
            <w:vAlign w:val="center"/>
          </w:tcPr>
          <w:p>
            <w:pPr>
              <w:adjustRightInd w:val="0"/>
              <w:snapToGrid w:val="0"/>
              <w:jc w:val="center"/>
              <w:rPr>
                <w:szCs w:val="21"/>
              </w:rPr>
            </w:pPr>
            <w:r>
              <w:rPr>
                <w:rFonts w:hint="eastAsia"/>
                <w:szCs w:val="21"/>
              </w:rPr>
              <w:t>3</w:t>
            </w:r>
          </w:p>
        </w:tc>
        <w:tc>
          <w:tcPr>
            <w:tcW w:w="1377" w:type="dxa"/>
            <w:vAlign w:val="center"/>
          </w:tcPr>
          <w:p>
            <w:pPr>
              <w:adjustRightInd w:val="0"/>
              <w:snapToGrid w:val="0"/>
              <w:jc w:val="center"/>
              <w:rPr>
                <w:bCs/>
                <w:szCs w:val="21"/>
              </w:rPr>
            </w:pPr>
            <w:r>
              <w:rPr>
                <w:rFonts w:hint="eastAsia"/>
                <w:bCs/>
                <w:szCs w:val="21"/>
              </w:rPr>
              <w:t>初沉池</w:t>
            </w:r>
          </w:p>
        </w:tc>
        <w:tc>
          <w:tcPr>
            <w:tcW w:w="2159" w:type="dxa"/>
            <w:vAlign w:val="center"/>
          </w:tcPr>
          <w:p>
            <w:pPr>
              <w:adjustRightInd w:val="0"/>
              <w:snapToGrid w:val="0"/>
              <w:jc w:val="center"/>
              <w:rPr>
                <w:szCs w:val="21"/>
              </w:rPr>
            </w:pPr>
            <w:r>
              <w:rPr>
                <w:szCs w:val="21"/>
              </w:rPr>
              <w:t>109.5m</w:t>
            </w:r>
            <w:r>
              <w:rPr>
                <w:szCs w:val="21"/>
                <w:vertAlign w:val="superscript"/>
              </w:rPr>
              <w:t>2</w:t>
            </w:r>
            <w:r>
              <w:rPr>
                <w:rFonts w:hint="eastAsia"/>
                <w:szCs w:val="21"/>
              </w:rPr>
              <w:t>/</w:t>
            </w:r>
            <w:r>
              <w:rPr>
                <w:szCs w:val="21"/>
              </w:rPr>
              <w:t>766.5</w:t>
            </w:r>
            <w:r>
              <w:rPr>
                <w:rFonts w:hint="eastAsia"/>
                <w:bCs/>
                <w:szCs w:val="21"/>
              </w:rPr>
              <w:t>m</w:t>
            </w:r>
            <w:r>
              <w:rPr>
                <w:rFonts w:hint="eastAsia"/>
                <w:bCs/>
                <w:szCs w:val="21"/>
                <w:vertAlign w:val="superscript"/>
              </w:rPr>
              <w:t>3</w:t>
            </w:r>
          </w:p>
        </w:tc>
        <w:tc>
          <w:tcPr>
            <w:tcW w:w="1256" w:type="dxa"/>
            <w:vAlign w:val="center"/>
          </w:tcPr>
          <w:p>
            <w:pPr>
              <w:adjustRightInd w:val="0"/>
              <w:snapToGrid w:val="0"/>
              <w:jc w:val="center"/>
              <w:rPr>
                <w:bCs/>
                <w:szCs w:val="21"/>
              </w:rPr>
            </w:pPr>
            <w:r>
              <w:rPr>
                <w:rFonts w:hint="eastAsia"/>
                <w:bCs/>
                <w:szCs w:val="21"/>
              </w:rPr>
              <w:t>1</w:t>
            </w:r>
          </w:p>
        </w:tc>
        <w:tc>
          <w:tcPr>
            <w:tcW w:w="1818" w:type="dxa"/>
            <w:vAlign w:val="center"/>
          </w:tcPr>
          <w:p>
            <w:pPr>
              <w:adjustRightInd w:val="0"/>
              <w:snapToGrid w:val="0"/>
              <w:jc w:val="center"/>
              <w:rPr>
                <w:bCs/>
                <w:szCs w:val="21"/>
              </w:rPr>
            </w:pPr>
            <w:r>
              <w:rPr>
                <w:rFonts w:hint="eastAsia"/>
                <w:bCs/>
                <w:szCs w:val="21"/>
              </w:rPr>
              <w:t>1</w:t>
            </w:r>
            <w:r>
              <w:rPr>
                <w:bCs/>
                <w:szCs w:val="21"/>
              </w:rPr>
              <w:t>095</w:t>
            </w:r>
          </w:p>
        </w:tc>
        <w:tc>
          <w:tcPr>
            <w:tcW w:w="1393" w:type="dxa"/>
            <w:vAlign w:val="center"/>
          </w:tcPr>
          <w:p>
            <w:pPr>
              <w:adjustRightInd w:val="0"/>
              <w:snapToGrid w:val="0"/>
              <w:jc w:val="center"/>
              <w:rPr>
                <w:bCs/>
                <w:szCs w:val="21"/>
              </w:rPr>
            </w:pPr>
            <w:r>
              <w:rPr>
                <w:rFonts w:hint="eastAsia"/>
                <w:bCs/>
                <w:szCs w:val="21"/>
              </w:rPr>
              <w:t>增加1</w:t>
            </w:r>
            <w:r>
              <w:rPr>
                <w:rFonts w:hint="eastAsia"/>
                <w:szCs w:val="21"/>
              </w:rPr>
              <w:t>次/h的空间换气量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07" w:type="dxa"/>
            <w:vAlign w:val="center"/>
          </w:tcPr>
          <w:p>
            <w:pPr>
              <w:adjustRightInd w:val="0"/>
              <w:snapToGrid w:val="0"/>
              <w:jc w:val="center"/>
              <w:rPr>
                <w:szCs w:val="21"/>
              </w:rPr>
            </w:pPr>
            <w:r>
              <w:rPr>
                <w:rFonts w:hint="eastAsia"/>
                <w:szCs w:val="21"/>
              </w:rPr>
              <w:t>4</w:t>
            </w:r>
          </w:p>
        </w:tc>
        <w:tc>
          <w:tcPr>
            <w:tcW w:w="1377" w:type="dxa"/>
            <w:vAlign w:val="center"/>
          </w:tcPr>
          <w:p>
            <w:pPr>
              <w:adjustRightInd w:val="0"/>
              <w:snapToGrid w:val="0"/>
              <w:jc w:val="center"/>
              <w:rPr>
                <w:bCs/>
                <w:szCs w:val="21"/>
              </w:rPr>
            </w:pPr>
            <w:r>
              <w:rPr>
                <w:bCs/>
                <w:szCs w:val="21"/>
              </w:rPr>
              <w:t>调节池</w:t>
            </w:r>
          </w:p>
        </w:tc>
        <w:tc>
          <w:tcPr>
            <w:tcW w:w="2159" w:type="dxa"/>
            <w:vAlign w:val="center"/>
          </w:tcPr>
          <w:p>
            <w:pPr>
              <w:adjustRightInd w:val="0"/>
              <w:snapToGrid w:val="0"/>
              <w:jc w:val="center"/>
              <w:rPr>
                <w:bCs/>
                <w:szCs w:val="21"/>
              </w:rPr>
            </w:pPr>
            <w:r>
              <w:rPr>
                <w:szCs w:val="21"/>
              </w:rPr>
              <w:t>160.95m</w:t>
            </w:r>
            <w:r>
              <w:rPr>
                <w:szCs w:val="21"/>
                <w:vertAlign w:val="superscript"/>
              </w:rPr>
              <w:t>2</w:t>
            </w:r>
            <w:r>
              <w:rPr>
                <w:rFonts w:hint="eastAsia"/>
                <w:szCs w:val="21"/>
              </w:rPr>
              <w:t>/</w:t>
            </w:r>
            <w:r>
              <w:rPr>
                <w:szCs w:val="21"/>
              </w:rPr>
              <w:t>1126.65</w:t>
            </w:r>
            <w:r>
              <w:rPr>
                <w:rFonts w:hint="eastAsia"/>
                <w:bCs/>
                <w:szCs w:val="21"/>
              </w:rPr>
              <w:t>m</w:t>
            </w:r>
            <w:r>
              <w:rPr>
                <w:rFonts w:hint="eastAsia"/>
                <w:bCs/>
                <w:szCs w:val="21"/>
                <w:vertAlign w:val="superscript"/>
              </w:rPr>
              <w:t>3</w:t>
            </w:r>
          </w:p>
        </w:tc>
        <w:tc>
          <w:tcPr>
            <w:tcW w:w="1256" w:type="dxa"/>
            <w:vAlign w:val="center"/>
          </w:tcPr>
          <w:p>
            <w:pPr>
              <w:adjustRightInd w:val="0"/>
              <w:snapToGrid w:val="0"/>
              <w:jc w:val="center"/>
              <w:rPr>
                <w:bCs/>
                <w:szCs w:val="21"/>
              </w:rPr>
            </w:pPr>
            <w:r>
              <w:rPr>
                <w:rFonts w:hint="eastAsia"/>
                <w:bCs/>
                <w:szCs w:val="21"/>
              </w:rPr>
              <w:t>1</w:t>
            </w:r>
          </w:p>
        </w:tc>
        <w:tc>
          <w:tcPr>
            <w:tcW w:w="1818" w:type="dxa"/>
            <w:vAlign w:val="center"/>
          </w:tcPr>
          <w:p>
            <w:pPr>
              <w:adjustRightInd w:val="0"/>
              <w:snapToGrid w:val="0"/>
              <w:jc w:val="center"/>
              <w:rPr>
                <w:bCs/>
                <w:szCs w:val="21"/>
              </w:rPr>
            </w:pPr>
            <w:r>
              <w:rPr>
                <w:rFonts w:hint="eastAsia"/>
                <w:bCs/>
                <w:szCs w:val="21"/>
              </w:rPr>
              <w:t>1</w:t>
            </w:r>
            <w:r>
              <w:rPr>
                <w:bCs/>
                <w:szCs w:val="21"/>
              </w:rPr>
              <w:t>610</w:t>
            </w:r>
          </w:p>
        </w:tc>
        <w:tc>
          <w:tcPr>
            <w:tcW w:w="1393" w:type="dxa"/>
            <w:vAlign w:val="center"/>
          </w:tcPr>
          <w:p>
            <w:pPr>
              <w:adjustRightInd w:val="0"/>
              <w:snapToGrid w:val="0"/>
              <w:jc w:val="center"/>
              <w:rPr>
                <w:bCs/>
                <w:szCs w:val="21"/>
              </w:rPr>
            </w:pPr>
            <w:r>
              <w:rPr>
                <w:rFonts w:hint="eastAsia"/>
                <w:bCs/>
                <w:szCs w:val="21"/>
              </w:rPr>
              <w:t>增加</w:t>
            </w:r>
            <w:r>
              <w:rPr>
                <w:bCs/>
                <w:szCs w:val="21"/>
              </w:rPr>
              <w:t>1</w:t>
            </w:r>
            <w:r>
              <w:rPr>
                <w:rFonts w:hint="eastAsia"/>
                <w:szCs w:val="21"/>
              </w:rPr>
              <w:t>次/h的空间换气量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07" w:type="dxa"/>
            <w:vAlign w:val="center"/>
          </w:tcPr>
          <w:p>
            <w:pPr>
              <w:adjustRightInd w:val="0"/>
              <w:snapToGrid w:val="0"/>
              <w:jc w:val="center"/>
              <w:rPr>
                <w:szCs w:val="21"/>
              </w:rPr>
            </w:pPr>
            <w:r>
              <w:rPr>
                <w:rFonts w:hint="eastAsia"/>
                <w:szCs w:val="21"/>
              </w:rPr>
              <w:t>5</w:t>
            </w:r>
          </w:p>
        </w:tc>
        <w:tc>
          <w:tcPr>
            <w:tcW w:w="1377" w:type="dxa"/>
            <w:vAlign w:val="center"/>
          </w:tcPr>
          <w:p>
            <w:pPr>
              <w:adjustRightInd w:val="0"/>
              <w:snapToGrid w:val="0"/>
              <w:jc w:val="center"/>
              <w:rPr>
                <w:bCs/>
                <w:szCs w:val="21"/>
              </w:rPr>
            </w:pPr>
            <w:r>
              <w:rPr>
                <w:rFonts w:hint="eastAsia"/>
              </w:rPr>
              <w:t>水解酸化池</w:t>
            </w:r>
          </w:p>
        </w:tc>
        <w:tc>
          <w:tcPr>
            <w:tcW w:w="2159" w:type="dxa"/>
            <w:vAlign w:val="center"/>
          </w:tcPr>
          <w:p>
            <w:pPr>
              <w:adjustRightInd w:val="0"/>
              <w:snapToGrid w:val="0"/>
              <w:jc w:val="center"/>
              <w:rPr>
                <w:szCs w:val="21"/>
              </w:rPr>
            </w:pPr>
            <w:r>
              <w:rPr>
                <w:szCs w:val="21"/>
              </w:rPr>
              <w:t>63.6m</w:t>
            </w:r>
            <w:r>
              <w:rPr>
                <w:szCs w:val="21"/>
                <w:vertAlign w:val="superscript"/>
              </w:rPr>
              <w:t>2</w:t>
            </w:r>
            <w:r>
              <w:rPr>
                <w:rFonts w:hint="eastAsia"/>
                <w:szCs w:val="21"/>
              </w:rPr>
              <w:t>/</w:t>
            </w:r>
            <w:r>
              <w:rPr>
                <w:szCs w:val="21"/>
              </w:rPr>
              <w:t>445.2</w:t>
            </w:r>
            <w:r>
              <w:rPr>
                <w:rFonts w:hint="eastAsia"/>
                <w:bCs/>
                <w:szCs w:val="21"/>
              </w:rPr>
              <w:t>m</w:t>
            </w:r>
            <w:r>
              <w:rPr>
                <w:rFonts w:hint="eastAsia"/>
                <w:bCs/>
                <w:szCs w:val="21"/>
                <w:vertAlign w:val="superscript"/>
              </w:rPr>
              <w:t>3</w:t>
            </w:r>
          </w:p>
        </w:tc>
        <w:tc>
          <w:tcPr>
            <w:tcW w:w="1256" w:type="dxa"/>
            <w:vAlign w:val="center"/>
          </w:tcPr>
          <w:p>
            <w:pPr>
              <w:adjustRightInd w:val="0"/>
              <w:snapToGrid w:val="0"/>
              <w:jc w:val="center"/>
              <w:rPr>
                <w:bCs/>
                <w:szCs w:val="21"/>
              </w:rPr>
            </w:pPr>
            <w:r>
              <w:rPr>
                <w:rFonts w:hint="eastAsia"/>
                <w:bCs/>
                <w:szCs w:val="21"/>
              </w:rPr>
              <w:t>1</w:t>
            </w:r>
          </w:p>
        </w:tc>
        <w:tc>
          <w:tcPr>
            <w:tcW w:w="1818" w:type="dxa"/>
            <w:vAlign w:val="center"/>
          </w:tcPr>
          <w:p>
            <w:pPr>
              <w:adjustRightInd w:val="0"/>
              <w:snapToGrid w:val="0"/>
              <w:jc w:val="center"/>
              <w:rPr>
                <w:bCs/>
                <w:szCs w:val="21"/>
              </w:rPr>
            </w:pPr>
            <w:r>
              <w:rPr>
                <w:rFonts w:hint="eastAsia"/>
                <w:bCs/>
                <w:szCs w:val="21"/>
              </w:rPr>
              <w:t>1</w:t>
            </w:r>
            <w:r>
              <w:rPr>
                <w:bCs/>
                <w:szCs w:val="21"/>
              </w:rPr>
              <w:t>081</w:t>
            </w:r>
          </w:p>
        </w:tc>
        <w:tc>
          <w:tcPr>
            <w:tcW w:w="1393" w:type="dxa"/>
            <w:vAlign w:val="center"/>
          </w:tcPr>
          <w:p>
            <w:pPr>
              <w:adjustRightInd w:val="0"/>
              <w:snapToGrid w:val="0"/>
              <w:jc w:val="center"/>
              <w:rPr>
                <w:bCs/>
                <w:szCs w:val="21"/>
              </w:rPr>
            </w:pPr>
            <w:r>
              <w:rPr>
                <w:rFonts w:hint="eastAsia"/>
                <w:bCs/>
                <w:szCs w:val="21"/>
              </w:rPr>
              <w:t>增加2</w:t>
            </w:r>
            <w:r>
              <w:rPr>
                <w:rFonts w:hint="eastAsia"/>
                <w:szCs w:val="21"/>
              </w:rPr>
              <w:t>次/h的空间换气量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07" w:type="dxa"/>
            <w:vAlign w:val="center"/>
          </w:tcPr>
          <w:p>
            <w:pPr>
              <w:adjustRightInd w:val="0"/>
              <w:snapToGrid w:val="0"/>
              <w:jc w:val="center"/>
              <w:rPr>
                <w:szCs w:val="21"/>
              </w:rPr>
            </w:pPr>
          </w:p>
          <w:p>
            <w:pPr>
              <w:adjustRightInd w:val="0"/>
              <w:snapToGrid w:val="0"/>
              <w:jc w:val="center"/>
              <w:rPr>
                <w:szCs w:val="21"/>
              </w:rPr>
            </w:pPr>
            <w:r>
              <w:rPr>
                <w:rFonts w:hint="eastAsia"/>
                <w:szCs w:val="21"/>
              </w:rPr>
              <w:t>6</w:t>
            </w:r>
          </w:p>
        </w:tc>
        <w:tc>
          <w:tcPr>
            <w:tcW w:w="1377" w:type="dxa"/>
            <w:vAlign w:val="center"/>
          </w:tcPr>
          <w:p>
            <w:pPr>
              <w:adjustRightInd w:val="0"/>
              <w:snapToGrid w:val="0"/>
              <w:jc w:val="center"/>
              <w:rPr>
                <w:bCs/>
                <w:szCs w:val="21"/>
              </w:rPr>
            </w:pPr>
            <w:r>
              <w:rPr>
                <w:rFonts w:hint="eastAsia"/>
              </w:rPr>
              <w:t>厌氧池</w:t>
            </w:r>
          </w:p>
        </w:tc>
        <w:tc>
          <w:tcPr>
            <w:tcW w:w="2159" w:type="dxa"/>
            <w:vAlign w:val="center"/>
          </w:tcPr>
          <w:p>
            <w:pPr>
              <w:adjustRightInd w:val="0"/>
              <w:snapToGrid w:val="0"/>
              <w:jc w:val="center"/>
              <w:rPr>
                <w:bCs/>
                <w:szCs w:val="21"/>
              </w:rPr>
            </w:pPr>
            <w:r>
              <w:rPr>
                <w:szCs w:val="21"/>
              </w:rPr>
              <w:t>50.35m</w:t>
            </w:r>
            <w:r>
              <w:rPr>
                <w:szCs w:val="21"/>
                <w:vertAlign w:val="superscript"/>
              </w:rPr>
              <w:t>2</w:t>
            </w:r>
            <w:r>
              <w:rPr>
                <w:rFonts w:hint="eastAsia"/>
                <w:szCs w:val="21"/>
              </w:rPr>
              <w:t>/</w:t>
            </w:r>
            <w:r>
              <w:rPr>
                <w:szCs w:val="21"/>
              </w:rPr>
              <w:t>352.45</w:t>
            </w:r>
            <w:r>
              <w:rPr>
                <w:rFonts w:hint="eastAsia"/>
                <w:bCs/>
                <w:szCs w:val="21"/>
              </w:rPr>
              <w:t>m</w:t>
            </w:r>
            <w:r>
              <w:rPr>
                <w:rFonts w:hint="eastAsia"/>
                <w:bCs/>
                <w:szCs w:val="21"/>
                <w:vertAlign w:val="superscript"/>
              </w:rPr>
              <w:t>3</w:t>
            </w:r>
          </w:p>
        </w:tc>
        <w:tc>
          <w:tcPr>
            <w:tcW w:w="1256" w:type="dxa"/>
            <w:vAlign w:val="center"/>
          </w:tcPr>
          <w:p>
            <w:pPr>
              <w:adjustRightInd w:val="0"/>
              <w:snapToGrid w:val="0"/>
              <w:jc w:val="center"/>
              <w:rPr>
                <w:bCs/>
                <w:szCs w:val="21"/>
              </w:rPr>
            </w:pPr>
            <w:r>
              <w:rPr>
                <w:rFonts w:hint="eastAsia"/>
                <w:bCs/>
                <w:szCs w:val="21"/>
              </w:rPr>
              <w:t>1</w:t>
            </w:r>
          </w:p>
        </w:tc>
        <w:tc>
          <w:tcPr>
            <w:tcW w:w="1818" w:type="dxa"/>
            <w:vAlign w:val="center"/>
          </w:tcPr>
          <w:p>
            <w:pPr>
              <w:adjustRightInd w:val="0"/>
              <w:snapToGrid w:val="0"/>
              <w:jc w:val="center"/>
              <w:rPr>
                <w:bCs/>
                <w:szCs w:val="21"/>
              </w:rPr>
            </w:pPr>
            <w:r>
              <w:rPr>
                <w:rFonts w:hint="eastAsia"/>
                <w:bCs/>
                <w:szCs w:val="21"/>
              </w:rPr>
              <w:t>8</w:t>
            </w:r>
            <w:r>
              <w:rPr>
                <w:bCs/>
                <w:szCs w:val="21"/>
              </w:rPr>
              <w:t>56</w:t>
            </w:r>
          </w:p>
        </w:tc>
        <w:tc>
          <w:tcPr>
            <w:tcW w:w="1393" w:type="dxa"/>
          </w:tcPr>
          <w:p>
            <w:pPr>
              <w:adjustRightInd w:val="0"/>
              <w:snapToGrid w:val="0"/>
              <w:jc w:val="center"/>
              <w:rPr>
                <w:bCs/>
                <w:szCs w:val="21"/>
              </w:rPr>
            </w:pPr>
            <w:r>
              <w:rPr>
                <w:rFonts w:hint="eastAsia"/>
                <w:bCs/>
                <w:szCs w:val="21"/>
              </w:rPr>
              <w:t>增加2</w:t>
            </w:r>
            <w:r>
              <w:rPr>
                <w:rFonts w:hint="eastAsia"/>
                <w:szCs w:val="21"/>
              </w:rPr>
              <w:t>次/h的空间换气量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07" w:type="dxa"/>
            <w:vAlign w:val="center"/>
          </w:tcPr>
          <w:p>
            <w:pPr>
              <w:adjustRightInd w:val="0"/>
              <w:snapToGrid w:val="0"/>
              <w:jc w:val="center"/>
              <w:rPr>
                <w:szCs w:val="21"/>
              </w:rPr>
            </w:pPr>
            <w:r>
              <w:rPr>
                <w:rFonts w:hint="eastAsia"/>
                <w:szCs w:val="21"/>
              </w:rPr>
              <w:t>7</w:t>
            </w:r>
          </w:p>
        </w:tc>
        <w:tc>
          <w:tcPr>
            <w:tcW w:w="1377" w:type="dxa"/>
            <w:vAlign w:val="center"/>
          </w:tcPr>
          <w:p>
            <w:pPr>
              <w:adjustRightInd w:val="0"/>
              <w:snapToGrid w:val="0"/>
              <w:jc w:val="center"/>
            </w:pPr>
            <w:r>
              <w:rPr>
                <w:rFonts w:hint="eastAsia"/>
                <w:szCs w:val="21"/>
              </w:rPr>
              <w:t>缺氧池</w:t>
            </w:r>
          </w:p>
        </w:tc>
        <w:tc>
          <w:tcPr>
            <w:tcW w:w="2159" w:type="dxa"/>
            <w:vAlign w:val="center"/>
          </w:tcPr>
          <w:p>
            <w:pPr>
              <w:adjustRightInd w:val="0"/>
              <w:snapToGrid w:val="0"/>
              <w:jc w:val="center"/>
              <w:rPr>
                <w:bCs/>
                <w:szCs w:val="21"/>
              </w:rPr>
            </w:pPr>
            <w:r>
              <w:rPr>
                <w:szCs w:val="21"/>
              </w:rPr>
              <w:t>50.35m</w:t>
            </w:r>
            <w:r>
              <w:rPr>
                <w:szCs w:val="21"/>
                <w:vertAlign w:val="superscript"/>
              </w:rPr>
              <w:t>2</w:t>
            </w:r>
            <w:r>
              <w:rPr>
                <w:rFonts w:hint="eastAsia"/>
                <w:szCs w:val="21"/>
              </w:rPr>
              <w:t>/</w:t>
            </w:r>
            <w:r>
              <w:rPr>
                <w:szCs w:val="21"/>
              </w:rPr>
              <w:t>352.45</w:t>
            </w:r>
            <w:r>
              <w:rPr>
                <w:rFonts w:hint="eastAsia"/>
                <w:bCs/>
                <w:szCs w:val="21"/>
              </w:rPr>
              <w:t>m</w:t>
            </w:r>
            <w:r>
              <w:rPr>
                <w:rFonts w:hint="eastAsia"/>
                <w:bCs/>
                <w:szCs w:val="21"/>
                <w:vertAlign w:val="superscript"/>
              </w:rPr>
              <w:t>3</w:t>
            </w:r>
          </w:p>
        </w:tc>
        <w:tc>
          <w:tcPr>
            <w:tcW w:w="1256" w:type="dxa"/>
            <w:vAlign w:val="center"/>
          </w:tcPr>
          <w:p>
            <w:pPr>
              <w:adjustRightInd w:val="0"/>
              <w:snapToGrid w:val="0"/>
              <w:jc w:val="center"/>
              <w:rPr>
                <w:bCs/>
                <w:szCs w:val="21"/>
              </w:rPr>
            </w:pPr>
            <w:r>
              <w:rPr>
                <w:rFonts w:hint="eastAsia"/>
                <w:bCs/>
                <w:szCs w:val="21"/>
              </w:rPr>
              <w:t>4</w:t>
            </w:r>
          </w:p>
        </w:tc>
        <w:tc>
          <w:tcPr>
            <w:tcW w:w="1818" w:type="dxa"/>
            <w:vAlign w:val="center"/>
          </w:tcPr>
          <w:p>
            <w:pPr>
              <w:adjustRightInd w:val="0"/>
              <w:snapToGrid w:val="0"/>
              <w:jc w:val="center"/>
              <w:rPr>
                <w:bCs/>
                <w:szCs w:val="21"/>
              </w:rPr>
            </w:pPr>
            <w:r>
              <w:rPr>
                <w:rFonts w:hint="eastAsia"/>
                <w:bCs/>
                <w:szCs w:val="21"/>
              </w:rPr>
              <w:t>3</w:t>
            </w:r>
            <w:r>
              <w:rPr>
                <w:bCs/>
                <w:szCs w:val="21"/>
              </w:rPr>
              <w:t>234</w:t>
            </w:r>
          </w:p>
        </w:tc>
        <w:tc>
          <w:tcPr>
            <w:tcW w:w="1393" w:type="dxa"/>
          </w:tcPr>
          <w:p>
            <w:pPr>
              <w:adjustRightInd w:val="0"/>
              <w:snapToGrid w:val="0"/>
              <w:jc w:val="center"/>
              <w:rPr>
                <w:bCs/>
                <w:szCs w:val="21"/>
              </w:rPr>
            </w:pPr>
            <w:r>
              <w:rPr>
                <w:rFonts w:hint="eastAsia"/>
                <w:bCs/>
                <w:szCs w:val="21"/>
              </w:rPr>
              <w:t>增加2</w:t>
            </w:r>
            <w:r>
              <w:rPr>
                <w:rFonts w:hint="eastAsia"/>
                <w:szCs w:val="21"/>
              </w:rPr>
              <w:t>次/h的空间换气量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07" w:type="dxa"/>
            <w:vAlign w:val="center"/>
          </w:tcPr>
          <w:p>
            <w:pPr>
              <w:adjustRightInd w:val="0"/>
              <w:snapToGrid w:val="0"/>
              <w:jc w:val="center"/>
              <w:rPr>
                <w:szCs w:val="21"/>
              </w:rPr>
            </w:pPr>
            <w:r>
              <w:rPr>
                <w:rFonts w:hint="eastAsia"/>
                <w:szCs w:val="21"/>
              </w:rPr>
              <w:t>8</w:t>
            </w:r>
          </w:p>
        </w:tc>
        <w:tc>
          <w:tcPr>
            <w:tcW w:w="1377" w:type="dxa"/>
            <w:vAlign w:val="center"/>
          </w:tcPr>
          <w:p>
            <w:pPr>
              <w:adjustRightInd w:val="0"/>
              <w:snapToGrid w:val="0"/>
              <w:jc w:val="center"/>
              <w:rPr>
                <w:bCs/>
                <w:szCs w:val="21"/>
              </w:rPr>
            </w:pPr>
            <w:r>
              <w:rPr>
                <w:rFonts w:hint="eastAsia"/>
              </w:rPr>
              <w:t>好氧池</w:t>
            </w:r>
          </w:p>
        </w:tc>
        <w:tc>
          <w:tcPr>
            <w:tcW w:w="2159" w:type="dxa"/>
            <w:vAlign w:val="center"/>
          </w:tcPr>
          <w:p>
            <w:pPr>
              <w:adjustRightInd w:val="0"/>
              <w:snapToGrid w:val="0"/>
              <w:jc w:val="center"/>
              <w:rPr>
                <w:bCs/>
                <w:szCs w:val="21"/>
              </w:rPr>
            </w:pPr>
            <w:r>
              <w:rPr>
                <w:szCs w:val="21"/>
              </w:rPr>
              <w:t>63.6m</w:t>
            </w:r>
            <w:r>
              <w:rPr>
                <w:szCs w:val="21"/>
                <w:vertAlign w:val="superscript"/>
              </w:rPr>
              <w:t>2</w:t>
            </w:r>
            <w:r>
              <w:rPr>
                <w:rFonts w:hint="eastAsia"/>
                <w:szCs w:val="21"/>
              </w:rPr>
              <w:t>/</w:t>
            </w:r>
            <w:r>
              <w:rPr>
                <w:szCs w:val="21"/>
              </w:rPr>
              <w:t>445.2</w:t>
            </w:r>
            <w:r>
              <w:rPr>
                <w:rFonts w:hint="eastAsia"/>
                <w:bCs/>
                <w:szCs w:val="21"/>
              </w:rPr>
              <w:t>m</w:t>
            </w:r>
            <w:r>
              <w:rPr>
                <w:rFonts w:hint="eastAsia"/>
                <w:bCs/>
                <w:szCs w:val="21"/>
                <w:vertAlign w:val="superscript"/>
              </w:rPr>
              <w:t>3</w:t>
            </w:r>
          </w:p>
        </w:tc>
        <w:tc>
          <w:tcPr>
            <w:tcW w:w="1256" w:type="dxa"/>
            <w:vAlign w:val="center"/>
          </w:tcPr>
          <w:p>
            <w:pPr>
              <w:adjustRightInd w:val="0"/>
              <w:snapToGrid w:val="0"/>
              <w:jc w:val="center"/>
              <w:rPr>
                <w:bCs/>
                <w:szCs w:val="21"/>
              </w:rPr>
            </w:pPr>
            <w:r>
              <w:rPr>
                <w:rFonts w:hint="eastAsia"/>
                <w:bCs/>
                <w:szCs w:val="21"/>
              </w:rPr>
              <w:t>6</w:t>
            </w:r>
          </w:p>
        </w:tc>
        <w:tc>
          <w:tcPr>
            <w:tcW w:w="1818" w:type="dxa"/>
            <w:vAlign w:val="center"/>
          </w:tcPr>
          <w:p>
            <w:pPr>
              <w:adjustRightInd w:val="0"/>
              <w:snapToGrid w:val="0"/>
              <w:jc w:val="center"/>
              <w:rPr>
                <w:bCs/>
                <w:szCs w:val="21"/>
              </w:rPr>
            </w:pPr>
            <w:r>
              <w:rPr>
                <w:rFonts w:hint="eastAsia"/>
                <w:bCs/>
                <w:szCs w:val="21"/>
              </w:rPr>
              <w:t>1</w:t>
            </w:r>
            <w:r>
              <w:rPr>
                <w:bCs/>
                <w:szCs w:val="21"/>
              </w:rPr>
              <w:t>833</w:t>
            </w:r>
          </w:p>
        </w:tc>
        <w:tc>
          <w:tcPr>
            <w:tcW w:w="1393" w:type="dxa"/>
            <w:vAlign w:val="center"/>
          </w:tcPr>
          <w:p>
            <w:pPr>
              <w:adjustRightInd w:val="0"/>
              <w:snapToGrid w:val="0"/>
              <w:jc w:val="center"/>
              <w:rPr>
                <w:bCs/>
                <w:szCs w:val="21"/>
              </w:rPr>
            </w:pPr>
            <w:r>
              <w:rPr>
                <w:rFonts w:hint="eastAsia"/>
                <w:szCs w:val="21"/>
              </w:rPr>
              <w:t>曝气量的110%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07" w:type="dxa"/>
            <w:vAlign w:val="center"/>
          </w:tcPr>
          <w:p>
            <w:pPr>
              <w:adjustRightInd w:val="0"/>
              <w:snapToGrid w:val="0"/>
              <w:jc w:val="center"/>
              <w:rPr>
                <w:szCs w:val="21"/>
              </w:rPr>
            </w:pPr>
            <w:r>
              <w:rPr>
                <w:rFonts w:hint="eastAsia"/>
                <w:szCs w:val="21"/>
              </w:rPr>
              <w:t>9</w:t>
            </w:r>
          </w:p>
        </w:tc>
        <w:tc>
          <w:tcPr>
            <w:tcW w:w="1377" w:type="dxa"/>
            <w:vAlign w:val="center"/>
          </w:tcPr>
          <w:p>
            <w:pPr>
              <w:adjustRightInd w:val="0"/>
              <w:snapToGrid w:val="0"/>
              <w:jc w:val="center"/>
              <w:rPr>
                <w:bCs/>
                <w:szCs w:val="21"/>
              </w:rPr>
            </w:pPr>
            <w:r>
              <w:rPr>
                <w:rFonts w:hint="eastAsia"/>
              </w:rPr>
              <w:t>污泥池</w:t>
            </w:r>
          </w:p>
        </w:tc>
        <w:tc>
          <w:tcPr>
            <w:tcW w:w="2159" w:type="dxa"/>
            <w:vAlign w:val="center"/>
          </w:tcPr>
          <w:p>
            <w:pPr>
              <w:adjustRightInd w:val="0"/>
              <w:snapToGrid w:val="0"/>
              <w:jc w:val="center"/>
              <w:rPr>
                <w:bCs/>
                <w:szCs w:val="21"/>
              </w:rPr>
            </w:pPr>
            <w:r>
              <w:rPr>
                <w:szCs w:val="21"/>
              </w:rPr>
              <w:t>42m</w:t>
            </w:r>
            <w:r>
              <w:rPr>
                <w:szCs w:val="21"/>
                <w:vertAlign w:val="superscript"/>
              </w:rPr>
              <w:t>2</w:t>
            </w:r>
            <w:r>
              <w:rPr>
                <w:rFonts w:hint="eastAsia"/>
                <w:szCs w:val="21"/>
              </w:rPr>
              <w:t>/</w:t>
            </w:r>
            <w:r>
              <w:rPr>
                <w:szCs w:val="21"/>
              </w:rPr>
              <w:t>294</w:t>
            </w:r>
            <w:r>
              <w:rPr>
                <w:rFonts w:hint="eastAsia"/>
                <w:bCs/>
                <w:szCs w:val="21"/>
              </w:rPr>
              <w:t>m</w:t>
            </w:r>
            <w:r>
              <w:rPr>
                <w:rFonts w:hint="eastAsia"/>
                <w:bCs/>
                <w:szCs w:val="21"/>
                <w:vertAlign w:val="superscript"/>
              </w:rPr>
              <w:t>3</w:t>
            </w:r>
          </w:p>
        </w:tc>
        <w:tc>
          <w:tcPr>
            <w:tcW w:w="1256" w:type="dxa"/>
            <w:vAlign w:val="center"/>
          </w:tcPr>
          <w:p>
            <w:pPr>
              <w:adjustRightInd w:val="0"/>
              <w:snapToGrid w:val="0"/>
              <w:jc w:val="center"/>
              <w:rPr>
                <w:bCs/>
                <w:szCs w:val="21"/>
              </w:rPr>
            </w:pPr>
            <w:r>
              <w:rPr>
                <w:rFonts w:hint="eastAsia"/>
                <w:bCs/>
                <w:szCs w:val="21"/>
              </w:rPr>
              <w:t>1</w:t>
            </w:r>
          </w:p>
        </w:tc>
        <w:tc>
          <w:tcPr>
            <w:tcW w:w="1818" w:type="dxa"/>
            <w:vAlign w:val="center"/>
          </w:tcPr>
          <w:p>
            <w:pPr>
              <w:adjustRightInd w:val="0"/>
              <w:snapToGrid w:val="0"/>
              <w:jc w:val="center"/>
              <w:rPr>
                <w:bCs/>
                <w:szCs w:val="21"/>
              </w:rPr>
            </w:pPr>
            <w:r>
              <w:rPr>
                <w:rFonts w:hint="eastAsia"/>
                <w:bCs/>
                <w:szCs w:val="21"/>
              </w:rPr>
              <w:t>4</w:t>
            </w:r>
            <w:r>
              <w:rPr>
                <w:bCs/>
                <w:szCs w:val="21"/>
              </w:rPr>
              <w:t>20</w:t>
            </w:r>
          </w:p>
        </w:tc>
        <w:tc>
          <w:tcPr>
            <w:tcW w:w="1393" w:type="dxa"/>
            <w:vAlign w:val="center"/>
          </w:tcPr>
          <w:p>
            <w:pPr>
              <w:adjustRightInd w:val="0"/>
              <w:snapToGrid w:val="0"/>
              <w:jc w:val="center"/>
              <w:rPr>
                <w:bCs/>
                <w:szCs w:val="21"/>
              </w:rPr>
            </w:pPr>
            <w:r>
              <w:rPr>
                <w:rFonts w:hint="eastAsia"/>
                <w:bCs/>
                <w:szCs w:val="21"/>
              </w:rPr>
              <w:t>增加1</w:t>
            </w:r>
            <w:r>
              <w:rPr>
                <w:rFonts w:hint="eastAsia"/>
                <w:szCs w:val="21"/>
              </w:rPr>
              <w:t>次/h的空间换气量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07" w:type="dxa"/>
            <w:vAlign w:val="center"/>
          </w:tcPr>
          <w:p>
            <w:pPr>
              <w:adjustRightInd w:val="0"/>
              <w:snapToGrid w:val="0"/>
              <w:jc w:val="center"/>
              <w:rPr>
                <w:szCs w:val="21"/>
              </w:rPr>
            </w:pPr>
            <w:r>
              <w:rPr>
                <w:rFonts w:hint="eastAsia"/>
                <w:szCs w:val="21"/>
              </w:rPr>
              <w:t>1</w:t>
            </w:r>
            <w:r>
              <w:rPr>
                <w:szCs w:val="21"/>
              </w:rPr>
              <w:t>0</w:t>
            </w:r>
          </w:p>
        </w:tc>
        <w:tc>
          <w:tcPr>
            <w:tcW w:w="1377" w:type="dxa"/>
            <w:vAlign w:val="center"/>
          </w:tcPr>
          <w:p>
            <w:pPr>
              <w:adjustRightInd w:val="0"/>
              <w:snapToGrid w:val="0"/>
              <w:jc w:val="center"/>
              <w:rPr>
                <w:szCs w:val="21"/>
              </w:rPr>
            </w:pPr>
            <w:r>
              <w:rPr>
                <w:rFonts w:hint="eastAsia"/>
                <w:szCs w:val="21"/>
              </w:rPr>
              <w:t>落泥间</w:t>
            </w:r>
          </w:p>
        </w:tc>
        <w:tc>
          <w:tcPr>
            <w:tcW w:w="2159" w:type="dxa"/>
            <w:vAlign w:val="center"/>
          </w:tcPr>
          <w:p>
            <w:pPr>
              <w:adjustRightInd w:val="0"/>
              <w:snapToGrid w:val="0"/>
              <w:jc w:val="center"/>
              <w:rPr>
                <w:szCs w:val="21"/>
              </w:rPr>
            </w:pPr>
            <w:r>
              <w:rPr>
                <w:szCs w:val="21"/>
              </w:rPr>
              <w:t>161.616m</w:t>
            </w:r>
            <w:r>
              <w:rPr>
                <w:szCs w:val="21"/>
                <w:vertAlign w:val="superscript"/>
              </w:rPr>
              <w:t>3</w:t>
            </w:r>
          </w:p>
        </w:tc>
        <w:tc>
          <w:tcPr>
            <w:tcW w:w="1256" w:type="dxa"/>
            <w:vAlign w:val="center"/>
          </w:tcPr>
          <w:p>
            <w:pPr>
              <w:adjustRightInd w:val="0"/>
              <w:snapToGrid w:val="0"/>
              <w:jc w:val="center"/>
              <w:rPr>
                <w:szCs w:val="21"/>
              </w:rPr>
            </w:pPr>
            <w:r>
              <w:rPr>
                <w:rFonts w:hint="eastAsia"/>
                <w:szCs w:val="21"/>
              </w:rPr>
              <w:t>1</w:t>
            </w:r>
          </w:p>
        </w:tc>
        <w:tc>
          <w:tcPr>
            <w:tcW w:w="1818" w:type="dxa"/>
            <w:vAlign w:val="center"/>
          </w:tcPr>
          <w:p>
            <w:pPr>
              <w:adjustRightInd w:val="0"/>
              <w:snapToGrid w:val="0"/>
              <w:jc w:val="center"/>
              <w:rPr>
                <w:szCs w:val="21"/>
              </w:rPr>
            </w:pPr>
            <w:r>
              <w:rPr>
                <w:rFonts w:hint="eastAsia"/>
                <w:szCs w:val="21"/>
              </w:rPr>
              <w:t>1</w:t>
            </w:r>
            <w:r>
              <w:rPr>
                <w:szCs w:val="21"/>
              </w:rPr>
              <w:t>293</w:t>
            </w:r>
          </w:p>
        </w:tc>
        <w:tc>
          <w:tcPr>
            <w:tcW w:w="1393" w:type="dxa"/>
            <w:vAlign w:val="center"/>
          </w:tcPr>
          <w:p>
            <w:pPr>
              <w:adjustRightInd w:val="0"/>
              <w:snapToGrid w:val="0"/>
              <w:jc w:val="center"/>
              <w:rPr>
                <w:szCs w:val="21"/>
              </w:rPr>
            </w:pPr>
            <w:r>
              <w:rPr>
                <w:rFonts w:hint="eastAsia"/>
                <w:bCs/>
                <w:szCs w:val="21"/>
              </w:rPr>
              <w:t>6次/h的空间换气量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07" w:type="dxa"/>
            <w:vAlign w:val="center"/>
          </w:tcPr>
          <w:p>
            <w:pPr>
              <w:adjustRightInd w:val="0"/>
              <w:snapToGrid w:val="0"/>
              <w:jc w:val="center"/>
              <w:rPr>
                <w:szCs w:val="21"/>
              </w:rPr>
            </w:pPr>
            <w:r>
              <w:rPr>
                <w:rFonts w:hint="eastAsia"/>
                <w:szCs w:val="21"/>
              </w:rPr>
              <w:t>1</w:t>
            </w:r>
            <w:r>
              <w:rPr>
                <w:szCs w:val="21"/>
              </w:rPr>
              <w:t>1</w:t>
            </w:r>
          </w:p>
        </w:tc>
        <w:tc>
          <w:tcPr>
            <w:tcW w:w="1377" w:type="dxa"/>
            <w:vAlign w:val="center"/>
          </w:tcPr>
          <w:p>
            <w:pPr>
              <w:adjustRightInd w:val="0"/>
              <w:snapToGrid w:val="0"/>
              <w:jc w:val="center"/>
              <w:rPr>
                <w:szCs w:val="21"/>
              </w:rPr>
            </w:pPr>
            <w:r>
              <w:rPr>
                <w:rFonts w:hint="eastAsia"/>
                <w:szCs w:val="21"/>
              </w:rPr>
              <w:t>污泥脱水间</w:t>
            </w:r>
          </w:p>
        </w:tc>
        <w:tc>
          <w:tcPr>
            <w:tcW w:w="2159" w:type="dxa"/>
            <w:vAlign w:val="center"/>
          </w:tcPr>
          <w:p>
            <w:pPr>
              <w:adjustRightInd w:val="0"/>
              <w:snapToGrid w:val="0"/>
              <w:jc w:val="center"/>
              <w:rPr>
                <w:szCs w:val="21"/>
              </w:rPr>
            </w:pPr>
            <w:r>
              <w:rPr>
                <w:rFonts w:hint="eastAsia"/>
                <w:szCs w:val="21"/>
              </w:rPr>
              <w:t>2</w:t>
            </w:r>
            <w:r>
              <w:rPr>
                <w:szCs w:val="21"/>
              </w:rPr>
              <w:t>69.36m</w:t>
            </w:r>
            <w:r>
              <w:rPr>
                <w:szCs w:val="21"/>
                <w:vertAlign w:val="superscript"/>
              </w:rPr>
              <w:t>3</w:t>
            </w:r>
          </w:p>
        </w:tc>
        <w:tc>
          <w:tcPr>
            <w:tcW w:w="1256" w:type="dxa"/>
            <w:vAlign w:val="center"/>
          </w:tcPr>
          <w:p>
            <w:pPr>
              <w:adjustRightInd w:val="0"/>
              <w:snapToGrid w:val="0"/>
              <w:jc w:val="center"/>
              <w:rPr>
                <w:szCs w:val="21"/>
              </w:rPr>
            </w:pPr>
            <w:r>
              <w:rPr>
                <w:rFonts w:hint="eastAsia"/>
                <w:szCs w:val="21"/>
              </w:rPr>
              <w:t>1</w:t>
            </w:r>
          </w:p>
        </w:tc>
        <w:tc>
          <w:tcPr>
            <w:tcW w:w="1818" w:type="dxa"/>
            <w:vAlign w:val="center"/>
          </w:tcPr>
          <w:p>
            <w:pPr>
              <w:adjustRightInd w:val="0"/>
              <w:snapToGrid w:val="0"/>
              <w:jc w:val="center"/>
              <w:rPr>
                <w:szCs w:val="21"/>
              </w:rPr>
            </w:pPr>
            <w:r>
              <w:rPr>
                <w:rFonts w:hint="eastAsia"/>
                <w:szCs w:val="21"/>
              </w:rPr>
              <w:t>2</w:t>
            </w:r>
            <w:r>
              <w:rPr>
                <w:szCs w:val="21"/>
              </w:rPr>
              <w:t>155</w:t>
            </w:r>
          </w:p>
        </w:tc>
        <w:tc>
          <w:tcPr>
            <w:tcW w:w="1393" w:type="dxa"/>
            <w:vAlign w:val="center"/>
          </w:tcPr>
          <w:p>
            <w:pPr>
              <w:adjustRightInd w:val="0"/>
              <w:snapToGrid w:val="0"/>
              <w:jc w:val="center"/>
              <w:rPr>
                <w:szCs w:val="21"/>
              </w:rPr>
            </w:pPr>
            <w:r>
              <w:rPr>
                <w:rFonts w:hint="eastAsia"/>
                <w:bCs/>
                <w:szCs w:val="21"/>
              </w:rPr>
              <w:t>6</w:t>
            </w:r>
            <w:r>
              <w:rPr>
                <w:rFonts w:hint="eastAsia"/>
                <w:szCs w:val="21"/>
              </w:rPr>
              <w:t>次/h的空间换气量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43" w:type="dxa"/>
            <w:gridSpan w:val="3"/>
            <w:vAlign w:val="center"/>
          </w:tcPr>
          <w:p>
            <w:pPr>
              <w:adjustRightInd w:val="0"/>
              <w:snapToGrid w:val="0"/>
              <w:jc w:val="center"/>
              <w:rPr>
                <w:szCs w:val="21"/>
              </w:rPr>
            </w:pPr>
            <w:r>
              <w:rPr>
                <w:szCs w:val="21"/>
              </w:rPr>
              <w:t>合计</w:t>
            </w:r>
          </w:p>
        </w:tc>
        <w:tc>
          <w:tcPr>
            <w:tcW w:w="1256" w:type="dxa"/>
            <w:vAlign w:val="center"/>
          </w:tcPr>
          <w:p>
            <w:pPr>
              <w:adjustRightInd w:val="0"/>
              <w:snapToGrid w:val="0"/>
              <w:jc w:val="center"/>
              <w:rPr>
                <w:szCs w:val="21"/>
              </w:rPr>
            </w:pPr>
            <w:r>
              <w:rPr>
                <w:rFonts w:hint="eastAsia"/>
                <w:szCs w:val="21"/>
              </w:rPr>
              <w:t>/</w:t>
            </w:r>
          </w:p>
        </w:tc>
        <w:tc>
          <w:tcPr>
            <w:tcW w:w="1818" w:type="dxa"/>
            <w:vAlign w:val="center"/>
          </w:tcPr>
          <w:p>
            <w:pPr>
              <w:adjustRightInd w:val="0"/>
              <w:snapToGrid w:val="0"/>
              <w:jc w:val="center"/>
              <w:rPr>
                <w:szCs w:val="21"/>
              </w:rPr>
            </w:pPr>
            <w:r>
              <w:rPr>
                <w:rFonts w:hint="eastAsia"/>
                <w:szCs w:val="21"/>
              </w:rPr>
              <w:t>1</w:t>
            </w:r>
            <w:r>
              <w:rPr>
                <w:szCs w:val="21"/>
              </w:rPr>
              <w:t>4331</w:t>
            </w:r>
          </w:p>
        </w:tc>
        <w:tc>
          <w:tcPr>
            <w:tcW w:w="1393" w:type="dxa"/>
            <w:vAlign w:val="center"/>
          </w:tcPr>
          <w:p>
            <w:pPr>
              <w:adjustRightInd w:val="0"/>
              <w:snapToGrid w:val="0"/>
              <w:jc w:val="center"/>
              <w:rPr>
                <w:szCs w:val="21"/>
              </w:rPr>
            </w:pPr>
            <w:r>
              <w:rPr>
                <w:rFonts w:hint="eastAsia"/>
                <w:szCs w:val="21"/>
              </w:rPr>
              <w:t>/</w:t>
            </w:r>
          </w:p>
        </w:tc>
      </w:tr>
    </w:tbl>
    <w:p>
      <w:pPr>
        <w:spacing w:line="520" w:lineRule="exact"/>
        <w:ind w:firstLine="480" w:firstLineChars="200"/>
        <w:rPr>
          <w:sz w:val="24"/>
          <w:szCs w:val="24"/>
        </w:rPr>
      </w:pPr>
      <w:r>
        <w:rPr>
          <w:rFonts w:hint="eastAsia"/>
          <w:sz w:val="24"/>
          <w:szCs w:val="24"/>
        </w:rPr>
        <w:t>本项目恶臭气体产生及排放情况见下表。</w:t>
      </w:r>
    </w:p>
    <w:p>
      <w:pPr>
        <w:spacing w:line="520" w:lineRule="exact"/>
        <w:ind w:firstLine="480" w:firstLineChars="200"/>
        <w:rPr>
          <w:rFonts w:eastAsia="黑体"/>
          <w:sz w:val="24"/>
          <w:szCs w:val="24"/>
        </w:rPr>
      </w:pPr>
      <w:r>
        <w:rPr>
          <w:rFonts w:eastAsia="黑体"/>
          <w:sz w:val="24"/>
          <w:szCs w:val="24"/>
        </w:rPr>
        <w:t>表3.1-24     本</w:t>
      </w:r>
      <w:r>
        <w:rPr>
          <w:rFonts w:hint="eastAsia" w:eastAsia="黑体"/>
          <w:sz w:val="24"/>
          <w:szCs w:val="24"/>
        </w:rPr>
        <w:t>项目污水处理站废气污染物产排情况</w:t>
      </w:r>
      <w:r>
        <w:rPr>
          <w:rFonts w:eastAsia="黑体"/>
          <w:sz w:val="24"/>
          <w:szCs w:val="24"/>
        </w:rPr>
        <w:t>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60"/>
        <w:gridCol w:w="570"/>
        <w:gridCol w:w="783"/>
        <w:gridCol w:w="785"/>
        <w:gridCol w:w="997"/>
        <w:gridCol w:w="1139"/>
        <w:gridCol w:w="843"/>
        <w:gridCol w:w="956"/>
        <w:gridCol w:w="934"/>
        <w:gridCol w:w="11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dxa"/>
            <w:vMerge w:val="restart"/>
            <w:vAlign w:val="center"/>
          </w:tcPr>
          <w:p>
            <w:pPr>
              <w:adjustRightInd w:val="0"/>
              <w:snapToGrid w:val="0"/>
              <w:spacing w:line="360" w:lineRule="exact"/>
              <w:jc w:val="center"/>
              <w:rPr>
                <w:b/>
                <w:kern w:val="0"/>
                <w:szCs w:val="21"/>
              </w:rPr>
            </w:pPr>
            <w:r>
              <w:rPr>
                <w:b/>
                <w:kern w:val="0"/>
                <w:szCs w:val="21"/>
              </w:rPr>
              <w:t>污染源</w:t>
            </w:r>
          </w:p>
        </w:tc>
        <w:tc>
          <w:tcPr>
            <w:tcW w:w="567" w:type="dxa"/>
            <w:vMerge w:val="restart"/>
            <w:vAlign w:val="center"/>
          </w:tcPr>
          <w:p>
            <w:pPr>
              <w:adjustRightInd w:val="0"/>
              <w:snapToGrid w:val="0"/>
              <w:spacing w:line="360" w:lineRule="exact"/>
              <w:jc w:val="center"/>
              <w:rPr>
                <w:b/>
                <w:kern w:val="0"/>
                <w:szCs w:val="21"/>
              </w:rPr>
            </w:pPr>
            <w:r>
              <w:rPr>
                <w:b/>
                <w:kern w:val="0"/>
                <w:szCs w:val="21"/>
              </w:rPr>
              <w:t>污染物</w:t>
            </w:r>
          </w:p>
        </w:tc>
        <w:tc>
          <w:tcPr>
            <w:tcW w:w="3686" w:type="dxa"/>
            <w:gridSpan w:val="4"/>
            <w:vAlign w:val="center"/>
          </w:tcPr>
          <w:p>
            <w:pPr>
              <w:adjustRightInd w:val="0"/>
              <w:snapToGrid w:val="0"/>
              <w:spacing w:line="360" w:lineRule="exact"/>
              <w:jc w:val="center"/>
              <w:rPr>
                <w:b/>
                <w:kern w:val="0"/>
                <w:szCs w:val="21"/>
              </w:rPr>
            </w:pPr>
            <w:r>
              <w:rPr>
                <w:b/>
                <w:kern w:val="0"/>
                <w:szCs w:val="21"/>
              </w:rPr>
              <w:t>污染物产生</w:t>
            </w:r>
          </w:p>
        </w:tc>
        <w:tc>
          <w:tcPr>
            <w:tcW w:w="839" w:type="dxa"/>
            <w:vMerge w:val="restart"/>
            <w:vAlign w:val="center"/>
          </w:tcPr>
          <w:p>
            <w:pPr>
              <w:adjustRightInd w:val="0"/>
              <w:snapToGrid w:val="0"/>
              <w:spacing w:line="360" w:lineRule="exact"/>
              <w:jc w:val="center"/>
              <w:rPr>
                <w:b/>
                <w:kern w:val="0"/>
                <w:szCs w:val="21"/>
              </w:rPr>
            </w:pPr>
            <w:r>
              <w:rPr>
                <w:rFonts w:hint="eastAsia"/>
                <w:b/>
                <w:kern w:val="0"/>
                <w:position w:val="2"/>
                <w:szCs w:val="21"/>
              </w:rPr>
              <w:t>去除效率</w:t>
            </w:r>
          </w:p>
        </w:tc>
        <w:tc>
          <w:tcPr>
            <w:tcW w:w="3061" w:type="dxa"/>
            <w:gridSpan w:val="3"/>
            <w:vAlign w:val="center"/>
          </w:tcPr>
          <w:p>
            <w:pPr>
              <w:adjustRightInd w:val="0"/>
              <w:snapToGrid w:val="0"/>
              <w:spacing w:line="360" w:lineRule="exact"/>
              <w:jc w:val="center"/>
              <w:rPr>
                <w:rFonts w:eastAsia="等线"/>
                <w:b/>
                <w:kern w:val="0"/>
                <w:position w:val="2"/>
                <w:szCs w:val="21"/>
              </w:rPr>
            </w:pPr>
            <w:r>
              <w:rPr>
                <w:b/>
                <w:kern w:val="0"/>
                <w:position w:val="2"/>
                <w:szCs w:val="21"/>
              </w:rPr>
              <w:t>污染物排放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dxa"/>
            <w:vMerge w:val="continue"/>
            <w:vAlign w:val="center"/>
          </w:tcPr>
          <w:p>
            <w:pPr>
              <w:widowControl/>
              <w:adjustRightInd w:val="0"/>
              <w:snapToGrid w:val="0"/>
              <w:spacing w:line="360" w:lineRule="exact"/>
              <w:jc w:val="center"/>
              <w:rPr>
                <w:b/>
                <w:kern w:val="0"/>
                <w:szCs w:val="21"/>
              </w:rPr>
            </w:pPr>
          </w:p>
        </w:tc>
        <w:tc>
          <w:tcPr>
            <w:tcW w:w="567" w:type="dxa"/>
            <w:vMerge w:val="continue"/>
            <w:vAlign w:val="center"/>
          </w:tcPr>
          <w:p>
            <w:pPr>
              <w:widowControl/>
              <w:adjustRightInd w:val="0"/>
              <w:snapToGrid w:val="0"/>
              <w:spacing w:line="360" w:lineRule="exact"/>
              <w:jc w:val="center"/>
              <w:rPr>
                <w:b/>
                <w:kern w:val="0"/>
                <w:szCs w:val="21"/>
              </w:rPr>
            </w:pPr>
          </w:p>
        </w:tc>
        <w:tc>
          <w:tcPr>
            <w:tcW w:w="779" w:type="dxa"/>
            <w:vAlign w:val="center"/>
          </w:tcPr>
          <w:p>
            <w:pPr>
              <w:widowControl/>
              <w:adjustRightInd w:val="0"/>
              <w:snapToGrid w:val="0"/>
              <w:spacing w:line="360" w:lineRule="exact"/>
              <w:jc w:val="center"/>
              <w:rPr>
                <w:b/>
                <w:kern w:val="0"/>
                <w:szCs w:val="21"/>
              </w:rPr>
            </w:pPr>
            <w:r>
              <w:rPr>
                <w:b/>
                <w:kern w:val="0"/>
                <w:szCs w:val="21"/>
              </w:rPr>
              <w:t>产生量（t/a）</w:t>
            </w:r>
          </w:p>
        </w:tc>
        <w:tc>
          <w:tcPr>
            <w:tcW w:w="781" w:type="dxa"/>
            <w:vAlign w:val="center"/>
          </w:tcPr>
          <w:p>
            <w:pPr>
              <w:adjustRightInd w:val="0"/>
              <w:snapToGrid w:val="0"/>
              <w:spacing w:line="360" w:lineRule="exact"/>
              <w:jc w:val="center"/>
              <w:rPr>
                <w:b/>
                <w:kern w:val="0"/>
                <w:szCs w:val="21"/>
              </w:rPr>
            </w:pPr>
            <w:r>
              <w:rPr>
                <w:rFonts w:hint="eastAsia"/>
                <w:b/>
                <w:kern w:val="0"/>
                <w:szCs w:val="21"/>
              </w:rPr>
              <w:t>收集</w:t>
            </w:r>
            <w:r>
              <w:rPr>
                <w:b/>
                <w:kern w:val="0"/>
                <w:szCs w:val="21"/>
              </w:rPr>
              <w:t>量（t/a）</w:t>
            </w:r>
          </w:p>
        </w:tc>
        <w:tc>
          <w:tcPr>
            <w:tcW w:w="992" w:type="dxa"/>
            <w:vAlign w:val="center"/>
          </w:tcPr>
          <w:p>
            <w:pPr>
              <w:adjustRightInd w:val="0"/>
              <w:snapToGrid w:val="0"/>
              <w:spacing w:line="360" w:lineRule="exact"/>
              <w:jc w:val="center"/>
              <w:rPr>
                <w:b/>
                <w:kern w:val="0"/>
                <w:szCs w:val="21"/>
              </w:rPr>
            </w:pPr>
            <w:r>
              <w:rPr>
                <w:rFonts w:hint="eastAsia"/>
                <w:b/>
                <w:kern w:val="0"/>
                <w:szCs w:val="21"/>
              </w:rPr>
              <w:t>产生</w:t>
            </w:r>
            <w:r>
              <w:rPr>
                <w:b/>
                <w:kern w:val="0"/>
                <w:szCs w:val="21"/>
              </w:rPr>
              <w:t>速率（kg/h）</w:t>
            </w:r>
          </w:p>
        </w:tc>
        <w:tc>
          <w:tcPr>
            <w:tcW w:w="1134" w:type="dxa"/>
            <w:vAlign w:val="center"/>
          </w:tcPr>
          <w:p>
            <w:pPr>
              <w:adjustRightInd w:val="0"/>
              <w:snapToGrid w:val="0"/>
              <w:spacing w:line="360" w:lineRule="exact"/>
              <w:jc w:val="center"/>
              <w:rPr>
                <w:b/>
                <w:kern w:val="0"/>
                <w:szCs w:val="21"/>
              </w:rPr>
            </w:pPr>
            <w:r>
              <w:rPr>
                <w:rFonts w:hint="eastAsia"/>
                <w:b/>
                <w:kern w:val="0"/>
                <w:szCs w:val="21"/>
              </w:rPr>
              <w:t>产生</w:t>
            </w:r>
            <w:r>
              <w:rPr>
                <w:b/>
                <w:kern w:val="0"/>
                <w:szCs w:val="21"/>
              </w:rPr>
              <w:t>浓度（mg/m</w:t>
            </w:r>
            <w:r>
              <w:rPr>
                <w:b/>
                <w:kern w:val="0"/>
                <w:szCs w:val="21"/>
                <w:vertAlign w:val="superscript"/>
              </w:rPr>
              <w:t>3</w:t>
            </w:r>
            <w:r>
              <w:rPr>
                <w:b/>
                <w:kern w:val="0"/>
                <w:szCs w:val="21"/>
              </w:rPr>
              <w:t>）</w:t>
            </w:r>
          </w:p>
        </w:tc>
        <w:tc>
          <w:tcPr>
            <w:tcW w:w="839" w:type="dxa"/>
            <w:vMerge w:val="continue"/>
            <w:vAlign w:val="center"/>
          </w:tcPr>
          <w:p>
            <w:pPr>
              <w:adjustRightInd w:val="0"/>
              <w:snapToGrid w:val="0"/>
              <w:spacing w:line="360" w:lineRule="exact"/>
              <w:jc w:val="center"/>
              <w:rPr>
                <w:b/>
                <w:kern w:val="0"/>
                <w:szCs w:val="21"/>
              </w:rPr>
            </w:pPr>
          </w:p>
        </w:tc>
        <w:tc>
          <w:tcPr>
            <w:tcW w:w="952" w:type="dxa"/>
            <w:vAlign w:val="center"/>
          </w:tcPr>
          <w:p>
            <w:pPr>
              <w:adjustRightInd w:val="0"/>
              <w:snapToGrid w:val="0"/>
              <w:spacing w:line="360" w:lineRule="exact"/>
              <w:jc w:val="center"/>
              <w:rPr>
                <w:b/>
                <w:kern w:val="0"/>
                <w:szCs w:val="21"/>
              </w:rPr>
            </w:pPr>
            <w:r>
              <w:rPr>
                <w:b/>
                <w:kern w:val="0"/>
                <w:szCs w:val="21"/>
              </w:rPr>
              <w:t>排放量（t/a）</w:t>
            </w:r>
          </w:p>
        </w:tc>
        <w:tc>
          <w:tcPr>
            <w:tcW w:w="930" w:type="dxa"/>
            <w:vAlign w:val="center"/>
          </w:tcPr>
          <w:p>
            <w:pPr>
              <w:adjustRightInd w:val="0"/>
              <w:snapToGrid w:val="0"/>
              <w:spacing w:line="360" w:lineRule="exact"/>
              <w:jc w:val="center"/>
              <w:rPr>
                <w:b/>
                <w:kern w:val="0"/>
                <w:szCs w:val="21"/>
              </w:rPr>
            </w:pPr>
            <w:r>
              <w:rPr>
                <w:b/>
                <w:kern w:val="0"/>
                <w:szCs w:val="21"/>
              </w:rPr>
              <w:t>排放速率（kg/h）</w:t>
            </w:r>
          </w:p>
        </w:tc>
        <w:tc>
          <w:tcPr>
            <w:tcW w:w="1179" w:type="dxa"/>
            <w:vAlign w:val="center"/>
          </w:tcPr>
          <w:p>
            <w:pPr>
              <w:adjustRightInd w:val="0"/>
              <w:snapToGrid w:val="0"/>
              <w:spacing w:line="360" w:lineRule="exact"/>
              <w:jc w:val="center"/>
              <w:rPr>
                <w:b/>
                <w:kern w:val="0"/>
                <w:szCs w:val="21"/>
              </w:rPr>
            </w:pPr>
            <w:r>
              <w:rPr>
                <w:b/>
                <w:kern w:val="0"/>
                <w:szCs w:val="21"/>
              </w:rPr>
              <w:t>排放浓度（mg/m</w:t>
            </w:r>
            <w:r>
              <w:rPr>
                <w:b/>
                <w:kern w:val="0"/>
                <w:szCs w:val="21"/>
                <w:vertAlign w:val="superscript"/>
              </w:rPr>
              <w:t>3</w:t>
            </w:r>
            <w:r>
              <w:rPr>
                <w:b/>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dxa"/>
            <w:vMerge w:val="restart"/>
            <w:vAlign w:val="center"/>
          </w:tcPr>
          <w:p>
            <w:pPr>
              <w:adjustRightInd w:val="0"/>
              <w:snapToGrid w:val="0"/>
              <w:spacing w:line="360" w:lineRule="exact"/>
              <w:jc w:val="center"/>
              <w:rPr>
                <w:kern w:val="0"/>
                <w:szCs w:val="21"/>
              </w:rPr>
            </w:pPr>
            <w:r>
              <w:rPr>
                <w:kern w:val="0"/>
                <w:szCs w:val="21"/>
              </w:rPr>
              <w:t>有组织</w:t>
            </w:r>
          </w:p>
        </w:tc>
        <w:tc>
          <w:tcPr>
            <w:tcW w:w="567" w:type="dxa"/>
            <w:vAlign w:val="center"/>
          </w:tcPr>
          <w:p>
            <w:pPr>
              <w:adjustRightInd w:val="0"/>
              <w:snapToGrid w:val="0"/>
              <w:spacing w:line="360" w:lineRule="exact"/>
              <w:jc w:val="center"/>
              <w:rPr>
                <w:kern w:val="0"/>
                <w:szCs w:val="21"/>
              </w:rPr>
            </w:pPr>
            <w:r>
              <w:rPr>
                <w:kern w:val="0"/>
                <w:szCs w:val="21"/>
              </w:rPr>
              <w:t>NH</w:t>
            </w:r>
            <w:r>
              <w:rPr>
                <w:kern w:val="0"/>
                <w:szCs w:val="21"/>
                <w:vertAlign w:val="subscript"/>
              </w:rPr>
              <w:t>3</w:t>
            </w:r>
          </w:p>
        </w:tc>
        <w:tc>
          <w:tcPr>
            <w:tcW w:w="779" w:type="dxa"/>
            <w:vAlign w:val="center"/>
          </w:tcPr>
          <w:p>
            <w:pPr>
              <w:adjustRightInd w:val="0"/>
              <w:snapToGrid w:val="0"/>
              <w:spacing w:line="360" w:lineRule="exact"/>
              <w:jc w:val="center"/>
              <w:rPr>
                <w:kern w:val="0"/>
                <w:szCs w:val="21"/>
              </w:rPr>
            </w:pPr>
            <w:r>
              <w:rPr>
                <w:rFonts w:hint="eastAsia"/>
                <w:kern w:val="0"/>
                <w:szCs w:val="21"/>
              </w:rPr>
              <w:t>2</w:t>
            </w:r>
            <w:r>
              <w:rPr>
                <w:kern w:val="0"/>
                <w:szCs w:val="21"/>
              </w:rPr>
              <w:t>.1993</w:t>
            </w:r>
          </w:p>
        </w:tc>
        <w:tc>
          <w:tcPr>
            <w:tcW w:w="781" w:type="dxa"/>
            <w:vAlign w:val="center"/>
          </w:tcPr>
          <w:p>
            <w:pPr>
              <w:jc w:val="center"/>
              <w:rPr>
                <w:color w:val="000000"/>
                <w:szCs w:val="21"/>
              </w:rPr>
            </w:pPr>
            <w:r>
              <w:rPr>
                <w:color w:val="000000"/>
                <w:szCs w:val="21"/>
              </w:rPr>
              <w:t>2.0893</w:t>
            </w:r>
          </w:p>
        </w:tc>
        <w:tc>
          <w:tcPr>
            <w:tcW w:w="992" w:type="dxa"/>
            <w:vAlign w:val="center"/>
          </w:tcPr>
          <w:p>
            <w:pPr>
              <w:jc w:val="center"/>
              <w:rPr>
                <w:color w:val="000000"/>
                <w:szCs w:val="21"/>
              </w:rPr>
            </w:pPr>
            <w:r>
              <w:rPr>
                <w:rFonts w:hint="eastAsia"/>
                <w:color w:val="000000"/>
                <w:szCs w:val="21"/>
              </w:rPr>
              <w:t>0</w:t>
            </w:r>
            <w:r>
              <w:rPr>
                <w:color w:val="000000"/>
                <w:szCs w:val="21"/>
              </w:rPr>
              <w:t>.2385</w:t>
            </w:r>
          </w:p>
        </w:tc>
        <w:tc>
          <w:tcPr>
            <w:tcW w:w="1134" w:type="dxa"/>
            <w:vAlign w:val="center"/>
          </w:tcPr>
          <w:p>
            <w:pPr>
              <w:jc w:val="center"/>
              <w:rPr>
                <w:color w:val="000000"/>
                <w:szCs w:val="21"/>
              </w:rPr>
            </w:pPr>
            <w:r>
              <w:rPr>
                <w:color w:val="000000"/>
                <w:szCs w:val="21"/>
              </w:rPr>
              <w:t>15.9</w:t>
            </w:r>
          </w:p>
        </w:tc>
        <w:tc>
          <w:tcPr>
            <w:tcW w:w="839" w:type="dxa"/>
            <w:vMerge w:val="restart"/>
            <w:vAlign w:val="center"/>
          </w:tcPr>
          <w:p>
            <w:pPr>
              <w:jc w:val="center"/>
              <w:rPr>
                <w:color w:val="000000"/>
                <w:szCs w:val="21"/>
              </w:rPr>
            </w:pPr>
            <w:r>
              <w:rPr>
                <w:color w:val="000000"/>
                <w:szCs w:val="21"/>
              </w:rPr>
              <w:t>95%</w:t>
            </w:r>
          </w:p>
        </w:tc>
        <w:tc>
          <w:tcPr>
            <w:tcW w:w="952" w:type="dxa"/>
            <w:vAlign w:val="center"/>
          </w:tcPr>
          <w:p>
            <w:pPr>
              <w:jc w:val="center"/>
              <w:rPr>
                <w:color w:val="000000"/>
                <w:szCs w:val="21"/>
              </w:rPr>
            </w:pPr>
            <w:r>
              <w:rPr>
                <w:rFonts w:hint="eastAsia"/>
                <w:color w:val="000000"/>
                <w:szCs w:val="21"/>
              </w:rPr>
              <w:t>0</w:t>
            </w:r>
            <w:r>
              <w:rPr>
                <w:color w:val="000000"/>
                <w:szCs w:val="21"/>
              </w:rPr>
              <w:t>.1045</w:t>
            </w:r>
          </w:p>
        </w:tc>
        <w:tc>
          <w:tcPr>
            <w:tcW w:w="930" w:type="dxa"/>
            <w:vAlign w:val="center"/>
          </w:tcPr>
          <w:p>
            <w:pPr>
              <w:jc w:val="center"/>
              <w:rPr>
                <w:color w:val="000000"/>
                <w:szCs w:val="21"/>
              </w:rPr>
            </w:pPr>
            <w:r>
              <w:rPr>
                <w:rFonts w:hint="eastAsia"/>
                <w:color w:val="000000"/>
                <w:szCs w:val="21"/>
              </w:rPr>
              <w:t>0</w:t>
            </w:r>
            <w:r>
              <w:rPr>
                <w:color w:val="000000"/>
                <w:szCs w:val="21"/>
              </w:rPr>
              <w:t>.0119</w:t>
            </w:r>
          </w:p>
        </w:tc>
        <w:tc>
          <w:tcPr>
            <w:tcW w:w="1179" w:type="dxa"/>
            <w:vAlign w:val="center"/>
          </w:tcPr>
          <w:p>
            <w:pPr>
              <w:adjustRightInd w:val="0"/>
              <w:snapToGrid w:val="0"/>
              <w:spacing w:line="360" w:lineRule="exact"/>
              <w:jc w:val="center"/>
              <w:rPr>
                <w:kern w:val="0"/>
                <w:szCs w:val="21"/>
              </w:rPr>
            </w:pPr>
            <w:r>
              <w:rPr>
                <w:rFonts w:hint="eastAsia"/>
                <w:kern w:val="0"/>
                <w:szCs w:val="21"/>
              </w:rPr>
              <w:t>0</w:t>
            </w:r>
            <w:r>
              <w:rPr>
                <w:kern w:val="0"/>
                <w:szCs w:val="21"/>
              </w:rPr>
              <w:t>.79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dxa"/>
            <w:vMerge w:val="continue"/>
            <w:vAlign w:val="center"/>
          </w:tcPr>
          <w:p>
            <w:pPr>
              <w:adjustRightInd w:val="0"/>
              <w:snapToGrid w:val="0"/>
              <w:spacing w:line="360" w:lineRule="exact"/>
              <w:jc w:val="center"/>
              <w:rPr>
                <w:kern w:val="0"/>
                <w:szCs w:val="21"/>
              </w:rPr>
            </w:pPr>
          </w:p>
        </w:tc>
        <w:tc>
          <w:tcPr>
            <w:tcW w:w="567" w:type="dxa"/>
            <w:vAlign w:val="center"/>
          </w:tcPr>
          <w:p>
            <w:pPr>
              <w:adjustRightInd w:val="0"/>
              <w:snapToGrid w:val="0"/>
              <w:spacing w:line="360" w:lineRule="exact"/>
              <w:jc w:val="center"/>
              <w:rPr>
                <w:kern w:val="0"/>
                <w:szCs w:val="21"/>
              </w:rPr>
            </w:pPr>
            <w:r>
              <w:rPr>
                <w:kern w:val="0"/>
                <w:szCs w:val="21"/>
              </w:rPr>
              <w:t>H</w:t>
            </w:r>
            <w:r>
              <w:rPr>
                <w:kern w:val="0"/>
                <w:szCs w:val="21"/>
                <w:vertAlign w:val="subscript"/>
              </w:rPr>
              <w:t>2</w:t>
            </w:r>
            <w:r>
              <w:rPr>
                <w:kern w:val="0"/>
                <w:szCs w:val="21"/>
              </w:rPr>
              <w:t>S</w:t>
            </w:r>
          </w:p>
        </w:tc>
        <w:tc>
          <w:tcPr>
            <w:tcW w:w="779" w:type="dxa"/>
            <w:vAlign w:val="center"/>
          </w:tcPr>
          <w:p>
            <w:pPr>
              <w:adjustRightInd w:val="0"/>
              <w:snapToGrid w:val="0"/>
              <w:spacing w:line="360" w:lineRule="exact"/>
              <w:jc w:val="center"/>
              <w:rPr>
                <w:kern w:val="0"/>
                <w:szCs w:val="21"/>
              </w:rPr>
            </w:pPr>
            <w:r>
              <w:rPr>
                <w:rFonts w:hint="eastAsia"/>
                <w:kern w:val="0"/>
                <w:szCs w:val="21"/>
              </w:rPr>
              <w:t>0</w:t>
            </w:r>
            <w:r>
              <w:rPr>
                <w:kern w:val="0"/>
                <w:szCs w:val="21"/>
              </w:rPr>
              <w:t>.0851</w:t>
            </w:r>
          </w:p>
        </w:tc>
        <w:tc>
          <w:tcPr>
            <w:tcW w:w="781" w:type="dxa"/>
            <w:vAlign w:val="center"/>
          </w:tcPr>
          <w:p>
            <w:pPr>
              <w:jc w:val="center"/>
              <w:rPr>
                <w:color w:val="000000"/>
                <w:szCs w:val="21"/>
              </w:rPr>
            </w:pPr>
            <w:r>
              <w:rPr>
                <w:rFonts w:hint="eastAsia"/>
                <w:color w:val="000000"/>
                <w:szCs w:val="21"/>
              </w:rPr>
              <w:t>0</w:t>
            </w:r>
            <w:r>
              <w:rPr>
                <w:color w:val="000000"/>
                <w:szCs w:val="21"/>
              </w:rPr>
              <w:t>.0808</w:t>
            </w:r>
          </w:p>
        </w:tc>
        <w:tc>
          <w:tcPr>
            <w:tcW w:w="992" w:type="dxa"/>
            <w:vAlign w:val="center"/>
          </w:tcPr>
          <w:p>
            <w:pPr>
              <w:jc w:val="center"/>
              <w:rPr>
                <w:color w:val="000000"/>
                <w:szCs w:val="21"/>
              </w:rPr>
            </w:pPr>
            <w:r>
              <w:rPr>
                <w:rFonts w:hint="eastAsia"/>
                <w:color w:val="000000"/>
                <w:szCs w:val="21"/>
              </w:rPr>
              <w:t>0</w:t>
            </w:r>
            <w:r>
              <w:rPr>
                <w:color w:val="000000"/>
                <w:szCs w:val="21"/>
              </w:rPr>
              <w:t>.0092</w:t>
            </w:r>
          </w:p>
        </w:tc>
        <w:tc>
          <w:tcPr>
            <w:tcW w:w="1134" w:type="dxa"/>
            <w:vAlign w:val="center"/>
          </w:tcPr>
          <w:p>
            <w:pPr>
              <w:jc w:val="center"/>
              <w:rPr>
                <w:color w:val="000000"/>
                <w:szCs w:val="21"/>
              </w:rPr>
            </w:pPr>
            <w:r>
              <w:rPr>
                <w:rFonts w:hint="eastAsia"/>
                <w:color w:val="000000"/>
                <w:szCs w:val="21"/>
              </w:rPr>
              <w:t>0</w:t>
            </w:r>
            <w:r>
              <w:rPr>
                <w:color w:val="000000"/>
                <w:szCs w:val="21"/>
              </w:rPr>
              <w:t>.61</w:t>
            </w:r>
          </w:p>
        </w:tc>
        <w:tc>
          <w:tcPr>
            <w:tcW w:w="839" w:type="dxa"/>
            <w:vMerge w:val="continue"/>
            <w:vAlign w:val="center"/>
          </w:tcPr>
          <w:p>
            <w:pPr>
              <w:jc w:val="center"/>
              <w:rPr>
                <w:color w:val="000000"/>
                <w:szCs w:val="21"/>
              </w:rPr>
            </w:pPr>
          </w:p>
        </w:tc>
        <w:tc>
          <w:tcPr>
            <w:tcW w:w="952" w:type="dxa"/>
            <w:vAlign w:val="center"/>
          </w:tcPr>
          <w:p>
            <w:pPr>
              <w:jc w:val="center"/>
              <w:rPr>
                <w:color w:val="000000"/>
                <w:szCs w:val="21"/>
              </w:rPr>
            </w:pPr>
            <w:r>
              <w:rPr>
                <w:rFonts w:hint="eastAsia"/>
                <w:color w:val="000000"/>
                <w:szCs w:val="21"/>
              </w:rPr>
              <w:t>0</w:t>
            </w:r>
            <w:r>
              <w:rPr>
                <w:color w:val="000000"/>
                <w:szCs w:val="21"/>
              </w:rPr>
              <w:t>.004</w:t>
            </w:r>
          </w:p>
        </w:tc>
        <w:tc>
          <w:tcPr>
            <w:tcW w:w="930" w:type="dxa"/>
            <w:vAlign w:val="center"/>
          </w:tcPr>
          <w:p>
            <w:pPr>
              <w:jc w:val="center"/>
              <w:rPr>
                <w:color w:val="000000"/>
                <w:szCs w:val="21"/>
              </w:rPr>
            </w:pPr>
            <w:r>
              <w:rPr>
                <w:rFonts w:hint="eastAsia"/>
                <w:color w:val="000000"/>
                <w:szCs w:val="21"/>
              </w:rPr>
              <w:t>0</w:t>
            </w:r>
            <w:r>
              <w:rPr>
                <w:color w:val="000000"/>
                <w:szCs w:val="21"/>
              </w:rPr>
              <w:t>.0005</w:t>
            </w:r>
          </w:p>
        </w:tc>
        <w:tc>
          <w:tcPr>
            <w:tcW w:w="1179" w:type="dxa"/>
            <w:vAlign w:val="center"/>
          </w:tcPr>
          <w:p>
            <w:pPr>
              <w:adjustRightInd w:val="0"/>
              <w:snapToGrid w:val="0"/>
              <w:spacing w:line="360" w:lineRule="exact"/>
              <w:jc w:val="center"/>
              <w:rPr>
                <w:kern w:val="0"/>
                <w:szCs w:val="21"/>
              </w:rPr>
            </w:pPr>
            <w:r>
              <w:rPr>
                <w:rFonts w:hint="eastAsia"/>
                <w:kern w:val="0"/>
                <w:szCs w:val="21"/>
              </w:rPr>
              <w:t>0</w:t>
            </w:r>
            <w:r>
              <w:rPr>
                <w:kern w:val="0"/>
                <w:szCs w:val="21"/>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10" w:type="dxa"/>
            <w:gridSpan w:val="10"/>
            <w:vAlign w:val="center"/>
          </w:tcPr>
          <w:p>
            <w:pPr>
              <w:adjustRightInd w:val="0"/>
              <w:snapToGrid w:val="0"/>
              <w:spacing w:line="360" w:lineRule="exact"/>
              <w:jc w:val="center"/>
              <w:rPr>
                <w:bCs/>
                <w:kern w:val="0"/>
                <w:szCs w:val="21"/>
              </w:rPr>
            </w:pPr>
            <w:r>
              <w:rPr>
                <w:rFonts w:hint="eastAsia"/>
                <w:bCs/>
                <w:kern w:val="0"/>
                <w:szCs w:val="21"/>
              </w:rPr>
              <w:t>风机风</w:t>
            </w:r>
            <w:r>
              <w:rPr>
                <w:bCs/>
                <w:kern w:val="0"/>
                <w:szCs w:val="21"/>
              </w:rPr>
              <w:t>量</w:t>
            </w:r>
            <w:r>
              <w:rPr>
                <w:rFonts w:hint="eastAsia"/>
                <w:bCs/>
                <w:kern w:val="0"/>
                <w:szCs w:val="21"/>
              </w:rPr>
              <w:t>：以</w:t>
            </w:r>
            <w:r>
              <w:rPr>
                <w:bCs/>
                <w:kern w:val="0"/>
                <w:szCs w:val="21"/>
              </w:rPr>
              <w:t>15000m</w:t>
            </w:r>
            <w:r>
              <w:rPr>
                <w:bCs/>
                <w:kern w:val="0"/>
                <w:szCs w:val="21"/>
                <w:vertAlign w:val="superscript"/>
              </w:rPr>
              <w:t>3</w:t>
            </w:r>
            <w:r>
              <w:rPr>
                <w:bCs/>
                <w:kern w:val="0"/>
                <w:szCs w:val="21"/>
              </w:rPr>
              <w:t>/h</w:t>
            </w:r>
            <w:r>
              <w:rPr>
                <w:rFonts w:hint="eastAsia"/>
                <w:bCs/>
                <w:kern w:val="0"/>
                <w:szCs w:val="21"/>
              </w:rPr>
              <w:t>计，工作时间8</w:t>
            </w:r>
            <w:r>
              <w:rPr>
                <w:bCs/>
                <w:kern w:val="0"/>
                <w:szCs w:val="21"/>
              </w:rPr>
              <w:t>760</w:t>
            </w:r>
            <w:r>
              <w:rPr>
                <w:rFonts w:hint="eastAsia"/>
                <w:bCs/>
                <w:kern w:val="0"/>
                <w:szCs w:val="21"/>
              </w:rPr>
              <w:t>h/a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dxa"/>
            <w:vMerge w:val="restart"/>
            <w:vAlign w:val="center"/>
          </w:tcPr>
          <w:p>
            <w:pPr>
              <w:adjustRightInd w:val="0"/>
              <w:snapToGrid w:val="0"/>
              <w:spacing w:line="360" w:lineRule="exact"/>
              <w:jc w:val="center"/>
              <w:rPr>
                <w:kern w:val="0"/>
                <w:szCs w:val="21"/>
              </w:rPr>
            </w:pPr>
            <w:r>
              <w:rPr>
                <w:kern w:val="0"/>
                <w:szCs w:val="21"/>
              </w:rPr>
              <w:t>无组织</w:t>
            </w:r>
          </w:p>
        </w:tc>
        <w:tc>
          <w:tcPr>
            <w:tcW w:w="567" w:type="dxa"/>
            <w:vAlign w:val="center"/>
          </w:tcPr>
          <w:p>
            <w:pPr>
              <w:adjustRightInd w:val="0"/>
              <w:snapToGrid w:val="0"/>
              <w:spacing w:line="360" w:lineRule="exact"/>
              <w:jc w:val="center"/>
              <w:rPr>
                <w:kern w:val="0"/>
                <w:szCs w:val="21"/>
              </w:rPr>
            </w:pPr>
            <w:r>
              <w:rPr>
                <w:kern w:val="0"/>
                <w:szCs w:val="21"/>
              </w:rPr>
              <w:t>NH</w:t>
            </w:r>
            <w:r>
              <w:rPr>
                <w:kern w:val="0"/>
                <w:szCs w:val="21"/>
                <w:vertAlign w:val="subscript"/>
              </w:rPr>
              <w:t>3</w:t>
            </w:r>
          </w:p>
        </w:tc>
        <w:tc>
          <w:tcPr>
            <w:tcW w:w="779" w:type="dxa"/>
            <w:vAlign w:val="center"/>
          </w:tcPr>
          <w:p>
            <w:pPr>
              <w:adjustRightInd w:val="0"/>
              <w:snapToGrid w:val="0"/>
              <w:spacing w:line="360" w:lineRule="exact"/>
              <w:jc w:val="center"/>
              <w:rPr>
                <w:kern w:val="0"/>
                <w:szCs w:val="21"/>
              </w:rPr>
            </w:pPr>
            <w:r>
              <w:rPr>
                <w:rFonts w:hint="eastAsia"/>
                <w:kern w:val="0"/>
                <w:szCs w:val="21"/>
              </w:rPr>
              <w:t>0</w:t>
            </w:r>
            <w:r>
              <w:rPr>
                <w:kern w:val="0"/>
                <w:szCs w:val="21"/>
              </w:rPr>
              <w:t>.11</w:t>
            </w:r>
          </w:p>
        </w:tc>
        <w:tc>
          <w:tcPr>
            <w:tcW w:w="781" w:type="dxa"/>
            <w:vAlign w:val="center"/>
          </w:tcPr>
          <w:p>
            <w:pPr>
              <w:jc w:val="center"/>
              <w:rPr>
                <w:color w:val="000000"/>
                <w:szCs w:val="21"/>
              </w:rPr>
            </w:pPr>
            <w:r>
              <w:rPr>
                <w:rFonts w:eastAsia="等线"/>
                <w:color w:val="000000"/>
                <w:szCs w:val="21"/>
              </w:rPr>
              <w:t>/</w:t>
            </w:r>
          </w:p>
        </w:tc>
        <w:tc>
          <w:tcPr>
            <w:tcW w:w="992" w:type="dxa"/>
            <w:vAlign w:val="center"/>
          </w:tcPr>
          <w:p>
            <w:pPr>
              <w:jc w:val="center"/>
              <w:rPr>
                <w:color w:val="000000"/>
                <w:szCs w:val="21"/>
              </w:rPr>
            </w:pPr>
            <w:r>
              <w:rPr>
                <w:rFonts w:hint="eastAsia"/>
                <w:color w:val="000000"/>
                <w:szCs w:val="21"/>
              </w:rPr>
              <w:t>0</w:t>
            </w:r>
            <w:r>
              <w:rPr>
                <w:color w:val="000000"/>
                <w:szCs w:val="21"/>
              </w:rPr>
              <w:t>.0126</w:t>
            </w:r>
          </w:p>
        </w:tc>
        <w:tc>
          <w:tcPr>
            <w:tcW w:w="1134" w:type="dxa"/>
            <w:vAlign w:val="center"/>
          </w:tcPr>
          <w:p>
            <w:pPr>
              <w:jc w:val="center"/>
              <w:rPr>
                <w:color w:val="000000"/>
                <w:szCs w:val="21"/>
              </w:rPr>
            </w:pPr>
            <w:r>
              <w:rPr>
                <w:color w:val="000000"/>
                <w:kern w:val="0"/>
                <w:szCs w:val="21"/>
              </w:rPr>
              <w:t>/</w:t>
            </w:r>
          </w:p>
        </w:tc>
        <w:tc>
          <w:tcPr>
            <w:tcW w:w="839" w:type="dxa"/>
            <w:vMerge w:val="restart"/>
            <w:vAlign w:val="center"/>
          </w:tcPr>
          <w:p>
            <w:pPr>
              <w:jc w:val="center"/>
              <w:rPr>
                <w:color w:val="000000"/>
                <w:szCs w:val="21"/>
              </w:rPr>
            </w:pPr>
            <w:r>
              <w:rPr>
                <w:rFonts w:hint="eastAsia"/>
                <w:color w:val="000000"/>
                <w:szCs w:val="21"/>
              </w:rPr>
              <w:t>60</w:t>
            </w:r>
            <w:r>
              <w:rPr>
                <w:color w:val="000000"/>
                <w:szCs w:val="21"/>
              </w:rPr>
              <w:t>%</w:t>
            </w:r>
          </w:p>
        </w:tc>
        <w:tc>
          <w:tcPr>
            <w:tcW w:w="952" w:type="dxa"/>
            <w:vAlign w:val="center"/>
          </w:tcPr>
          <w:p>
            <w:pPr>
              <w:jc w:val="center"/>
              <w:rPr>
                <w:color w:val="000000"/>
                <w:szCs w:val="21"/>
              </w:rPr>
            </w:pPr>
            <w:r>
              <w:rPr>
                <w:rFonts w:hint="eastAsia"/>
                <w:color w:val="000000"/>
                <w:szCs w:val="21"/>
              </w:rPr>
              <w:t>0</w:t>
            </w:r>
            <w:r>
              <w:rPr>
                <w:color w:val="000000"/>
                <w:szCs w:val="21"/>
              </w:rPr>
              <w:t>.044</w:t>
            </w:r>
          </w:p>
        </w:tc>
        <w:tc>
          <w:tcPr>
            <w:tcW w:w="930" w:type="dxa"/>
            <w:vAlign w:val="center"/>
          </w:tcPr>
          <w:p>
            <w:pPr>
              <w:jc w:val="center"/>
              <w:rPr>
                <w:color w:val="000000"/>
                <w:szCs w:val="21"/>
              </w:rPr>
            </w:pPr>
            <w:r>
              <w:rPr>
                <w:rFonts w:hint="eastAsia"/>
                <w:color w:val="000000"/>
                <w:szCs w:val="21"/>
              </w:rPr>
              <w:t>0</w:t>
            </w:r>
            <w:r>
              <w:rPr>
                <w:color w:val="000000"/>
                <w:szCs w:val="21"/>
              </w:rPr>
              <w:t>.005</w:t>
            </w:r>
          </w:p>
        </w:tc>
        <w:tc>
          <w:tcPr>
            <w:tcW w:w="1179" w:type="dxa"/>
            <w:vAlign w:val="center"/>
          </w:tcPr>
          <w:p>
            <w:pPr>
              <w:adjustRightInd w:val="0"/>
              <w:snapToGrid w:val="0"/>
              <w:spacing w:line="360" w:lineRule="exact"/>
              <w:jc w:val="center"/>
              <w:rPr>
                <w:kern w:val="0"/>
                <w:szCs w:val="21"/>
              </w:rPr>
            </w:pPr>
            <w:r>
              <w:rPr>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dxa"/>
            <w:vMerge w:val="continue"/>
            <w:vAlign w:val="center"/>
          </w:tcPr>
          <w:p>
            <w:pPr>
              <w:adjustRightInd w:val="0"/>
              <w:snapToGrid w:val="0"/>
              <w:spacing w:line="360" w:lineRule="exact"/>
              <w:jc w:val="center"/>
              <w:rPr>
                <w:kern w:val="0"/>
                <w:szCs w:val="21"/>
              </w:rPr>
            </w:pPr>
          </w:p>
        </w:tc>
        <w:tc>
          <w:tcPr>
            <w:tcW w:w="567" w:type="dxa"/>
            <w:vAlign w:val="center"/>
          </w:tcPr>
          <w:p>
            <w:pPr>
              <w:adjustRightInd w:val="0"/>
              <w:snapToGrid w:val="0"/>
              <w:spacing w:line="360" w:lineRule="exact"/>
              <w:jc w:val="center"/>
              <w:rPr>
                <w:kern w:val="0"/>
                <w:szCs w:val="21"/>
              </w:rPr>
            </w:pPr>
            <w:r>
              <w:rPr>
                <w:kern w:val="0"/>
                <w:szCs w:val="21"/>
              </w:rPr>
              <w:t>H</w:t>
            </w:r>
            <w:r>
              <w:rPr>
                <w:kern w:val="0"/>
                <w:szCs w:val="21"/>
                <w:vertAlign w:val="subscript"/>
              </w:rPr>
              <w:t>2</w:t>
            </w:r>
            <w:r>
              <w:rPr>
                <w:kern w:val="0"/>
                <w:szCs w:val="21"/>
              </w:rPr>
              <w:t>S</w:t>
            </w:r>
          </w:p>
        </w:tc>
        <w:tc>
          <w:tcPr>
            <w:tcW w:w="779" w:type="dxa"/>
            <w:vAlign w:val="center"/>
          </w:tcPr>
          <w:p>
            <w:pPr>
              <w:adjustRightInd w:val="0"/>
              <w:snapToGrid w:val="0"/>
              <w:spacing w:line="360" w:lineRule="exact"/>
              <w:jc w:val="center"/>
              <w:rPr>
                <w:kern w:val="0"/>
                <w:szCs w:val="21"/>
              </w:rPr>
            </w:pPr>
            <w:r>
              <w:rPr>
                <w:rFonts w:hint="eastAsia"/>
                <w:kern w:val="0"/>
                <w:szCs w:val="21"/>
              </w:rPr>
              <w:t>0</w:t>
            </w:r>
            <w:r>
              <w:rPr>
                <w:kern w:val="0"/>
                <w:szCs w:val="21"/>
              </w:rPr>
              <w:t>.0043</w:t>
            </w:r>
          </w:p>
        </w:tc>
        <w:tc>
          <w:tcPr>
            <w:tcW w:w="781" w:type="dxa"/>
            <w:vAlign w:val="center"/>
          </w:tcPr>
          <w:p>
            <w:pPr>
              <w:jc w:val="center"/>
              <w:rPr>
                <w:color w:val="000000"/>
                <w:szCs w:val="21"/>
              </w:rPr>
            </w:pPr>
            <w:r>
              <w:rPr>
                <w:rFonts w:eastAsia="等线"/>
                <w:color w:val="000000"/>
                <w:szCs w:val="21"/>
              </w:rPr>
              <w:t>/</w:t>
            </w:r>
          </w:p>
        </w:tc>
        <w:tc>
          <w:tcPr>
            <w:tcW w:w="992" w:type="dxa"/>
            <w:vAlign w:val="center"/>
          </w:tcPr>
          <w:p>
            <w:pPr>
              <w:jc w:val="center"/>
              <w:rPr>
                <w:color w:val="000000"/>
                <w:szCs w:val="21"/>
              </w:rPr>
            </w:pPr>
            <w:r>
              <w:rPr>
                <w:rFonts w:hint="eastAsia"/>
                <w:color w:val="000000"/>
                <w:szCs w:val="21"/>
              </w:rPr>
              <w:t>0</w:t>
            </w:r>
            <w:r>
              <w:rPr>
                <w:color w:val="000000"/>
                <w:szCs w:val="21"/>
              </w:rPr>
              <w:t>.0005</w:t>
            </w:r>
          </w:p>
        </w:tc>
        <w:tc>
          <w:tcPr>
            <w:tcW w:w="1134" w:type="dxa"/>
            <w:vAlign w:val="center"/>
          </w:tcPr>
          <w:p>
            <w:pPr>
              <w:jc w:val="center"/>
              <w:rPr>
                <w:color w:val="000000"/>
                <w:szCs w:val="21"/>
              </w:rPr>
            </w:pPr>
            <w:r>
              <w:rPr>
                <w:color w:val="000000"/>
                <w:kern w:val="0"/>
                <w:szCs w:val="21"/>
              </w:rPr>
              <w:t>/</w:t>
            </w:r>
          </w:p>
        </w:tc>
        <w:tc>
          <w:tcPr>
            <w:tcW w:w="839" w:type="dxa"/>
            <w:vMerge w:val="continue"/>
            <w:vAlign w:val="center"/>
          </w:tcPr>
          <w:p>
            <w:pPr>
              <w:jc w:val="center"/>
              <w:rPr>
                <w:color w:val="000000"/>
                <w:szCs w:val="21"/>
              </w:rPr>
            </w:pPr>
          </w:p>
        </w:tc>
        <w:tc>
          <w:tcPr>
            <w:tcW w:w="952" w:type="dxa"/>
            <w:vAlign w:val="center"/>
          </w:tcPr>
          <w:p>
            <w:pPr>
              <w:jc w:val="center"/>
              <w:rPr>
                <w:color w:val="000000"/>
                <w:szCs w:val="21"/>
              </w:rPr>
            </w:pPr>
            <w:r>
              <w:rPr>
                <w:rFonts w:hint="eastAsia"/>
                <w:color w:val="000000"/>
                <w:szCs w:val="21"/>
              </w:rPr>
              <w:t>0</w:t>
            </w:r>
            <w:r>
              <w:rPr>
                <w:color w:val="000000"/>
                <w:szCs w:val="21"/>
              </w:rPr>
              <w:t>.0017</w:t>
            </w:r>
          </w:p>
        </w:tc>
        <w:tc>
          <w:tcPr>
            <w:tcW w:w="930" w:type="dxa"/>
            <w:vAlign w:val="center"/>
          </w:tcPr>
          <w:p>
            <w:pPr>
              <w:jc w:val="center"/>
              <w:rPr>
                <w:color w:val="000000"/>
                <w:szCs w:val="21"/>
              </w:rPr>
            </w:pPr>
            <w:r>
              <w:rPr>
                <w:rFonts w:hint="eastAsia"/>
                <w:color w:val="000000"/>
                <w:szCs w:val="21"/>
              </w:rPr>
              <w:t>0</w:t>
            </w:r>
            <w:r>
              <w:rPr>
                <w:color w:val="000000"/>
                <w:szCs w:val="21"/>
              </w:rPr>
              <w:t>.0002</w:t>
            </w:r>
          </w:p>
        </w:tc>
        <w:tc>
          <w:tcPr>
            <w:tcW w:w="1179" w:type="dxa"/>
            <w:vAlign w:val="center"/>
          </w:tcPr>
          <w:p>
            <w:pPr>
              <w:adjustRightInd w:val="0"/>
              <w:snapToGrid w:val="0"/>
              <w:spacing w:line="360" w:lineRule="exact"/>
              <w:jc w:val="center"/>
              <w:rPr>
                <w:kern w:val="0"/>
                <w:szCs w:val="21"/>
              </w:rPr>
            </w:pPr>
            <w:r>
              <w:rPr>
                <w:kern w:val="0"/>
                <w:szCs w:val="21"/>
              </w:rPr>
              <w:t>/</w:t>
            </w:r>
          </w:p>
        </w:tc>
      </w:tr>
    </w:tbl>
    <w:p>
      <w:pPr>
        <w:spacing w:line="520" w:lineRule="exact"/>
        <w:ind w:firstLine="480" w:firstLineChars="200"/>
        <w:rPr>
          <w:sz w:val="24"/>
          <w:szCs w:val="24"/>
        </w:rPr>
      </w:pPr>
      <w:r>
        <w:rPr>
          <w:rFonts w:hint="eastAsia"/>
          <w:sz w:val="24"/>
          <w:szCs w:val="24"/>
        </w:rPr>
        <w:t>根据上表，污水处理站废气有组织臭气排放满足</w:t>
      </w:r>
      <w:r>
        <w:rPr>
          <w:sz w:val="24"/>
          <w:szCs w:val="24"/>
        </w:rPr>
        <w:t>《恶臭污染物排放标准》（GB14554-93）表2 NH</w:t>
      </w:r>
      <w:r>
        <w:rPr>
          <w:sz w:val="24"/>
          <w:szCs w:val="24"/>
          <w:vertAlign w:val="subscript"/>
        </w:rPr>
        <w:t xml:space="preserve">3 </w:t>
      </w:r>
      <w:r>
        <w:rPr>
          <w:bCs/>
          <w:sz w:val="24"/>
          <w:szCs w:val="24"/>
        </w:rPr>
        <w:t>4.9kg/h</w:t>
      </w:r>
      <w:r>
        <w:rPr>
          <w:rFonts w:hint="eastAsia"/>
          <w:bCs/>
          <w:sz w:val="24"/>
          <w:szCs w:val="24"/>
        </w:rPr>
        <w:t>、</w:t>
      </w:r>
      <w:r>
        <w:rPr>
          <w:bCs/>
          <w:sz w:val="24"/>
          <w:szCs w:val="24"/>
        </w:rPr>
        <w:t>H</w:t>
      </w:r>
      <w:r>
        <w:rPr>
          <w:bCs/>
          <w:sz w:val="24"/>
          <w:szCs w:val="24"/>
          <w:vertAlign w:val="subscript"/>
        </w:rPr>
        <w:t>2</w:t>
      </w:r>
      <w:r>
        <w:rPr>
          <w:bCs/>
          <w:sz w:val="24"/>
          <w:szCs w:val="24"/>
        </w:rPr>
        <w:t>S 0.33kg/h</w:t>
      </w:r>
      <w:r>
        <w:rPr>
          <w:rFonts w:hint="eastAsia"/>
          <w:bCs/>
          <w:sz w:val="24"/>
          <w:szCs w:val="24"/>
        </w:rPr>
        <w:t>的排放速率的限值要求。无组织臭气排放应</w:t>
      </w:r>
      <w:r>
        <w:rPr>
          <w:rFonts w:hint="eastAsia"/>
          <w:sz w:val="24"/>
          <w:szCs w:val="24"/>
        </w:rPr>
        <w:t>满足</w:t>
      </w:r>
      <w:r>
        <w:rPr>
          <w:sz w:val="24"/>
          <w:szCs w:val="24"/>
        </w:rPr>
        <w:t>《恶臭污染物排放标准》（GB14554-93）</w:t>
      </w:r>
      <w:r>
        <w:rPr>
          <w:rFonts w:hint="eastAsia"/>
          <w:sz w:val="24"/>
          <w:szCs w:val="24"/>
        </w:rPr>
        <w:t>表1</w:t>
      </w:r>
      <w:r>
        <w:rPr>
          <w:sz w:val="24"/>
          <w:szCs w:val="24"/>
        </w:rPr>
        <w:t xml:space="preserve"> NH</w:t>
      </w:r>
      <w:r>
        <w:rPr>
          <w:sz w:val="24"/>
          <w:szCs w:val="24"/>
          <w:vertAlign w:val="subscript"/>
        </w:rPr>
        <w:t xml:space="preserve">3 </w:t>
      </w:r>
      <w:r>
        <w:rPr>
          <w:bCs/>
          <w:sz w:val="24"/>
          <w:szCs w:val="24"/>
        </w:rPr>
        <w:t>1.5</w:t>
      </w:r>
      <w:r>
        <w:rPr>
          <w:rFonts w:hint="eastAsia"/>
          <w:bCs/>
          <w:sz w:val="24"/>
          <w:szCs w:val="24"/>
        </w:rPr>
        <w:t>mg/m</w:t>
      </w:r>
      <w:r>
        <w:rPr>
          <w:rFonts w:hint="eastAsia"/>
          <w:bCs/>
          <w:sz w:val="24"/>
          <w:szCs w:val="24"/>
          <w:vertAlign w:val="superscript"/>
        </w:rPr>
        <w:t>3</w:t>
      </w:r>
      <w:r>
        <w:rPr>
          <w:rFonts w:hint="eastAsia"/>
          <w:bCs/>
          <w:sz w:val="24"/>
          <w:szCs w:val="24"/>
        </w:rPr>
        <w:t>、</w:t>
      </w:r>
      <w:r>
        <w:rPr>
          <w:bCs/>
          <w:sz w:val="24"/>
          <w:szCs w:val="24"/>
        </w:rPr>
        <w:t>H</w:t>
      </w:r>
      <w:r>
        <w:rPr>
          <w:bCs/>
          <w:sz w:val="24"/>
          <w:szCs w:val="24"/>
          <w:vertAlign w:val="subscript"/>
        </w:rPr>
        <w:t>2</w:t>
      </w:r>
      <w:r>
        <w:rPr>
          <w:bCs/>
          <w:sz w:val="24"/>
          <w:szCs w:val="24"/>
        </w:rPr>
        <w:t>S 0.06</w:t>
      </w:r>
      <w:r>
        <w:rPr>
          <w:rFonts w:hint="eastAsia"/>
          <w:bCs/>
          <w:sz w:val="24"/>
          <w:szCs w:val="24"/>
        </w:rPr>
        <w:t>mg/m</w:t>
      </w:r>
      <w:r>
        <w:rPr>
          <w:rFonts w:hint="eastAsia"/>
          <w:bCs/>
          <w:sz w:val="24"/>
          <w:szCs w:val="24"/>
          <w:vertAlign w:val="superscript"/>
        </w:rPr>
        <w:t>3</w:t>
      </w:r>
      <w:r>
        <w:rPr>
          <w:rFonts w:hint="eastAsia"/>
          <w:bCs/>
          <w:sz w:val="24"/>
          <w:szCs w:val="24"/>
        </w:rPr>
        <w:t>和臭气浓度2</w:t>
      </w:r>
      <w:r>
        <w:rPr>
          <w:bCs/>
          <w:sz w:val="24"/>
          <w:szCs w:val="24"/>
        </w:rPr>
        <w:t>0</w:t>
      </w:r>
      <w:r>
        <w:rPr>
          <w:rFonts w:hint="eastAsia"/>
          <w:bCs/>
          <w:sz w:val="24"/>
          <w:szCs w:val="24"/>
        </w:rPr>
        <w:t>（无量纲）的限值要求。</w:t>
      </w:r>
    </w:p>
    <w:p>
      <w:pPr>
        <w:spacing w:line="520" w:lineRule="exact"/>
        <w:ind w:firstLine="480" w:firstLineChars="200"/>
        <w:rPr>
          <w:sz w:val="24"/>
          <w:szCs w:val="24"/>
        </w:rPr>
      </w:pPr>
      <w:r>
        <w:rPr>
          <w:rFonts w:hint="eastAsia"/>
          <w:sz w:val="24"/>
          <w:szCs w:val="24"/>
        </w:rPr>
        <w:t>由于园区主要入驻企业为食品加工和预制菜生产加工企业及相关配套企业，与</w:t>
      </w:r>
      <w:r>
        <w:rPr>
          <w:sz w:val="24"/>
          <w:szCs w:val="24"/>
        </w:rPr>
        <w:t>河南餐饮中央厨房产业园</w:t>
      </w:r>
      <w:r>
        <w:rPr>
          <w:rFonts w:hint="eastAsia"/>
          <w:sz w:val="24"/>
          <w:szCs w:val="24"/>
        </w:rPr>
        <w:t>园区入驻企业类似，且</w:t>
      </w:r>
      <w:r>
        <w:rPr>
          <w:sz w:val="24"/>
          <w:szCs w:val="24"/>
        </w:rPr>
        <w:t>中央厨房产业园</w:t>
      </w:r>
      <w:r>
        <w:rPr>
          <w:rFonts w:hint="eastAsia"/>
          <w:sz w:val="24"/>
          <w:szCs w:val="24"/>
        </w:rPr>
        <w:t>园区污水处理站污水处理工艺为“</w:t>
      </w:r>
      <w:r>
        <w:rPr>
          <w:sz w:val="24"/>
          <w:szCs w:val="24"/>
        </w:rPr>
        <w:t>超滤格栅+集水</w:t>
      </w:r>
      <w:r>
        <w:rPr>
          <w:rFonts w:hint="eastAsia"/>
          <w:sz w:val="24"/>
          <w:szCs w:val="24"/>
        </w:rPr>
        <w:t>池</w:t>
      </w:r>
      <w:r>
        <w:rPr>
          <w:sz w:val="24"/>
          <w:szCs w:val="24"/>
        </w:rPr>
        <w:t>+调节</w:t>
      </w:r>
      <w:r>
        <w:rPr>
          <w:rFonts w:hint="eastAsia"/>
          <w:sz w:val="24"/>
          <w:szCs w:val="24"/>
        </w:rPr>
        <w:t>池</w:t>
      </w:r>
      <w:r>
        <w:rPr>
          <w:sz w:val="24"/>
          <w:szCs w:val="24"/>
        </w:rPr>
        <w:t>+初沉</w:t>
      </w:r>
      <w:r>
        <w:rPr>
          <w:rFonts w:hint="eastAsia"/>
          <w:sz w:val="24"/>
          <w:szCs w:val="24"/>
        </w:rPr>
        <w:t>池</w:t>
      </w:r>
      <w:r>
        <w:rPr>
          <w:sz w:val="24"/>
          <w:szCs w:val="24"/>
        </w:rPr>
        <w:t>+水解酸化</w:t>
      </w:r>
      <w:r>
        <w:rPr>
          <w:rFonts w:hint="eastAsia"/>
          <w:sz w:val="24"/>
          <w:szCs w:val="24"/>
        </w:rPr>
        <w:t>池</w:t>
      </w:r>
      <w:r>
        <w:rPr>
          <w:sz w:val="24"/>
          <w:szCs w:val="24"/>
        </w:rPr>
        <w:t>+</w:t>
      </w:r>
      <w:r>
        <w:rPr>
          <w:rFonts w:hint="eastAsia"/>
          <w:sz w:val="24"/>
          <w:szCs w:val="24"/>
        </w:rPr>
        <w:t>一级</w:t>
      </w:r>
      <w:r>
        <w:rPr>
          <w:sz w:val="24"/>
          <w:szCs w:val="24"/>
        </w:rPr>
        <w:t>A/O+</w:t>
      </w:r>
      <w:r>
        <w:rPr>
          <w:rFonts w:hint="eastAsia"/>
          <w:sz w:val="24"/>
          <w:szCs w:val="24"/>
        </w:rPr>
        <w:t>二级A</w:t>
      </w:r>
      <w:r>
        <w:rPr>
          <w:sz w:val="24"/>
          <w:szCs w:val="24"/>
        </w:rPr>
        <w:t>/O+</w:t>
      </w:r>
      <w:r>
        <w:rPr>
          <w:rFonts w:hint="eastAsia"/>
          <w:sz w:val="24"/>
          <w:szCs w:val="24"/>
        </w:rPr>
        <w:t>二次</w:t>
      </w:r>
      <w:r>
        <w:rPr>
          <w:sz w:val="24"/>
          <w:szCs w:val="24"/>
        </w:rPr>
        <w:t>沉淀</w:t>
      </w:r>
      <w:r>
        <w:rPr>
          <w:rFonts w:hint="eastAsia"/>
          <w:sz w:val="24"/>
          <w:szCs w:val="24"/>
        </w:rPr>
        <w:t>+三次沉淀”，与本项目园区污水处理站污水处理工艺类似，同时污水处理站恶臭气体收集后均由“</w:t>
      </w:r>
      <w:r>
        <w:rPr>
          <w:rFonts w:hint="eastAsia"/>
          <w:bCs/>
          <w:sz w:val="24"/>
          <w:szCs w:val="24"/>
        </w:rPr>
        <w:t>洗涤除臭装置（碱喷淋+生物除臭剂喷淋）</w:t>
      </w:r>
      <w:r>
        <w:rPr>
          <w:rFonts w:hint="eastAsia"/>
          <w:sz w:val="24"/>
          <w:szCs w:val="24"/>
        </w:rPr>
        <w:t>”处理，因此</w:t>
      </w:r>
      <w:r>
        <w:rPr>
          <w:sz w:val="24"/>
          <w:szCs w:val="24"/>
        </w:rPr>
        <w:t>参考</w:t>
      </w:r>
      <w:r>
        <w:rPr>
          <w:rFonts w:hint="eastAsia"/>
          <w:sz w:val="24"/>
          <w:szCs w:val="24"/>
        </w:rPr>
        <w:t>《原阳县中央厨房产业园污水处理及配套设施扩建项目竣工环境保护验收监测报告表》</w:t>
      </w:r>
      <w:r>
        <w:rPr>
          <w:sz w:val="24"/>
          <w:szCs w:val="24"/>
        </w:rPr>
        <w:t>，</w:t>
      </w:r>
      <w:r>
        <w:rPr>
          <w:rFonts w:hint="eastAsia"/>
          <w:sz w:val="24"/>
          <w:szCs w:val="24"/>
        </w:rPr>
        <w:t>中央厨房产业园污水处理站臭气浓度排放浓度为3</w:t>
      </w:r>
      <w:r>
        <w:rPr>
          <w:sz w:val="24"/>
          <w:szCs w:val="24"/>
        </w:rPr>
        <w:t>1</w:t>
      </w:r>
      <w:r>
        <w:rPr>
          <w:rFonts w:hint="eastAsia"/>
          <w:sz w:val="24"/>
          <w:szCs w:val="24"/>
        </w:rPr>
        <w:t>~</w:t>
      </w:r>
      <w:r>
        <w:rPr>
          <w:sz w:val="24"/>
          <w:szCs w:val="24"/>
        </w:rPr>
        <w:t>55</w:t>
      </w:r>
      <w:r>
        <w:rPr>
          <w:rFonts w:hint="eastAsia"/>
          <w:sz w:val="24"/>
          <w:szCs w:val="24"/>
        </w:rPr>
        <w:t>。</w:t>
      </w:r>
      <w:r>
        <w:rPr>
          <w:sz w:val="24"/>
          <w:szCs w:val="24"/>
        </w:rPr>
        <w:t>结合本项目污水进行水质和污水处理工艺，本项目臭气</w:t>
      </w:r>
      <w:r>
        <w:rPr>
          <w:rFonts w:hint="eastAsia"/>
          <w:sz w:val="24"/>
          <w:szCs w:val="24"/>
        </w:rPr>
        <w:t>经处理后</w:t>
      </w:r>
      <w:r>
        <w:rPr>
          <w:sz w:val="24"/>
          <w:szCs w:val="24"/>
        </w:rPr>
        <w:t>臭气浓度</w:t>
      </w:r>
      <w:r>
        <w:rPr>
          <w:rFonts w:hint="eastAsia"/>
          <w:sz w:val="24"/>
          <w:szCs w:val="24"/>
        </w:rPr>
        <w:t>最大</w:t>
      </w:r>
      <w:r>
        <w:rPr>
          <w:sz w:val="24"/>
          <w:szCs w:val="24"/>
        </w:rPr>
        <w:t>为55（无量纲）</w:t>
      </w:r>
      <w:r>
        <w:rPr>
          <w:rFonts w:hint="eastAsia"/>
          <w:sz w:val="24"/>
          <w:szCs w:val="24"/>
        </w:rPr>
        <w:t>，能够满足</w:t>
      </w:r>
      <w:r>
        <w:rPr>
          <w:sz w:val="24"/>
          <w:szCs w:val="24"/>
        </w:rPr>
        <w:t>《恶臭污染物排放标准》（GB14554-93）表</w:t>
      </w:r>
      <w:r>
        <w:rPr>
          <w:rFonts w:hint="eastAsia"/>
          <w:sz w:val="24"/>
          <w:szCs w:val="24"/>
        </w:rPr>
        <w:t>2</w:t>
      </w:r>
      <w:r>
        <w:rPr>
          <w:sz w:val="24"/>
          <w:szCs w:val="24"/>
        </w:rPr>
        <w:t xml:space="preserve"> </w:t>
      </w:r>
      <w:r>
        <w:rPr>
          <w:rFonts w:hint="eastAsia"/>
          <w:sz w:val="24"/>
          <w:szCs w:val="24"/>
        </w:rPr>
        <w:t>臭气浓度2</w:t>
      </w:r>
      <w:r>
        <w:rPr>
          <w:sz w:val="24"/>
          <w:szCs w:val="24"/>
        </w:rPr>
        <w:t>000</w:t>
      </w:r>
      <w:r>
        <w:rPr>
          <w:rFonts w:hint="eastAsia"/>
          <w:sz w:val="24"/>
          <w:szCs w:val="24"/>
        </w:rPr>
        <w:t>（无量纲）的标准限值要求。</w:t>
      </w:r>
    </w:p>
    <w:p>
      <w:pPr>
        <w:spacing w:line="520" w:lineRule="exact"/>
        <w:ind w:firstLine="198"/>
        <w:outlineLvl w:val="5"/>
        <w:rPr>
          <w:sz w:val="24"/>
          <w:szCs w:val="24"/>
        </w:rPr>
      </w:pPr>
      <w:r>
        <w:rPr>
          <w:rFonts w:hint="eastAsia"/>
          <w:sz w:val="24"/>
          <w:szCs w:val="24"/>
        </w:rPr>
        <w:t>（2）废气污染物排放量核算</w:t>
      </w:r>
    </w:p>
    <w:p>
      <w:pPr>
        <w:spacing w:line="520" w:lineRule="exact"/>
        <w:ind w:firstLine="198"/>
        <w:outlineLvl w:val="6"/>
        <w:rPr>
          <w:sz w:val="24"/>
          <w:szCs w:val="24"/>
        </w:rPr>
      </w:pPr>
      <w:r>
        <w:rPr>
          <w:rFonts w:hint="eastAsia"/>
          <w:sz w:val="24"/>
          <w:szCs w:val="24"/>
        </w:rPr>
        <w:t>①废气污染物有组织排放量核算</w:t>
      </w:r>
    </w:p>
    <w:p>
      <w:pPr>
        <w:spacing w:line="520" w:lineRule="exact"/>
        <w:ind w:firstLine="480" w:firstLineChars="200"/>
        <w:rPr>
          <w:sz w:val="24"/>
          <w:szCs w:val="24"/>
        </w:rPr>
      </w:pPr>
      <w:r>
        <w:rPr>
          <w:rFonts w:hint="eastAsia"/>
          <w:sz w:val="24"/>
          <w:szCs w:val="24"/>
        </w:rPr>
        <w:t>废气污染物有组织排放量核算表如下：</w:t>
      </w:r>
    </w:p>
    <w:p>
      <w:pPr>
        <w:spacing w:before="156" w:beforeLines="50"/>
        <w:ind w:firstLine="480" w:firstLineChars="200"/>
        <w:rPr>
          <w:rFonts w:hAnsi="黑体" w:eastAsia="黑体"/>
          <w:color w:val="000000"/>
          <w:sz w:val="24"/>
        </w:rPr>
      </w:pPr>
      <w:r>
        <w:rPr>
          <w:rFonts w:hAnsi="黑体" w:eastAsia="黑体"/>
          <w:color w:val="000000"/>
          <w:sz w:val="24"/>
        </w:rPr>
        <w:t>表3.1-25             大气污染物有组织排放量核算表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72"/>
        <w:gridCol w:w="1220"/>
        <w:gridCol w:w="1308"/>
        <w:gridCol w:w="1852"/>
        <w:gridCol w:w="2000"/>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68" w:type="pct"/>
            <w:vAlign w:val="center"/>
          </w:tcPr>
          <w:p>
            <w:pPr>
              <w:jc w:val="center"/>
              <w:rPr>
                <w:b/>
                <w:bCs/>
                <w:kern w:val="0"/>
                <w:szCs w:val="21"/>
              </w:rPr>
            </w:pPr>
            <w:r>
              <w:rPr>
                <w:b/>
                <w:bCs/>
                <w:kern w:val="0"/>
                <w:szCs w:val="21"/>
              </w:rPr>
              <w:t>序号</w:t>
            </w:r>
          </w:p>
        </w:tc>
        <w:tc>
          <w:tcPr>
            <w:tcW w:w="694" w:type="pct"/>
            <w:vAlign w:val="center"/>
          </w:tcPr>
          <w:p>
            <w:pPr>
              <w:jc w:val="center"/>
              <w:rPr>
                <w:b/>
                <w:bCs/>
                <w:kern w:val="0"/>
                <w:szCs w:val="21"/>
              </w:rPr>
            </w:pPr>
            <w:r>
              <w:rPr>
                <w:b/>
                <w:bCs/>
                <w:kern w:val="0"/>
                <w:szCs w:val="21"/>
              </w:rPr>
              <w:t>排放口编号</w:t>
            </w:r>
          </w:p>
        </w:tc>
        <w:tc>
          <w:tcPr>
            <w:tcW w:w="744" w:type="pct"/>
            <w:vAlign w:val="center"/>
          </w:tcPr>
          <w:p>
            <w:pPr>
              <w:jc w:val="center"/>
              <w:rPr>
                <w:b/>
                <w:bCs/>
                <w:kern w:val="0"/>
                <w:szCs w:val="21"/>
              </w:rPr>
            </w:pPr>
            <w:r>
              <w:rPr>
                <w:b/>
                <w:bCs/>
                <w:kern w:val="0"/>
                <w:szCs w:val="21"/>
              </w:rPr>
              <w:t>污染物</w:t>
            </w:r>
          </w:p>
        </w:tc>
        <w:tc>
          <w:tcPr>
            <w:tcW w:w="1054" w:type="pct"/>
            <w:vAlign w:val="center"/>
          </w:tcPr>
          <w:p>
            <w:pPr>
              <w:jc w:val="center"/>
              <w:rPr>
                <w:b/>
                <w:bCs/>
                <w:kern w:val="0"/>
                <w:szCs w:val="21"/>
              </w:rPr>
            </w:pPr>
            <w:r>
              <w:rPr>
                <w:b/>
                <w:bCs/>
                <w:kern w:val="0"/>
                <w:szCs w:val="21"/>
              </w:rPr>
              <w:t>核算排放浓度/</w:t>
            </w:r>
          </w:p>
          <w:p>
            <w:pPr>
              <w:jc w:val="center"/>
              <w:rPr>
                <w:b/>
                <w:bCs/>
                <w:kern w:val="0"/>
                <w:szCs w:val="21"/>
              </w:rPr>
            </w:pPr>
            <w:r>
              <w:rPr>
                <w:b/>
                <w:bCs/>
                <w:kern w:val="0"/>
                <w:szCs w:val="21"/>
              </w:rPr>
              <w:t>（mg/m</w:t>
            </w:r>
            <w:r>
              <w:rPr>
                <w:b/>
                <w:bCs/>
                <w:kern w:val="0"/>
                <w:szCs w:val="21"/>
                <w:vertAlign w:val="superscript"/>
              </w:rPr>
              <w:t>3</w:t>
            </w:r>
            <w:r>
              <w:rPr>
                <w:b/>
                <w:bCs/>
                <w:kern w:val="0"/>
                <w:szCs w:val="21"/>
              </w:rPr>
              <w:t>）</w:t>
            </w:r>
          </w:p>
        </w:tc>
        <w:tc>
          <w:tcPr>
            <w:tcW w:w="1138" w:type="pct"/>
            <w:vAlign w:val="center"/>
          </w:tcPr>
          <w:p>
            <w:pPr>
              <w:jc w:val="center"/>
              <w:rPr>
                <w:b/>
                <w:bCs/>
                <w:kern w:val="0"/>
                <w:szCs w:val="21"/>
              </w:rPr>
            </w:pPr>
            <w:r>
              <w:rPr>
                <w:b/>
                <w:bCs/>
                <w:kern w:val="0"/>
                <w:szCs w:val="21"/>
              </w:rPr>
              <w:t>最大排放速率/</w:t>
            </w:r>
          </w:p>
          <w:p>
            <w:pPr>
              <w:jc w:val="center"/>
              <w:rPr>
                <w:b/>
                <w:bCs/>
                <w:kern w:val="0"/>
                <w:szCs w:val="21"/>
              </w:rPr>
            </w:pPr>
            <w:r>
              <w:rPr>
                <w:b/>
                <w:bCs/>
                <w:kern w:val="0"/>
                <w:szCs w:val="21"/>
              </w:rPr>
              <w:t>（kg/h）</w:t>
            </w:r>
          </w:p>
        </w:tc>
        <w:tc>
          <w:tcPr>
            <w:tcW w:w="1101" w:type="pct"/>
            <w:vAlign w:val="center"/>
          </w:tcPr>
          <w:p>
            <w:pPr>
              <w:jc w:val="center"/>
              <w:rPr>
                <w:b/>
                <w:bCs/>
                <w:kern w:val="0"/>
                <w:szCs w:val="21"/>
              </w:rPr>
            </w:pPr>
            <w:r>
              <w:rPr>
                <w:b/>
                <w:bCs/>
                <w:kern w:val="0"/>
                <w:szCs w:val="21"/>
              </w:rPr>
              <w:t>核算年排放量/</w:t>
            </w:r>
          </w:p>
          <w:p>
            <w:pPr>
              <w:jc w:val="center"/>
              <w:rPr>
                <w:b/>
                <w:bCs/>
                <w:kern w:val="0"/>
                <w:szCs w:val="21"/>
              </w:rPr>
            </w:pPr>
            <w:r>
              <w:rPr>
                <w:b/>
                <w:bCs/>
                <w:kern w:val="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68" w:type="pct"/>
            <w:vMerge w:val="restart"/>
            <w:vAlign w:val="center"/>
          </w:tcPr>
          <w:p>
            <w:pPr>
              <w:jc w:val="center"/>
              <w:rPr>
                <w:kern w:val="0"/>
                <w:szCs w:val="21"/>
              </w:rPr>
            </w:pPr>
            <w:r>
              <w:rPr>
                <w:kern w:val="0"/>
                <w:szCs w:val="21"/>
              </w:rPr>
              <w:t>1</w:t>
            </w:r>
          </w:p>
        </w:tc>
        <w:tc>
          <w:tcPr>
            <w:tcW w:w="694" w:type="pct"/>
            <w:vMerge w:val="restart"/>
            <w:vAlign w:val="center"/>
          </w:tcPr>
          <w:p>
            <w:pPr>
              <w:jc w:val="center"/>
              <w:rPr>
                <w:kern w:val="0"/>
                <w:szCs w:val="21"/>
              </w:rPr>
            </w:pPr>
            <w:r>
              <w:rPr>
                <w:kern w:val="0"/>
                <w:szCs w:val="21"/>
              </w:rPr>
              <w:t>排气筒P</w:t>
            </w:r>
          </w:p>
        </w:tc>
        <w:tc>
          <w:tcPr>
            <w:tcW w:w="744" w:type="pct"/>
            <w:vAlign w:val="center"/>
          </w:tcPr>
          <w:p>
            <w:pPr>
              <w:jc w:val="center"/>
              <w:rPr>
                <w:bCs/>
                <w:kern w:val="0"/>
                <w:szCs w:val="21"/>
              </w:rPr>
            </w:pPr>
            <w:r>
              <w:rPr>
                <w:rFonts w:hint="eastAsia"/>
                <w:bCs/>
                <w:kern w:val="0"/>
                <w:szCs w:val="21"/>
              </w:rPr>
              <w:t>NH</w:t>
            </w:r>
            <w:r>
              <w:rPr>
                <w:rFonts w:hint="eastAsia"/>
                <w:bCs/>
                <w:kern w:val="0"/>
                <w:szCs w:val="21"/>
                <w:vertAlign w:val="subscript"/>
              </w:rPr>
              <w:t>3</w:t>
            </w:r>
          </w:p>
        </w:tc>
        <w:tc>
          <w:tcPr>
            <w:tcW w:w="1054" w:type="pct"/>
            <w:vAlign w:val="center"/>
          </w:tcPr>
          <w:p>
            <w:pPr>
              <w:jc w:val="center"/>
              <w:rPr>
                <w:kern w:val="0"/>
                <w:szCs w:val="21"/>
              </w:rPr>
            </w:pPr>
            <w:r>
              <w:rPr>
                <w:rFonts w:hint="eastAsia"/>
                <w:kern w:val="0"/>
                <w:szCs w:val="21"/>
              </w:rPr>
              <w:t>0</w:t>
            </w:r>
            <w:r>
              <w:rPr>
                <w:kern w:val="0"/>
                <w:szCs w:val="21"/>
              </w:rPr>
              <w:t>.79</w:t>
            </w:r>
          </w:p>
        </w:tc>
        <w:tc>
          <w:tcPr>
            <w:tcW w:w="1138" w:type="pct"/>
            <w:vAlign w:val="center"/>
          </w:tcPr>
          <w:p>
            <w:pPr>
              <w:jc w:val="center"/>
              <w:rPr>
                <w:kern w:val="0"/>
                <w:szCs w:val="21"/>
              </w:rPr>
            </w:pPr>
            <w:r>
              <w:rPr>
                <w:rFonts w:eastAsia="等线"/>
                <w:color w:val="000000"/>
                <w:kern w:val="0"/>
                <w:szCs w:val="21"/>
              </w:rPr>
              <w:t>0.0119</w:t>
            </w:r>
          </w:p>
        </w:tc>
        <w:tc>
          <w:tcPr>
            <w:tcW w:w="1101" w:type="pct"/>
            <w:vAlign w:val="center"/>
          </w:tcPr>
          <w:p>
            <w:pPr>
              <w:jc w:val="center"/>
              <w:rPr>
                <w:kern w:val="0"/>
                <w:szCs w:val="21"/>
              </w:rPr>
            </w:pPr>
            <w:r>
              <w:rPr>
                <w:rFonts w:eastAsia="等线"/>
                <w:color w:val="000000"/>
                <w:kern w:val="0"/>
                <w:szCs w:val="21"/>
              </w:rPr>
              <w:t>0.1045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68" w:type="pct"/>
            <w:vMerge w:val="continue"/>
            <w:vAlign w:val="center"/>
          </w:tcPr>
          <w:p>
            <w:pPr>
              <w:jc w:val="center"/>
              <w:rPr>
                <w:kern w:val="0"/>
                <w:szCs w:val="21"/>
              </w:rPr>
            </w:pPr>
          </w:p>
        </w:tc>
        <w:tc>
          <w:tcPr>
            <w:tcW w:w="694" w:type="pct"/>
            <w:vMerge w:val="continue"/>
            <w:vAlign w:val="center"/>
          </w:tcPr>
          <w:p>
            <w:pPr>
              <w:jc w:val="center"/>
              <w:rPr>
                <w:kern w:val="0"/>
                <w:szCs w:val="21"/>
              </w:rPr>
            </w:pPr>
          </w:p>
        </w:tc>
        <w:tc>
          <w:tcPr>
            <w:tcW w:w="744" w:type="pct"/>
            <w:vAlign w:val="center"/>
          </w:tcPr>
          <w:p>
            <w:pPr>
              <w:jc w:val="center"/>
              <w:rPr>
                <w:bCs/>
                <w:kern w:val="0"/>
                <w:szCs w:val="21"/>
              </w:rPr>
            </w:pPr>
            <w:r>
              <w:rPr>
                <w:rFonts w:hint="eastAsia"/>
                <w:bCs/>
                <w:kern w:val="0"/>
                <w:szCs w:val="21"/>
              </w:rPr>
              <w:t>H</w:t>
            </w:r>
            <w:r>
              <w:rPr>
                <w:rFonts w:hint="eastAsia"/>
                <w:bCs/>
                <w:kern w:val="0"/>
                <w:szCs w:val="21"/>
                <w:vertAlign w:val="subscript"/>
              </w:rPr>
              <w:t>2</w:t>
            </w:r>
            <w:r>
              <w:rPr>
                <w:rFonts w:hint="eastAsia"/>
                <w:bCs/>
                <w:kern w:val="0"/>
                <w:szCs w:val="21"/>
              </w:rPr>
              <w:t>S</w:t>
            </w:r>
          </w:p>
        </w:tc>
        <w:tc>
          <w:tcPr>
            <w:tcW w:w="1054" w:type="pct"/>
            <w:vAlign w:val="center"/>
          </w:tcPr>
          <w:p>
            <w:pPr>
              <w:jc w:val="center"/>
              <w:rPr>
                <w:kern w:val="0"/>
                <w:szCs w:val="21"/>
              </w:rPr>
            </w:pPr>
            <w:r>
              <w:rPr>
                <w:rFonts w:hint="eastAsia"/>
                <w:kern w:val="0"/>
                <w:szCs w:val="21"/>
              </w:rPr>
              <w:t>0</w:t>
            </w:r>
            <w:r>
              <w:rPr>
                <w:kern w:val="0"/>
                <w:szCs w:val="21"/>
              </w:rPr>
              <w:t>.03</w:t>
            </w:r>
          </w:p>
        </w:tc>
        <w:tc>
          <w:tcPr>
            <w:tcW w:w="1138" w:type="pct"/>
            <w:vAlign w:val="center"/>
          </w:tcPr>
          <w:p>
            <w:pPr>
              <w:jc w:val="center"/>
              <w:rPr>
                <w:kern w:val="0"/>
                <w:szCs w:val="21"/>
              </w:rPr>
            </w:pPr>
            <w:r>
              <w:rPr>
                <w:rFonts w:eastAsia="等线"/>
                <w:color w:val="000000"/>
                <w:kern w:val="0"/>
                <w:szCs w:val="21"/>
              </w:rPr>
              <w:t>0.0005</w:t>
            </w:r>
          </w:p>
        </w:tc>
        <w:tc>
          <w:tcPr>
            <w:tcW w:w="1101" w:type="pct"/>
            <w:vAlign w:val="center"/>
          </w:tcPr>
          <w:p>
            <w:pPr>
              <w:jc w:val="center"/>
              <w:rPr>
                <w:kern w:val="0"/>
                <w:szCs w:val="21"/>
              </w:rPr>
            </w:pPr>
            <w:r>
              <w:rPr>
                <w:rFonts w:eastAsia="等线"/>
                <w:color w:val="000000"/>
                <w:kern w:val="0"/>
                <w:szCs w:val="21"/>
              </w:rPr>
              <w:t>0.004</w:t>
            </w:r>
          </w:p>
        </w:tc>
      </w:tr>
    </w:tbl>
    <w:p>
      <w:pPr>
        <w:spacing w:line="520" w:lineRule="exact"/>
        <w:ind w:firstLine="198"/>
        <w:outlineLvl w:val="6"/>
        <w:rPr>
          <w:sz w:val="24"/>
          <w:szCs w:val="24"/>
        </w:rPr>
      </w:pPr>
      <w:r>
        <w:rPr>
          <w:rFonts w:hint="eastAsia"/>
          <w:sz w:val="24"/>
          <w:szCs w:val="24"/>
        </w:rPr>
        <w:t>②废气污染物无组织排放量核算</w:t>
      </w:r>
    </w:p>
    <w:p>
      <w:pPr>
        <w:spacing w:line="460" w:lineRule="exact"/>
        <w:ind w:firstLine="480" w:firstLineChars="200"/>
        <w:rPr>
          <w:rFonts w:ascii="黑体" w:hAnsi="黑体" w:eastAsia="黑体" w:cs="黑体"/>
          <w:color w:val="000000"/>
        </w:rPr>
      </w:pPr>
      <w:r>
        <w:rPr>
          <w:rFonts w:hAnsi="黑体" w:eastAsia="黑体"/>
          <w:color w:val="000000"/>
          <w:sz w:val="24"/>
        </w:rPr>
        <w:t>表3.1-26</w:t>
      </w:r>
      <w:r>
        <w:rPr>
          <w:rFonts w:hint="eastAsia" w:ascii="黑体" w:hAnsi="黑体" w:eastAsia="黑体" w:cs="黑体"/>
          <w:color w:val="000000"/>
        </w:rPr>
        <w:t xml:space="preserve">              </w:t>
      </w:r>
      <w:r>
        <w:rPr>
          <w:rFonts w:hint="eastAsia" w:hAnsi="黑体" w:eastAsia="黑体"/>
          <w:color w:val="000000"/>
          <w:sz w:val="24"/>
        </w:rPr>
        <w:t>大气污染物无组织排放量核算表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62"/>
        <w:gridCol w:w="858"/>
        <w:gridCol w:w="1001"/>
        <w:gridCol w:w="1430"/>
        <w:gridCol w:w="2430"/>
        <w:gridCol w:w="1574"/>
        <w:gridCol w:w="9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7" w:type="dxa"/>
            <w:vMerge w:val="restart"/>
            <w:shd w:val="clear" w:color="auto" w:fill="auto"/>
            <w:vAlign w:val="center"/>
          </w:tcPr>
          <w:p>
            <w:pPr>
              <w:jc w:val="center"/>
              <w:rPr>
                <w:b/>
                <w:bCs/>
                <w:color w:val="000000"/>
                <w:szCs w:val="21"/>
              </w:rPr>
            </w:pPr>
            <w:r>
              <w:rPr>
                <w:b/>
                <w:bCs/>
                <w:color w:val="000000"/>
                <w:szCs w:val="21"/>
              </w:rPr>
              <w:t>序号</w:t>
            </w:r>
          </w:p>
        </w:tc>
        <w:tc>
          <w:tcPr>
            <w:tcW w:w="851" w:type="dxa"/>
            <w:vMerge w:val="restart"/>
            <w:shd w:val="clear" w:color="auto" w:fill="auto"/>
            <w:vAlign w:val="center"/>
          </w:tcPr>
          <w:p>
            <w:pPr>
              <w:jc w:val="center"/>
              <w:rPr>
                <w:b/>
                <w:bCs/>
                <w:color w:val="000000"/>
                <w:szCs w:val="21"/>
              </w:rPr>
            </w:pPr>
            <w:r>
              <w:rPr>
                <w:b/>
                <w:bCs/>
                <w:color w:val="000000"/>
                <w:szCs w:val="21"/>
              </w:rPr>
              <w:t>产污</w:t>
            </w:r>
          </w:p>
          <w:p>
            <w:pPr>
              <w:jc w:val="center"/>
              <w:rPr>
                <w:b/>
                <w:bCs/>
                <w:color w:val="000000"/>
                <w:szCs w:val="21"/>
              </w:rPr>
            </w:pPr>
            <w:r>
              <w:rPr>
                <w:b/>
                <w:bCs/>
                <w:color w:val="000000"/>
                <w:szCs w:val="21"/>
              </w:rPr>
              <w:t>环节</w:t>
            </w:r>
          </w:p>
        </w:tc>
        <w:tc>
          <w:tcPr>
            <w:tcW w:w="992" w:type="dxa"/>
            <w:vMerge w:val="restart"/>
            <w:shd w:val="clear" w:color="auto" w:fill="auto"/>
            <w:vAlign w:val="center"/>
          </w:tcPr>
          <w:p>
            <w:pPr>
              <w:jc w:val="center"/>
              <w:rPr>
                <w:b/>
                <w:bCs/>
                <w:color w:val="000000"/>
                <w:szCs w:val="21"/>
              </w:rPr>
            </w:pPr>
            <w:r>
              <w:rPr>
                <w:b/>
                <w:bCs/>
                <w:color w:val="000000"/>
                <w:szCs w:val="21"/>
              </w:rPr>
              <w:t>污染物</w:t>
            </w:r>
          </w:p>
        </w:tc>
        <w:tc>
          <w:tcPr>
            <w:tcW w:w="1418" w:type="dxa"/>
            <w:vMerge w:val="restart"/>
            <w:shd w:val="clear" w:color="auto" w:fill="auto"/>
            <w:vAlign w:val="center"/>
          </w:tcPr>
          <w:p>
            <w:pPr>
              <w:jc w:val="center"/>
              <w:rPr>
                <w:b/>
                <w:bCs/>
                <w:color w:val="000000"/>
                <w:szCs w:val="21"/>
              </w:rPr>
            </w:pPr>
            <w:r>
              <w:rPr>
                <w:b/>
                <w:bCs/>
                <w:color w:val="000000"/>
                <w:szCs w:val="21"/>
              </w:rPr>
              <w:t>主要污染防治措施</w:t>
            </w:r>
          </w:p>
        </w:tc>
        <w:tc>
          <w:tcPr>
            <w:tcW w:w="3969" w:type="dxa"/>
            <w:gridSpan w:val="2"/>
            <w:shd w:val="clear" w:color="auto" w:fill="auto"/>
            <w:vAlign w:val="center"/>
          </w:tcPr>
          <w:p>
            <w:pPr>
              <w:jc w:val="center"/>
              <w:rPr>
                <w:b/>
                <w:bCs/>
                <w:color w:val="000000"/>
                <w:szCs w:val="21"/>
              </w:rPr>
            </w:pPr>
            <w:r>
              <w:rPr>
                <w:b/>
                <w:bCs/>
                <w:color w:val="000000"/>
                <w:szCs w:val="21"/>
              </w:rPr>
              <w:t>排放标准</w:t>
            </w:r>
          </w:p>
        </w:tc>
        <w:tc>
          <w:tcPr>
            <w:tcW w:w="923" w:type="dxa"/>
            <w:vMerge w:val="restart"/>
            <w:shd w:val="clear" w:color="auto" w:fill="auto"/>
            <w:vAlign w:val="center"/>
          </w:tcPr>
          <w:p>
            <w:pPr>
              <w:jc w:val="center"/>
              <w:rPr>
                <w:b/>
                <w:bCs/>
                <w:color w:val="000000"/>
                <w:szCs w:val="21"/>
                <w:highlight w:val="yellow"/>
              </w:rPr>
            </w:pPr>
            <w:r>
              <w:rPr>
                <w:b/>
                <w:bCs/>
                <w:color w:val="000000"/>
                <w:szCs w:val="21"/>
              </w:rPr>
              <w:t>年排放量/(t/a)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7" w:type="dxa"/>
            <w:vMerge w:val="continue"/>
            <w:shd w:val="clear" w:color="auto" w:fill="auto"/>
            <w:vAlign w:val="center"/>
          </w:tcPr>
          <w:p>
            <w:pPr>
              <w:jc w:val="center"/>
              <w:rPr>
                <w:color w:val="000000"/>
                <w:szCs w:val="21"/>
              </w:rPr>
            </w:pPr>
          </w:p>
        </w:tc>
        <w:tc>
          <w:tcPr>
            <w:tcW w:w="851" w:type="dxa"/>
            <w:vMerge w:val="continue"/>
            <w:shd w:val="clear" w:color="auto" w:fill="auto"/>
            <w:vAlign w:val="center"/>
          </w:tcPr>
          <w:p>
            <w:pPr>
              <w:jc w:val="center"/>
              <w:rPr>
                <w:color w:val="000000"/>
                <w:szCs w:val="21"/>
              </w:rPr>
            </w:pPr>
          </w:p>
        </w:tc>
        <w:tc>
          <w:tcPr>
            <w:tcW w:w="992" w:type="dxa"/>
            <w:vMerge w:val="continue"/>
            <w:shd w:val="clear" w:color="auto" w:fill="auto"/>
            <w:vAlign w:val="center"/>
          </w:tcPr>
          <w:p>
            <w:pPr>
              <w:jc w:val="center"/>
              <w:rPr>
                <w:color w:val="000000"/>
                <w:szCs w:val="21"/>
              </w:rPr>
            </w:pPr>
          </w:p>
        </w:tc>
        <w:tc>
          <w:tcPr>
            <w:tcW w:w="1418" w:type="dxa"/>
            <w:vMerge w:val="continue"/>
            <w:shd w:val="clear" w:color="auto" w:fill="auto"/>
            <w:vAlign w:val="center"/>
          </w:tcPr>
          <w:p>
            <w:pPr>
              <w:jc w:val="center"/>
              <w:rPr>
                <w:color w:val="000000"/>
                <w:szCs w:val="21"/>
              </w:rPr>
            </w:pPr>
          </w:p>
        </w:tc>
        <w:tc>
          <w:tcPr>
            <w:tcW w:w="2409" w:type="dxa"/>
            <w:shd w:val="clear" w:color="auto" w:fill="auto"/>
            <w:vAlign w:val="center"/>
          </w:tcPr>
          <w:p>
            <w:pPr>
              <w:jc w:val="center"/>
              <w:rPr>
                <w:b/>
                <w:bCs/>
                <w:color w:val="000000"/>
                <w:szCs w:val="21"/>
              </w:rPr>
            </w:pPr>
            <w:r>
              <w:rPr>
                <w:b/>
                <w:bCs/>
                <w:color w:val="000000"/>
                <w:szCs w:val="21"/>
              </w:rPr>
              <w:t>标准名称</w:t>
            </w:r>
          </w:p>
        </w:tc>
        <w:tc>
          <w:tcPr>
            <w:tcW w:w="1560" w:type="dxa"/>
            <w:shd w:val="clear" w:color="auto" w:fill="auto"/>
            <w:vAlign w:val="center"/>
          </w:tcPr>
          <w:p>
            <w:pPr>
              <w:jc w:val="center"/>
              <w:rPr>
                <w:b/>
                <w:bCs/>
                <w:color w:val="000000"/>
                <w:szCs w:val="21"/>
              </w:rPr>
            </w:pPr>
            <w:r>
              <w:rPr>
                <w:b/>
                <w:bCs/>
                <w:color w:val="000000"/>
                <w:szCs w:val="21"/>
              </w:rPr>
              <w:t>浓度限值/（mg/m</w:t>
            </w:r>
            <w:r>
              <w:rPr>
                <w:b/>
                <w:bCs/>
                <w:color w:val="000000"/>
                <w:szCs w:val="21"/>
                <w:vertAlign w:val="superscript"/>
              </w:rPr>
              <w:t>3</w:t>
            </w:r>
            <w:r>
              <w:rPr>
                <w:b/>
                <w:bCs/>
                <w:color w:val="000000"/>
                <w:szCs w:val="21"/>
              </w:rPr>
              <w:t>）</w:t>
            </w:r>
          </w:p>
        </w:tc>
        <w:tc>
          <w:tcPr>
            <w:tcW w:w="923" w:type="dxa"/>
            <w:vMerge w:val="continue"/>
            <w:shd w:val="clear" w:color="auto" w:fill="auto"/>
            <w:vAlign w:val="center"/>
          </w:tcPr>
          <w:p>
            <w:pPr>
              <w:jc w:val="center"/>
              <w:rPr>
                <w:color w:val="000000"/>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7" w:type="dxa"/>
            <w:vMerge w:val="restart"/>
            <w:shd w:val="clear" w:color="auto" w:fill="auto"/>
            <w:vAlign w:val="center"/>
          </w:tcPr>
          <w:p>
            <w:pPr>
              <w:jc w:val="center"/>
              <w:rPr>
                <w:color w:val="000000"/>
                <w:szCs w:val="21"/>
              </w:rPr>
            </w:pPr>
            <w:r>
              <w:rPr>
                <w:color w:val="000000"/>
                <w:szCs w:val="21"/>
              </w:rPr>
              <w:t>1</w:t>
            </w:r>
          </w:p>
        </w:tc>
        <w:tc>
          <w:tcPr>
            <w:tcW w:w="851" w:type="dxa"/>
            <w:vMerge w:val="restart"/>
            <w:shd w:val="clear" w:color="auto" w:fill="auto"/>
            <w:vAlign w:val="center"/>
          </w:tcPr>
          <w:p>
            <w:pPr>
              <w:jc w:val="center"/>
              <w:rPr>
                <w:color w:val="000000"/>
                <w:szCs w:val="21"/>
              </w:rPr>
            </w:pPr>
            <w:r>
              <w:rPr>
                <w:rFonts w:hint="eastAsia"/>
                <w:color w:val="000000"/>
                <w:szCs w:val="21"/>
              </w:rPr>
              <w:t>污水处理站</w:t>
            </w:r>
          </w:p>
        </w:tc>
        <w:tc>
          <w:tcPr>
            <w:tcW w:w="992" w:type="dxa"/>
            <w:shd w:val="clear" w:color="auto" w:fill="auto"/>
            <w:vAlign w:val="center"/>
          </w:tcPr>
          <w:p>
            <w:pPr>
              <w:jc w:val="center"/>
              <w:rPr>
                <w:color w:val="000000"/>
                <w:szCs w:val="21"/>
              </w:rPr>
            </w:pPr>
            <w:r>
              <w:rPr>
                <w:rFonts w:hint="eastAsia"/>
                <w:bCs/>
              </w:rPr>
              <w:t>NH</w:t>
            </w:r>
            <w:r>
              <w:rPr>
                <w:rFonts w:hint="eastAsia"/>
                <w:bCs/>
                <w:vertAlign w:val="subscript"/>
              </w:rPr>
              <w:t>3</w:t>
            </w:r>
          </w:p>
        </w:tc>
        <w:tc>
          <w:tcPr>
            <w:tcW w:w="1418" w:type="dxa"/>
            <w:vMerge w:val="restart"/>
            <w:shd w:val="clear" w:color="auto" w:fill="auto"/>
            <w:vAlign w:val="center"/>
          </w:tcPr>
          <w:p>
            <w:pPr>
              <w:jc w:val="center"/>
              <w:rPr>
                <w:color w:val="000000"/>
                <w:szCs w:val="21"/>
                <w:highlight w:val="yellow"/>
              </w:rPr>
            </w:pPr>
            <w:r>
              <w:rPr>
                <w:rFonts w:hint="eastAsia"/>
                <w:color w:val="000000"/>
                <w:szCs w:val="21"/>
              </w:rPr>
              <w:t>产臭单元加强密闭，加强周边绿化，喷洒除臭剂</w:t>
            </w:r>
          </w:p>
        </w:tc>
        <w:tc>
          <w:tcPr>
            <w:tcW w:w="2409" w:type="dxa"/>
            <w:vMerge w:val="restart"/>
            <w:shd w:val="clear" w:color="auto" w:fill="auto"/>
            <w:vAlign w:val="center"/>
          </w:tcPr>
          <w:p>
            <w:pPr>
              <w:jc w:val="center"/>
              <w:rPr>
                <w:bCs/>
                <w:color w:val="000000"/>
                <w:szCs w:val="21"/>
              </w:rPr>
            </w:pPr>
            <w:r>
              <w:rPr>
                <w:bCs/>
                <w:color w:val="000000"/>
                <w:szCs w:val="21"/>
              </w:rPr>
              <w:t>《恶臭污染物排放标准》</w:t>
            </w:r>
          </w:p>
          <w:p>
            <w:pPr>
              <w:jc w:val="center"/>
              <w:rPr>
                <w:color w:val="000000"/>
                <w:szCs w:val="21"/>
              </w:rPr>
            </w:pPr>
            <w:r>
              <w:rPr>
                <w:bCs/>
                <w:color w:val="000000"/>
                <w:szCs w:val="21"/>
              </w:rPr>
              <w:t>（GB14554-93）</w:t>
            </w:r>
          </w:p>
        </w:tc>
        <w:tc>
          <w:tcPr>
            <w:tcW w:w="1560" w:type="dxa"/>
            <w:shd w:val="clear" w:color="auto" w:fill="auto"/>
            <w:vAlign w:val="center"/>
          </w:tcPr>
          <w:p>
            <w:pPr>
              <w:jc w:val="center"/>
              <w:rPr>
                <w:color w:val="000000"/>
                <w:szCs w:val="21"/>
                <w:highlight w:val="yellow"/>
              </w:rPr>
            </w:pPr>
            <w:r>
              <w:rPr>
                <w:rFonts w:hint="eastAsia"/>
                <w:color w:val="000000"/>
                <w:szCs w:val="21"/>
              </w:rPr>
              <w:t>1</w:t>
            </w:r>
            <w:r>
              <w:rPr>
                <w:color w:val="000000"/>
                <w:szCs w:val="21"/>
              </w:rPr>
              <w:t>.5</w:t>
            </w:r>
          </w:p>
        </w:tc>
        <w:tc>
          <w:tcPr>
            <w:tcW w:w="923" w:type="dxa"/>
            <w:shd w:val="clear" w:color="auto" w:fill="auto"/>
            <w:vAlign w:val="center"/>
          </w:tcPr>
          <w:p>
            <w:pPr>
              <w:jc w:val="center"/>
              <w:rPr>
                <w:color w:val="000000"/>
                <w:szCs w:val="21"/>
              </w:rPr>
            </w:pPr>
            <w:r>
              <w:rPr>
                <w:rFonts w:hint="eastAsia"/>
                <w:color w:val="000000"/>
                <w:szCs w:val="21"/>
              </w:rPr>
              <w:t>0</w:t>
            </w:r>
            <w:r>
              <w:rPr>
                <w:color w:val="000000"/>
                <w:szCs w:val="21"/>
              </w:rPr>
              <w:t>.044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7" w:type="dxa"/>
            <w:vMerge w:val="continue"/>
            <w:shd w:val="clear" w:color="auto" w:fill="auto"/>
            <w:vAlign w:val="center"/>
          </w:tcPr>
          <w:p>
            <w:pPr>
              <w:jc w:val="center"/>
              <w:rPr>
                <w:color w:val="000000"/>
                <w:szCs w:val="21"/>
              </w:rPr>
            </w:pPr>
          </w:p>
        </w:tc>
        <w:tc>
          <w:tcPr>
            <w:tcW w:w="851" w:type="dxa"/>
            <w:vMerge w:val="continue"/>
            <w:shd w:val="clear" w:color="auto" w:fill="auto"/>
            <w:vAlign w:val="center"/>
          </w:tcPr>
          <w:p>
            <w:pPr>
              <w:jc w:val="center"/>
              <w:rPr>
                <w:color w:val="000000"/>
                <w:szCs w:val="21"/>
              </w:rPr>
            </w:pPr>
          </w:p>
        </w:tc>
        <w:tc>
          <w:tcPr>
            <w:tcW w:w="992" w:type="dxa"/>
            <w:shd w:val="clear" w:color="auto" w:fill="auto"/>
            <w:vAlign w:val="center"/>
          </w:tcPr>
          <w:p>
            <w:pPr>
              <w:jc w:val="center"/>
              <w:rPr>
                <w:color w:val="000000"/>
                <w:szCs w:val="21"/>
              </w:rPr>
            </w:pPr>
            <w:r>
              <w:rPr>
                <w:rFonts w:hint="eastAsia"/>
                <w:bCs/>
              </w:rPr>
              <w:t>H</w:t>
            </w:r>
            <w:r>
              <w:rPr>
                <w:rFonts w:hint="eastAsia"/>
                <w:bCs/>
                <w:vertAlign w:val="subscript"/>
              </w:rPr>
              <w:t>2</w:t>
            </w:r>
            <w:r>
              <w:rPr>
                <w:rFonts w:hint="eastAsia"/>
                <w:bCs/>
              </w:rPr>
              <w:t>S</w:t>
            </w:r>
          </w:p>
        </w:tc>
        <w:tc>
          <w:tcPr>
            <w:tcW w:w="1418" w:type="dxa"/>
            <w:vMerge w:val="continue"/>
            <w:shd w:val="clear" w:color="auto" w:fill="auto"/>
            <w:vAlign w:val="center"/>
          </w:tcPr>
          <w:p>
            <w:pPr>
              <w:jc w:val="center"/>
              <w:rPr>
                <w:color w:val="000000"/>
                <w:szCs w:val="21"/>
              </w:rPr>
            </w:pPr>
          </w:p>
        </w:tc>
        <w:tc>
          <w:tcPr>
            <w:tcW w:w="2409" w:type="dxa"/>
            <w:vMerge w:val="continue"/>
            <w:shd w:val="clear" w:color="auto" w:fill="auto"/>
            <w:vAlign w:val="center"/>
          </w:tcPr>
          <w:p>
            <w:pPr>
              <w:jc w:val="center"/>
              <w:rPr>
                <w:color w:val="000000"/>
                <w:szCs w:val="21"/>
              </w:rPr>
            </w:pPr>
          </w:p>
        </w:tc>
        <w:tc>
          <w:tcPr>
            <w:tcW w:w="1560" w:type="dxa"/>
            <w:shd w:val="clear" w:color="auto" w:fill="auto"/>
            <w:vAlign w:val="center"/>
          </w:tcPr>
          <w:p>
            <w:pPr>
              <w:jc w:val="center"/>
              <w:rPr>
                <w:color w:val="000000"/>
                <w:szCs w:val="21"/>
              </w:rPr>
            </w:pPr>
            <w:r>
              <w:rPr>
                <w:rFonts w:hint="eastAsia"/>
                <w:color w:val="000000"/>
                <w:szCs w:val="21"/>
              </w:rPr>
              <w:t>0</w:t>
            </w:r>
            <w:r>
              <w:rPr>
                <w:color w:val="000000"/>
                <w:szCs w:val="21"/>
              </w:rPr>
              <w:t>.06</w:t>
            </w:r>
          </w:p>
        </w:tc>
        <w:tc>
          <w:tcPr>
            <w:tcW w:w="923" w:type="dxa"/>
            <w:shd w:val="clear" w:color="auto" w:fill="auto"/>
            <w:vAlign w:val="center"/>
          </w:tcPr>
          <w:p>
            <w:pPr>
              <w:jc w:val="center"/>
              <w:rPr>
                <w:color w:val="000000"/>
                <w:szCs w:val="21"/>
              </w:rPr>
            </w:pPr>
            <w:r>
              <w:rPr>
                <w:rFonts w:hint="eastAsia"/>
                <w:color w:val="000000"/>
                <w:szCs w:val="21"/>
              </w:rPr>
              <w:t>0</w:t>
            </w:r>
            <w:r>
              <w:rPr>
                <w:color w:val="000000"/>
                <w:szCs w:val="21"/>
              </w:rPr>
              <w:t>.0017</w:t>
            </w:r>
          </w:p>
        </w:tc>
      </w:tr>
    </w:tbl>
    <w:p>
      <w:pPr>
        <w:spacing w:line="520" w:lineRule="exact"/>
        <w:ind w:firstLine="198"/>
        <w:outlineLvl w:val="6"/>
        <w:rPr>
          <w:sz w:val="24"/>
          <w:szCs w:val="24"/>
        </w:rPr>
      </w:pPr>
      <w:r>
        <w:rPr>
          <w:rFonts w:hint="eastAsia"/>
          <w:sz w:val="24"/>
          <w:szCs w:val="24"/>
        </w:rPr>
        <w:t>③废气污染物年排放量核算</w:t>
      </w:r>
    </w:p>
    <w:p>
      <w:pPr>
        <w:spacing w:line="460" w:lineRule="exact"/>
        <w:ind w:firstLine="480" w:firstLineChars="200"/>
        <w:rPr>
          <w:rFonts w:ascii="黑体" w:hAnsi="黑体" w:eastAsia="黑体" w:cs="黑体"/>
          <w:color w:val="000000"/>
        </w:rPr>
      </w:pPr>
      <w:r>
        <w:rPr>
          <w:rFonts w:hAnsi="黑体" w:eastAsia="黑体"/>
          <w:color w:val="000000"/>
          <w:sz w:val="24"/>
        </w:rPr>
        <w:t>表3.1-27</w:t>
      </w:r>
      <w:r>
        <w:rPr>
          <w:rFonts w:hint="eastAsia" w:ascii="黑体" w:hAnsi="黑体" w:eastAsia="黑体" w:cs="黑体"/>
          <w:color w:val="000000"/>
        </w:rPr>
        <w:t xml:space="preserve">              </w:t>
      </w:r>
      <w:r>
        <w:rPr>
          <w:rFonts w:hint="eastAsia" w:hAnsi="黑体" w:eastAsia="黑体"/>
          <w:color w:val="000000"/>
          <w:sz w:val="24"/>
        </w:rPr>
        <w:t>大气污染物年排放量核算表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703"/>
        <w:gridCol w:w="40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7" w:type="dxa"/>
            <w:vAlign w:val="center"/>
          </w:tcPr>
          <w:p>
            <w:pPr>
              <w:jc w:val="center"/>
              <w:rPr>
                <w:b/>
                <w:bCs/>
                <w:color w:val="000000"/>
                <w:szCs w:val="21"/>
                <w:lang w:val="fr-FR"/>
              </w:rPr>
            </w:pPr>
            <w:r>
              <w:rPr>
                <w:b/>
                <w:bCs/>
                <w:color w:val="000000"/>
                <w:szCs w:val="21"/>
              </w:rPr>
              <w:t>序号</w:t>
            </w:r>
          </w:p>
        </w:tc>
        <w:tc>
          <w:tcPr>
            <w:tcW w:w="3605" w:type="dxa"/>
            <w:vAlign w:val="center"/>
          </w:tcPr>
          <w:p>
            <w:pPr>
              <w:jc w:val="center"/>
              <w:rPr>
                <w:b/>
                <w:bCs/>
                <w:color w:val="000000"/>
                <w:szCs w:val="21"/>
                <w:lang w:val="fr-FR"/>
              </w:rPr>
            </w:pPr>
            <w:r>
              <w:rPr>
                <w:b/>
                <w:bCs/>
                <w:color w:val="000000"/>
                <w:szCs w:val="21"/>
              </w:rPr>
              <w:t>污染物</w:t>
            </w:r>
          </w:p>
        </w:tc>
        <w:tc>
          <w:tcPr>
            <w:tcW w:w="3898" w:type="dxa"/>
            <w:vAlign w:val="center"/>
          </w:tcPr>
          <w:p>
            <w:pPr>
              <w:jc w:val="center"/>
              <w:rPr>
                <w:b/>
                <w:bCs/>
                <w:color w:val="000000"/>
                <w:szCs w:val="21"/>
                <w:lang w:val="fr-FR"/>
              </w:rPr>
            </w:pPr>
            <w:r>
              <w:rPr>
                <w:b/>
                <w:bCs/>
                <w:color w:val="000000"/>
                <w:szCs w:val="21"/>
              </w:rPr>
              <w:t>年排放量</w:t>
            </w:r>
            <w:r>
              <w:rPr>
                <w:b/>
                <w:bCs/>
                <w:color w:val="000000"/>
                <w:szCs w:val="21"/>
                <w:lang w:val="fr-F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7" w:type="dxa"/>
            <w:vAlign w:val="center"/>
          </w:tcPr>
          <w:p>
            <w:pPr>
              <w:jc w:val="center"/>
              <w:rPr>
                <w:color w:val="000000"/>
                <w:szCs w:val="21"/>
                <w:lang w:val="fr-FR"/>
              </w:rPr>
            </w:pPr>
            <w:r>
              <w:rPr>
                <w:color w:val="000000"/>
                <w:szCs w:val="21"/>
                <w:lang w:val="fr-FR"/>
              </w:rPr>
              <w:t>1</w:t>
            </w:r>
          </w:p>
        </w:tc>
        <w:tc>
          <w:tcPr>
            <w:tcW w:w="3605" w:type="dxa"/>
            <w:vAlign w:val="center"/>
          </w:tcPr>
          <w:p>
            <w:pPr>
              <w:jc w:val="center"/>
              <w:rPr>
                <w:color w:val="000000"/>
                <w:szCs w:val="21"/>
                <w:lang w:val="fr-FR"/>
              </w:rPr>
            </w:pPr>
            <w:r>
              <w:rPr>
                <w:rFonts w:hint="eastAsia"/>
                <w:color w:val="000000"/>
                <w:szCs w:val="21"/>
                <w:lang w:val="fr-FR"/>
              </w:rPr>
              <w:t>N</w:t>
            </w:r>
            <w:r>
              <w:rPr>
                <w:color w:val="000000"/>
                <w:szCs w:val="21"/>
                <w:lang w:val="fr-FR"/>
              </w:rPr>
              <w:t>H</w:t>
            </w:r>
            <w:r>
              <w:rPr>
                <w:color w:val="000000"/>
                <w:szCs w:val="21"/>
                <w:vertAlign w:val="subscript"/>
                <w:lang w:val="fr-FR"/>
              </w:rPr>
              <w:t>3</w:t>
            </w:r>
          </w:p>
        </w:tc>
        <w:tc>
          <w:tcPr>
            <w:tcW w:w="3898" w:type="dxa"/>
            <w:vAlign w:val="center"/>
          </w:tcPr>
          <w:p>
            <w:pPr>
              <w:jc w:val="center"/>
              <w:rPr>
                <w:bCs/>
                <w:color w:val="000000"/>
                <w:szCs w:val="21"/>
                <w:lang w:val="fr-FR"/>
              </w:rPr>
            </w:pPr>
            <w:r>
              <w:rPr>
                <w:rFonts w:hint="eastAsia"/>
                <w:bCs/>
                <w:color w:val="000000"/>
                <w:szCs w:val="21"/>
                <w:lang w:val="fr-FR"/>
              </w:rPr>
              <w:t>0</w:t>
            </w:r>
            <w:r>
              <w:rPr>
                <w:bCs/>
                <w:color w:val="000000"/>
                <w:szCs w:val="21"/>
                <w:lang w:val="fr-FR"/>
              </w:rPr>
              <w:t>.1485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7" w:type="dxa"/>
            <w:vAlign w:val="center"/>
          </w:tcPr>
          <w:p>
            <w:pPr>
              <w:jc w:val="center"/>
              <w:rPr>
                <w:color w:val="000000"/>
                <w:szCs w:val="21"/>
                <w:lang w:val="fr-FR"/>
              </w:rPr>
            </w:pPr>
            <w:r>
              <w:rPr>
                <w:color w:val="000000"/>
                <w:szCs w:val="21"/>
                <w:lang w:val="fr-FR"/>
              </w:rPr>
              <w:t>2</w:t>
            </w:r>
          </w:p>
        </w:tc>
        <w:tc>
          <w:tcPr>
            <w:tcW w:w="3605" w:type="dxa"/>
            <w:vAlign w:val="center"/>
          </w:tcPr>
          <w:p>
            <w:pPr>
              <w:jc w:val="center"/>
              <w:rPr>
                <w:color w:val="000000"/>
                <w:szCs w:val="21"/>
                <w:lang w:val="fr-FR"/>
              </w:rPr>
            </w:pPr>
            <w:r>
              <w:rPr>
                <w:rFonts w:hint="eastAsia"/>
                <w:color w:val="000000"/>
                <w:szCs w:val="21"/>
              </w:rPr>
              <w:t>硫化氢</w:t>
            </w:r>
          </w:p>
        </w:tc>
        <w:tc>
          <w:tcPr>
            <w:tcW w:w="3898" w:type="dxa"/>
            <w:vAlign w:val="center"/>
          </w:tcPr>
          <w:p>
            <w:pPr>
              <w:jc w:val="center"/>
              <w:rPr>
                <w:bCs/>
                <w:color w:val="000000"/>
                <w:szCs w:val="21"/>
                <w:lang w:val="fr-FR"/>
              </w:rPr>
            </w:pPr>
            <w:r>
              <w:rPr>
                <w:rFonts w:hint="eastAsia"/>
                <w:bCs/>
                <w:color w:val="000000"/>
                <w:szCs w:val="21"/>
                <w:lang w:val="fr-FR"/>
              </w:rPr>
              <w:t>0</w:t>
            </w:r>
            <w:r>
              <w:rPr>
                <w:bCs/>
                <w:color w:val="000000"/>
                <w:szCs w:val="21"/>
                <w:lang w:val="fr-FR"/>
              </w:rPr>
              <w:t>.0057</w:t>
            </w:r>
          </w:p>
        </w:tc>
      </w:tr>
    </w:tbl>
    <w:p>
      <w:pPr>
        <w:spacing w:line="520" w:lineRule="exact"/>
        <w:ind w:firstLine="420" w:firstLineChars="200"/>
        <w:rPr>
          <w:rFonts w:ascii="宋体" w:hAnsi="Courier New" w:cs="Courier New"/>
          <w:highlight w:val="yellow"/>
        </w:rPr>
      </w:pPr>
    </w:p>
    <w:p>
      <w:pPr>
        <w:spacing w:line="520" w:lineRule="exact"/>
        <w:ind w:firstLine="482" w:firstLineChars="200"/>
        <w:outlineLvl w:val="4"/>
        <w:rPr>
          <w:b/>
          <w:bCs/>
          <w:sz w:val="24"/>
          <w:szCs w:val="24"/>
        </w:rPr>
      </w:pPr>
      <w:r>
        <w:rPr>
          <w:rFonts w:hint="eastAsia"/>
          <w:b/>
          <w:bCs/>
          <w:sz w:val="24"/>
          <w:szCs w:val="24"/>
        </w:rPr>
        <w:t>三、噪声</w:t>
      </w:r>
    </w:p>
    <w:p>
      <w:pPr>
        <w:spacing w:line="520" w:lineRule="exact"/>
        <w:ind w:firstLine="480" w:firstLineChars="200"/>
        <w:rPr>
          <w:sz w:val="24"/>
          <w:szCs w:val="24"/>
        </w:rPr>
        <w:sectPr>
          <w:headerReference r:id="rId14" w:type="default"/>
          <w:footerReference r:id="rId15" w:type="default"/>
          <w:pgSz w:w="11906" w:h="16838"/>
          <w:pgMar w:top="1701" w:right="1588" w:bottom="1701" w:left="1588" w:header="851" w:footer="777" w:gutter="0"/>
          <w:pgNumType w:start="1"/>
          <w:cols w:space="720" w:num="1"/>
          <w:docGrid w:type="lines" w:linePitch="312" w:charSpace="0"/>
        </w:sectPr>
      </w:pPr>
      <w:r>
        <w:rPr>
          <w:rFonts w:hint="eastAsia"/>
          <w:sz w:val="24"/>
          <w:szCs w:val="24"/>
        </w:rPr>
        <w:t>本项目噪声主要来源于各种风机、</w:t>
      </w:r>
      <w:r>
        <w:rPr>
          <w:rFonts w:hint="eastAsia"/>
          <w:bCs/>
          <w:sz w:val="24"/>
          <w:szCs w:val="24"/>
        </w:rPr>
        <w:t>超微过滤机、叠螺污泥脱水机</w:t>
      </w:r>
      <w:r>
        <w:rPr>
          <w:rFonts w:hint="eastAsia"/>
          <w:sz w:val="24"/>
          <w:szCs w:val="24"/>
        </w:rPr>
        <w:t>、各种泵类等机械设备的运行，各类高噪声设备尽量水下布置，采取消声减振措施，特别对距离厂界较近，噪声源强较大的构筑物和设备，采取进一步的消声减噪措施，如设置隔声罩、门窗密闭、内部墙面采取吸声材料等措施，主要高噪声设备源强及拟采取的降噪措施见下表。</w:t>
      </w:r>
    </w:p>
    <w:p>
      <w:pPr>
        <w:spacing w:before="156" w:beforeLines="50"/>
        <w:ind w:firstLine="480" w:firstLineChars="200"/>
        <w:rPr>
          <w:rFonts w:hAnsi="黑体" w:eastAsia="黑体"/>
          <w:bCs/>
          <w:color w:val="000000"/>
          <w:sz w:val="24"/>
        </w:rPr>
      </w:pPr>
      <w:r>
        <w:rPr>
          <w:rFonts w:hAnsi="黑体" w:eastAsia="黑体"/>
          <w:bCs/>
          <w:color w:val="000000"/>
          <w:sz w:val="24"/>
        </w:rPr>
        <w:t>表</w:t>
      </w:r>
      <w:r>
        <w:rPr>
          <w:rFonts w:hint="eastAsia" w:hAnsi="黑体" w:eastAsia="黑体"/>
          <w:bCs/>
          <w:color w:val="000000"/>
          <w:sz w:val="24"/>
        </w:rPr>
        <w:t>3-</w:t>
      </w:r>
      <w:r>
        <w:rPr>
          <w:rFonts w:hAnsi="黑体" w:eastAsia="黑体"/>
          <w:bCs/>
          <w:color w:val="000000"/>
          <w:sz w:val="24"/>
        </w:rPr>
        <w:t>1</w:t>
      </w:r>
      <w:r>
        <w:rPr>
          <w:rFonts w:hint="eastAsia" w:hAnsi="黑体" w:eastAsia="黑体"/>
          <w:bCs/>
          <w:color w:val="000000"/>
          <w:sz w:val="24"/>
        </w:rPr>
        <w:t>-</w:t>
      </w:r>
      <w:r>
        <w:rPr>
          <w:rFonts w:hAnsi="黑体" w:eastAsia="黑体"/>
          <w:bCs/>
          <w:color w:val="000000"/>
          <w:sz w:val="24"/>
        </w:rPr>
        <w:t xml:space="preserve">28 </w:t>
      </w:r>
      <w:r>
        <w:rPr>
          <w:rFonts w:hint="eastAsia" w:hAnsi="黑体" w:eastAsia="黑体"/>
          <w:bCs/>
          <w:color w:val="000000"/>
          <w:sz w:val="24"/>
        </w:rPr>
        <w:t xml:space="preserve">     </w:t>
      </w:r>
      <w:r>
        <w:rPr>
          <w:rFonts w:hAnsi="黑体" w:eastAsia="黑体"/>
          <w:bCs/>
          <w:color w:val="000000"/>
          <w:sz w:val="24"/>
        </w:rPr>
        <w:t xml:space="preserve">                 </w:t>
      </w:r>
      <w:r>
        <w:rPr>
          <w:rFonts w:hint="eastAsia" w:hAnsi="黑体" w:eastAsia="黑体"/>
          <w:bCs/>
          <w:color w:val="000000"/>
          <w:sz w:val="24"/>
        </w:rPr>
        <w:t xml:space="preserve">  工业企业</w:t>
      </w:r>
      <w:r>
        <w:rPr>
          <w:rFonts w:hAnsi="黑体" w:eastAsia="黑体"/>
          <w:bCs/>
          <w:color w:val="000000"/>
          <w:sz w:val="24"/>
        </w:rPr>
        <w:t>噪声源强调查清单</w:t>
      </w:r>
      <w:r>
        <w:rPr>
          <w:rFonts w:hint="eastAsia" w:hAnsi="黑体" w:eastAsia="黑体"/>
          <w:bCs/>
          <w:color w:val="000000"/>
          <w:sz w:val="24"/>
        </w:rPr>
        <w:t>（室外声源）</w:t>
      </w:r>
    </w:p>
    <w:tbl>
      <w:tblPr>
        <w:tblStyle w:val="815"/>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758"/>
        <w:gridCol w:w="1629"/>
        <w:gridCol w:w="811"/>
        <w:gridCol w:w="2009"/>
        <w:gridCol w:w="818"/>
        <w:gridCol w:w="2946"/>
        <w:gridCol w:w="1594"/>
        <w:gridCol w:w="857"/>
        <w:gridCol w:w="858"/>
        <w:gridCol w:w="719"/>
        <w:gridCol w:w="11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4" w:type="dxa"/>
            <w:vMerge w:val="restart"/>
            <w:vAlign w:val="center"/>
          </w:tcPr>
          <w:p>
            <w:pPr>
              <w:adjustRightInd w:val="0"/>
              <w:snapToGrid w:val="0"/>
              <w:jc w:val="center"/>
              <w:textAlignment w:val="baseline"/>
              <w:rPr>
                <w:b/>
                <w:kern w:val="0"/>
                <w:szCs w:val="21"/>
              </w:rPr>
            </w:pPr>
            <w:r>
              <w:rPr>
                <w:rFonts w:hint="eastAsia"/>
                <w:b/>
                <w:kern w:val="0"/>
                <w:szCs w:val="21"/>
              </w:rPr>
              <w:t>序号</w:t>
            </w:r>
          </w:p>
        </w:tc>
        <w:tc>
          <w:tcPr>
            <w:tcW w:w="1620" w:type="dxa"/>
            <w:vMerge w:val="restart"/>
            <w:vAlign w:val="center"/>
          </w:tcPr>
          <w:p>
            <w:pPr>
              <w:adjustRightInd w:val="0"/>
              <w:snapToGrid w:val="0"/>
              <w:jc w:val="center"/>
              <w:textAlignment w:val="baseline"/>
              <w:rPr>
                <w:b/>
                <w:kern w:val="0"/>
                <w:szCs w:val="21"/>
              </w:rPr>
            </w:pPr>
            <w:r>
              <w:rPr>
                <w:b/>
                <w:kern w:val="0"/>
                <w:szCs w:val="21"/>
              </w:rPr>
              <w:t>声源名称</w:t>
            </w:r>
          </w:p>
        </w:tc>
        <w:tc>
          <w:tcPr>
            <w:tcW w:w="806" w:type="dxa"/>
            <w:vMerge w:val="restart"/>
            <w:vAlign w:val="center"/>
          </w:tcPr>
          <w:p>
            <w:pPr>
              <w:adjustRightInd w:val="0"/>
              <w:snapToGrid w:val="0"/>
              <w:jc w:val="center"/>
              <w:textAlignment w:val="baseline"/>
              <w:rPr>
                <w:b/>
                <w:kern w:val="0"/>
                <w:szCs w:val="21"/>
              </w:rPr>
            </w:pPr>
            <w:r>
              <w:rPr>
                <w:b/>
                <w:kern w:val="0"/>
                <w:szCs w:val="21"/>
              </w:rPr>
              <w:t>型号</w:t>
            </w:r>
          </w:p>
        </w:tc>
        <w:tc>
          <w:tcPr>
            <w:tcW w:w="1998" w:type="dxa"/>
            <w:vMerge w:val="restart"/>
            <w:vAlign w:val="center"/>
          </w:tcPr>
          <w:p>
            <w:pPr>
              <w:adjustRightInd w:val="0"/>
              <w:snapToGrid w:val="0"/>
              <w:jc w:val="center"/>
              <w:rPr>
                <w:b/>
                <w:szCs w:val="21"/>
              </w:rPr>
            </w:pPr>
            <w:r>
              <w:rPr>
                <w:b/>
                <w:szCs w:val="21"/>
              </w:rPr>
              <w:t>(声压级/距声源距离)/([dB(A)]/m)</w:t>
            </w:r>
          </w:p>
        </w:tc>
        <w:tc>
          <w:tcPr>
            <w:tcW w:w="813" w:type="dxa"/>
            <w:vMerge w:val="restart"/>
            <w:vAlign w:val="center"/>
          </w:tcPr>
          <w:p>
            <w:pPr>
              <w:adjustRightInd w:val="0"/>
              <w:snapToGrid w:val="0"/>
              <w:jc w:val="center"/>
              <w:rPr>
                <w:b/>
                <w:szCs w:val="21"/>
              </w:rPr>
            </w:pPr>
            <w:r>
              <w:rPr>
                <w:b/>
                <w:szCs w:val="21"/>
              </w:rPr>
              <w:t>数量(台)</w:t>
            </w:r>
          </w:p>
        </w:tc>
        <w:tc>
          <w:tcPr>
            <w:tcW w:w="2929" w:type="dxa"/>
            <w:vMerge w:val="restart"/>
            <w:vAlign w:val="center"/>
          </w:tcPr>
          <w:p>
            <w:pPr>
              <w:adjustRightInd w:val="0"/>
              <w:snapToGrid w:val="0"/>
              <w:jc w:val="center"/>
              <w:rPr>
                <w:b/>
                <w:szCs w:val="21"/>
              </w:rPr>
            </w:pPr>
            <w:r>
              <w:rPr>
                <w:b/>
                <w:szCs w:val="21"/>
              </w:rPr>
              <w:t>声源控制措施</w:t>
            </w:r>
          </w:p>
        </w:tc>
        <w:tc>
          <w:tcPr>
            <w:tcW w:w="1585" w:type="dxa"/>
            <w:vMerge w:val="restart"/>
            <w:vAlign w:val="center"/>
          </w:tcPr>
          <w:p>
            <w:pPr>
              <w:adjustRightInd w:val="0"/>
              <w:snapToGrid w:val="0"/>
              <w:jc w:val="center"/>
              <w:rPr>
                <w:b/>
                <w:szCs w:val="21"/>
              </w:rPr>
            </w:pPr>
            <w:r>
              <w:rPr>
                <w:b/>
                <w:szCs w:val="21"/>
              </w:rPr>
              <w:t>治理后声压级[dB(A)]</w:t>
            </w:r>
          </w:p>
        </w:tc>
        <w:tc>
          <w:tcPr>
            <w:tcW w:w="2420" w:type="dxa"/>
            <w:gridSpan w:val="3"/>
            <w:vAlign w:val="center"/>
          </w:tcPr>
          <w:p>
            <w:pPr>
              <w:adjustRightInd w:val="0"/>
              <w:snapToGrid w:val="0"/>
              <w:jc w:val="center"/>
              <w:rPr>
                <w:b/>
                <w:szCs w:val="21"/>
              </w:rPr>
            </w:pPr>
            <w:r>
              <w:rPr>
                <w:b/>
                <w:szCs w:val="21"/>
              </w:rPr>
              <w:t>空间相对位置/m</w:t>
            </w:r>
          </w:p>
        </w:tc>
        <w:tc>
          <w:tcPr>
            <w:tcW w:w="1162" w:type="dxa"/>
            <w:vMerge w:val="restart"/>
            <w:vAlign w:val="center"/>
          </w:tcPr>
          <w:p>
            <w:pPr>
              <w:adjustRightInd w:val="0"/>
              <w:snapToGrid w:val="0"/>
              <w:jc w:val="center"/>
              <w:rPr>
                <w:rFonts w:cs="宋体"/>
                <w:b/>
                <w:color w:val="000000"/>
                <w:szCs w:val="21"/>
              </w:rPr>
            </w:pPr>
            <w:r>
              <w:rPr>
                <w:b/>
                <w:szCs w:val="21"/>
              </w:rPr>
              <w:t>运行时段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4" w:type="dxa"/>
            <w:vMerge w:val="continue"/>
            <w:vAlign w:val="center"/>
          </w:tcPr>
          <w:p>
            <w:pPr>
              <w:adjustRightInd w:val="0"/>
              <w:snapToGrid w:val="0"/>
              <w:jc w:val="center"/>
              <w:textAlignment w:val="baseline"/>
              <w:rPr>
                <w:kern w:val="0"/>
                <w:szCs w:val="21"/>
              </w:rPr>
            </w:pPr>
          </w:p>
        </w:tc>
        <w:tc>
          <w:tcPr>
            <w:tcW w:w="1620" w:type="dxa"/>
            <w:vMerge w:val="continue"/>
            <w:vAlign w:val="center"/>
          </w:tcPr>
          <w:p>
            <w:pPr>
              <w:adjustRightInd w:val="0"/>
              <w:snapToGrid w:val="0"/>
              <w:jc w:val="center"/>
              <w:textAlignment w:val="baseline"/>
              <w:rPr>
                <w:kern w:val="0"/>
                <w:szCs w:val="21"/>
              </w:rPr>
            </w:pPr>
          </w:p>
        </w:tc>
        <w:tc>
          <w:tcPr>
            <w:tcW w:w="806" w:type="dxa"/>
            <w:vMerge w:val="continue"/>
            <w:vAlign w:val="center"/>
          </w:tcPr>
          <w:p>
            <w:pPr>
              <w:adjustRightInd w:val="0"/>
              <w:snapToGrid w:val="0"/>
              <w:jc w:val="center"/>
              <w:textAlignment w:val="baseline"/>
              <w:rPr>
                <w:kern w:val="0"/>
                <w:szCs w:val="21"/>
              </w:rPr>
            </w:pPr>
          </w:p>
        </w:tc>
        <w:tc>
          <w:tcPr>
            <w:tcW w:w="1998" w:type="dxa"/>
            <w:vMerge w:val="continue"/>
            <w:vAlign w:val="center"/>
          </w:tcPr>
          <w:p>
            <w:pPr>
              <w:adjustRightInd w:val="0"/>
              <w:snapToGrid w:val="0"/>
              <w:jc w:val="center"/>
              <w:rPr>
                <w:szCs w:val="21"/>
              </w:rPr>
            </w:pPr>
          </w:p>
        </w:tc>
        <w:tc>
          <w:tcPr>
            <w:tcW w:w="813" w:type="dxa"/>
            <w:vMerge w:val="continue"/>
            <w:vAlign w:val="center"/>
          </w:tcPr>
          <w:p>
            <w:pPr>
              <w:adjustRightInd w:val="0"/>
              <w:snapToGrid w:val="0"/>
              <w:jc w:val="center"/>
              <w:rPr>
                <w:szCs w:val="21"/>
              </w:rPr>
            </w:pPr>
          </w:p>
        </w:tc>
        <w:tc>
          <w:tcPr>
            <w:tcW w:w="2929" w:type="dxa"/>
            <w:vMerge w:val="continue"/>
            <w:vAlign w:val="center"/>
          </w:tcPr>
          <w:p>
            <w:pPr>
              <w:adjustRightInd w:val="0"/>
              <w:snapToGrid w:val="0"/>
              <w:jc w:val="center"/>
              <w:rPr>
                <w:szCs w:val="21"/>
              </w:rPr>
            </w:pPr>
          </w:p>
        </w:tc>
        <w:tc>
          <w:tcPr>
            <w:tcW w:w="1585" w:type="dxa"/>
            <w:vMerge w:val="continue"/>
            <w:vAlign w:val="center"/>
          </w:tcPr>
          <w:p>
            <w:pPr>
              <w:adjustRightInd w:val="0"/>
              <w:snapToGrid w:val="0"/>
              <w:jc w:val="center"/>
              <w:rPr>
                <w:szCs w:val="21"/>
              </w:rPr>
            </w:pPr>
          </w:p>
        </w:tc>
        <w:tc>
          <w:tcPr>
            <w:tcW w:w="852" w:type="dxa"/>
            <w:vAlign w:val="center"/>
          </w:tcPr>
          <w:p>
            <w:pPr>
              <w:adjustRightInd w:val="0"/>
              <w:snapToGrid w:val="0"/>
              <w:jc w:val="center"/>
              <w:rPr>
                <w:b/>
                <w:szCs w:val="21"/>
              </w:rPr>
            </w:pPr>
            <w:r>
              <w:rPr>
                <w:b/>
                <w:szCs w:val="21"/>
              </w:rPr>
              <w:t>X</w:t>
            </w:r>
          </w:p>
        </w:tc>
        <w:tc>
          <w:tcPr>
            <w:tcW w:w="853" w:type="dxa"/>
            <w:vAlign w:val="center"/>
          </w:tcPr>
          <w:p>
            <w:pPr>
              <w:adjustRightInd w:val="0"/>
              <w:snapToGrid w:val="0"/>
              <w:jc w:val="center"/>
              <w:rPr>
                <w:b/>
                <w:szCs w:val="21"/>
              </w:rPr>
            </w:pPr>
            <w:r>
              <w:rPr>
                <w:b/>
                <w:szCs w:val="21"/>
              </w:rPr>
              <w:t>Y</w:t>
            </w:r>
          </w:p>
        </w:tc>
        <w:tc>
          <w:tcPr>
            <w:tcW w:w="715" w:type="dxa"/>
            <w:vAlign w:val="center"/>
          </w:tcPr>
          <w:p>
            <w:pPr>
              <w:adjustRightInd w:val="0"/>
              <w:snapToGrid w:val="0"/>
              <w:jc w:val="center"/>
              <w:rPr>
                <w:b/>
                <w:szCs w:val="21"/>
              </w:rPr>
            </w:pPr>
            <w:r>
              <w:rPr>
                <w:b/>
                <w:szCs w:val="21"/>
              </w:rPr>
              <w:t>Z</w:t>
            </w:r>
          </w:p>
        </w:tc>
        <w:tc>
          <w:tcPr>
            <w:tcW w:w="1162"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4" w:type="dxa"/>
            <w:vAlign w:val="center"/>
          </w:tcPr>
          <w:p>
            <w:pPr>
              <w:adjustRightInd w:val="0"/>
              <w:snapToGrid w:val="0"/>
              <w:jc w:val="center"/>
              <w:textAlignment w:val="baseline"/>
              <w:rPr>
                <w:kern w:val="0"/>
                <w:szCs w:val="21"/>
              </w:rPr>
            </w:pPr>
            <w:r>
              <w:rPr>
                <w:rFonts w:hint="eastAsia"/>
                <w:kern w:val="0"/>
                <w:szCs w:val="21"/>
              </w:rPr>
              <w:t>1</w:t>
            </w:r>
          </w:p>
        </w:tc>
        <w:tc>
          <w:tcPr>
            <w:tcW w:w="1620" w:type="dxa"/>
            <w:vAlign w:val="center"/>
          </w:tcPr>
          <w:p>
            <w:pPr>
              <w:jc w:val="center"/>
              <w:rPr>
                <w:szCs w:val="21"/>
              </w:rPr>
            </w:pPr>
            <w:r>
              <w:rPr>
                <w:rFonts w:hint="eastAsia"/>
                <w:szCs w:val="21"/>
              </w:rPr>
              <w:t>超微过滤机</w:t>
            </w:r>
          </w:p>
        </w:tc>
        <w:tc>
          <w:tcPr>
            <w:tcW w:w="806" w:type="dxa"/>
            <w:vAlign w:val="center"/>
          </w:tcPr>
          <w:p>
            <w:pPr>
              <w:adjustRightInd w:val="0"/>
              <w:snapToGrid w:val="0"/>
              <w:jc w:val="center"/>
              <w:textAlignment w:val="baseline"/>
              <w:rPr>
                <w:kern w:val="0"/>
                <w:szCs w:val="21"/>
              </w:rPr>
            </w:pPr>
            <w:r>
              <w:rPr>
                <w:rFonts w:hint="eastAsia"/>
                <w:kern w:val="0"/>
                <w:szCs w:val="21"/>
              </w:rPr>
              <w:t>/</w:t>
            </w:r>
          </w:p>
        </w:tc>
        <w:tc>
          <w:tcPr>
            <w:tcW w:w="1998" w:type="dxa"/>
            <w:vAlign w:val="center"/>
          </w:tcPr>
          <w:p>
            <w:pPr>
              <w:adjustRightInd w:val="0"/>
              <w:snapToGrid w:val="0"/>
              <w:jc w:val="center"/>
              <w:textAlignment w:val="baseline"/>
              <w:rPr>
                <w:kern w:val="0"/>
                <w:szCs w:val="21"/>
              </w:rPr>
            </w:pPr>
            <w:r>
              <w:rPr>
                <w:rFonts w:hint="eastAsia"/>
                <w:kern w:val="0"/>
                <w:szCs w:val="21"/>
              </w:rPr>
              <w:t>90</w:t>
            </w:r>
            <w:r>
              <w:rPr>
                <w:kern w:val="0"/>
                <w:szCs w:val="21"/>
              </w:rPr>
              <w:t>/1</w:t>
            </w:r>
          </w:p>
        </w:tc>
        <w:tc>
          <w:tcPr>
            <w:tcW w:w="813" w:type="dxa"/>
            <w:vAlign w:val="center"/>
          </w:tcPr>
          <w:p>
            <w:pPr>
              <w:jc w:val="center"/>
              <w:rPr>
                <w:szCs w:val="21"/>
              </w:rPr>
            </w:pPr>
            <w:r>
              <w:rPr>
                <w:szCs w:val="21"/>
              </w:rPr>
              <w:t>1</w:t>
            </w:r>
          </w:p>
        </w:tc>
        <w:tc>
          <w:tcPr>
            <w:tcW w:w="2929" w:type="dxa"/>
            <w:vAlign w:val="center"/>
          </w:tcPr>
          <w:p>
            <w:pPr>
              <w:jc w:val="center"/>
              <w:rPr>
                <w:color w:val="000000"/>
                <w:szCs w:val="21"/>
              </w:rPr>
            </w:pPr>
            <w:r>
              <w:rPr>
                <w:szCs w:val="21"/>
              </w:rPr>
              <w:t>减振、隔声</w:t>
            </w:r>
          </w:p>
        </w:tc>
        <w:tc>
          <w:tcPr>
            <w:tcW w:w="1585" w:type="dxa"/>
            <w:vAlign w:val="center"/>
          </w:tcPr>
          <w:p>
            <w:pPr>
              <w:jc w:val="center"/>
              <w:rPr>
                <w:color w:val="000000"/>
                <w:szCs w:val="21"/>
              </w:rPr>
            </w:pPr>
            <w:r>
              <w:rPr>
                <w:rFonts w:hint="eastAsia"/>
                <w:color w:val="000000"/>
                <w:szCs w:val="21"/>
              </w:rPr>
              <w:t>65</w:t>
            </w:r>
          </w:p>
        </w:tc>
        <w:tc>
          <w:tcPr>
            <w:tcW w:w="852" w:type="dxa"/>
            <w:vAlign w:val="center"/>
          </w:tcPr>
          <w:p>
            <w:pPr>
              <w:jc w:val="center"/>
              <w:rPr>
                <w:szCs w:val="21"/>
              </w:rPr>
            </w:pPr>
            <w:r>
              <w:rPr>
                <w:szCs w:val="21"/>
              </w:rPr>
              <w:t>128</w:t>
            </w:r>
          </w:p>
        </w:tc>
        <w:tc>
          <w:tcPr>
            <w:tcW w:w="853" w:type="dxa"/>
            <w:vAlign w:val="center"/>
          </w:tcPr>
          <w:p>
            <w:pPr>
              <w:jc w:val="center"/>
              <w:rPr>
                <w:szCs w:val="21"/>
              </w:rPr>
            </w:pPr>
            <w:r>
              <w:rPr>
                <w:szCs w:val="21"/>
              </w:rPr>
              <w:t>73</w:t>
            </w:r>
          </w:p>
        </w:tc>
        <w:tc>
          <w:tcPr>
            <w:tcW w:w="715" w:type="dxa"/>
            <w:vAlign w:val="center"/>
          </w:tcPr>
          <w:p>
            <w:pPr>
              <w:jc w:val="center"/>
              <w:rPr>
                <w:szCs w:val="21"/>
              </w:rPr>
            </w:pPr>
            <w:r>
              <w:rPr>
                <w:szCs w:val="21"/>
              </w:rPr>
              <w:t>6</w:t>
            </w:r>
          </w:p>
        </w:tc>
        <w:tc>
          <w:tcPr>
            <w:tcW w:w="1162" w:type="dxa"/>
            <w:vAlign w:val="center"/>
          </w:tcPr>
          <w:p>
            <w:pPr>
              <w:adjustRightInd w:val="0"/>
              <w:snapToGrid w:val="0"/>
              <w:jc w:val="center"/>
              <w:rPr>
                <w:color w:val="000000"/>
                <w:szCs w:val="21"/>
              </w:rPr>
            </w:pPr>
            <w:r>
              <w:rPr>
                <w:color w:val="000000"/>
                <w:szCs w:val="21"/>
              </w:rPr>
              <w:t>持续运行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4" w:type="dxa"/>
            <w:vAlign w:val="center"/>
          </w:tcPr>
          <w:p>
            <w:pPr>
              <w:adjustRightInd w:val="0"/>
              <w:snapToGrid w:val="0"/>
              <w:jc w:val="center"/>
              <w:textAlignment w:val="baseline"/>
              <w:rPr>
                <w:kern w:val="0"/>
                <w:szCs w:val="21"/>
              </w:rPr>
            </w:pPr>
            <w:r>
              <w:rPr>
                <w:rFonts w:hint="eastAsia"/>
                <w:kern w:val="0"/>
                <w:szCs w:val="21"/>
              </w:rPr>
              <w:t>2</w:t>
            </w:r>
          </w:p>
        </w:tc>
        <w:tc>
          <w:tcPr>
            <w:tcW w:w="1620" w:type="dxa"/>
            <w:vAlign w:val="center"/>
          </w:tcPr>
          <w:p>
            <w:pPr>
              <w:jc w:val="center"/>
              <w:rPr>
                <w:szCs w:val="21"/>
              </w:rPr>
            </w:pPr>
            <w:r>
              <w:rPr>
                <w:rFonts w:hint="eastAsia"/>
                <w:szCs w:val="21"/>
              </w:rPr>
              <w:t>风机</w:t>
            </w:r>
          </w:p>
        </w:tc>
        <w:tc>
          <w:tcPr>
            <w:tcW w:w="806" w:type="dxa"/>
            <w:vAlign w:val="center"/>
          </w:tcPr>
          <w:p>
            <w:pPr>
              <w:adjustRightInd w:val="0"/>
              <w:snapToGrid w:val="0"/>
              <w:jc w:val="center"/>
              <w:textAlignment w:val="baseline"/>
              <w:rPr>
                <w:kern w:val="0"/>
                <w:szCs w:val="21"/>
              </w:rPr>
            </w:pPr>
            <w:r>
              <w:rPr>
                <w:rFonts w:hint="eastAsia"/>
                <w:kern w:val="0"/>
                <w:szCs w:val="21"/>
              </w:rPr>
              <w:t>/</w:t>
            </w:r>
          </w:p>
        </w:tc>
        <w:tc>
          <w:tcPr>
            <w:tcW w:w="1998" w:type="dxa"/>
            <w:vAlign w:val="center"/>
          </w:tcPr>
          <w:p>
            <w:pPr>
              <w:adjustRightInd w:val="0"/>
              <w:snapToGrid w:val="0"/>
              <w:jc w:val="center"/>
              <w:textAlignment w:val="baseline"/>
              <w:rPr>
                <w:kern w:val="0"/>
                <w:szCs w:val="21"/>
              </w:rPr>
            </w:pPr>
            <w:r>
              <w:rPr>
                <w:rFonts w:hint="eastAsia"/>
                <w:kern w:val="0"/>
                <w:szCs w:val="21"/>
              </w:rPr>
              <w:t>90</w:t>
            </w:r>
            <w:r>
              <w:rPr>
                <w:kern w:val="0"/>
                <w:szCs w:val="21"/>
              </w:rPr>
              <w:t>/1</w:t>
            </w:r>
          </w:p>
        </w:tc>
        <w:tc>
          <w:tcPr>
            <w:tcW w:w="813" w:type="dxa"/>
            <w:vAlign w:val="center"/>
          </w:tcPr>
          <w:p>
            <w:pPr>
              <w:jc w:val="center"/>
              <w:rPr>
                <w:szCs w:val="21"/>
              </w:rPr>
            </w:pPr>
            <w:r>
              <w:rPr>
                <w:szCs w:val="21"/>
              </w:rPr>
              <w:t>1</w:t>
            </w:r>
          </w:p>
        </w:tc>
        <w:tc>
          <w:tcPr>
            <w:tcW w:w="2929" w:type="dxa"/>
            <w:vAlign w:val="center"/>
          </w:tcPr>
          <w:p>
            <w:pPr>
              <w:jc w:val="center"/>
              <w:rPr>
                <w:szCs w:val="21"/>
              </w:rPr>
            </w:pPr>
            <w:r>
              <w:rPr>
                <w:color w:val="000000"/>
                <w:szCs w:val="21"/>
              </w:rPr>
              <w:t>进风口消音器、管道外壳阻尼</w:t>
            </w:r>
          </w:p>
        </w:tc>
        <w:tc>
          <w:tcPr>
            <w:tcW w:w="1585" w:type="dxa"/>
            <w:vAlign w:val="center"/>
          </w:tcPr>
          <w:p>
            <w:pPr>
              <w:jc w:val="center"/>
              <w:rPr>
                <w:color w:val="000000"/>
                <w:szCs w:val="21"/>
              </w:rPr>
            </w:pPr>
            <w:r>
              <w:rPr>
                <w:rFonts w:hint="eastAsia"/>
                <w:color w:val="000000"/>
                <w:szCs w:val="21"/>
              </w:rPr>
              <w:t>6</w:t>
            </w:r>
            <w:r>
              <w:rPr>
                <w:color w:val="000000"/>
                <w:szCs w:val="21"/>
              </w:rPr>
              <w:t>5</w:t>
            </w:r>
          </w:p>
        </w:tc>
        <w:tc>
          <w:tcPr>
            <w:tcW w:w="852" w:type="dxa"/>
            <w:vAlign w:val="center"/>
          </w:tcPr>
          <w:p>
            <w:pPr>
              <w:jc w:val="center"/>
              <w:rPr>
                <w:szCs w:val="21"/>
              </w:rPr>
            </w:pPr>
            <w:r>
              <w:rPr>
                <w:rFonts w:hint="eastAsia"/>
                <w:szCs w:val="21"/>
              </w:rPr>
              <w:t>5</w:t>
            </w:r>
            <w:r>
              <w:rPr>
                <w:szCs w:val="21"/>
              </w:rPr>
              <w:t>6</w:t>
            </w:r>
          </w:p>
        </w:tc>
        <w:tc>
          <w:tcPr>
            <w:tcW w:w="853" w:type="dxa"/>
            <w:vAlign w:val="center"/>
          </w:tcPr>
          <w:p>
            <w:pPr>
              <w:jc w:val="center"/>
              <w:rPr>
                <w:szCs w:val="21"/>
              </w:rPr>
            </w:pPr>
            <w:r>
              <w:rPr>
                <w:rFonts w:hint="eastAsia"/>
                <w:szCs w:val="21"/>
              </w:rPr>
              <w:t>9</w:t>
            </w:r>
            <w:r>
              <w:rPr>
                <w:szCs w:val="21"/>
              </w:rPr>
              <w:t>0</w:t>
            </w:r>
          </w:p>
        </w:tc>
        <w:tc>
          <w:tcPr>
            <w:tcW w:w="715" w:type="dxa"/>
            <w:vAlign w:val="center"/>
          </w:tcPr>
          <w:p>
            <w:pPr>
              <w:jc w:val="center"/>
              <w:rPr>
                <w:szCs w:val="21"/>
              </w:rPr>
            </w:pPr>
            <w:r>
              <w:rPr>
                <w:rFonts w:hint="eastAsia"/>
                <w:szCs w:val="21"/>
              </w:rPr>
              <w:t>1</w:t>
            </w:r>
          </w:p>
        </w:tc>
        <w:tc>
          <w:tcPr>
            <w:tcW w:w="1162" w:type="dxa"/>
            <w:vAlign w:val="center"/>
          </w:tcPr>
          <w:p>
            <w:pPr>
              <w:adjustRightInd w:val="0"/>
              <w:snapToGrid w:val="0"/>
              <w:jc w:val="center"/>
              <w:rPr>
                <w:color w:val="000000"/>
                <w:szCs w:val="21"/>
              </w:rPr>
            </w:pPr>
            <w:r>
              <w:rPr>
                <w:color w:val="000000"/>
                <w:szCs w:val="21"/>
              </w:rPr>
              <w:t>持续运行</w:t>
            </w:r>
          </w:p>
        </w:tc>
      </w:tr>
    </w:tbl>
    <w:p>
      <w:pPr>
        <w:spacing w:before="156" w:beforeLines="50"/>
        <w:ind w:firstLine="480" w:firstLineChars="200"/>
        <w:rPr>
          <w:rFonts w:hAnsi="黑体" w:eastAsia="黑体"/>
          <w:bCs/>
          <w:color w:val="000000"/>
          <w:sz w:val="24"/>
        </w:rPr>
      </w:pPr>
      <w:r>
        <w:rPr>
          <w:rFonts w:hint="eastAsia" w:hAnsi="黑体" w:eastAsia="黑体"/>
          <w:bCs/>
          <w:color w:val="000000"/>
          <w:sz w:val="24"/>
        </w:rPr>
        <w:t>表3-</w:t>
      </w:r>
      <w:r>
        <w:rPr>
          <w:rFonts w:hAnsi="黑体" w:eastAsia="黑体"/>
          <w:bCs/>
          <w:color w:val="000000"/>
          <w:sz w:val="24"/>
        </w:rPr>
        <w:t>1</w:t>
      </w:r>
      <w:r>
        <w:rPr>
          <w:rFonts w:hint="eastAsia" w:hAnsi="黑体" w:eastAsia="黑体"/>
          <w:bCs/>
          <w:color w:val="000000"/>
          <w:sz w:val="24"/>
        </w:rPr>
        <w:t>-</w:t>
      </w:r>
      <w:r>
        <w:rPr>
          <w:rFonts w:hAnsi="黑体" w:eastAsia="黑体"/>
          <w:bCs/>
          <w:color w:val="000000"/>
          <w:sz w:val="24"/>
        </w:rPr>
        <w:t xml:space="preserve">29  </w:t>
      </w:r>
      <w:r>
        <w:rPr>
          <w:rFonts w:hint="eastAsia" w:hAnsi="黑体" w:eastAsia="黑体"/>
          <w:bCs/>
          <w:color w:val="000000"/>
          <w:sz w:val="24"/>
        </w:rPr>
        <w:t xml:space="preserve">                     </w:t>
      </w:r>
      <w:r>
        <w:rPr>
          <w:rFonts w:hAnsi="黑体" w:eastAsia="黑体"/>
          <w:bCs/>
          <w:color w:val="000000"/>
          <w:sz w:val="24"/>
        </w:rPr>
        <w:t xml:space="preserve">   </w:t>
      </w:r>
      <w:r>
        <w:rPr>
          <w:rFonts w:hint="eastAsia" w:hAnsi="黑体" w:eastAsia="黑体"/>
          <w:bCs/>
          <w:color w:val="000000"/>
          <w:sz w:val="24"/>
        </w:rPr>
        <w:t>工业企业</w:t>
      </w:r>
      <w:r>
        <w:rPr>
          <w:rFonts w:hAnsi="黑体" w:eastAsia="黑体"/>
          <w:bCs/>
          <w:color w:val="000000"/>
          <w:sz w:val="24"/>
        </w:rPr>
        <w:t>噪声源强调查清单</w:t>
      </w:r>
      <w:r>
        <w:rPr>
          <w:rFonts w:hint="eastAsia" w:hAnsi="黑体" w:eastAsia="黑体"/>
          <w:bCs/>
          <w:color w:val="000000"/>
          <w:sz w:val="24"/>
        </w:rPr>
        <w:t>（室内声源）</w:t>
      </w:r>
    </w:p>
    <w:tbl>
      <w:tblPr>
        <w:tblStyle w:val="49"/>
        <w:tblW w:w="525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450"/>
        <w:gridCol w:w="727"/>
        <w:gridCol w:w="909"/>
        <w:gridCol w:w="1351"/>
        <w:gridCol w:w="740"/>
        <w:gridCol w:w="762"/>
        <w:gridCol w:w="955"/>
        <w:gridCol w:w="955"/>
        <w:gridCol w:w="570"/>
        <w:gridCol w:w="570"/>
        <w:gridCol w:w="575"/>
        <w:gridCol w:w="856"/>
        <w:gridCol w:w="870"/>
        <w:gridCol w:w="697"/>
        <w:gridCol w:w="1148"/>
        <w:gridCol w:w="1003"/>
        <w:gridCol w:w="102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159" w:type="pct"/>
            <w:vMerge w:val="restart"/>
            <w:vAlign w:val="center"/>
          </w:tcPr>
          <w:p>
            <w:pPr>
              <w:jc w:val="center"/>
              <w:rPr>
                <w:b/>
                <w:szCs w:val="21"/>
              </w:rPr>
            </w:pPr>
            <w:r>
              <w:rPr>
                <w:b/>
                <w:szCs w:val="21"/>
              </w:rPr>
              <w:t>序号</w:t>
            </w:r>
          </w:p>
        </w:tc>
        <w:tc>
          <w:tcPr>
            <w:tcW w:w="257" w:type="pct"/>
            <w:vMerge w:val="restart"/>
            <w:vAlign w:val="center"/>
          </w:tcPr>
          <w:p>
            <w:pPr>
              <w:jc w:val="center"/>
              <w:rPr>
                <w:b/>
                <w:szCs w:val="21"/>
              </w:rPr>
            </w:pPr>
            <w:r>
              <w:rPr>
                <w:b/>
                <w:szCs w:val="21"/>
              </w:rPr>
              <w:t>建筑物名称</w:t>
            </w:r>
          </w:p>
        </w:tc>
        <w:tc>
          <w:tcPr>
            <w:tcW w:w="321" w:type="pct"/>
            <w:vMerge w:val="restart"/>
            <w:vAlign w:val="center"/>
          </w:tcPr>
          <w:p>
            <w:pPr>
              <w:jc w:val="center"/>
              <w:rPr>
                <w:b/>
                <w:szCs w:val="21"/>
              </w:rPr>
            </w:pPr>
            <w:r>
              <w:rPr>
                <w:b/>
                <w:szCs w:val="21"/>
              </w:rPr>
              <w:t>声源名称</w:t>
            </w:r>
          </w:p>
        </w:tc>
        <w:tc>
          <w:tcPr>
            <w:tcW w:w="477" w:type="pct"/>
            <w:vMerge w:val="restart"/>
            <w:vAlign w:val="center"/>
          </w:tcPr>
          <w:p>
            <w:pPr>
              <w:jc w:val="center"/>
              <w:rPr>
                <w:b/>
                <w:szCs w:val="21"/>
              </w:rPr>
            </w:pPr>
            <w:r>
              <w:rPr>
                <w:b/>
                <w:szCs w:val="21"/>
              </w:rPr>
              <w:t>(声压级/距声源距离)/ ([dB(A)]/m)</w:t>
            </w:r>
          </w:p>
        </w:tc>
        <w:tc>
          <w:tcPr>
            <w:tcW w:w="261" w:type="pct"/>
            <w:vMerge w:val="restart"/>
            <w:vAlign w:val="center"/>
          </w:tcPr>
          <w:p>
            <w:pPr>
              <w:jc w:val="center"/>
              <w:rPr>
                <w:b/>
                <w:szCs w:val="21"/>
              </w:rPr>
            </w:pPr>
            <w:r>
              <w:rPr>
                <w:b/>
                <w:szCs w:val="21"/>
              </w:rPr>
              <w:t>数量(台)</w:t>
            </w:r>
          </w:p>
        </w:tc>
        <w:tc>
          <w:tcPr>
            <w:tcW w:w="269" w:type="pct"/>
            <w:vMerge w:val="restart"/>
            <w:vAlign w:val="center"/>
          </w:tcPr>
          <w:p>
            <w:pPr>
              <w:jc w:val="center"/>
              <w:rPr>
                <w:b/>
                <w:szCs w:val="21"/>
              </w:rPr>
            </w:pPr>
            <w:r>
              <w:rPr>
                <w:b/>
                <w:szCs w:val="21"/>
              </w:rPr>
              <w:t>声源控制措施</w:t>
            </w:r>
          </w:p>
        </w:tc>
        <w:tc>
          <w:tcPr>
            <w:tcW w:w="337" w:type="pct"/>
            <w:vMerge w:val="restart"/>
            <w:vAlign w:val="center"/>
          </w:tcPr>
          <w:p>
            <w:pPr>
              <w:jc w:val="center"/>
              <w:rPr>
                <w:b/>
                <w:szCs w:val="21"/>
              </w:rPr>
            </w:pPr>
            <w:r>
              <w:rPr>
                <w:b/>
                <w:szCs w:val="21"/>
              </w:rPr>
              <w:t>治理后声压级[dB(A)]</w:t>
            </w:r>
          </w:p>
        </w:tc>
        <w:tc>
          <w:tcPr>
            <w:tcW w:w="337" w:type="pct"/>
            <w:vMerge w:val="restart"/>
            <w:vAlign w:val="center"/>
          </w:tcPr>
          <w:p>
            <w:pPr>
              <w:jc w:val="center"/>
              <w:rPr>
                <w:b/>
                <w:szCs w:val="21"/>
              </w:rPr>
            </w:pPr>
            <w:r>
              <w:rPr>
                <w:b/>
                <w:szCs w:val="21"/>
              </w:rPr>
              <w:t>声压级叠加值[dB(A)]</w:t>
            </w:r>
          </w:p>
        </w:tc>
        <w:tc>
          <w:tcPr>
            <w:tcW w:w="605" w:type="pct"/>
            <w:gridSpan w:val="3"/>
            <w:vAlign w:val="center"/>
          </w:tcPr>
          <w:p>
            <w:pPr>
              <w:jc w:val="center"/>
              <w:rPr>
                <w:b/>
                <w:szCs w:val="21"/>
              </w:rPr>
            </w:pPr>
            <w:r>
              <w:rPr>
                <w:b/>
                <w:szCs w:val="21"/>
              </w:rPr>
              <w:t>空间相对位置/m</w:t>
            </w:r>
          </w:p>
        </w:tc>
        <w:tc>
          <w:tcPr>
            <w:tcW w:w="302" w:type="pct"/>
            <w:vMerge w:val="restart"/>
            <w:vAlign w:val="center"/>
          </w:tcPr>
          <w:p>
            <w:pPr>
              <w:jc w:val="center"/>
              <w:rPr>
                <w:b/>
                <w:szCs w:val="21"/>
              </w:rPr>
            </w:pPr>
            <w:r>
              <w:rPr>
                <w:b/>
                <w:szCs w:val="21"/>
              </w:rPr>
              <w:t>距室内边界距离/m</w:t>
            </w:r>
          </w:p>
        </w:tc>
        <w:tc>
          <w:tcPr>
            <w:tcW w:w="307" w:type="pct"/>
            <w:vMerge w:val="restart"/>
            <w:vAlign w:val="center"/>
          </w:tcPr>
          <w:p>
            <w:pPr>
              <w:jc w:val="center"/>
              <w:rPr>
                <w:b/>
                <w:szCs w:val="21"/>
              </w:rPr>
            </w:pPr>
            <w:r>
              <w:rPr>
                <w:b/>
                <w:szCs w:val="21"/>
              </w:rPr>
              <w:t>室内边界声级/dB(A)</w:t>
            </w:r>
          </w:p>
        </w:tc>
        <w:tc>
          <w:tcPr>
            <w:tcW w:w="246" w:type="pct"/>
            <w:vMerge w:val="restart"/>
            <w:vAlign w:val="center"/>
          </w:tcPr>
          <w:p>
            <w:pPr>
              <w:jc w:val="center"/>
              <w:rPr>
                <w:b/>
                <w:szCs w:val="21"/>
              </w:rPr>
            </w:pPr>
            <w:r>
              <w:rPr>
                <w:b/>
                <w:szCs w:val="21"/>
              </w:rPr>
              <w:t>运行时段</w:t>
            </w:r>
          </w:p>
        </w:tc>
        <w:tc>
          <w:tcPr>
            <w:tcW w:w="405" w:type="pct"/>
            <w:vMerge w:val="restart"/>
            <w:vAlign w:val="center"/>
          </w:tcPr>
          <w:p>
            <w:pPr>
              <w:jc w:val="center"/>
              <w:rPr>
                <w:b/>
                <w:szCs w:val="21"/>
              </w:rPr>
            </w:pPr>
            <w:r>
              <w:rPr>
                <w:b/>
                <w:szCs w:val="21"/>
              </w:rPr>
              <w:t>建筑物插入损失/dB(A)</w:t>
            </w:r>
          </w:p>
        </w:tc>
        <w:tc>
          <w:tcPr>
            <w:tcW w:w="717" w:type="pct"/>
            <w:gridSpan w:val="2"/>
            <w:vAlign w:val="center"/>
          </w:tcPr>
          <w:p>
            <w:pPr>
              <w:jc w:val="center"/>
              <w:rPr>
                <w:b/>
                <w:szCs w:val="21"/>
              </w:rPr>
            </w:pPr>
            <w:r>
              <w:rPr>
                <w:b/>
                <w:szCs w:val="21"/>
              </w:rPr>
              <w:t>建筑物外噪声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159" w:type="pct"/>
            <w:vMerge w:val="continue"/>
            <w:vAlign w:val="center"/>
          </w:tcPr>
          <w:p>
            <w:pPr>
              <w:jc w:val="center"/>
              <w:rPr>
                <w:b/>
                <w:szCs w:val="21"/>
              </w:rPr>
            </w:pPr>
          </w:p>
        </w:tc>
        <w:tc>
          <w:tcPr>
            <w:tcW w:w="257" w:type="pct"/>
            <w:vMerge w:val="continue"/>
            <w:vAlign w:val="center"/>
          </w:tcPr>
          <w:p>
            <w:pPr>
              <w:jc w:val="center"/>
              <w:rPr>
                <w:b/>
                <w:szCs w:val="21"/>
              </w:rPr>
            </w:pPr>
          </w:p>
        </w:tc>
        <w:tc>
          <w:tcPr>
            <w:tcW w:w="321" w:type="pct"/>
            <w:vMerge w:val="continue"/>
            <w:vAlign w:val="center"/>
          </w:tcPr>
          <w:p>
            <w:pPr>
              <w:jc w:val="center"/>
              <w:rPr>
                <w:b/>
                <w:szCs w:val="21"/>
              </w:rPr>
            </w:pPr>
          </w:p>
        </w:tc>
        <w:tc>
          <w:tcPr>
            <w:tcW w:w="477" w:type="pct"/>
            <w:vMerge w:val="continue"/>
            <w:vAlign w:val="center"/>
          </w:tcPr>
          <w:p>
            <w:pPr>
              <w:jc w:val="center"/>
              <w:rPr>
                <w:b/>
                <w:szCs w:val="21"/>
              </w:rPr>
            </w:pPr>
          </w:p>
        </w:tc>
        <w:tc>
          <w:tcPr>
            <w:tcW w:w="261" w:type="pct"/>
            <w:vMerge w:val="continue"/>
            <w:vAlign w:val="center"/>
          </w:tcPr>
          <w:p>
            <w:pPr>
              <w:jc w:val="center"/>
              <w:rPr>
                <w:b/>
                <w:szCs w:val="21"/>
              </w:rPr>
            </w:pPr>
          </w:p>
        </w:tc>
        <w:tc>
          <w:tcPr>
            <w:tcW w:w="269" w:type="pct"/>
            <w:vMerge w:val="continue"/>
            <w:vAlign w:val="center"/>
          </w:tcPr>
          <w:p>
            <w:pPr>
              <w:jc w:val="center"/>
              <w:rPr>
                <w:b/>
                <w:szCs w:val="21"/>
              </w:rPr>
            </w:pPr>
          </w:p>
        </w:tc>
        <w:tc>
          <w:tcPr>
            <w:tcW w:w="337" w:type="pct"/>
            <w:vMerge w:val="continue"/>
            <w:vAlign w:val="center"/>
          </w:tcPr>
          <w:p>
            <w:pPr>
              <w:jc w:val="center"/>
              <w:rPr>
                <w:b/>
                <w:szCs w:val="21"/>
              </w:rPr>
            </w:pPr>
          </w:p>
        </w:tc>
        <w:tc>
          <w:tcPr>
            <w:tcW w:w="337" w:type="pct"/>
            <w:vMerge w:val="continue"/>
            <w:vAlign w:val="center"/>
          </w:tcPr>
          <w:p>
            <w:pPr>
              <w:jc w:val="center"/>
              <w:rPr>
                <w:b/>
                <w:szCs w:val="21"/>
              </w:rPr>
            </w:pPr>
          </w:p>
        </w:tc>
        <w:tc>
          <w:tcPr>
            <w:tcW w:w="201" w:type="pct"/>
            <w:vAlign w:val="center"/>
          </w:tcPr>
          <w:p>
            <w:pPr>
              <w:jc w:val="center"/>
              <w:rPr>
                <w:b/>
                <w:szCs w:val="21"/>
              </w:rPr>
            </w:pPr>
            <w:r>
              <w:rPr>
                <w:b/>
                <w:szCs w:val="21"/>
              </w:rPr>
              <w:t>X</w:t>
            </w:r>
          </w:p>
        </w:tc>
        <w:tc>
          <w:tcPr>
            <w:tcW w:w="201" w:type="pct"/>
            <w:vAlign w:val="center"/>
          </w:tcPr>
          <w:p>
            <w:pPr>
              <w:jc w:val="center"/>
              <w:rPr>
                <w:b/>
                <w:szCs w:val="21"/>
              </w:rPr>
            </w:pPr>
            <w:r>
              <w:rPr>
                <w:b/>
                <w:szCs w:val="21"/>
              </w:rPr>
              <w:t>Y</w:t>
            </w:r>
          </w:p>
        </w:tc>
        <w:tc>
          <w:tcPr>
            <w:tcW w:w="203" w:type="pct"/>
            <w:vAlign w:val="center"/>
          </w:tcPr>
          <w:p>
            <w:pPr>
              <w:jc w:val="center"/>
              <w:rPr>
                <w:b/>
                <w:szCs w:val="21"/>
              </w:rPr>
            </w:pPr>
            <w:r>
              <w:rPr>
                <w:b/>
                <w:szCs w:val="21"/>
              </w:rPr>
              <w:t>Z</w:t>
            </w:r>
          </w:p>
        </w:tc>
        <w:tc>
          <w:tcPr>
            <w:tcW w:w="302" w:type="pct"/>
            <w:vMerge w:val="continue"/>
            <w:vAlign w:val="center"/>
          </w:tcPr>
          <w:p>
            <w:pPr>
              <w:jc w:val="center"/>
              <w:rPr>
                <w:b/>
                <w:szCs w:val="21"/>
              </w:rPr>
            </w:pPr>
          </w:p>
        </w:tc>
        <w:tc>
          <w:tcPr>
            <w:tcW w:w="307" w:type="pct"/>
            <w:vMerge w:val="continue"/>
            <w:vAlign w:val="center"/>
          </w:tcPr>
          <w:p>
            <w:pPr>
              <w:jc w:val="center"/>
              <w:rPr>
                <w:b/>
                <w:szCs w:val="21"/>
              </w:rPr>
            </w:pPr>
          </w:p>
        </w:tc>
        <w:tc>
          <w:tcPr>
            <w:tcW w:w="246" w:type="pct"/>
            <w:vMerge w:val="continue"/>
            <w:vAlign w:val="center"/>
          </w:tcPr>
          <w:p>
            <w:pPr>
              <w:jc w:val="center"/>
              <w:rPr>
                <w:b/>
                <w:szCs w:val="21"/>
              </w:rPr>
            </w:pPr>
          </w:p>
        </w:tc>
        <w:tc>
          <w:tcPr>
            <w:tcW w:w="405" w:type="pct"/>
            <w:vMerge w:val="continue"/>
            <w:vAlign w:val="center"/>
          </w:tcPr>
          <w:p>
            <w:pPr>
              <w:jc w:val="center"/>
              <w:rPr>
                <w:b/>
                <w:szCs w:val="21"/>
              </w:rPr>
            </w:pPr>
          </w:p>
        </w:tc>
        <w:tc>
          <w:tcPr>
            <w:tcW w:w="354" w:type="pct"/>
            <w:vAlign w:val="center"/>
          </w:tcPr>
          <w:p>
            <w:pPr>
              <w:jc w:val="center"/>
              <w:rPr>
                <w:b/>
                <w:szCs w:val="21"/>
              </w:rPr>
            </w:pPr>
            <w:r>
              <w:rPr>
                <w:b/>
                <w:szCs w:val="21"/>
              </w:rPr>
              <w:t>声压级/dB(A)</w:t>
            </w:r>
          </w:p>
        </w:tc>
        <w:tc>
          <w:tcPr>
            <w:tcW w:w="363" w:type="pct"/>
            <w:vAlign w:val="center"/>
          </w:tcPr>
          <w:p>
            <w:pPr>
              <w:jc w:val="center"/>
              <w:rPr>
                <w:b/>
                <w:szCs w:val="21"/>
              </w:rPr>
            </w:pPr>
            <w:r>
              <w:rPr>
                <w:b/>
                <w:szCs w:val="21"/>
              </w:rPr>
              <w:t>建筑物外距离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contextualSpacing/>
              <w:jc w:val="center"/>
              <w:textAlignment w:val="baseline"/>
              <w:rPr>
                <w:kern w:val="0"/>
                <w:szCs w:val="21"/>
              </w:rPr>
            </w:pPr>
            <w:r>
              <w:rPr>
                <w:kern w:val="0"/>
                <w:szCs w:val="21"/>
              </w:rPr>
              <w:t>1</w:t>
            </w:r>
          </w:p>
        </w:tc>
        <w:tc>
          <w:tcPr>
            <w:tcW w:w="257" w:type="pct"/>
            <w:vMerge w:val="restart"/>
            <w:vAlign w:val="center"/>
          </w:tcPr>
          <w:p>
            <w:pPr>
              <w:contextualSpacing/>
              <w:jc w:val="center"/>
              <w:textAlignment w:val="baseline"/>
              <w:rPr>
                <w:szCs w:val="21"/>
              </w:rPr>
            </w:pPr>
            <w:r>
              <w:rPr>
                <w:color w:val="000000"/>
                <w:kern w:val="0"/>
                <w:szCs w:val="21"/>
                <w:lang w:bidi="ar"/>
              </w:rPr>
              <w:t>集水池</w:t>
            </w:r>
          </w:p>
        </w:tc>
        <w:tc>
          <w:tcPr>
            <w:tcW w:w="321" w:type="pct"/>
            <w:vMerge w:val="restart"/>
            <w:vAlign w:val="center"/>
          </w:tcPr>
          <w:p>
            <w:pPr>
              <w:contextualSpacing/>
              <w:jc w:val="center"/>
              <w:textAlignment w:val="baseline"/>
              <w:rPr>
                <w:szCs w:val="21"/>
              </w:rPr>
            </w:pPr>
            <w:r>
              <w:rPr>
                <w:color w:val="000000"/>
                <w:kern w:val="0"/>
                <w:szCs w:val="21"/>
                <w:lang w:bidi="ar"/>
              </w:rPr>
              <w:t>潜污泵</w:t>
            </w:r>
          </w:p>
        </w:tc>
        <w:tc>
          <w:tcPr>
            <w:tcW w:w="477" w:type="pct"/>
            <w:vMerge w:val="restart"/>
            <w:vAlign w:val="center"/>
          </w:tcPr>
          <w:p>
            <w:pPr>
              <w:contextualSpacing/>
              <w:jc w:val="center"/>
              <w:textAlignment w:val="baseline"/>
              <w:rPr>
                <w:szCs w:val="21"/>
              </w:rPr>
            </w:pPr>
            <w:r>
              <w:rPr>
                <w:szCs w:val="21"/>
              </w:rPr>
              <w:t>90/1</w:t>
            </w:r>
          </w:p>
        </w:tc>
        <w:tc>
          <w:tcPr>
            <w:tcW w:w="261" w:type="pct"/>
            <w:vMerge w:val="restart"/>
            <w:vAlign w:val="center"/>
          </w:tcPr>
          <w:p>
            <w:pPr>
              <w:contextualSpacing/>
              <w:jc w:val="center"/>
              <w:textAlignment w:val="baseline"/>
              <w:rPr>
                <w:szCs w:val="21"/>
              </w:rPr>
            </w:pPr>
            <w:r>
              <w:rPr>
                <w:szCs w:val="21"/>
              </w:rPr>
              <w:t>2</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65</w:t>
            </w:r>
          </w:p>
        </w:tc>
        <w:tc>
          <w:tcPr>
            <w:tcW w:w="337" w:type="pct"/>
            <w:vMerge w:val="restart"/>
            <w:vAlign w:val="center"/>
          </w:tcPr>
          <w:p>
            <w:pPr>
              <w:jc w:val="center"/>
              <w:rPr>
                <w:szCs w:val="21"/>
              </w:rPr>
            </w:pPr>
            <w:r>
              <w:rPr>
                <w:szCs w:val="21"/>
              </w:rPr>
              <w:t>68</w:t>
            </w:r>
          </w:p>
        </w:tc>
        <w:tc>
          <w:tcPr>
            <w:tcW w:w="201" w:type="pct"/>
            <w:vMerge w:val="restart"/>
            <w:vAlign w:val="center"/>
          </w:tcPr>
          <w:p>
            <w:pPr>
              <w:jc w:val="center"/>
              <w:rPr>
                <w:szCs w:val="21"/>
              </w:rPr>
            </w:pPr>
            <w:r>
              <w:rPr>
                <w:szCs w:val="21"/>
              </w:rPr>
              <w:t>44</w:t>
            </w:r>
          </w:p>
        </w:tc>
        <w:tc>
          <w:tcPr>
            <w:tcW w:w="201" w:type="pct"/>
            <w:vMerge w:val="restart"/>
            <w:vAlign w:val="center"/>
          </w:tcPr>
          <w:p>
            <w:pPr>
              <w:jc w:val="center"/>
              <w:rPr>
                <w:szCs w:val="21"/>
              </w:rPr>
            </w:pPr>
            <w:r>
              <w:rPr>
                <w:szCs w:val="21"/>
              </w:rPr>
              <w:t>82</w:t>
            </w:r>
          </w:p>
        </w:tc>
        <w:tc>
          <w:tcPr>
            <w:tcW w:w="203" w:type="pct"/>
            <w:vMerge w:val="restart"/>
            <w:vAlign w:val="center"/>
          </w:tcPr>
          <w:p>
            <w:pPr>
              <w:jc w:val="center"/>
              <w:rPr>
                <w:szCs w:val="21"/>
              </w:rPr>
            </w:pPr>
            <w:r>
              <w:rPr>
                <w:szCs w:val="21"/>
              </w:rPr>
              <w:t>-3</w:t>
            </w:r>
          </w:p>
        </w:tc>
        <w:tc>
          <w:tcPr>
            <w:tcW w:w="302" w:type="pct"/>
            <w:vAlign w:val="center"/>
          </w:tcPr>
          <w:p>
            <w:pPr>
              <w:jc w:val="center"/>
              <w:rPr>
                <w:szCs w:val="21"/>
              </w:rPr>
            </w:pPr>
            <w:r>
              <w:rPr>
                <w:szCs w:val="21"/>
              </w:rPr>
              <w:t>东 32</w:t>
            </w:r>
          </w:p>
        </w:tc>
        <w:tc>
          <w:tcPr>
            <w:tcW w:w="307" w:type="pct"/>
            <w:vAlign w:val="center"/>
          </w:tcPr>
          <w:p>
            <w:pPr>
              <w:jc w:val="center"/>
              <w:rPr>
                <w:szCs w:val="21"/>
              </w:rPr>
            </w:pPr>
            <w:r>
              <w:rPr>
                <w:szCs w:val="21"/>
              </w:rPr>
              <w:t>37.9</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contextualSpacing/>
              <w:jc w:val="center"/>
              <w:textAlignment w:val="baseline"/>
              <w:rPr>
                <w:kern w:val="0"/>
                <w:szCs w:val="21"/>
              </w:rPr>
            </w:pPr>
            <w:r>
              <w:rPr>
                <w:kern w:val="0"/>
                <w:szCs w:val="21"/>
              </w:rPr>
              <w:t>31.9</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contextualSpacing/>
              <w:jc w:val="center"/>
              <w:textAlignment w:val="baseline"/>
              <w:rPr>
                <w:szCs w:val="21"/>
              </w:rPr>
            </w:pPr>
          </w:p>
        </w:tc>
        <w:tc>
          <w:tcPr>
            <w:tcW w:w="337" w:type="pct"/>
            <w:vMerge w:val="continue"/>
            <w:vAlign w:val="center"/>
          </w:tcPr>
          <w:p>
            <w:pPr>
              <w:jc w:val="center"/>
              <w:rPr>
                <w:szCs w:val="21"/>
              </w:rPr>
            </w:pPr>
          </w:p>
        </w:tc>
        <w:tc>
          <w:tcPr>
            <w:tcW w:w="337" w:type="pct"/>
            <w:vMerge w:val="continue"/>
            <w:vAlign w:val="center"/>
          </w:tcPr>
          <w:p>
            <w:pPr>
              <w:jc w:val="center"/>
              <w:rPr>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南 6</w:t>
            </w:r>
          </w:p>
        </w:tc>
        <w:tc>
          <w:tcPr>
            <w:tcW w:w="307" w:type="pct"/>
            <w:vAlign w:val="center"/>
          </w:tcPr>
          <w:p>
            <w:pPr>
              <w:jc w:val="center"/>
              <w:rPr>
                <w:szCs w:val="21"/>
              </w:rPr>
            </w:pPr>
            <w:r>
              <w:rPr>
                <w:szCs w:val="21"/>
              </w:rPr>
              <w:t>52.4</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contextualSpacing/>
              <w:jc w:val="center"/>
              <w:textAlignment w:val="baseline"/>
              <w:rPr>
                <w:kern w:val="0"/>
                <w:szCs w:val="21"/>
              </w:rPr>
            </w:pPr>
            <w:r>
              <w:rPr>
                <w:kern w:val="0"/>
                <w:szCs w:val="21"/>
              </w:rPr>
              <w:t>46.4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contextualSpacing/>
              <w:jc w:val="center"/>
              <w:textAlignment w:val="baseline"/>
              <w:rPr>
                <w:szCs w:val="21"/>
              </w:rPr>
            </w:pPr>
          </w:p>
        </w:tc>
        <w:tc>
          <w:tcPr>
            <w:tcW w:w="337" w:type="pct"/>
            <w:vMerge w:val="continue"/>
            <w:vAlign w:val="center"/>
          </w:tcPr>
          <w:p>
            <w:pPr>
              <w:jc w:val="center"/>
              <w:rPr>
                <w:szCs w:val="21"/>
              </w:rPr>
            </w:pPr>
          </w:p>
        </w:tc>
        <w:tc>
          <w:tcPr>
            <w:tcW w:w="337" w:type="pct"/>
            <w:vMerge w:val="continue"/>
            <w:vAlign w:val="center"/>
          </w:tcPr>
          <w:p>
            <w:pPr>
              <w:jc w:val="center"/>
              <w:rPr>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西 3</w:t>
            </w:r>
          </w:p>
        </w:tc>
        <w:tc>
          <w:tcPr>
            <w:tcW w:w="307" w:type="pct"/>
            <w:vAlign w:val="center"/>
          </w:tcPr>
          <w:p>
            <w:pPr>
              <w:jc w:val="center"/>
              <w:rPr>
                <w:szCs w:val="21"/>
              </w:rPr>
            </w:pPr>
            <w:r>
              <w:rPr>
                <w:szCs w:val="21"/>
              </w:rPr>
              <w:t>58.5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contextualSpacing/>
              <w:jc w:val="center"/>
              <w:textAlignment w:val="baseline"/>
              <w:rPr>
                <w:kern w:val="0"/>
                <w:szCs w:val="21"/>
              </w:rPr>
            </w:pPr>
            <w:r>
              <w:rPr>
                <w:kern w:val="0"/>
                <w:szCs w:val="21"/>
              </w:rPr>
              <w:t>52.5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szCs w:val="21"/>
              </w:rPr>
            </w:pPr>
          </w:p>
        </w:tc>
        <w:tc>
          <w:tcPr>
            <w:tcW w:w="321" w:type="pct"/>
            <w:vMerge w:val="continue"/>
            <w:vAlign w:val="center"/>
          </w:tcPr>
          <w:p>
            <w:pPr>
              <w:jc w:val="center"/>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contextualSpacing/>
              <w:jc w:val="center"/>
              <w:textAlignment w:val="baseline"/>
              <w:rPr>
                <w:szCs w:val="21"/>
              </w:rPr>
            </w:pPr>
          </w:p>
        </w:tc>
        <w:tc>
          <w:tcPr>
            <w:tcW w:w="337" w:type="pct"/>
            <w:vMerge w:val="continue"/>
            <w:vAlign w:val="center"/>
          </w:tcPr>
          <w:p>
            <w:pPr>
              <w:jc w:val="center"/>
              <w:rPr>
                <w:szCs w:val="21"/>
              </w:rPr>
            </w:pPr>
          </w:p>
        </w:tc>
        <w:tc>
          <w:tcPr>
            <w:tcW w:w="337" w:type="pct"/>
            <w:vMerge w:val="continue"/>
            <w:vAlign w:val="center"/>
          </w:tcPr>
          <w:p>
            <w:pPr>
              <w:jc w:val="center"/>
              <w:rPr>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北 8</w:t>
            </w:r>
          </w:p>
        </w:tc>
        <w:tc>
          <w:tcPr>
            <w:tcW w:w="307" w:type="pct"/>
            <w:vAlign w:val="center"/>
          </w:tcPr>
          <w:p>
            <w:pPr>
              <w:jc w:val="center"/>
              <w:rPr>
                <w:szCs w:val="21"/>
              </w:rPr>
            </w:pPr>
            <w:r>
              <w:rPr>
                <w:szCs w:val="21"/>
              </w:rPr>
              <w:t>49.9</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contextualSpacing/>
              <w:jc w:val="center"/>
              <w:textAlignment w:val="baseline"/>
              <w:rPr>
                <w:kern w:val="0"/>
                <w:szCs w:val="21"/>
              </w:rPr>
            </w:pPr>
            <w:r>
              <w:rPr>
                <w:kern w:val="0"/>
                <w:szCs w:val="21"/>
              </w:rPr>
              <w:t>43.9</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restart"/>
            <w:vAlign w:val="center"/>
          </w:tcPr>
          <w:p>
            <w:pPr>
              <w:contextualSpacing/>
              <w:jc w:val="center"/>
              <w:textAlignment w:val="baseline"/>
              <w:rPr>
                <w:szCs w:val="21"/>
              </w:rPr>
            </w:pPr>
            <w:r>
              <w:rPr>
                <w:kern w:val="0"/>
                <w:szCs w:val="21"/>
              </w:rPr>
              <w:t>潜水搅拌机</w:t>
            </w:r>
          </w:p>
        </w:tc>
        <w:tc>
          <w:tcPr>
            <w:tcW w:w="477" w:type="pct"/>
            <w:vMerge w:val="restart"/>
            <w:vAlign w:val="center"/>
          </w:tcPr>
          <w:p>
            <w:pPr>
              <w:contextualSpacing/>
              <w:jc w:val="center"/>
              <w:textAlignment w:val="baseline"/>
              <w:rPr>
                <w:szCs w:val="21"/>
              </w:rPr>
            </w:pPr>
            <w:r>
              <w:rPr>
                <w:szCs w:val="21"/>
              </w:rPr>
              <w:t>80/1</w:t>
            </w:r>
          </w:p>
        </w:tc>
        <w:tc>
          <w:tcPr>
            <w:tcW w:w="261" w:type="pct"/>
            <w:vMerge w:val="restart"/>
            <w:vAlign w:val="center"/>
          </w:tcPr>
          <w:p>
            <w:pPr>
              <w:contextualSpacing/>
              <w:jc w:val="center"/>
              <w:textAlignment w:val="baseline"/>
              <w:rPr>
                <w:szCs w:val="21"/>
              </w:rPr>
            </w:pPr>
            <w:r>
              <w:rPr>
                <w:szCs w:val="21"/>
              </w:rPr>
              <w:t>1</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55</w:t>
            </w:r>
          </w:p>
        </w:tc>
        <w:tc>
          <w:tcPr>
            <w:tcW w:w="337" w:type="pct"/>
            <w:vMerge w:val="restart"/>
            <w:vAlign w:val="center"/>
          </w:tcPr>
          <w:p>
            <w:pPr>
              <w:contextualSpacing/>
              <w:jc w:val="center"/>
              <w:textAlignment w:val="baseline"/>
              <w:rPr>
                <w:kern w:val="0"/>
                <w:szCs w:val="21"/>
              </w:rPr>
            </w:pPr>
            <w:r>
              <w:rPr>
                <w:kern w:val="0"/>
                <w:szCs w:val="21"/>
              </w:rPr>
              <w:t>55</w:t>
            </w:r>
          </w:p>
        </w:tc>
        <w:tc>
          <w:tcPr>
            <w:tcW w:w="201" w:type="pct"/>
            <w:vMerge w:val="restart"/>
            <w:vAlign w:val="center"/>
          </w:tcPr>
          <w:p>
            <w:pPr>
              <w:jc w:val="center"/>
              <w:rPr>
                <w:szCs w:val="21"/>
              </w:rPr>
            </w:pPr>
            <w:r>
              <w:rPr>
                <w:szCs w:val="21"/>
              </w:rPr>
              <w:t>42</w:t>
            </w:r>
          </w:p>
        </w:tc>
        <w:tc>
          <w:tcPr>
            <w:tcW w:w="201" w:type="pct"/>
            <w:vMerge w:val="restart"/>
            <w:vAlign w:val="center"/>
          </w:tcPr>
          <w:p>
            <w:pPr>
              <w:jc w:val="center"/>
              <w:rPr>
                <w:szCs w:val="21"/>
              </w:rPr>
            </w:pPr>
            <w:r>
              <w:rPr>
                <w:szCs w:val="21"/>
              </w:rPr>
              <w:t>84</w:t>
            </w:r>
          </w:p>
        </w:tc>
        <w:tc>
          <w:tcPr>
            <w:tcW w:w="203" w:type="pct"/>
            <w:vMerge w:val="restart"/>
            <w:vAlign w:val="center"/>
          </w:tcPr>
          <w:p>
            <w:pPr>
              <w:jc w:val="center"/>
              <w:rPr>
                <w:szCs w:val="21"/>
              </w:rPr>
            </w:pPr>
            <w:r>
              <w:rPr>
                <w:szCs w:val="21"/>
              </w:rPr>
              <w:t>-2</w:t>
            </w:r>
          </w:p>
        </w:tc>
        <w:tc>
          <w:tcPr>
            <w:tcW w:w="302" w:type="pct"/>
            <w:vAlign w:val="center"/>
          </w:tcPr>
          <w:p>
            <w:pPr>
              <w:jc w:val="center"/>
              <w:rPr>
                <w:szCs w:val="21"/>
              </w:rPr>
            </w:pPr>
            <w:r>
              <w:rPr>
                <w:szCs w:val="21"/>
              </w:rPr>
              <w:t>东 4</w:t>
            </w:r>
          </w:p>
        </w:tc>
        <w:tc>
          <w:tcPr>
            <w:tcW w:w="307" w:type="pct"/>
            <w:vAlign w:val="center"/>
          </w:tcPr>
          <w:p>
            <w:pPr>
              <w:jc w:val="center"/>
              <w:rPr>
                <w:szCs w:val="21"/>
              </w:rPr>
            </w:pPr>
            <w:r>
              <w:rPr>
                <w:szCs w:val="21"/>
              </w:rPr>
              <w:t>43</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contextualSpacing/>
              <w:jc w:val="center"/>
              <w:textAlignment w:val="baseline"/>
              <w:rPr>
                <w:kern w:val="0"/>
                <w:szCs w:val="21"/>
              </w:rPr>
            </w:pPr>
            <w:r>
              <w:rPr>
                <w:kern w:val="0"/>
                <w:szCs w:val="21"/>
              </w:rPr>
              <w:t>37</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南 8</w:t>
            </w:r>
          </w:p>
        </w:tc>
        <w:tc>
          <w:tcPr>
            <w:tcW w:w="307" w:type="pct"/>
            <w:vAlign w:val="center"/>
          </w:tcPr>
          <w:p>
            <w:pPr>
              <w:jc w:val="center"/>
              <w:rPr>
                <w:szCs w:val="21"/>
              </w:rPr>
            </w:pPr>
            <w:r>
              <w:rPr>
                <w:szCs w:val="21"/>
              </w:rPr>
              <w:t>36.9</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contextualSpacing/>
              <w:jc w:val="center"/>
              <w:textAlignment w:val="baseline"/>
              <w:rPr>
                <w:kern w:val="0"/>
                <w:szCs w:val="21"/>
              </w:rPr>
            </w:pPr>
            <w:r>
              <w:rPr>
                <w:kern w:val="0"/>
                <w:szCs w:val="21"/>
              </w:rPr>
              <w:t>30.9</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西 1</w:t>
            </w:r>
          </w:p>
        </w:tc>
        <w:tc>
          <w:tcPr>
            <w:tcW w:w="307" w:type="pct"/>
            <w:vAlign w:val="center"/>
          </w:tcPr>
          <w:p>
            <w:pPr>
              <w:jc w:val="center"/>
              <w:rPr>
                <w:szCs w:val="21"/>
              </w:rPr>
            </w:pPr>
            <w:r>
              <w:rPr>
                <w:szCs w:val="21"/>
              </w:rPr>
              <w:t>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contextualSpacing/>
              <w:jc w:val="center"/>
              <w:textAlignment w:val="baseline"/>
              <w:rPr>
                <w:kern w:val="0"/>
                <w:szCs w:val="21"/>
              </w:rPr>
            </w:pPr>
            <w:r>
              <w:rPr>
                <w:kern w:val="0"/>
                <w:szCs w:val="21"/>
              </w:rPr>
              <w:t>49</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北 6</w:t>
            </w:r>
          </w:p>
        </w:tc>
        <w:tc>
          <w:tcPr>
            <w:tcW w:w="307" w:type="pct"/>
            <w:vAlign w:val="center"/>
          </w:tcPr>
          <w:p>
            <w:pPr>
              <w:jc w:val="center"/>
              <w:rPr>
                <w:szCs w:val="21"/>
              </w:rPr>
            </w:pPr>
            <w:r>
              <w:rPr>
                <w:szCs w:val="21"/>
              </w:rPr>
              <w:t>39.4</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contextualSpacing/>
              <w:jc w:val="center"/>
              <w:textAlignment w:val="baseline"/>
              <w:rPr>
                <w:kern w:val="0"/>
                <w:szCs w:val="21"/>
              </w:rPr>
            </w:pPr>
            <w:r>
              <w:rPr>
                <w:kern w:val="0"/>
                <w:szCs w:val="21"/>
              </w:rPr>
              <w:t>33.4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contextualSpacing/>
              <w:jc w:val="center"/>
              <w:textAlignment w:val="baseline"/>
              <w:rPr>
                <w:kern w:val="0"/>
                <w:szCs w:val="21"/>
              </w:rPr>
            </w:pPr>
            <w:r>
              <w:rPr>
                <w:kern w:val="0"/>
                <w:szCs w:val="21"/>
              </w:rPr>
              <w:t>2</w:t>
            </w:r>
          </w:p>
        </w:tc>
        <w:tc>
          <w:tcPr>
            <w:tcW w:w="257" w:type="pct"/>
            <w:vMerge w:val="restart"/>
            <w:vAlign w:val="center"/>
          </w:tcPr>
          <w:p>
            <w:pPr>
              <w:contextualSpacing/>
              <w:jc w:val="center"/>
              <w:textAlignment w:val="baseline"/>
              <w:rPr>
                <w:szCs w:val="21"/>
              </w:rPr>
            </w:pPr>
            <w:r>
              <w:rPr>
                <w:szCs w:val="21"/>
              </w:rPr>
              <w:t>调节池</w:t>
            </w:r>
          </w:p>
        </w:tc>
        <w:tc>
          <w:tcPr>
            <w:tcW w:w="321" w:type="pct"/>
            <w:vMerge w:val="restart"/>
            <w:vAlign w:val="center"/>
          </w:tcPr>
          <w:p>
            <w:pPr>
              <w:contextualSpacing/>
              <w:jc w:val="center"/>
              <w:textAlignment w:val="baseline"/>
              <w:rPr>
                <w:szCs w:val="21"/>
              </w:rPr>
            </w:pPr>
            <w:r>
              <w:rPr>
                <w:color w:val="000000"/>
                <w:kern w:val="0"/>
                <w:szCs w:val="21"/>
                <w:lang w:bidi="ar"/>
              </w:rPr>
              <w:t>潜污泵</w:t>
            </w:r>
          </w:p>
        </w:tc>
        <w:tc>
          <w:tcPr>
            <w:tcW w:w="477" w:type="pct"/>
            <w:vMerge w:val="restart"/>
            <w:vAlign w:val="center"/>
          </w:tcPr>
          <w:p>
            <w:pPr>
              <w:contextualSpacing/>
              <w:jc w:val="center"/>
              <w:textAlignment w:val="baseline"/>
              <w:rPr>
                <w:szCs w:val="21"/>
              </w:rPr>
            </w:pPr>
            <w:r>
              <w:rPr>
                <w:szCs w:val="21"/>
              </w:rPr>
              <w:t>90/1</w:t>
            </w:r>
          </w:p>
        </w:tc>
        <w:tc>
          <w:tcPr>
            <w:tcW w:w="261" w:type="pct"/>
            <w:vMerge w:val="restart"/>
            <w:vAlign w:val="center"/>
          </w:tcPr>
          <w:p>
            <w:pPr>
              <w:contextualSpacing/>
              <w:jc w:val="center"/>
              <w:textAlignment w:val="baseline"/>
              <w:rPr>
                <w:szCs w:val="21"/>
              </w:rPr>
            </w:pPr>
            <w:r>
              <w:rPr>
                <w:szCs w:val="21"/>
              </w:rPr>
              <w:t>2</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65</w:t>
            </w:r>
          </w:p>
        </w:tc>
        <w:tc>
          <w:tcPr>
            <w:tcW w:w="337" w:type="pct"/>
            <w:vMerge w:val="restart"/>
            <w:vAlign w:val="center"/>
          </w:tcPr>
          <w:p>
            <w:pPr>
              <w:contextualSpacing/>
              <w:jc w:val="center"/>
              <w:textAlignment w:val="baseline"/>
              <w:rPr>
                <w:kern w:val="0"/>
                <w:szCs w:val="21"/>
              </w:rPr>
            </w:pPr>
            <w:r>
              <w:rPr>
                <w:kern w:val="0"/>
                <w:szCs w:val="21"/>
              </w:rPr>
              <w:t>68</w:t>
            </w:r>
          </w:p>
        </w:tc>
        <w:tc>
          <w:tcPr>
            <w:tcW w:w="201" w:type="pct"/>
            <w:vMerge w:val="restart"/>
            <w:vAlign w:val="center"/>
          </w:tcPr>
          <w:p>
            <w:pPr>
              <w:jc w:val="center"/>
              <w:rPr>
                <w:szCs w:val="21"/>
              </w:rPr>
            </w:pPr>
            <w:r>
              <w:rPr>
                <w:szCs w:val="21"/>
              </w:rPr>
              <w:t>61</w:t>
            </w:r>
          </w:p>
        </w:tc>
        <w:tc>
          <w:tcPr>
            <w:tcW w:w="201" w:type="pct"/>
            <w:vMerge w:val="restart"/>
            <w:vAlign w:val="center"/>
          </w:tcPr>
          <w:p>
            <w:pPr>
              <w:jc w:val="center"/>
              <w:rPr>
                <w:szCs w:val="21"/>
              </w:rPr>
            </w:pPr>
            <w:r>
              <w:rPr>
                <w:szCs w:val="21"/>
              </w:rPr>
              <w:t>99</w:t>
            </w:r>
          </w:p>
        </w:tc>
        <w:tc>
          <w:tcPr>
            <w:tcW w:w="203" w:type="pct"/>
            <w:vMerge w:val="restart"/>
            <w:vAlign w:val="center"/>
          </w:tcPr>
          <w:p>
            <w:pPr>
              <w:jc w:val="center"/>
              <w:rPr>
                <w:szCs w:val="21"/>
              </w:rPr>
            </w:pPr>
            <w:r>
              <w:rPr>
                <w:szCs w:val="21"/>
              </w:rPr>
              <w:t>-3</w:t>
            </w:r>
          </w:p>
        </w:tc>
        <w:tc>
          <w:tcPr>
            <w:tcW w:w="302" w:type="pct"/>
            <w:vAlign w:val="center"/>
          </w:tcPr>
          <w:p>
            <w:pPr>
              <w:jc w:val="center"/>
              <w:rPr>
                <w:szCs w:val="21"/>
              </w:rPr>
            </w:pPr>
            <w:r>
              <w:rPr>
                <w:szCs w:val="21"/>
              </w:rPr>
              <w:t>东 6</w:t>
            </w:r>
          </w:p>
        </w:tc>
        <w:tc>
          <w:tcPr>
            <w:tcW w:w="307" w:type="pct"/>
            <w:vAlign w:val="center"/>
          </w:tcPr>
          <w:p>
            <w:pPr>
              <w:jc w:val="center"/>
              <w:rPr>
                <w:szCs w:val="21"/>
              </w:rPr>
            </w:pPr>
            <w:r>
              <w:rPr>
                <w:szCs w:val="21"/>
              </w:rPr>
              <w:t>52.4</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contextualSpacing/>
              <w:jc w:val="center"/>
              <w:textAlignment w:val="baseline"/>
              <w:rPr>
                <w:kern w:val="0"/>
                <w:szCs w:val="21"/>
              </w:rPr>
            </w:pPr>
            <w:r>
              <w:rPr>
                <w:kern w:val="0"/>
                <w:szCs w:val="21"/>
              </w:rPr>
              <w:t>46.4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南 5</w:t>
            </w:r>
          </w:p>
        </w:tc>
        <w:tc>
          <w:tcPr>
            <w:tcW w:w="307" w:type="pct"/>
            <w:vAlign w:val="center"/>
          </w:tcPr>
          <w:p>
            <w:pPr>
              <w:jc w:val="center"/>
              <w:rPr>
                <w:szCs w:val="21"/>
              </w:rPr>
            </w:pPr>
            <w:r>
              <w:rPr>
                <w:szCs w:val="21"/>
              </w:rPr>
              <w:t>54</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contextualSpacing/>
              <w:jc w:val="center"/>
              <w:textAlignment w:val="baseline"/>
              <w:rPr>
                <w:kern w:val="0"/>
                <w:szCs w:val="21"/>
              </w:rPr>
            </w:pPr>
            <w:r>
              <w:rPr>
                <w:kern w:val="0"/>
                <w:szCs w:val="21"/>
              </w:rPr>
              <w:t>48</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西 6</w:t>
            </w:r>
          </w:p>
        </w:tc>
        <w:tc>
          <w:tcPr>
            <w:tcW w:w="307" w:type="pct"/>
            <w:vAlign w:val="center"/>
          </w:tcPr>
          <w:p>
            <w:pPr>
              <w:jc w:val="center"/>
              <w:rPr>
                <w:szCs w:val="21"/>
              </w:rPr>
            </w:pPr>
            <w:r>
              <w:rPr>
                <w:szCs w:val="21"/>
              </w:rPr>
              <w:t>52.4</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contextualSpacing/>
              <w:jc w:val="center"/>
              <w:textAlignment w:val="baseline"/>
              <w:rPr>
                <w:kern w:val="0"/>
                <w:szCs w:val="21"/>
              </w:rPr>
            </w:pPr>
            <w:r>
              <w:rPr>
                <w:kern w:val="0"/>
                <w:szCs w:val="21"/>
              </w:rPr>
              <w:t>46.4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北 5</w:t>
            </w:r>
          </w:p>
        </w:tc>
        <w:tc>
          <w:tcPr>
            <w:tcW w:w="307" w:type="pct"/>
            <w:vAlign w:val="center"/>
          </w:tcPr>
          <w:p>
            <w:pPr>
              <w:jc w:val="center"/>
              <w:rPr>
                <w:szCs w:val="21"/>
              </w:rPr>
            </w:pPr>
            <w:r>
              <w:rPr>
                <w:szCs w:val="21"/>
              </w:rPr>
              <w:t>54</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contextualSpacing/>
              <w:jc w:val="center"/>
              <w:textAlignment w:val="baseline"/>
              <w:rPr>
                <w:kern w:val="0"/>
                <w:szCs w:val="21"/>
              </w:rPr>
            </w:pPr>
            <w:r>
              <w:rPr>
                <w:kern w:val="0"/>
                <w:szCs w:val="21"/>
              </w:rPr>
              <w:t>48</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restart"/>
            <w:vAlign w:val="center"/>
          </w:tcPr>
          <w:p>
            <w:pPr>
              <w:contextualSpacing/>
              <w:jc w:val="center"/>
              <w:textAlignment w:val="baseline"/>
              <w:rPr>
                <w:szCs w:val="21"/>
              </w:rPr>
            </w:pPr>
            <w:r>
              <w:rPr>
                <w:color w:val="000000"/>
                <w:kern w:val="0"/>
                <w:szCs w:val="21"/>
                <w:lang w:bidi="ar"/>
              </w:rPr>
              <w:t>潜水搅拌机</w:t>
            </w:r>
          </w:p>
        </w:tc>
        <w:tc>
          <w:tcPr>
            <w:tcW w:w="477" w:type="pct"/>
            <w:vMerge w:val="restart"/>
            <w:vAlign w:val="center"/>
          </w:tcPr>
          <w:p>
            <w:pPr>
              <w:contextualSpacing/>
              <w:jc w:val="center"/>
              <w:textAlignment w:val="baseline"/>
              <w:rPr>
                <w:szCs w:val="21"/>
              </w:rPr>
            </w:pPr>
            <w:r>
              <w:rPr>
                <w:szCs w:val="21"/>
              </w:rPr>
              <w:t>80/1</w:t>
            </w:r>
          </w:p>
        </w:tc>
        <w:tc>
          <w:tcPr>
            <w:tcW w:w="261" w:type="pct"/>
            <w:vMerge w:val="restart"/>
            <w:vAlign w:val="center"/>
          </w:tcPr>
          <w:p>
            <w:pPr>
              <w:contextualSpacing/>
              <w:jc w:val="center"/>
              <w:textAlignment w:val="baseline"/>
              <w:rPr>
                <w:szCs w:val="21"/>
              </w:rPr>
            </w:pPr>
            <w:r>
              <w:rPr>
                <w:szCs w:val="21"/>
              </w:rPr>
              <w:t>2</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55</w:t>
            </w:r>
          </w:p>
        </w:tc>
        <w:tc>
          <w:tcPr>
            <w:tcW w:w="337" w:type="pct"/>
            <w:vMerge w:val="restart"/>
            <w:vAlign w:val="center"/>
          </w:tcPr>
          <w:p>
            <w:pPr>
              <w:contextualSpacing/>
              <w:jc w:val="center"/>
              <w:textAlignment w:val="baseline"/>
              <w:rPr>
                <w:kern w:val="0"/>
                <w:szCs w:val="21"/>
              </w:rPr>
            </w:pPr>
            <w:r>
              <w:rPr>
                <w:kern w:val="0"/>
                <w:szCs w:val="21"/>
              </w:rPr>
              <w:t>58</w:t>
            </w:r>
          </w:p>
        </w:tc>
        <w:tc>
          <w:tcPr>
            <w:tcW w:w="201" w:type="pct"/>
            <w:vMerge w:val="restart"/>
            <w:vAlign w:val="center"/>
          </w:tcPr>
          <w:p>
            <w:pPr>
              <w:jc w:val="center"/>
              <w:rPr>
                <w:szCs w:val="21"/>
              </w:rPr>
            </w:pPr>
            <w:r>
              <w:rPr>
                <w:szCs w:val="21"/>
              </w:rPr>
              <w:t>42</w:t>
            </w:r>
          </w:p>
        </w:tc>
        <w:tc>
          <w:tcPr>
            <w:tcW w:w="201" w:type="pct"/>
            <w:vMerge w:val="restart"/>
            <w:vAlign w:val="center"/>
          </w:tcPr>
          <w:p>
            <w:pPr>
              <w:jc w:val="center"/>
              <w:rPr>
                <w:szCs w:val="21"/>
              </w:rPr>
            </w:pPr>
            <w:r>
              <w:rPr>
                <w:szCs w:val="21"/>
              </w:rPr>
              <w:t>97</w:t>
            </w:r>
          </w:p>
        </w:tc>
        <w:tc>
          <w:tcPr>
            <w:tcW w:w="203" w:type="pct"/>
            <w:vMerge w:val="restart"/>
            <w:vAlign w:val="center"/>
          </w:tcPr>
          <w:p>
            <w:pPr>
              <w:jc w:val="center"/>
              <w:rPr>
                <w:szCs w:val="21"/>
              </w:rPr>
            </w:pPr>
            <w:r>
              <w:rPr>
                <w:szCs w:val="21"/>
              </w:rPr>
              <w:t>-2</w:t>
            </w:r>
          </w:p>
        </w:tc>
        <w:tc>
          <w:tcPr>
            <w:tcW w:w="302" w:type="pct"/>
            <w:vAlign w:val="center"/>
          </w:tcPr>
          <w:p>
            <w:pPr>
              <w:jc w:val="center"/>
              <w:rPr>
                <w:szCs w:val="21"/>
              </w:rPr>
            </w:pPr>
            <w:r>
              <w:rPr>
                <w:szCs w:val="21"/>
              </w:rPr>
              <w:t>东 11</w:t>
            </w:r>
          </w:p>
        </w:tc>
        <w:tc>
          <w:tcPr>
            <w:tcW w:w="307" w:type="pct"/>
            <w:vAlign w:val="center"/>
          </w:tcPr>
          <w:p>
            <w:pPr>
              <w:jc w:val="center"/>
              <w:rPr>
                <w:szCs w:val="21"/>
              </w:rPr>
            </w:pPr>
            <w:r>
              <w:rPr>
                <w:szCs w:val="21"/>
              </w:rPr>
              <w:t>34.2</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contextualSpacing/>
              <w:jc w:val="center"/>
              <w:textAlignment w:val="baseline"/>
              <w:rPr>
                <w:kern w:val="0"/>
                <w:szCs w:val="21"/>
              </w:rPr>
            </w:pPr>
            <w:r>
              <w:rPr>
                <w:kern w:val="0"/>
                <w:szCs w:val="21"/>
              </w:rPr>
              <w:t>28.2</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南 3</w:t>
            </w:r>
          </w:p>
        </w:tc>
        <w:tc>
          <w:tcPr>
            <w:tcW w:w="307" w:type="pct"/>
            <w:vAlign w:val="center"/>
          </w:tcPr>
          <w:p>
            <w:pPr>
              <w:jc w:val="center"/>
              <w:rPr>
                <w:szCs w:val="21"/>
              </w:rPr>
            </w:pPr>
            <w:r>
              <w:rPr>
                <w:szCs w:val="21"/>
              </w:rPr>
              <w:t>45.5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contextualSpacing/>
              <w:jc w:val="center"/>
              <w:textAlignment w:val="baseline"/>
              <w:rPr>
                <w:kern w:val="0"/>
                <w:szCs w:val="21"/>
              </w:rPr>
            </w:pPr>
            <w:r>
              <w:rPr>
                <w:kern w:val="0"/>
                <w:szCs w:val="21"/>
              </w:rPr>
              <w:t>39.5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西 1</w:t>
            </w:r>
          </w:p>
        </w:tc>
        <w:tc>
          <w:tcPr>
            <w:tcW w:w="307" w:type="pct"/>
            <w:vAlign w:val="center"/>
          </w:tcPr>
          <w:p>
            <w:pPr>
              <w:jc w:val="center"/>
              <w:rPr>
                <w:szCs w:val="21"/>
              </w:rPr>
            </w:pPr>
            <w:r>
              <w:rPr>
                <w:szCs w:val="21"/>
              </w:rPr>
              <w:t>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contextualSpacing/>
              <w:jc w:val="center"/>
              <w:textAlignment w:val="baseline"/>
              <w:rPr>
                <w:kern w:val="0"/>
                <w:szCs w:val="21"/>
              </w:rPr>
            </w:pPr>
            <w:r>
              <w:rPr>
                <w:kern w:val="0"/>
                <w:szCs w:val="21"/>
              </w:rPr>
              <w:t>49</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北 7</w:t>
            </w:r>
          </w:p>
        </w:tc>
        <w:tc>
          <w:tcPr>
            <w:tcW w:w="307" w:type="pct"/>
            <w:vAlign w:val="center"/>
          </w:tcPr>
          <w:p>
            <w:pPr>
              <w:jc w:val="center"/>
              <w:rPr>
                <w:szCs w:val="21"/>
              </w:rPr>
            </w:pPr>
            <w:r>
              <w:rPr>
                <w:szCs w:val="21"/>
              </w:rPr>
              <w:t>38.1</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contextualSpacing/>
              <w:jc w:val="center"/>
              <w:textAlignment w:val="baseline"/>
              <w:rPr>
                <w:kern w:val="0"/>
                <w:szCs w:val="21"/>
              </w:rPr>
            </w:pPr>
            <w:r>
              <w:rPr>
                <w:kern w:val="0"/>
                <w:szCs w:val="21"/>
              </w:rPr>
              <w:t>32.1</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contextualSpacing/>
              <w:jc w:val="center"/>
              <w:textAlignment w:val="baseline"/>
              <w:rPr>
                <w:kern w:val="0"/>
                <w:szCs w:val="21"/>
              </w:rPr>
            </w:pPr>
            <w:r>
              <w:rPr>
                <w:kern w:val="0"/>
                <w:szCs w:val="21"/>
              </w:rPr>
              <w:t>3</w:t>
            </w:r>
          </w:p>
        </w:tc>
        <w:tc>
          <w:tcPr>
            <w:tcW w:w="257" w:type="pct"/>
            <w:vMerge w:val="restart"/>
            <w:vAlign w:val="center"/>
          </w:tcPr>
          <w:p>
            <w:pPr>
              <w:contextualSpacing/>
              <w:jc w:val="center"/>
              <w:textAlignment w:val="baseline"/>
              <w:rPr>
                <w:kern w:val="0"/>
                <w:szCs w:val="21"/>
              </w:rPr>
            </w:pPr>
            <w:r>
              <w:rPr>
                <w:kern w:val="0"/>
                <w:szCs w:val="21"/>
              </w:rPr>
              <w:t>初沉池</w:t>
            </w:r>
          </w:p>
        </w:tc>
        <w:tc>
          <w:tcPr>
            <w:tcW w:w="321" w:type="pct"/>
            <w:vMerge w:val="restart"/>
            <w:vAlign w:val="center"/>
          </w:tcPr>
          <w:p>
            <w:pPr>
              <w:contextualSpacing/>
              <w:jc w:val="center"/>
              <w:textAlignment w:val="baseline"/>
              <w:rPr>
                <w:szCs w:val="21"/>
              </w:rPr>
            </w:pPr>
            <w:r>
              <w:rPr>
                <w:color w:val="000000"/>
                <w:kern w:val="0"/>
                <w:szCs w:val="21"/>
                <w:lang w:bidi="ar"/>
              </w:rPr>
              <w:t>潜污泵</w:t>
            </w:r>
          </w:p>
        </w:tc>
        <w:tc>
          <w:tcPr>
            <w:tcW w:w="477" w:type="pct"/>
            <w:vMerge w:val="restart"/>
            <w:vAlign w:val="center"/>
          </w:tcPr>
          <w:p>
            <w:pPr>
              <w:contextualSpacing/>
              <w:jc w:val="center"/>
              <w:textAlignment w:val="baseline"/>
              <w:rPr>
                <w:szCs w:val="21"/>
              </w:rPr>
            </w:pPr>
            <w:r>
              <w:rPr>
                <w:szCs w:val="21"/>
              </w:rPr>
              <w:t>90/1</w:t>
            </w:r>
          </w:p>
        </w:tc>
        <w:tc>
          <w:tcPr>
            <w:tcW w:w="261" w:type="pct"/>
            <w:vMerge w:val="restart"/>
            <w:vAlign w:val="center"/>
          </w:tcPr>
          <w:p>
            <w:pPr>
              <w:contextualSpacing/>
              <w:jc w:val="center"/>
              <w:textAlignment w:val="baseline"/>
              <w:rPr>
                <w:szCs w:val="21"/>
              </w:rPr>
            </w:pPr>
            <w:r>
              <w:rPr>
                <w:szCs w:val="21"/>
              </w:rPr>
              <w:t>1</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65</w:t>
            </w:r>
          </w:p>
        </w:tc>
        <w:tc>
          <w:tcPr>
            <w:tcW w:w="337" w:type="pct"/>
            <w:vMerge w:val="restart"/>
            <w:vAlign w:val="center"/>
          </w:tcPr>
          <w:p>
            <w:pPr>
              <w:contextualSpacing/>
              <w:jc w:val="center"/>
              <w:textAlignment w:val="baseline"/>
              <w:rPr>
                <w:kern w:val="0"/>
                <w:szCs w:val="21"/>
              </w:rPr>
            </w:pPr>
            <w:r>
              <w:rPr>
                <w:kern w:val="0"/>
                <w:szCs w:val="21"/>
              </w:rPr>
              <w:t>65</w:t>
            </w:r>
          </w:p>
        </w:tc>
        <w:tc>
          <w:tcPr>
            <w:tcW w:w="201" w:type="pct"/>
            <w:vMerge w:val="restart"/>
            <w:vAlign w:val="center"/>
          </w:tcPr>
          <w:p>
            <w:pPr>
              <w:jc w:val="center"/>
              <w:rPr>
                <w:szCs w:val="21"/>
              </w:rPr>
            </w:pPr>
            <w:r>
              <w:rPr>
                <w:szCs w:val="21"/>
              </w:rPr>
              <w:t>50</w:t>
            </w:r>
          </w:p>
        </w:tc>
        <w:tc>
          <w:tcPr>
            <w:tcW w:w="201" w:type="pct"/>
            <w:vMerge w:val="restart"/>
            <w:vAlign w:val="center"/>
          </w:tcPr>
          <w:p>
            <w:pPr>
              <w:jc w:val="center"/>
              <w:rPr>
                <w:szCs w:val="21"/>
              </w:rPr>
            </w:pPr>
            <w:r>
              <w:rPr>
                <w:szCs w:val="21"/>
              </w:rPr>
              <w:t>101</w:t>
            </w:r>
          </w:p>
        </w:tc>
        <w:tc>
          <w:tcPr>
            <w:tcW w:w="203" w:type="pct"/>
            <w:vMerge w:val="restart"/>
            <w:vAlign w:val="center"/>
          </w:tcPr>
          <w:p>
            <w:pPr>
              <w:jc w:val="center"/>
              <w:rPr>
                <w:szCs w:val="21"/>
              </w:rPr>
            </w:pPr>
            <w:r>
              <w:rPr>
                <w:szCs w:val="21"/>
              </w:rPr>
              <w:t>-3</w:t>
            </w:r>
          </w:p>
        </w:tc>
        <w:tc>
          <w:tcPr>
            <w:tcW w:w="302" w:type="pct"/>
            <w:vAlign w:val="center"/>
          </w:tcPr>
          <w:p>
            <w:pPr>
              <w:jc w:val="center"/>
              <w:rPr>
                <w:szCs w:val="21"/>
              </w:rPr>
            </w:pPr>
            <w:r>
              <w:rPr>
                <w:szCs w:val="21"/>
              </w:rPr>
              <w:t>东 6</w:t>
            </w:r>
          </w:p>
        </w:tc>
        <w:tc>
          <w:tcPr>
            <w:tcW w:w="307" w:type="pct"/>
            <w:vAlign w:val="center"/>
          </w:tcPr>
          <w:p>
            <w:pPr>
              <w:jc w:val="center"/>
              <w:rPr>
                <w:szCs w:val="21"/>
              </w:rPr>
            </w:pPr>
            <w:r>
              <w:rPr>
                <w:szCs w:val="21"/>
              </w:rPr>
              <w:t>49.4</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43.4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南 2</w:t>
            </w:r>
          </w:p>
        </w:tc>
        <w:tc>
          <w:tcPr>
            <w:tcW w:w="307" w:type="pct"/>
            <w:vAlign w:val="center"/>
          </w:tcPr>
          <w:p>
            <w:pPr>
              <w:jc w:val="center"/>
              <w:rPr>
                <w:szCs w:val="21"/>
              </w:rPr>
            </w:pPr>
            <w:r>
              <w:rPr>
                <w:szCs w:val="21"/>
              </w:rPr>
              <w:t>59</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53</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西 6</w:t>
            </w:r>
          </w:p>
        </w:tc>
        <w:tc>
          <w:tcPr>
            <w:tcW w:w="307" w:type="pct"/>
            <w:vAlign w:val="center"/>
          </w:tcPr>
          <w:p>
            <w:pPr>
              <w:jc w:val="center"/>
              <w:rPr>
                <w:szCs w:val="21"/>
              </w:rPr>
            </w:pPr>
            <w:r>
              <w:rPr>
                <w:szCs w:val="21"/>
              </w:rPr>
              <w:t>49.4</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43.4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北 3</w:t>
            </w:r>
          </w:p>
        </w:tc>
        <w:tc>
          <w:tcPr>
            <w:tcW w:w="307" w:type="pct"/>
            <w:vAlign w:val="center"/>
          </w:tcPr>
          <w:p>
            <w:pPr>
              <w:jc w:val="center"/>
              <w:rPr>
                <w:szCs w:val="21"/>
              </w:rPr>
            </w:pPr>
            <w:r>
              <w:rPr>
                <w:szCs w:val="21"/>
              </w:rPr>
              <w:t>55.5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49.5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restart"/>
            <w:vAlign w:val="center"/>
          </w:tcPr>
          <w:p>
            <w:pPr>
              <w:contextualSpacing/>
              <w:jc w:val="center"/>
              <w:textAlignment w:val="baseline"/>
              <w:rPr>
                <w:szCs w:val="21"/>
              </w:rPr>
            </w:pPr>
            <w:r>
              <w:rPr>
                <w:color w:val="000000"/>
                <w:kern w:val="0"/>
                <w:szCs w:val="21"/>
                <w:lang w:bidi="ar"/>
              </w:rPr>
              <w:t>计量泵</w:t>
            </w:r>
          </w:p>
        </w:tc>
        <w:tc>
          <w:tcPr>
            <w:tcW w:w="477" w:type="pct"/>
            <w:vMerge w:val="restart"/>
            <w:vAlign w:val="center"/>
          </w:tcPr>
          <w:p>
            <w:pPr>
              <w:contextualSpacing/>
              <w:jc w:val="center"/>
              <w:textAlignment w:val="baseline"/>
              <w:rPr>
                <w:szCs w:val="21"/>
              </w:rPr>
            </w:pPr>
            <w:r>
              <w:rPr>
                <w:szCs w:val="21"/>
              </w:rPr>
              <w:t>90/1</w:t>
            </w:r>
          </w:p>
        </w:tc>
        <w:tc>
          <w:tcPr>
            <w:tcW w:w="261" w:type="pct"/>
            <w:vMerge w:val="restart"/>
            <w:vAlign w:val="center"/>
          </w:tcPr>
          <w:p>
            <w:pPr>
              <w:contextualSpacing/>
              <w:jc w:val="center"/>
              <w:textAlignment w:val="baseline"/>
              <w:rPr>
                <w:szCs w:val="21"/>
              </w:rPr>
            </w:pPr>
            <w:r>
              <w:rPr>
                <w:szCs w:val="21"/>
              </w:rPr>
              <w:t>2</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65</w:t>
            </w:r>
          </w:p>
        </w:tc>
        <w:tc>
          <w:tcPr>
            <w:tcW w:w="337" w:type="pct"/>
            <w:vMerge w:val="restart"/>
            <w:vAlign w:val="center"/>
          </w:tcPr>
          <w:p>
            <w:pPr>
              <w:contextualSpacing/>
              <w:jc w:val="center"/>
              <w:textAlignment w:val="baseline"/>
              <w:rPr>
                <w:kern w:val="0"/>
                <w:szCs w:val="21"/>
              </w:rPr>
            </w:pPr>
            <w:r>
              <w:rPr>
                <w:kern w:val="0"/>
                <w:szCs w:val="21"/>
              </w:rPr>
              <w:t>68</w:t>
            </w:r>
          </w:p>
        </w:tc>
        <w:tc>
          <w:tcPr>
            <w:tcW w:w="201" w:type="pct"/>
            <w:vMerge w:val="restart"/>
            <w:vAlign w:val="center"/>
          </w:tcPr>
          <w:p>
            <w:pPr>
              <w:jc w:val="center"/>
              <w:rPr>
                <w:szCs w:val="21"/>
              </w:rPr>
            </w:pPr>
            <w:r>
              <w:rPr>
                <w:szCs w:val="21"/>
              </w:rPr>
              <w:t>42</w:t>
            </w:r>
          </w:p>
        </w:tc>
        <w:tc>
          <w:tcPr>
            <w:tcW w:w="201" w:type="pct"/>
            <w:vMerge w:val="restart"/>
            <w:vAlign w:val="center"/>
          </w:tcPr>
          <w:p>
            <w:pPr>
              <w:jc w:val="center"/>
              <w:rPr>
                <w:szCs w:val="21"/>
              </w:rPr>
            </w:pPr>
            <w:r>
              <w:rPr>
                <w:szCs w:val="21"/>
              </w:rPr>
              <w:t>75</w:t>
            </w:r>
          </w:p>
        </w:tc>
        <w:tc>
          <w:tcPr>
            <w:tcW w:w="203" w:type="pct"/>
            <w:vMerge w:val="restart"/>
            <w:vAlign w:val="center"/>
          </w:tcPr>
          <w:p>
            <w:pPr>
              <w:jc w:val="center"/>
              <w:rPr>
                <w:szCs w:val="21"/>
              </w:rPr>
            </w:pPr>
            <w:r>
              <w:rPr>
                <w:szCs w:val="21"/>
              </w:rPr>
              <w:t>0.3</w:t>
            </w:r>
          </w:p>
        </w:tc>
        <w:tc>
          <w:tcPr>
            <w:tcW w:w="302" w:type="pct"/>
            <w:vAlign w:val="center"/>
          </w:tcPr>
          <w:p>
            <w:pPr>
              <w:jc w:val="center"/>
              <w:rPr>
                <w:szCs w:val="21"/>
              </w:rPr>
            </w:pPr>
            <w:r>
              <w:rPr>
                <w:szCs w:val="21"/>
              </w:rPr>
              <w:t>东 6</w:t>
            </w:r>
          </w:p>
        </w:tc>
        <w:tc>
          <w:tcPr>
            <w:tcW w:w="307" w:type="pct"/>
            <w:vAlign w:val="center"/>
          </w:tcPr>
          <w:p>
            <w:pPr>
              <w:jc w:val="center"/>
              <w:rPr>
                <w:szCs w:val="21"/>
              </w:rPr>
            </w:pPr>
            <w:r>
              <w:rPr>
                <w:szCs w:val="21"/>
              </w:rPr>
              <w:t>52.4</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46.4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南 3</w:t>
            </w:r>
          </w:p>
        </w:tc>
        <w:tc>
          <w:tcPr>
            <w:tcW w:w="307" w:type="pct"/>
            <w:vAlign w:val="center"/>
          </w:tcPr>
          <w:p>
            <w:pPr>
              <w:jc w:val="center"/>
              <w:rPr>
                <w:szCs w:val="21"/>
              </w:rPr>
            </w:pPr>
            <w:r>
              <w:rPr>
                <w:szCs w:val="21"/>
              </w:rPr>
              <w:t>58.5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52.6</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西 1</w:t>
            </w:r>
          </w:p>
        </w:tc>
        <w:tc>
          <w:tcPr>
            <w:tcW w:w="307" w:type="pct"/>
            <w:vAlign w:val="center"/>
          </w:tcPr>
          <w:p>
            <w:pPr>
              <w:jc w:val="center"/>
              <w:rPr>
                <w:szCs w:val="21"/>
              </w:rPr>
            </w:pPr>
            <w:r>
              <w:rPr>
                <w:szCs w:val="21"/>
              </w:rPr>
              <w:t>68</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62</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北 4</w:t>
            </w:r>
          </w:p>
        </w:tc>
        <w:tc>
          <w:tcPr>
            <w:tcW w:w="307" w:type="pct"/>
            <w:vAlign w:val="center"/>
          </w:tcPr>
          <w:p>
            <w:pPr>
              <w:jc w:val="center"/>
              <w:rPr>
                <w:szCs w:val="21"/>
              </w:rPr>
            </w:pPr>
            <w:r>
              <w:rPr>
                <w:szCs w:val="21"/>
              </w:rPr>
              <w:t>56</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50</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restart"/>
            <w:vAlign w:val="center"/>
          </w:tcPr>
          <w:p>
            <w:pPr>
              <w:contextualSpacing/>
              <w:jc w:val="center"/>
              <w:textAlignment w:val="baseline"/>
              <w:rPr>
                <w:szCs w:val="21"/>
              </w:rPr>
            </w:pPr>
            <w:r>
              <w:rPr>
                <w:color w:val="000000"/>
                <w:kern w:val="0"/>
                <w:szCs w:val="21"/>
              </w:rPr>
              <w:t>搅拌装置</w:t>
            </w:r>
          </w:p>
        </w:tc>
        <w:tc>
          <w:tcPr>
            <w:tcW w:w="477" w:type="pct"/>
            <w:vMerge w:val="restart"/>
            <w:vAlign w:val="center"/>
          </w:tcPr>
          <w:p>
            <w:pPr>
              <w:contextualSpacing/>
              <w:jc w:val="center"/>
              <w:textAlignment w:val="baseline"/>
              <w:rPr>
                <w:szCs w:val="21"/>
              </w:rPr>
            </w:pPr>
            <w:r>
              <w:rPr>
                <w:szCs w:val="21"/>
              </w:rPr>
              <w:t>80/1</w:t>
            </w:r>
          </w:p>
        </w:tc>
        <w:tc>
          <w:tcPr>
            <w:tcW w:w="261" w:type="pct"/>
            <w:vMerge w:val="restart"/>
            <w:vAlign w:val="center"/>
          </w:tcPr>
          <w:p>
            <w:pPr>
              <w:contextualSpacing/>
              <w:jc w:val="center"/>
              <w:textAlignment w:val="baseline"/>
              <w:rPr>
                <w:szCs w:val="21"/>
              </w:rPr>
            </w:pPr>
            <w:r>
              <w:rPr>
                <w:szCs w:val="21"/>
              </w:rPr>
              <w:t>2</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55</w:t>
            </w:r>
          </w:p>
        </w:tc>
        <w:tc>
          <w:tcPr>
            <w:tcW w:w="337" w:type="pct"/>
            <w:vMerge w:val="restart"/>
            <w:vAlign w:val="center"/>
          </w:tcPr>
          <w:p>
            <w:pPr>
              <w:contextualSpacing/>
              <w:jc w:val="center"/>
              <w:textAlignment w:val="baseline"/>
              <w:rPr>
                <w:kern w:val="0"/>
                <w:szCs w:val="21"/>
              </w:rPr>
            </w:pPr>
            <w:r>
              <w:rPr>
                <w:kern w:val="0"/>
                <w:szCs w:val="21"/>
              </w:rPr>
              <w:t>58</w:t>
            </w:r>
          </w:p>
        </w:tc>
        <w:tc>
          <w:tcPr>
            <w:tcW w:w="201" w:type="pct"/>
            <w:vMerge w:val="restart"/>
            <w:vAlign w:val="center"/>
          </w:tcPr>
          <w:p>
            <w:pPr>
              <w:jc w:val="center"/>
              <w:rPr>
                <w:szCs w:val="21"/>
              </w:rPr>
            </w:pPr>
            <w:r>
              <w:rPr>
                <w:szCs w:val="21"/>
              </w:rPr>
              <w:t>42</w:t>
            </w:r>
          </w:p>
        </w:tc>
        <w:tc>
          <w:tcPr>
            <w:tcW w:w="201" w:type="pct"/>
            <w:vMerge w:val="restart"/>
            <w:vAlign w:val="center"/>
          </w:tcPr>
          <w:p>
            <w:pPr>
              <w:jc w:val="center"/>
              <w:rPr>
                <w:szCs w:val="21"/>
              </w:rPr>
            </w:pPr>
            <w:r>
              <w:rPr>
                <w:szCs w:val="21"/>
              </w:rPr>
              <w:t>74</w:t>
            </w:r>
          </w:p>
        </w:tc>
        <w:tc>
          <w:tcPr>
            <w:tcW w:w="203" w:type="pct"/>
            <w:vMerge w:val="restart"/>
            <w:vAlign w:val="center"/>
          </w:tcPr>
          <w:p>
            <w:pPr>
              <w:jc w:val="center"/>
              <w:rPr>
                <w:szCs w:val="21"/>
              </w:rPr>
            </w:pPr>
            <w:r>
              <w:rPr>
                <w:szCs w:val="21"/>
              </w:rPr>
              <w:t>-0.9</w:t>
            </w:r>
          </w:p>
        </w:tc>
        <w:tc>
          <w:tcPr>
            <w:tcW w:w="302" w:type="pct"/>
            <w:vAlign w:val="center"/>
          </w:tcPr>
          <w:p>
            <w:pPr>
              <w:jc w:val="center"/>
              <w:rPr>
                <w:szCs w:val="21"/>
              </w:rPr>
            </w:pPr>
            <w:r>
              <w:rPr>
                <w:szCs w:val="21"/>
              </w:rPr>
              <w:t>东 6</w:t>
            </w:r>
          </w:p>
        </w:tc>
        <w:tc>
          <w:tcPr>
            <w:tcW w:w="307" w:type="pct"/>
            <w:vAlign w:val="center"/>
          </w:tcPr>
          <w:p>
            <w:pPr>
              <w:jc w:val="center"/>
              <w:rPr>
                <w:szCs w:val="21"/>
              </w:rPr>
            </w:pPr>
            <w:r>
              <w:rPr>
                <w:szCs w:val="21"/>
              </w:rPr>
              <w:t>42.4</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36.4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南 1</w:t>
            </w:r>
          </w:p>
        </w:tc>
        <w:tc>
          <w:tcPr>
            <w:tcW w:w="307" w:type="pct"/>
            <w:vAlign w:val="center"/>
          </w:tcPr>
          <w:p>
            <w:pPr>
              <w:jc w:val="center"/>
              <w:rPr>
                <w:szCs w:val="21"/>
              </w:rPr>
            </w:pPr>
            <w:r>
              <w:rPr>
                <w:szCs w:val="21"/>
              </w:rPr>
              <w:t>58</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52</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西 1</w:t>
            </w:r>
          </w:p>
        </w:tc>
        <w:tc>
          <w:tcPr>
            <w:tcW w:w="307" w:type="pct"/>
            <w:vAlign w:val="center"/>
          </w:tcPr>
          <w:p>
            <w:pPr>
              <w:jc w:val="center"/>
              <w:rPr>
                <w:szCs w:val="21"/>
              </w:rPr>
            </w:pPr>
            <w:r>
              <w:rPr>
                <w:szCs w:val="21"/>
              </w:rPr>
              <w:t>58</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52</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北 6</w:t>
            </w:r>
          </w:p>
        </w:tc>
        <w:tc>
          <w:tcPr>
            <w:tcW w:w="307" w:type="pct"/>
            <w:vAlign w:val="center"/>
          </w:tcPr>
          <w:p>
            <w:pPr>
              <w:jc w:val="center"/>
              <w:rPr>
                <w:szCs w:val="21"/>
              </w:rPr>
            </w:pPr>
            <w:r>
              <w:rPr>
                <w:szCs w:val="21"/>
              </w:rPr>
              <w:t>42.4</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36.4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contextualSpacing/>
              <w:jc w:val="center"/>
              <w:textAlignment w:val="baseline"/>
              <w:rPr>
                <w:kern w:val="0"/>
                <w:szCs w:val="21"/>
              </w:rPr>
            </w:pPr>
            <w:r>
              <w:rPr>
                <w:kern w:val="0"/>
                <w:szCs w:val="21"/>
              </w:rPr>
              <w:t>4</w:t>
            </w:r>
          </w:p>
        </w:tc>
        <w:tc>
          <w:tcPr>
            <w:tcW w:w="257" w:type="pct"/>
            <w:vMerge w:val="restart"/>
            <w:vAlign w:val="center"/>
          </w:tcPr>
          <w:p>
            <w:pPr>
              <w:contextualSpacing/>
              <w:jc w:val="center"/>
              <w:textAlignment w:val="baseline"/>
              <w:rPr>
                <w:color w:val="000000"/>
                <w:kern w:val="0"/>
                <w:szCs w:val="21"/>
              </w:rPr>
            </w:pPr>
            <w:r>
              <w:rPr>
                <w:color w:val="000000"/>
                <w:kern w:val="0"/>
                <w:szCs w:val="21"/>
              </w:rPr>
              <w:t>水解酸化池</w:t>
            </w:r>
          </w:p>
        </w:tc>
        <w:tc>
          <w:tcPr>
            <w:tcW w:w="321" w:type="pct"/>
            <w:vMerge w:val="restart"/>
            <w:vAlign w:val="center"/>
          </w:tcPr>
          <w:p>
            <w:pPr>
              <w:contextualSpacing/>
              <w:jc w:val="center"/>
              <w:textAlignment w:val="baseline"/>
              <w:rPr>
                <w:color w:val="000000"/>
                <w:kern w:val="0"/>
                <w:szCs w:val="21"/>
                <w:lang w:bidi="ar"/>
              </w:rPr>
            </w:pPr>
            <w:r>
              <w:rPr>
                <w:color w:val="000000"/>
                <w:kern w:val="0"/>
                <w:szCs w:val="21"/>
                <w:lang w:bidi="ar"/>
              </w:rPr>
              <w:t>潜水搅拌机</w:t>
            </w:r>
          </w:p>
        </w:tc>
        <w:tc>
          <w:tcPr>
            <w:tcW w:w="477" w:type="pct"/>
            <w:vMerge w:val="restart"/>
            <w:vAlign w:val="center"/>
          </w:tcPr>
          <w:p>
            <w:pPr>
              <w:contextualSpacing/>
              <w:jc w:val="center"/>
              <w:textAlignment w:val="baseline"/>
              <w:rPr>
                <w:szCs w:val="21"/>
              </w:rPr>
            </w:pPr>
            <w:r>
              <w:rPr>
                <w:szCs w:val="21"/>
              </w:rPr>
              <w:t>80/1</w:t>
            </w:r>
          </w:p>
        </w:tc>
        <w:tc>
          <w:tcPr>
            <w:tcW w:w="261" w:type="pct"/>
            <w:vMerge w:val="restart"/>
            <w:vAlign w:val="center"/>
          </w:tcPr>
          <w:p>
            <w:pPr>
              <w:contextualSpacing/>
              <w:jc w:val="center"/>
              <w:textAlignment w:val="baseline"/>
              <w:rPr>
                <w:szCs w:val="21"/>
              </w:rPr>
            </w:pPr>
            <w:r>
              <w:rPr>
                <w:szCs w:val="21"/>
              </w:rPr>
              <w:t>1</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55</w:t>
            </w:r>
          </w:p>
        </w:tc>
        <w:tc>
          <w:tcPr>
            <w:tcW w:w="337" w:type="pct"/>
            <w:vMerge w:val="restart"/>
            <w:vAlign w:val="center"/>
          </w:tcPr>
          <w:p>
            <w:pPr>
              <w:contextualSpacing/>
              <w:jc w:val="center"/>
              <w:textAlignment w:val="baseline"/>
              <w:rPr>
                <w:kern w:val="0"/>
                <w:szCs w:val="21"/>
              </w:rPr>
            </w:pPr>
            <w:r>
              <w:rPr>
                <w:kern w:val="0"/>
                <w:szCs w:val="21"/>
              </w:rPr>
              <w:t>55</w:t>
            </w:r>
          </w:p>
        </w:tc>
        <w:tc>
          <w:tcPr>
            <w:tcW w:w="201" w:type="pct"/>
            <w:vMerge w:val="restart"/>
            <w:vAlign w:val="center"/>
          </w:tcPr>
          <w:p>
            <w:pPr>
              <w:jc w:val="center"/>
              <w:rPr>
                <w:szCs w:val="21"/>
              </w:rPr>
            </w:pPr>
            <w:r>
              <w:rPr>
                <w:szCs w:val="21"/>
              </w:rPr>
              <w:t>67</w:t>
            </w:r>
          </w:p>
        </w:tc>
        <w:tc>
          <w:tcPr>
            <w:tcW w:w="201" w:type="pct"/>
            <w:vMerge w:val="restart"/>
            <w:vAlign w:val="center"/>
          </w:tcPr>
          <w:p>
            <w:pPr>
              <w:jc w:val="center"/>
              <w:rPr>
                <w:szCs w:val="21"/>
              </w:rPr>
            </w:pPr>
            <w:r>
              <w:rPr>
                <w:szCs w:val="21"/>
              </w:rPr>
              <w:t>69</w:t>
            </w:r>
          </w:p>
        </w:tc>
        <w:tc>
          <w:tcPr>
            <w:tcW w:w="203" w:type="pct"/>
            <w:vMerge w:val="restart"/>
            <w:vAlign w:val="center"/>
          </w:tcPr>
          <w:p>
            <w:pPr>
              <w:jc w:val="center"/>
              <w:rPr>
                <w:szCs w:val="21"/>
              </w:rPr>
            </w:pPr>
            <w:r>
              <w:rPr>
                <w:szCs w:val="21"/>
              </w:rPr>
              <w:t>-2</w:t>
            </w:r>
          </w:p>
        </w:tc>
        <w:tc>
          <w:tcPr>
            <w:tcW w:w="302" w:type="pct"/>
            <w:vAlign w:val="center"/>
          </w:tcPr>
          <w:p>
            <w:pPr>
              <w:jc w:val="center"/>
              <w:rPr>
                <w:szCs w:val="21"/>
              </w:rPr>
            </w:pPr>
            <w:r>
              <w:rPr>
                <w:szCs w:val="21"/>
              </w:rPr>
              <w:t>东 11</w:t>
            </w:r>
          </w:p>
        </w:tc>
        <w:tc>
          <w:tcPr>
            <w:tcW w:w="307" w:type="pct"/>
            <w:vAlign w:val="center"/>
          </w:tcPr>
          <w:p>
            <w:pPr>
              <w:jc w:val="center"/>
              <w:rPr>
                <w:szCs w:val="21"/>
              </w:rPr>
            </w:pPr>
            <w:r>
              <w:rPr>
                <w:szCs w:val="21"/>
              </w:rPr>
              <w:t>34</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28</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color w:val="000000"/>
                <w:kern w:val="0"/>
                <w:szCs w:val="21"/>
              </w:rPr>
            </w:pPr>
          </w:p>
        </w:tc>
        <w:tc>
          <w:tcPr>
            <w:tcW w:w="321" w:type="pct"/>
            <w:vMerge w:val="continue"/>
            <w:vAlign w:val="center"/>
          </w:tcPr>
          <w:p>
            <w:pPr>
              <w:contextualSpacing/>
              <w:jc w:val="center"/>
              <w:textAlignment w:val="baseline"/>
              <w:rPr>
                <w:color w:val="000000"/>
                <w:kern w:val="0"/>
                <w:szCs w:val="21"/>
                <w:lang w:bidi="ar"/>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南 1</w:t>
            </w:r>
          </w:p>
        </w:tc>
        <w:tc>
          <w:tcPr>
            <w:tcW w:w="307" w:type="pct"/>
            <w:vAlign w:val="center"/>
          </w:tcPr>
          <w:p>
            <w:pPr>
              <w:jc w:val="center"/>
              <w:rPr>
                <w:szCs w:val="21"/>
              </w:rPr>
            </w:pPr>
            <w:r>
              <w:rPr>
                <w:szCs w:val="21"/>
              </w:rPr>
              <w:t>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49</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color w:val="000000"/>
                <w:kern w:val="0"/>
                <w:szCs w:val="21"/>
              </w:rPr>
            </w:pPr>
          </w:p>
        </w:tc>
        <w:tc>
          <w:tcPr>
            <w:tcW w:w="321" w:type="pct"/>
            <w:vMerge w:val="continue"/>
            <w:vAlign w:val="center"/>
          </w:tcPr>
          <w:p>
            <w:pPr>
              <w:contextualSpacing/>
              <w:jc w:val="center"/>
              <w:textAlignment w:val="baseline"/>
              <w:rPr>
                <w:color w:val="000000"/>
                <w:kern w:val="0"/>
                <w:szCs w:val="21"/>
                <w:lang w:bidi="ar"/>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西 1</w:t>
            </w:r>
          </w:p>
        </w:tc>
        <w:tc>
          <w:tcPr>
            <w:tcW w:w="307" w:type="pct"/>
            <w:vAlign w:val="center"/>
          </w:tcPr>
          <w:p>
            <w:pPr>
              <w:jc w:val="center"/>
              <w:rPr>
                <w:szCs w:val="21"/>
              </w:rPr>
            </w:pPr>
            <w:r>
              <w:rPr>
                <w:szCs w:val="21"/>
              </w:rPr>
              <w:t>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49</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color w:val="000000"/>
                <w:kern w:val="0"/>
                <w:szCs w:val="21"/>
              </w:rPr>
            </w:pPr>
          </w:p>
        </w:tc>
        <w:tc>
          <w:tcPr>
            <w:tcW w:w="321" w:type="pct"/>
            <w:vMerge w:val="continue"/>
            <w:vAlign w:val="center"/>
          </w:tcPr>
          <w:p>
            <w:pPr>
              <w:contextualSpacing/>
              <w:jc w:val="center"/>
              <w:textAlignment w:val="baseline"/>
              <w:rPr>
                <w:color w:val="000000"/>
                <w:kern w:val="0"/>
                <w:szCs w:val="21"/>
                <w:lang w:bidi="ar"/>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北 5</w:t>
            </w:r>
          </w:p>
        </w:tc>
        <w:tc>
          <w:tcPr>
            <w:tcW w:w="307" w:type="pct"/>
            <w:vAlign w:val="center"/>
          </w:tcPr>
          <w:p>
            <w:pPr>
              <w:jc w:val="center"/>
              <w:rPr>
                <w:szCs w:val="21"/>
              </w:rPr>
            </w:pPr>
            <w:r>
              <w:rPr>
                <w:szCs w:val="21"/>
              </w:rPr>
              <w:t>41</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35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contextualSpacing/>
              <w:jc w:val="center"/>
              <w:textAlignment w:val="baseline"/>
              <w:rPr>
                <w:kern w:val="0"/>
                <w:szCs w:val="21"/>
              </w:rPr>
            </w:pPr>
            <w:r>
              <w:rPr>
                <w:kern w:val="0"/>
                <w:szCs w:val="21"/>
              </w:rPr>
              <w:t>5</w:t>
            </w:r>
          </w:p>
        </w:tc>
        <w:tc>
          <w:tcPr>
            <w:tcW w:w="257" w:type="pct"/>
            <w:vMerge w:val="restart"/>
            <w:vAlign w:val="center"/>
          </w:tcPr>
          <w:p>
            <w:pPr>
              <w:contextualSpacing/>
              <w:jc w:val="center"/>
              <w:textAlignment w:val="baseline"/>
              <w:rPr>
                <w:kern w:val="0"/>
                <w:szCs w:val="21"/>
              </w:rPr>
            </w:pPr>
            <w:r>
              <w:rPr>
                <w:color w:val="000000"/>
                <w:kern w:val="0"/>
                <w:szCs w:val="21"/>
              </w:rPr>
              <w:t>厌氧池</w:t>
            </w:r>
          </w:p>
        </w:tc>
        <w:tc>
          <w:tcPr>
            <w:tcW w:w="321" w:type="pct"/>
            <w:vMerge w:val="restart"/>
            <w:vAlign w:val="center"/>
          </w:tcPr>
          <w:p>
            <w:pPr>
              <w:contextualSpacing/>
              <w:jc w:val="center"/>
              <w:textAlignment w:val="baseline"/>
              <w:rPr>
                <w:szCs w:val="21"/>
              </w:rPr>
            </w:pPr>
            <w:r>
              <w:rPr>
                <w:color w:val="000000"/>
                <w:kern w:val="0"/>
                <w:szCs w:val="21"/>
                <w:lang w:bidi="ar"/>
              </w:rPr>
              <w:t>潜水搅拌机</w:t>
            </w:r>
          </w:p>
        </w:tc>
        <w:tc>
          <w:tcPr>
            <w:tcW w:w="477" w:type="pct"/>
            <w:vMerge w:val="restart"/>
            <w:vAlign w:val="center"/>
          </w:tcPr>
          <w:p>
            <w:pPr>
              <w:contextualSpacing/>
              <w:jc w:val="center"/>
              <w:textAlignment w:val="baseline"/>
              <w:rPr>
                <w:szCs w:val="21"/>
              </w:rPr>
            </w:pPr>
            <w:r>
              <w:rPr>
                <w:szCs w:val="21"/>
              </w:rPr>
              <w:t>80/1</w:t>
            </w:r>
          </w:p>
        </w:tc>
        <w:tc>
          <w:tcPr>
            <w:tcW w:w="261" w:type="pct"/>
            <w:vMerge w:val="restart"/>
            <w:vAlign w:val="center"/>
          </w:tcPr>
          <w:p>
            <w:pPr>
              <w:contextualSpacing/>
              <w:jc w:val="center"/>
              <w:textAlignment w:val="baseline"/>
              <w:rPr>
                <w:szCs w:val="21"/>
              </w:rPr>
            </w:pPr>
            <w:r>
              <w:rPr>
                <w:szCs w:val="21"/>
              </w:rPr>
              <w:t>1</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55</w:t>
            </w:r>
          </w:p>
        </w:tc>
        <w:tc>
          <w:tcPr>
            <w:tcW w:w="337" w:type="pct"/>
            <w:vMerge w:val="restart"/>
            <w:vAlign w:val="center"/>
          </w:tcPr>
          <w:p>
            <w:pPr>
              <w:contextualSpacing/>
              <w:jc w:val="center"/>
              <w:textAlignment w:val="baseline"/>
              <w:rPr>
                <w:kern w:val="0"/>
                <w:szCs w:val="21"/>
              </w:rPr>
            </w:pPr>
            <w:r>
              <w:rPr>
                <w:kern w:val="0"/>
                <w:szCs w:val="21"/>
              </w:rPr>
              <w:t>55</w:t>
            </w:r>
          </w:p>
        </w:tc>
        <w:tc>
          <w:tcPr>
            <w:tcW w:w="201" w:type="pct"/>
            <w:vMerge w:val="restart"/>
            <w:vAlign w:val="center"/>
          </w:tcPr>
          <w:p>
            <w:pPr>
              <w:jc w:val="center"/>
              <w:rPr>
                <w:szCs w:val="21"/>
              </w:rPr>
            </w:pPr>
            <w:r>
              <w:rPr>
                <w:szCs w:val="21"/>
              </w:rPr>
              <w:t>57</w:t>
            </w:r>
          </w:p>
        </w:tc>
        <w:tc>
          <w:tcPr>
            <w:tcW w:w="201" w:type="pct"/>
            <w:vMerge w:val="restart"/>
            <w:vAlign w:val="center"/>
          </w:tcPr>
          <w:p>
            <w:pPr>
              <w:jc w:val="center"/>
              <w:rPr>
                <w:szCs w:val="21"/>
              </w:rPr>
            </w:pPr>
            <w:r>
              <w:rPr>
                <w:szCs w:val="21"/>
              </w:rPr>
              <w:t>94</w:t>
            </w:r>
          </w:p>
        </w:tc>
        <w:tc>
          <w:tcPr>
            <w:tcW w:w="203" w:type="pct"/>
            <w:vMerge w:val="restart"/>
            <w:vAlign w:val="center"/>
          </w:tcPr>
          <w:p>
            <w:pPr>
              <w:jc w:val="center"/>
              <w:rPr>
                <w:szCs w:val="21"/>
              </w:rPr>
            </w:pPr>
            <w:r>
              <w:rPr>
                <w:szCs w:val="21"/>
              </w:rPr>
              <w:t>-2</w:t>
            </w:r>
          </w:p>
        </w:tc>
        <w:tc>
          <w:tcPr>
            <w:tcW w:w="302" w:type="pct"/>
            <w:vAlign w:val="center"/>
          </w:tcPr>
          <w:p>
            <w:pPr>
              <w:jc w:val="center"/>
              <w:rPr>
                <w:szCs w:val="21"/>
              </w:rPr>
            </w:pPr>
            <w:r>
              <w:rPr>
                <w:szCs w:val="21"/>
              </w:rPr>
              <w:t>东 1</w:t>
            </w:r>
          </w:p>
        </w:tc>
        <w:tc>
          <w:tcPr>
            <w:tcW w:w="307" w:type="pct"/>
            <w:vAlign w:val="center"/>
          </w:tcPr>
          <w:p>
            <w:pPr>
              <w:jc w:val="center"/>
              <w:rPr>
                <w:szCs w:val="21"/>
              </w:rPr>
            </w:pPr>
            <w:r>
              <w:rPr>
                <w:szCs w:val="21"/>
              </w:rPr>
              <w:t>58</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52</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南 5</w:t>
            </w:r>
          </w:p>
        </w:tc>
        <w:tc>
          <w:tcPr>
            <w:tcW w:w="307" w:type="pct"/>
            <w:vAlign w:val="center"/>
          </w:tcPr>
          <w:p>
            <w:pPr>
              <w:jc w:val="center"/>
              <w:rPr>
                <w:szCs w:val="21"/>
              </w:rPr>
            </w:pPr>
            <w:r>
              <w:rPr>
                <w:szCs w:val="21"/>
              </w:rPr>
              <w:t>41</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35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西 9</w:t>
            </w:r>
          </w:p>
        </w:tc>
        <w:tc>
          <w:tcPr>
            <w:tcW w:w="307" w:type="pct"/>
            <w:vAlign w:val="center"/>
          </w:tcPr>
          <w:p>
            <w:pPr>
              <w:jc w:val="center"/>
              <w:rPr>
                <w:szCs w:val="21"/>
              </w:rPr>
            </w:pPr>
            <w:r>
              <w:rPr>
                <w:szCs w:val="21"/>
              </w:rPr>
              <w:t>35.9</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29.9</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北 5</w:t>
            </w:r>
          </w:p>
        </w:tc>
        <w:tc>
          <w:tcPr>
            <w:tcW w:w="307" w:type="pct"/>
            <w:vAlign w:val="center"/>
          </w:tcPr>
          <w:p>
            <w:pPr>
              <w:jc w:val="center"/>
              <w:rPr>
                <w:szCs w:val="21"/>
              </w:rPr>
            </w:pPr>
            <w:r>
              <w:rPr>
                <w:szCs w:val="21"/>
              </w:rPr>
              <w:t>41</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35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contextualSpacing/>
              <w:jc w:val="center"/>
              <w:textAlignment w:val="baseline"/>
              <w:rPr>
                <w:kern w:val="0"/>
                <w:szCs w:val="21"/>
              </w:rPr>
            </w:pPr>
            <w:r>
              <w:rPr>
                <w:kern w:val="0"/>
                <w:szCs w:val="21"/>
              </w:rPr>
              <w:t>6</w:t>
            </w:r>
          </w:p>
        </w:tc>
        <w:tc>
          <w:tcPr>
            <w:tcW w:w="257" w:type="pct"/>
            <w:vMerge w:val="restart"/>
            <w:vAlign w:val="center"/>
          </w:tcPr>
          <w:p>
            <w:pPr>
              <w:contextualSpacing/>
              <w:jc w:val="center"/>
              <w:textAlignment w:val="baseline"/>
              <w:rPr>
                <w:kern w:val="0"/>
                <w:szCs w:val="21"/>
              </w:rPr>
            </w:pPr>
            <w:r>
              <w:rPr>
                <w:color w:val="000000"/>
                <w:kern w:val="0"/>
                <w:szCs w:val="21"/>
                <w:lang w:bidi="ar"/>
              </w:rPr>
              <w:t>缺氧池</w:t>
            </w:r>
          </w:p>
        </w:tc>
        <w:tc>
          <w:tcPr>
            <w:tcW w:w="321" w:type="pct"/>
            <w:vMerge w:val="restart"/>
            <w:vAlign w:val="center"/>
          </w:tcPr>
          <w:p>
            <w:pPr>
              <w:contextualSpacing/>
              <w:jc w:val="center"/>
              <w:textAlignment w:val="baseline"/>
              <w:rPr>
                <w:szCs w:val="21"/>
              </w:rPr>
            </w:pPr>
            <w:r>
              <w:rPr>
                <w:color w:val="000000"/>
                <w:kern w:val="0"/>
                <w:szCs w:val="21"/>
                <w:lang w:bidi="ar"/>
              </w:rPr>
              <w:t>潜水搅拌机</w:t>
            </w:r>
          </w:p>
        </w:tc>
        <w:tc>
          <w:tcPr>
            <w:tcW w:w="477" w:type="pct"/>
            <w:vMerge w:val="restart"/>
            <w:vAlign w:val="center"/>
          </w:tcPr>
          <w:p>
            <w:pPr>
              <w:contextualSpacing/>
              <w:jc w:val="center"/>
              <w:textAlignment w:val="baseline"/>
              <w:rPr>
                <w:szCs w:val="21"/>
              </w:rPr>
            </w:pPr>
            <w:r>
              <w:rPr>
                <w:szCs w:val="21"/>
              </w:rPr>
              <w:t>80/1</w:t>
            </w:r>
          </w:p>
        </w:tc>
        <w:tc>
          <w:tcPr>
            <w:tcW w:w="261" w:type="pct"/>
            <w:vMerge w:val="restart"/>
            <w:vAlign w:val="center"/>
          </w:tcPr>
          <w:p>
            <w:pPr>
              <w:contextualSpacing/>
              <w:jc w:val="center"/>
              <w:textAlignment w:val="baseline"/>
              <w:rPr>
                <w:szCs w:val="21"/>
              </w:rPr>
            </w:pPr>
            <w:r>
              <w:rPr>
                <w:szCs w:val="21"/>
              </w:rPr>
              <w:t>4</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55</w:t>
            </w:r>
          </w:p>
        </w:tc>
        <w:tc>
          <w:tcPr>
            <w:tcW w:w="337" w:type="pct"/>
            <w:vMerge w:val="restart"/>
            <w:vAlign w:val="center"/>
          </w:tcPr>
          <w:p>
            <w:pPr>
              <w:contextualSpacing/>
              <w:jc w:val="center"/>
              <w:textAlignment w:val="baseline"/>
              <w:rPr>
                <w:kern w:val="0"/>
                <w:szCs w:val="21"/>
              </w:rPr>
            </w:pPr>
            <w:r>
              <w:rPr>
                <w:kern w:val="0"/>
                <w:szCs w:val="21"/>
              </w:rPr>
              <w:t>61</w:t>
            </w:r>
          </w:p>
        </w:tc>
        <w:tc>
          <w:tcPr>
            <w:tcW w:w="201" w:type="pct"/>
            <w:vMerge w:val="restart"/>
            <w:vAlign w:val="center"/>
          </w:tcPr>
          <w:p>
            <w:pPr>
              <w:jc w:val="center"/>
              <w:rPr>
                <w:szCs w:val="21"/>
              </w:rPr>
            </w:pPr>
            <w:r>
              <w:rPr>
                <w:szCs w:val="21"/>
              </w:rPr>
              <w:t>57</w:t>
            </w:r>
          </w:p>
        </w:tc>
        <w:tc>
          <w:tcPr>
            <w:tcW w:w="201" w:type="pct"/>
            <w:vMerge w:val="restart"/>
            <w:vAlign w:val="center"/>
          </w:tcPr>
          <w:p>
            <w:pPr>
              <w:jc w:val="center"/>
              <w:rPr>
                <w:szCs w:val="21"/>
              </w:rPr>
            </w:pPr>
            <w:r>
              <w:rPr>
                <w:szCs w:val="21"/>
              </w:rPr>
              <w:t>83</w:t>
            </w:r>
          </w:p>
        </w:tc>
        <w:tc>
          <w:tcPr>
            <w:tcW w:w="203" w:type="pct"/>
            <w:vMerge w:val="restart"/>
            <w:vAlign w:val="center"/>
          </w:tcPr>
          <w:p>
            <w:pPr>
              <w:jc w:val="center"/>
              <w:rPr>
                <w:szCs w:val="21"/>
              </w:rPr>
            </w:pPr>
            <w:r>
              <w:rPr>
                <w:szCs w:val="21"/>
              </w:rPr>
              <w:t>-2</w:t>
            </w:r>
          </w:p>
        </w:tc>
        <w:tc>
          <w:tcPr>
            <w:tcW w:w="302" w:type="pct"/>
            <w:vAlign w:val="center"/>
          </w:tcPr>
          <w:p>
            <w:pPr>
              <w:jc w:val="center"/>
              <w:rPr>
                <w:szCs w:val="21"/>
              </w:rPr>
            </w:pPr>
            <w:r>
              <w:rPr>
                <w:szCs w:val="21"/>
              </w:rPr>
              <w:t>东 1</w:t>
            </w:r>
          </w:p>
        </w:tc>
        <w:tc>
          <w:tcPr>
            <w:tcW w:w="307" w:type="pct"/>
            <w:vAlign w:val="center"/>
          </w:tcPr>
          <w:p>
            <w:pPr>
              <w:jc w:val="center"/>
              <w:rPr>
                <w:szCs w:val="21"/>
              </w:rPr>
            </w:pPr>
            <w:r>
              <w:rPr>
                <w:szCs w:val="21"/>
              </w:rPr>
              <w:t>61</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55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南 6</w:t>
            </w:r>
          </w:p>
        </w:tc>
        <w:tc>
          <w:tcPr>
            <w:tcW w:w="307" w:type="pct"/>
            <w:vAlign w:val="center"/>
          </w:tcPr>
          <w:p>
            <w:pPr>
              <w:jc w:val="center"/>
              <w:rPr>
                <w:szCs w:val="21"/>
              </w:rPr>
            </w:pPr>
            <w:r>
              <w:rPr>
                <w:szCs w:val="21"/>
              </w:rPr>
              <w:t>45.4</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39.4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西 9</w:t>
            </w:r>
          </w:p>
        </w:tc>
        <w:tc>
          <w:tcPr>
            <w:tcW w:w="307" w:type="pct"/>
            <w:vAlign w:val="center"/>
          </w:tcPr>
          <w:p>
            <w:pPr>
              <w:jc w:val="center"/>
              <w:rPr>
                <w:szCs w:val="21"/>
              </w:rPr>
            </w:pPr>
            <w:r>
              <w:rPr>
                <w:szCs w:val="21"/>
              </w:rPr>
              <w:t>41.9</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35.9</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北 6</w:t>
            </w:r>
          </w:p>
        </w:tc>
        <w:tc>
          <w:tcPr>
            <w:tcW w:w="307" w:type="pct"/>
            <w:vAlign w:val="center"/>
          </w:tcPr>
          <w:p>
            <w:pPr>
              <w:jc w:val="center"/>
              <w:rPr>
                <w:szCs w:val="21"/>
              </w:rPr>
            </w:pPr>
            <w:r>
              <w:rPr>
                <w:szCs w:val="21"/>
              </w:rPr>
              <w:t>45.4</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39.4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contextualSpacing/>
              <w:jc w:val="center"/>
              <w:textAlignment w:val="baseline"/>
              <w:rPr>
                <w:kern w:val="0"/>
                <w:szCs w:val="21"/>
              </w:rPr>
            </w:pPr>
            <w:r>
              <w:rPr>
                <w:kern w:val="0"/>
                <w:szCs w:val="21"/>
              </w:rPr>
              <w:t>7</w:t>
            </w:r>
          </w:p>
        </w:tc>
        <w:tc>
          <w:tcPr>
            <w:tcW w:w="257" w:type="pct"/>
            <w:vMerge w:val="restart"/>
            <w:vAlign w:val="center"/>
          </w:tcPr>
          <w:p>
            <w:pPr>
              <w:contextualSpacing/>
              <w:jc w:val="center"/>
              <w:textAlignment w:val="baseline"/>
              <w:rPr>
                <w:kern w:val="0"/>
                <w:szCs w:val="21"/>
              </w:rPr>
            </w:pPr>
            <w:r>
              <w:rPr>
                <w:color w:val="000000"/>
                <w:kern w:val="0"/>
                <w:szCs w:val="21"/>
                <w:lang w:bidi="ar"/>
              </w:rPr>
              <w:t>好氧池</w:t>
            </w:r>
          </w:p>
        </w:tc>
        <w:tc>
          <w:tcPr>
            <w:tcW w:w="321" w:type="pct"/>
            <w:vMerge w:val="restart"/>
            <w:vAlign w:val="center"/>
          </w:tcPr>
          <w:p>
            <w:pPr>
              <w:contextualSpacing/>
              <w:jc w:val="center"/>
              <w:textAlignment w:val="baseline"/>
              <w:rPr>
                <w:szCs w:val="21"/>
              </w:rPr>
            </w:pPr>
            <w:r>
              <w:rPr>
                <w:color w:val="000000"/>
                <w:kern w:val="0"/>
                <w:szCs w:val="21"/>
                <w:lang w:bidi="ar"/>
              </w:rPr>
              <w:t>硝化液回流泵</w:t>
            </w:r>
          </w:p>
        </w:tc>
        <w:tc>
          <w:tcPr>
            <w:tcW w:w="477" w:type="pct"/>
            <w:vMerge w:val="restart"/>
            <w:vAlign w:val="center"/>
          </w:tcPr>
          <w:p>
            <w:pPr>
              <w:contextualSpacing/>
              <w:jc w:val="center"/>
              <w:textAlignment w:val="baseline"/>
              <w:rPr>
                <w:szCs w:val="21"/>
              </w:rPr>
            </w:pPr>
            <w:r>
              <w:rPr>
                <w:szCs w:val="21"/>
              </w:rPr>
              <w:t>90/1</w:t>
            </w:r>
          </w:p>
        </w:tc>
        <w:tc>
          <w:tcPr>
            <w:tcW w:w="261" w:type="pct"/>
            <w:vMerge w:val="restart"/>
            <w:vAlign w:val="center"/>
          </w:tcPr>
          <w:p>
            <w:pPr>
              <w:contextualSpacing/>
              <w:jc w:val="center"/>
              <w:textAlignment w:val="baseline"/>
              <w:rPr>
                <w:szCs w:val="21"/>
              </w:rPr>
            </w:pPr>
            <w:r>
              <w:rPr>
                <w:szCs w:val="21"/>
              </w:rPr>
              <w:t>2</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65</w:t>
            </w:r>
          </w:p>
        </w:tc>
        <w:tc>
          <w:tcPr>
            <w:tcW w:w="337" w:type="pct"/>
            <w:vMerge w:val="restart"/>
            <w:vAlign w:val="center"/>
          </w:tcPr>
          <w:p>
            <w:pPr>
              <w:contextualSpacing/>
              <w:jc w:val="center"/>
              <w:textAlignment w:val="baseline"/>
              <w:rPr>
                <w:kern w:val="0"/>
                <w:szCs w:val="21"/>
              </w:rPr>
            </w:pPr>
            <w:r>
              <w:rPr>
                <w:kern w:val="0"/>
                <w:szCs w:val="21"/>
              </w:rPr>
              <w:t>68</w:t>
            </w:r>
          </w:p>
        </w:tc>
        <w:tc>
          <w:tcPr>
            <w:tcW w:w="201" w:type="pct"/>
            <w:vMerge w:val="restart"/>
            <w:vAlign w:val="center"/>
          </w:tcPr>
          <w:p>
            <w:pPr>
              <w:jc w:val="center"/>
              <w:rPr>
                <w:szCs w:val="21"/>
              </w:rPr>
            </w:pPr>
            <w:r>
              <w:rPr>
                <w:szCs w:val="21"/>
              </w:rPr>
              <w:t>58</w:t>
            </w:r>
          </w:p>
        </w:tc>
        <w:tc>
          <w:tcPr>
            <w:tcW w:w="201" w:type="pct"/>
            <w:vMerge w:val="restart"/>
            <w:vAlign w:val="center"/>
          </w:tcPr>
          <w:p>
            <w:pPr>
              <w:jc w:val="center"/>
              <w:rPr>
                <w:szCs w:val="21"/>
              </w:rPr>
            </w:pPr>
            <w:r>
              <w:rPr>
                <w:szCs w:val="21"/>
              </w:rPr>
              <w:t>89</w:t>
            </w:r>
          </w:p>
        </w:tc>
        <w:tc>
          <w:tcPr>
            <w:tcW w:w="203" w:type="pct"/>
            <w:vMerge w:val="restart"/>
            <w:vAlign w:val="center"/>
          </w:tcPr>
          <w:p>
            <w:pPr>
              <w:jc w:val="center"/>
              <w:rPr>
                <w:szCs w:val="21"/>
              </w:rPr>
            </w:pPr>
            <w:r>
              <w:rPr>
                <w:szCs w:val="21"/>
              </w:rPr>
              <w:t>-3</w:t>
            </w:r>
          </w:p>
        </w:tc>
        <w:tc>
          <w:tcPr>
            <w:tcW w:w="302" w:type="pct"/>
            <w:vAlign w:val="center"/>
          </w:tcPr>
          <w:p>
            <w:pPr>
              <w:jc w:val="center"/>
              <w:rPr>
                <w:szCs w:val="21"/>
              </w:rPr>
            </w:pPr>
            <w:r>
              <w:rPr>
                <w:szCs w:val="21"/>
              </w:rPr>
              <w:t>东 9</w:t>
            </w:r>
          </w:p>
        </w:tc>
        <w:tc>
          <w:tcPr>
            <w:tcW w:w="307" w:type="pct"/>
            <w:vAlign w:val="center"/>
          </w:tcPr>
          <w:p>
            <w:pPr>
              <w:jc w:val="center"/>
              <w:rPr>
                <w:szCs w:val="21"/>
              </w:rPr>
            </w:pPr>
            <w:r>
              <w:rPr>
                <w:szCs w:val="21"/>
              </w:rPr>
              <w:t>49</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43</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南 6</w:t>
            </w:r>
          </w:p>
        </w:tc>
        <w:tc>
          <w:tcPr>
            <w:tcW w:w="307" w:type="pct"/>
            <w:vAlign w:val="center"/>
          </w:tcPr>
          <w:p>
            <w:pPr>
              <w:jc w:val="center"/>
              <w:rPr>
                <w:szCs w:val="21"/>
              </w:rPr>
            </w:pPr>
            <w:r>
              <w:rPr>
                <w:szCs w:val="21"/>
              </w:rPr>
              <w:t>52.4</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46.4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西 1</w:t>
            </w:r>
          </w:p>
        </w:tc>
        <w:tc>
          <w:tcPr>
            <w:tcW w:w="307" w:type="pct"/>
            <w:vAlign w:val="center"/>
          </w:tcPr>
          <w:p>
            <w:pPr>
              <w:jc w:val="center"/>
              <w:rPr>
                <w:szCs w:val="21"/>
              </w:rPr>
            </w:pPr>
            <w:r>
              <w:rPr>
                <w:szCs w:val="21"/>
              </w:rPr>
              <w:t>68</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62</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北 6</w:t>
            </w:r>
          </w:p>
        </w:tc>
        <w:tc>
          <w:tcPr>
            <w:tcW w:w="307" w:type="pct"/>
            <w:vAlign w:val="center"/>
          </w:tcPr>
          <w:p>
            <w:pPr>
              <w:jc w:val="center"/>
              <w:rPr>
                <w:szCs w:val="21"/>
              </w:rPr>
            </w:pPr>
            <w:r>
              <w:rPr>
                <w:szCs w:val="21"/>
              </w:rPr>
              <w:t>52.4</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46.4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restart"/>
            <w:vAlign w:val="center"/>
          </w:tcPr>
          <w:p>
            <w:pPr>
              <w:contextualSpacing/>
              <w:jc w:val="center"/>
              <w:textAlignment w:val="baseline"/>
              <w:rPr>
                <w:szCs w:val="21"/>
              </w:rPr>
            </w:pPr>
            <w:r>
              <w:rPr>
                <w:kern w:val="0"/>
                <w:szCs w:val="21"/>
              </w:rPr>
              <w:t>罗茨风机</w:t>
            </w:r>
          </w:p>
        </w:tc>
        <w:tc>
          <w:tcPr>
            <w:tcW w:w="477" w:type="pct"/>
            <w:vMerge w:val="restart"/>
            <w:vAlign w:val="center"/>
          </w:tcPr>
          <w:p>
            <w:pPr>
              <w:contextualSpacing/>
              <w:jc w:val="center"/>
              <w:textAlignment w:val="baseline"/>
              <w:rPr>
                <w:szCs w:val="21"/>
              </w:rPr>
            </w:pPr>
            <w:r>
              <w:rPr>
                <w:szCs w:val="21"/>
              </w:rPr>
              <w:t>90/1</w:t>
            </w:r>
          </w:p>
        </w:tc>
        <w:tc>
          <w:tcPr>
            <w:tcW w:w="261" w:type="pct"/>
            <w:vMerge w:val="restart"/>
            <w:vAlign w:val="center"/>
          </w:tcPr>
          <w:p>
            <w:pPr>
              <w:contextualSpacing/>
              <w:jc w:val="center"/>
              <w:textAlignment w:val="baseline"/>
              <w:rPr>
                <w:szCs w:val="21"/>
              </w:rPr>
            </w:pPr>
            <w:r>
              <w:rPr>
                <w:szCs w:val="21"/>
              </w:rPr>
              <w:t>2</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65</w:t>
            </w:r>
          </w:p>
        </w:tc>
        <w:tc>
          <w:tcPr>
            <w:tcW w:w="337" w:type="pct"/>
            <w:vMerge w:val="restart"/>
            <w:vAlign w:val="center"/>
          </w:tcPr>
          <w:p>
            <w:pPr>
              <w:contextualSpacing/>
              <w:jc w:val="center"/>
              <w:textAlignment w:val="baseline"/>
              <w:rPr>
                <w:kern w:val="0"/>
                <w:szCs w:val="21"/>
              </w:rPr>
            </w:pPr>
            <w:r>
              <w:rPr>
                <w:kern w:val="0"/>
                <w:szCs w:val="21"/>
              </w:rPr>
              <w:t>68</w:t>
            </w:r>
          </w:p>
        </w:tc>
        <w:tc>
          <w:tcPr>
            <w:tcW w:w="201" w:type="pct"/>
            <w:vMerge w:val="restart"/>
            <w:vAlign w:val="center"/>
          </w:tcPr>
          <w:p>
            <w:pPr>
              <w:jc w:val="center"/>
              <w:rPr>
                <w:szCs w:val="21"/>
              </w:rPr>
            </w:pPr>
            <w:r>
              <w:rPr>
                <w:szCs w:val="21"/>
              </w:rPr>
              <w:t>65</w:t>
            </w:r>
          </w:p>
        </w:tc>
        <w:tc>
          <w:tcPr>
            <w:tcW w:w="201" w:type="pct"/>
            <w:vMerge w:val="restart"/>
            <w:vAlign w:val="center"/>
          </w:tcPr>
          <w:p>
            <w:pPr>
              <w:jc w:val="center"/>
              <w:rPr>
                <w:szCs w:val="21"/>
              </w:rPr>
            </w:pPr>
            <w:r>
              <w:rPr>
                <w:szCs w:val="21"/>
              </w:rPr>
              <w:t>68</w:t>
            </w:r>
          </w:p>
        </w:tc>
        <w:tc>
          <w:tcPr>
            <w:tcW w:w="203" w:type="pct"/>
            <w:vMerge w:val="restart"/>
            <w:vAlign w:val="center"/>
          </w:tcPr>
          <w:p>
            <w:pPr>
              <w:jc w:val="center"/>
              <w:rPr>
                <w:szCs w:val="21"/>
              </w:rPr>
            </w:pPr>
            <w:r>
              <w:rPr>
                <w:szCs w:val="21"/>
              </w:rPr>
              <w:t>4</w:t>
            </w:r>
          </w:p>
        </w:tc>
        <w:tc>
          <w:tcPr>
            <w:tcW w:w="302" w:type="pct"/>
            <w:vAlign w:val="center"/>
          </w:tcPr>
          <w:p>
            <w:pPr>
              <w:jc w:val="center"/>
              <w:rPr>
                <w:szCs w:val="21"/>
              </w:rPr>
            </w:pPr>
            <w:r>
              <w:rPr>
                <w:szCs w:val="21"/>
              </w:rPr>
              <w:t>东 4</w:t>
            </w:r>
          </w:p>
        </w:tc>
        <w:tc>
          <w:tcPr>
            <w:tcW w:w="307" w:type="pct"/>
            <w:vAlign w:val="center"/>
          </w:tcPr>
          <w:p>
            <w:pPr>
              <w:jc w:val="center"/>
              <w:rPr>
                <w:szCs w:val="21"/>
              </w:rPr>
            </w:pPr>
            <w:r>
              <w:rPr>
                <w:szCs w:val="21"/>
              </w:rPr>
              <w:t>56</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50</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南 3</w:t>
            </w:r>
          </w:p>
        </w:tc>
        <w:tc>
          <w:tcPr>
            <w:tcW w:w="307" w:type="pct"/>
            <w:vAlign w:val="center"/>
          </w:tcPr>
          <w:p>
            <w:pPr>
              <w:jc w:val="center"/>
              <w:rPr>
                <w:szCs w:val="21"/>
              </w:rPr>
            </w:pPr>
            <w:r>
              <w:rPr>
                <w:szCs w:val="21"/>
              </w:rPr>
              <w:t>58.5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52.5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西 3</w:t>
            </w:r>
          </w:p>
        </w:tc>
        <w:tc>
          <w:tcPr>
            <w:tcW w:w="307" w:type="pct"/>
            <w:vAlign w:val="center"/>
          </w:tcPr>
          <w:p>
            <w:pPr>
              <w:jc w:val="center"/>
              <w:rPr>
                <w:szCs w:val="21"/>
              </w:rPr>
            </w:pPr>
            <w:r>
              <w:rPr>
                <w:szCs w:val="21"/>
              </w:rPr>
              <w:t>58.5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52.5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北 3</w:t>
            </w:r>
          </w:p>
        </w:tc>
        <w:tc>
          <w:tcPr>
            <w:tcW w:w="307" w:type="pct"/>
            <w:vAlign w:val="center"/>
          </w:tcPr>
          <w:p>
            <w:pPr>
              <w:jc w:val="center"/>
              <w:rPr>
                <w:szCs w:val="21"/>
              </w:rPr>
            </w:pPr>
            <w:r>
              <w:rPr>
                <w:szCs w:val="21"/>
              </w:rPr>
              <w:t>58.5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52.5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contextualSpacing/>
              <w:jc w:val="center"/>
              <w:textAlignment w:val="baseline"/>
              <w:rPr>
                <w:kern w:val="0"/>
                <w:szCs w:val="21"/>
              </w:rPr>
            </w:pPr>
            <w:r>
              <w:rPr>
                <w:kern w:val="0"/>
                <w:szCs w:val="21"/>
              </w:rPr>
              <w:t>8</w:t>
            </w:r>
          </w:p>
        </w:tc>
        <w:tc>
          <w:tcPr>
            <w:tcW w:w="257" w:type="pct"/>
            <w:vMerge w:val="restart"/>
            <w:vAlign w:val="center"/>
          </w:tcPr>
          <w:p>
            <w:pPr>
              <w:contextualSpacing/>
              <w:jc w:val="center"/>
              <w:textAlignment w:val="baseline"/>
              <w:rPr>
                <w:kern w:val="0"/>
                <w:szCs w:val="21"/>
              </w:rPr>
            </w:pPr>
            <w:r>
              <w:rPr>
                <w:color w:val="000000"/>
                <w:kern w:val="0"/>
                <w:szCs w:val="21"/>
                <w:lang w:bidi="ar"/>
              </w:rPr>
              <w:t>二沉池</w:t>
            </w:r>
          </w:p>
        </w:tc>
        <w:tc>
          <w:tcPr>
            <w:tcW w:w="321" w:type="pct"/>
            <w:vMerge w:val="restart"/>
            <w:vAlign w:val="center"/>
          </w:tcPr>
          <w:p>
            <w:pPr>
              <w:contextualSpacing/>
              <w:jc w:val="center"/>
              <w:textAlignment w:val="baseline"/>
              <w:rPr>
                <w:szCs w:val="21"/>
              </w:rPr>
            </w:pPr>
            <w:r>
              <w:rPr>
                <w:color w:val="000000"/>
                <w:kern w:val="0"/>
                <w:szCs w:val="21"/>
                <w:lang w:bidi="ar"/>
              </w:rPr>
              <w:t>潜污泵</w:t>
            </w:r>
          </w:p>
        </w:tc>
        <w:tc>
          <w:tcPr>
            <w:tcW w:w="477" w:type="pct"/>
            <w:vMerge w:val="restart"/>
            <w:vAlign w:val="center"/>
          </w:tcPr>
          <w:p>
            <w:pPr>
              <w:contextualSpacing/>
              <w:jc w:val="center"/>
              <w:textAlignment w:val="baseline"/>
              <w:rPr>
                <w:szCs w:val="21"/>
              </w:rPr>
            </w:pPr>
            <w:r>
              <w:rPr>
                <w:szCs w:val="21"/>
              </w:rPr>
              <w:t>90/1</w:t>
            </w:r>
          </w:p>
        </w:tc>
        <w:tc>
          <w:tcPr>
            <w:tcW w:w="261" w:type="pct"/>
            <w:vMerge w:val="restart"/>
            <w:vAlign w:val="center"/>
          </w:tcPr>
          <w:p>
            <w:pPr>
              <w:contextualSpacing/>
              <w:jc w:val="center"/>
              <w:textAlignment w:val="baseline"/>
              <w:rPr>
                <w:szCs w:val="21"/>
              </w:rPr>
            </w:pPr>
            <w:r>
              <w:rPr>
                <w:szCs w:val="21"/>
              </w:rPr>
              <w:t>2</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65</w:t>
            </w:r>
          </w:p>
        </w:tc>
        <w:tc>
          <w:tcPr>
            <w:tcW w:w="337" w:type="pct"/>
            <w:vMerge w:val="restart"/>
            <w:vAlign w:val="center"/>
          </w:tcPr>
          <w:p>
            <w:pPr>
              <w:contextualSpacing/>
              <w:jc w:val="center"/>
              <w:textAlignment w:val="baseline"/>
              <w:rPr>
                <w:kern w:val="0"/>
                <w:szCs w:val="21"/>
              </w:rPr>
            </w:pPr>
            <w:r>
              <w:rPr>
                <w:kern w:val="0"/>
                <w:szCs w:val="21"/>
              </w:rPr>
              <w:t>68</w:t>
            </w:r>
          </w:p>
        </w:tc>
        <w:tc>
          <w:tcPr>
            <w:tcW w:w="201" w:type="pct"/>
            <w:vMerge w:val="restart"/>
            <w:vAlign w:val="center"/>
          </w:tcPr>
          <w:p>
            <w:pPr>
              <w:jc w:val="center"/>
              <w:rPr>
                <w:szCs w:val="21"/>
              </w:rPr>
            </w:pPr>
            <w:r>
              <w:rPr>
                <w:szCs w:val="21"/>
              </w:rPr>
              <w:t>52</w:t>
            </w:r>
          </w:p>
        </w:tc>
        <w:tc>
          <w:tcPr>
            <w:tcW w:w="201" w:type="pct"/>
            <w:vMerge w:val="restart"/>
            <w:vAlign w:val="center"/>
          </w:tcPr>
          <w:p>
            <w:pPr>
              <w:jc w:val="center"/>
              <w:rPr>
                <w:szCs w:val="21"/>
              </w:rPr>
            </w:pPr>
            <w:r>
              <w:rPr>
                <w:szCs w:val="21"/>
              </w:rPr>
              <w:t>72</w:t>
            </w:r>
          </w:p>
        </w:tc>
        <w:tc>
          <w:tcPr>
            <w:tcW w:w="203" w:type="pct"/>
            <w:vMerge w:val="restart"/>
            <w:vAlign w:val="center"/>
          </w:tcPr>
          <w:p>
            <w:pPr>
              <w:jc w:val="center"/>
              <w:rPr>
                <w:szCs w:val="21"/>
              </w:rPr>
            </w:pPr>
            <w:r>
              <w:rPr>
                <w:szCs w:val="21"/>
              </w:rPr>
              <w:t>-3</w:t>
            </w:r>
          </w:p>
        </w:tc>
        <w:tc>
          <w:tcPr>
            <w:tcW w:w="302" w:type="pct"/>
            <w:vAlign w:val="center"/>
          </w:tcPr>
          <w:p>
            <w:pPr>
              <w:jc w:val="center"/>
              <w:rPr>
                <w:szCs w:val="21"/>
              </w:rPr>
            </w:pPr>
            <w:r>
              <w:rPr>
                <w:szCs w:val="21"/>
              </w:rPr>
              <w:t>东 3</w:t>
            </w:r>
          </w:p>
        </w:tc>
        <w:tc>
          <w:tcPr>
            <w:tcW w:w="307" w:type="pct"/>
            <w:vAlign w:val="center"/>
          </w:tcPr>
          <w:p>
            <w:pPr>
              <w:jc w:val="center"/>
              <w:rPr>
                <w:szCs w:val="21"/>
              </w:rPr>
            </w:pPr>
            <w:r>
              <w:rPr>
                <w:szCs w:val="21"/>
              </w:rPr>
              <w:t>58.5</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52.5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南 3</w:t>
            </w:r>
          </w:p>
        </w:tc>
        <w:tc>
          <w:tcPr>
            <w:tcW w:w="307" w:type="pct"/>
            <w:vAlign w:val="center"/>
          </w:tcPr>
          <w:p>
            <w:pPr>
              <w:jc w:val="center"/>
              <w:rPr>
                <w:szCs w:val="21"/>
              </w:rPr>
            </w:pPr>
            <w:r>
              <w:rPr>
                <w:szCs w:val="21"/>
              </w:rPr>
              <w:t>58.5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52.5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西 4</w:t>
            </w:r>
          </w:p>
        </w:tc>
        <w:tc>
          <w:tcPr>
            <w:tcW w:w="307" w:type="pct"/>
            <w:vAlign w:val="center"/>
          </w:tcPr>
          <w:p>
            <w:pPr>
              <w:jc w:val="center"/>
              <w:rPr>
                <w:szCs w:val="21"/>
              </w:rPr>
            </w:pPr>
            <w:r>
              <w:rPr>
                <w:szCs w:val="21"/>
              </w:rPr>
              <w:t>56</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50</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北 4</w:t>
            </w:r>
          </w:p>
        </w:tc>
        <w:tc>
          <w:tcPr>
            <w:tcW w:w="307" w:type="pct"/>
            <w:vAlign w:val="center"/>
          </w:tcPr>
          <w:p>
            <w:pPr>
              <w:jc w:val="center"/>
              <w:rPr>
                <w:szCs w:val="21"/>
              </w:rPr>
            </w:pPr>
            <w:r>
              <w:rPr>
                <w:szCs w:val="21"/>
              </w:rPr>
              <w:t>56</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50</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contextualSpacing/>
              <w:jc w:val="center"/>
              <w:textAlignment w:val="baseline"/>
              <w:rPr>
                <w:kern w:val="0"/>
                <w:szCs w:val="21"/>
              </w:rPr>
            </w:pPr>
            <w:r>
              <w:rPr>
                <w:kern w:val="0"/>
                <w:szCs w:val="21"/>
              </w:rPr>
              <w:t>9</w:t>
            </w:r>
          </w:p>
        </w:tc>
        <w:tc>
          <w:tcPr>
            <w:tcW w:w="257" w:type="pct"/>
            <w:vMerge w:val="restart"/>
            <w:vAlign w:val="center"/>
          </w:tcPr>
          <w:p>
            <w:pPr>
              <w:contextualSpacing/>
              <w:jc w:val="center"/>
              <w:textAlignment w:val="baseline"/>
              <w:rPr>
                <w:kern w:val="0"/>
                <w:szCs w:val="21"/>
              </w:rPr>
            </w:pPr>
            <w:r>
              <w:rPr>
                <w:kern w:val="0"/>
                <w:szCs w:val="21"/>
                <w:lang w:val="zh-CN"/>
              </w:rPr>
              <w:t>三沉池</w:t>
            </w:r>
          </w:p>
        </w:tc>
        <w:tc>
          <w:tcPr>
            <w:tcW w:w="321" w:type="pct"/>
            <w:vMerge w:val="restart"/>
            <w:vAlign w:val="center"/>
          </w:tcPr>
          <w:p>
            <w:pPr>
              <w:contextualSpacing/>
              <w:jc w:val="center"/>
              <w:textAlignment w:val="baseline"/>
              <w:rPr>
                <w:szCs w:val="21"/>
              </w:rPr>
            </w:pPr>
            <w:r>
              <w:rPr>
                <w:color w:val="000000"/>
                <w:kern w:val="0"/>
                <w:szCs w:val="21"/>
                <w:lang w:bidi="ar"/>
              </w:rPr>
              <w:t>潜污泵</w:t>
            </w:r>
          </w:p>
        </w:tc>
        <w:tc>
          <w:tcPr>
            <w:tcW w:w="477" w:type="pct"/>
            <w:vMerge w:val="restart"/>
            <w:vAlign w:val="center"/>
          </w:tcPr>
          <w:p>
            <w:pPr>
              <w:contextualSpacing/>
              <w:jc w:val="center"/>
              <w:textAlignment w:val="baseline"/>
              <w:rPr>
                <w:szCs w:val="21"/>
              </w:rPr>
            </w:pPr>
            <w:r>
              <w:rPr>
                <w:szCs w:val="21"/>
              </w:rPr>
              <w:t>90/1</w:t>
            </w:r>
          </w:p>
        </w:tc>
        <w:tc>
          <w:tcPr>
            <w:tcW w:w="261" w:type="pct"/>
            <w:vMerge w:val="restart"/>
            <w:vAlign w:val="center"/>
          </w:tcPr>
          <w:p>
            <w:pPr>
              <w:contextualSpacing/>
              <w:jc w:val="center"/>
              <w:textAlignment w:val="baseline"/>
              <w:rPr>
                <w:szCs w:val="21"/>
              </w:rPr>
            </w:pPr>
            <w:r>
              <w:rPr>
                <w:szCs w:val="21"/>
              </w:rPr>
              <w:t>1</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65</w:t>
            </w:r>
          </w:p>
        </w:tc>
        <w:tc>
          <w:tcPr>
            <w:tcW w:w="337" w:type="pct"/>
            <w:vMerge w:val="restart"/>
            <w:vAlign w:val="center"/>
          </w:tcPr>
          <w:p>
            <w:pPr>
              <w:contextualSpacing/>
              <w:jc w:val="center"/>
              <w:textAlignment w:val="baseline"/>
              <w:rPr>
                <w:kern w:val="0"/>
                <w:szCs w:val="21"/>
              </w:rPr>
            </w:pPr>
            <w:r>
              <w:rPr>
                <w:kern w:val="0"/>
                <w:szCs w:val="21"/>
              </w:rPr>
              <w:t>65</w:t>
            </w:r>
          </w:p>
        </w:tc>
        <w:tc>
          <w:tcPr>
            <w:tcW w:w="201" w:type="pct"/>
            <w:vMerge w:val="restart"/>
            <w:vAlign w:val="center"/>
          </w:tcPr>
          <w:p>
            <w:pPr>
              <w:jc w:val="center"/>
              <w:rPr>
                <w:szCs w:val="21"/>
              </w:rPr>
            </w:pPr>
            <w:r>
              <w:rPr>
                <w:szCs w:val="21"/>
              </w:rPr>
              <w:t>45</w:t>
            </w:r>
          </w:p>
        </w:tc>
        <w:tc>
          <w:tcPr>
            <w:tcW w:w="201" w:type="pct"/>
            <w:vMerge w:val="restart"/>
            <w:vAlign w:val="center"/>
          </w:tcPr>
          <w:p>
            <w:pPr>
              <w:jc w:val="center"/>
              <w:rPr>
                <w:szCs w:val="21"/>
              </w:rPr>
            </w:pPr>
            <w:r>
              <w:rPr>
                <w:szCs w:val="21"/>
              </w:rPr>
              <w:t>72</w:t>
            </w:r>
          </w:p>
        </w:tc>
        <w:tc>
          <w:tcPr>
            <w:tcW w:w="203" w:type="pct"/>
            <w:vMerge w:val="restart"/>
            <w:vAlign w:val="center"/>
          </w:tcPr>
          <w:p>
            <w:pPr>
              <w:jc w:val="center"/>
              <w:rPr>
                <w:szCs w:val="21"/>
              </w:rPr>
            </w:pPr>
            <w:r>
              <w:rPr>
                <w:szCs w:val="21"/>
              </w:rPr>
              <w:t>-3</w:t>
            </w:r>
          </w:p>
        </w:tc>
        <w:tc>
          <w:tcPr>
            <w:tcW w:w="302" w:type="pct"/>
            <w:vAlign w:val="center"/>
          </w:tcPr>
          <w:p>
            <w:pPr>
              <w:jc w:val="center"/>
              <w:rPr>
                <w:szCs w:val="21"/>
              </w:rPr>
            </w:pPr>
            <w:r>
              <w:rPr>
                <w:szCs w:val="21"/>
              </w:rPr>
              <w:t>东 3</w:t>
            </w:r>
          </w:p>
        </w:tc>
        <w:tc>
          <w:tcPr>
            <w:tcW w:w="307" w:type="pct"/>
            <w:vAlign w:val="center"/>
          </w:tcPr>
          <w:p>
            <w:pPr>
              <w:jc w:val="center"/>
              <w:rPr>
                <w:szCs w:val="21"/>
              </w:rPr>
            </w:pPr>
            <w:r>
              <w:rPr>
                <w:szCs w:val="21"/>
              </w:rPr>
              <w:t>55.5</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49.5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南 3</w:t>
            </w:r>
          </w:p>
        </w:tc>
        <w:tc>
          <w:tcPr>
            <w:tcW w:w="307" w:type="pct"/>
            <w:vAlign w:val="center"/>
          </w:tcPr>
          <w:p>
            <w:pPr>
              <w:jc w:val="center"/>
              <w:rPr>
                <w:szCs w:val="21"/>
              </w:rPr>
            </w:pPr>
            <w:r>
              <w:rPr>
                <w:szCs w:val="21"/>
              </w:rPr>
              <w:t>55.5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49.5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西 4</w:t>
            </w:r>
          </w:p>
        </w:tc>
        <w:tc>
          <w:tcPr>
            <w:tcW w:w="307" w:type="pct"/>
            <w:vAlign w:val="center"/>
          </w:tcPr>
          <w:p>
            <w:pPr>
              <w:jc w:val="center"/>
              <w:rPr>
                <w:szCs w:val="21"/>
              </w:rPr>
            </w:pPr>
            <w:r>
              <w:rPr>
                <w:szCs w:val="21"/>
              </w:rPr>
              <w:t>53</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47</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北 3</w:t>
            </w:r>
          </w:p>
        </w:tc>
        <w:tc>
          <w:tcPr>
            <w:tcW w:w="307" w:type="pct"/>
            <w:vAlign w:val="center"/>
          </w:tcPr>
          <w:p>
            <w:pPr>
              <w:jc w:val="center"/>
              <w:rPr>
                <w:szCs w:val="21"/>
              </w:rPr>
            </w:pPr>
            <w:r>
              <w:rPr>
                <w:szCs w:val="21"/>
              </w:rPr>
              <w:t>55.5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49.5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restart"/>
            <w:vAlign w:val="center"/>
          </w:tcPr>
          <w:p>
            <w:pPr>
              <w:contextualSpacing/>
              <w:jc w:val="center"/>
              <w:textAlignment w:val="baseline"/>
              <w:rPr>
                <w:szCs w:val="21"/>
              </w:rPr>
            </w:pPr>
            <w:r>
              <w:rPr>
                <w:color w:val="000000"/>
                <w:kern w:val="0"/>
                <w:szCs w:val="21"/>
                <w:lang w:bidi="ar"/>
              </w:rPr>
              <w:t>计量泵</w:t>
            </w:r>
          </w:p>
        </w:tc>
        <w:tc>
          <w:tcPr>
            <w:tcW w:w="477" w:type="pct"/>
            <w:vMerge w:val="restart"/>
            <w:vAlign w:val="center"/>
          </w:tcPr>
          <w:p>
            <w:pPr>
              <w:contextualSpacing/>
              <w:jc w:val="center"/>
              <w:textAlignment w:val="baseline"/>
              <w:rPr>
                <w:szCs w:val="21"/>
              </w:rPr>
            </w:pPr>
            <w:r>
              <w:rPr>
                <w:szCs w:val="21"/>
              </w:rPr>
              <w:t>90/1</w:t>
            </w:r>
          </w:p>
        </w:tc>
        <w:tc>
          <w:tcPr>
            <w:tcW w:w="261" w:type="pct"/>
            <w:vMerge w:val="restart"/>
            <w:vAlign w:val="center"/>
          </w:tcPr>
          <w:p>
            <w:pPr>
              <w:contextualSpacing/>
              <w:jc w:val="center"/>
              <w:textAlignment w:val="baseline"/>
              <w:rPr>
                <w:szCs w:val="21"/>
              </w:rPr>
            </w:pPr>
            <w:r>
              <w:rPr>
                <w:szCs w:val="21"/>
              </w:rPr>
              <w:t>2</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65</w:t>
            </w:r>
          </w:p>
        </w:tc>
        <w:tc>
          <w:tcPr>
            <w:tcW w:w="337" w:type="pct"/>
            <w:vMerge w:val="restart"/>
            <w:vAlign w:val="center"/>
          </w:tcPr>
          <w:p>
            <w:pPr>
              <w:contextualSpacing/>
              <w:jc w:val="center"/>
              <w:textAlignment w:val="baseline"/>
              <w:rPr>
                <w:kern w:val="0"/>
                <w:szCs w:val="21"/>
              </w:rPr>
            </w:pPr>
            <w:r>
              <w:rPr>
                <w:kern w:val="0"/>
                <w:szCs w:val="21"/>
              </w:rPr>
              <w:t>68</w:t>
            </w:r>
          </w:p>
        </w:tc>
        <w:tc>
          <w:tcPr>
            <w:tcW w:w="201" w:type="pct"/>
            <w:vMerge w:val="restart"/>
            <w:vAlign w:val="center"/>
          </w:tcPr>
          <w:p>
            <w:pPr>
              <w:jc w:val="center"/>
              <w:rPr>
                <w:szCs w:val="21"/>
              </w:rPr>
            </w:pPr>
            <w:r>
              <w:rPr>
                <w:szCs w:val="21"/>
              </w:rPr>
              <w:t>43</w:t>
            </w:r>
          </w:p>
        </w:tc>
        <w:tc>
          <w:tcPr>
            <w:tcW w:w="201" w:type="pct"/>
            <w:vMerge w:val="restart"/>
            <w:vAlign w:val="center"/>
          </w:tcPr>
          <w:p>
            <w:pPr>
              <w:jc w:val="center"/>
              <w:rPr>
                <w:szCs w:val="21"/>
              </w:rPr>
            </w:pPr>
            <w:r>
              <w:rPr>
                <w:szCs w:val="21"/>
              </w:rPr>
              <w:t>79</w:t>
            </w:r>
          </w:p>
        </w:tc>
        <w:tc>
          <w:tcPr>
            <w:tcW w:w="203" w:type="pct"/>
            <w:vMerge w:val="restart"/>
            <w:vAlign w:val="center"/>
          </w:tcPr>
          <w:p>
            <w:pPr>
              <w:jc w:val="center"/>
              <w:rPr>
                <w:szCs w:val="21"/>
              </w:rPr>
            </w:pPr>
            <w:r>
              <w:rPr>
                <w:szCs w:val="21"/>
              </w:rPr>
              <w:t>0.3</w:t>
            </w:r>
          </w:p>
        </w:tc>
        <w:tc>
          <w:tcPr>
            <w:tcW w:w="302" w:type="pct"/>
            <w:vAlign w:val="center"/>
          </w:tcPr>
          <w:p>
            <w:pPr>
              <w:jc w:val="center"/>
              <w:rPr>
                <w:szCs w:val="21"/>
              </w:rPr>
            </w:pPr>
            <w:r>
              <w:rPr>
                <w:szCs w:val="21"/>
              </w:rPr>
              <w:t>东 5</w:t>
            </w:r>
          </w:p>
        </w:tc>
        <w:tc>
          <w:tcPr>
            <w:tcW w:w="307" w:type="pct"/>
            <w:vAlign w:val="center"/>
          </w:tcPr>
          <w:p>
            <w:pPr>
              <w:jc w:val="center"/>
              <w:rPr>
                <w:szCs w:val="21"/>
              </w:rPr>
            </w:pPr>
            <w:r>
              <w:rPr>
                <w:szCs w:val="21"/>
              </w:rPr>
              <w:t>54</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48</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南 3</w:t>
            </w:r>
          </w:p>
        </w:tc>
        <w:tc>
          <w:tcPr>
            <w:tcW w:w="307" w:type="pct"/>
            <w:vAlign w:val="center"/>
          </w:tcPr>
          <w:p>
            <w:pPr>
              <w:jc w:val="center"/>
              <w:rPr>
                <w:szCs w:val="21"/>
              </w:rPr>
            </w:pPr>
            <w:r>
              <w:rPr>
                <w:szCs w:val="21"/>
              </w:rPr>
              <w:t>58.5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52.5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西 2</w:t>
            </w:r>
          </w:p>
        </w:tc>
        <w:tc>
          <w:tcPr>
            <w:tcW w:w="307" w:type="pct"/>
            <w:vAlign w:val="center"/>
          </w:tcPr>
          <w:p>
            <w:pPr>
              <w:jc w:val="center"/>
              <w:rPr>
                <w:szCs w:val="21"/>
              </w:rPr>
            </w:pPr>
            <w:r>
              <w:rPr>
                <w:szCs w:val="21"/>
              </w:rPr>
              <w:t>62</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56</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北 4</w:t>
            </w:r>
          </w:p>
        </w:tc>
        <w:tc>
          <w:tcPr>
            <w:tcW w:w="307" w:type="pct"/>
            <w:vAlign w:val="center"/>
          </w:tcPr>
          <w:p>
            <w:pPr>
              <w:jc w:val="center"/>
              <w:rPr>
                <w:szCs w:val="21"/>
              </w:rPr>
            </w:pPr>
            <w:r>
              <w:rPr>
                <w:szCs w:val="21"/>
              </w:rPr>
              <w:t>56</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50</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contextualSpacing/>
              <w:jc w:val="center"/>
              <w:textAlignment w:val="baseline"/>
              <w:rPr>
                <w:kern w:val="0"/>
                <w:szCs w:val="21"/>
              </w:rPr>
            </w:pPr>
            <w:r>
              <w:rPr>
                <w:kern w:val="0"/>
                <w:szCs w:val="21"/>
              </w:rPr>
              <w:t>10</w:t>
            </w:r>
          </w:p>
        </w:tc>
        <w:tc>
          <w:tcPr>
            <w:tcW w:w="257" w:type="pct"/>
            <w:vMerge w:val="restart"/>
            <w:vAlign w:val="center"/>
          </w:tcPr>
          <w:p>
            <w:pPr>
              <w:contextualSpacing/>
              <w:jc w:val="center"/>
              <w:textAlignment w:val="baseline"/>
              <w:rPr>
                <w:kern w:val="0"/>
                <w:szCs w:val="21"/>
              </w:rPr>
            </w:pPr>
            <w:r>
              <w:rPr>
                <w:color w:val="000000"/>
                <w:kern w:val="0"/>
                <w:szCs w:val="21"/>
                <w:lang w:bidi="ar"/>
              </w:rPr>
              <w:t>污泥池</w:t>
            </w:r>
          </w:p>
        </w:tc>
        <w:tc>
          <w:tcPr>
            <w:tcW w:w="321" w:type="pct"/>
            <w:vMerge w:val="restart"/>
            <w:vAlign w:val="center"/>
          </w:tcPr>
          <w:p>
            <w:pPr>
              <w:contextualSpacing/>
              <w:jc w:val="center"/>
              <w:textAlignment w:val="baseline"/>
              <w:rPr>
                <w:szCs w:val="21"/>
              </w:rPr>
            </w:pPr>
            <w:r>
              <w:rPr>
                <w:color w:val="000000"/>
                <w:kern w:val="0"/>
                <w:szCs w:val="21"/>
                <w:lang w:bidi="ar"/>
              </w:rPr>
              <w:t>潜水搅拌机</w:t>
            </w:r>
          </w:p>
        </w:tc>
        <w:tc>
          <w:tcPr>
            <w:tcW w:w="477" w:type="pct"/>
            <w:vMerge w:val="restart"/>
            <w:vAlign w:val="center"/>
          </w:tcPr>
          <w:p>
            <w:pPr>
              <w:contextualSpacing/>
              <w:jc w:val="center"/>
              <w:textAlignment w:val="baseline"/>
              <w:rPr>
                <w:szCs w:val="21"/>
              </w:rPr>
            </w:pPr>
            <w:r>
              <w:rPr>
                <w:szCs w:val="21"/>
              </w:rPr>
              <w:t>80/1</w:t>
            </w:r>
          </w:p>
        </w:tc>
        <w:tc>
          <w:tcPr>
            <w:tcW w:w="261" w:type="pct"/>
            <w:vMerge w:val="restart"/>
            <w:vAlign w:val="center"/>
          </w:tcPr>
          <w:p>
            <w:pPr>
              <w:contextualSpacing/>
              <w:jc w:val="center"/>
              <w:textAlignment w:val="baseline"/>
              <w:rPr>
                <w:szCs w:val="21"/>
              </w:rPr>
            </w:pPr>
            <w:r>
              <w:rPr>
                <w:szCs w:val="21"/>
              </w:rPr>
              <w:t>1</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55</w:t>
            </w:r>
          </w:p>
        </w:tc>
        <w:tc>
          <w:tcPr>
            <w:tcW w:w="337" w:type="pct"/>
            <w:vMerge w:val="restart"/>
            <w:vAlign w:val="center"/>
          </w:tcPr>
          <w:p>
            <w:pPr>
              <w:contextualSpacing/>
              <w:jc w:val="center"/>
              <w:textAlignment w:val="baseline"/>
              <w:rPr>
                <w:kern w:val="0"/>
                <w:szCs w:val="21"/>
              </w:rPr>
            </w:pPr>
            <w:r>
              <w:rPr>
                <w:kern w:val="0"/>
                <w:szCs w:val="21"/>
              </w:rPr>
              <w:t>55</w:t>
            </w:r>
          </w:p>
        </w:tc>
        <w:tc>
          <w:tcPr>
            <w:tcW w:w="201" w:type="pct"/>
            <w:vMerge w:val="restart"/>
            <w:vAlign w:val="center"/>
          </w:tcPr>
          <w:p>
            <w:pPr>
              <w:jc w:val="center"/>
              <w:rPr>
                <w:szCs w:val="21"/>
              </w:rPr>
            </w:pPr>
            <w:r>
              <w:rPr>
                <w:szCs w:val="21"/>
              </w:rPr>
              <w:t>42</w:t>
            </w:r>
          </w:p>
        </w:tc>
        <w:tc>
          <w:tcPr>
            <w:tcW w:w="201" w:type="pct"/>
            <w:vMerge w:val="restart"/>
            <w:vAlign w:val="center"/>
          </w:tcPr>
          <w:p>
            <w:pPr>
              <w:jc w:val="center"/>
              <w:rPr>
                <w:szCs w:val="21"/>
              </w:rPr>
            </w:pPr>
            <w:r>
              <w:rPr>
                <w:szCs w:val="21"/>
              </w:rPr>
              <w:t>93</w:t>
            </w:r>
          </w:p>
        </w:tc>
        <w:tc>
          <w:tcPr>
            <w:tcW w:w="203" w:type="pct"/>
            <w:vMerge w:val="restart"/>
            <w:vAlign w:val="center"/>
          </w:tcPr>
          <w:p>
            <w:pPr>
              <w:jc w:val="center"/>
              <w:rPr>
                <w:szCs w:val="21"/>
              </w:rPr>
            </w:pPr>
            <w:r>
              <w:rPr>
                <w:szCs w:val="21"/>
              </w:rPr>
              <w:t>-2</w:t>
            </w:r>
          </w:p>
        </w:tc>
        <w:tc>
          <w:tcPr>
            <w:tcW w:w="302" w:type="pct"/>
            <w:vAlign w:val="center"/>
          </w:tcPr>
          <w:p>
            <w:pPr>
              <w:jc w:val="center"/>
              <w:rPr>
                <w:szCs w:val="21"/>
              </w:rPr>
            </w:pPr>
            <w:r>
              <w:rPr>
                <w:szCs w:val="21"/>
              </w:rPr>
              <w:t>东 6</w:t>
            </w:r>
          </w:p>
        </w:tc>
        <w:tc>
          <w:tcPr>
            <w:tcW w:w="307" w:type="pct"/>
            <w:vAlign w:val="center"/>
          </w:tcPr>
          <w:p>
            <w:pPr>
              <w:jc w:val="center"/>
              <w:rPr>
                <w:szCs w:val="21"/>
              </w:rPr>
            </w:pPr>
            <w:r>
              <w:rPr>
                <w:szCs w:val="21"/>
              </w:rPr>
              <w:t>39.4</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33.4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南 1</w:t>
            </w:r>
          </w:p>
        </w:tc>
        <w:tc>
          <w:tcPr>
            <w:tcW w:w="307" w:type="pct"/>
            <w:vAlign w:val="center"/>
          </w:tcPr>
          <w:p>
            <w:pPr>
              <w:jc w:val="center"/>
              <w:rPr>
                <w:szCs w:val="21"/>
              </w:rPr>
            </w:pPr>
            <w:r>
              <w:rPr>
                <w:szCs w:val="21"/>
              </w:rPr>
              <w:t>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49</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西 1</w:t>
            </w:r>
          </w:p>
        </w:tc>
        <w:tc>
          <w:tcPr>
            <w:tcW w:w="307" w:type="pct"/>
            <w:vAlign w:val="center"/>
          </w:tcPr>
          <w:p>
            <w:pPr>
              <w:jc w:val="center"/>
              <w:rPr>
                <w:szCs w:val="21"/>
              </w:rPr>
            </w:pPr>
            <w:r>
              <w:rPr>
                <w:szCs w:val="21"/>
              </w:rPr>
              <w:t>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49</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北 6</w:t>
            </w:r>
          </w:p>
        </w:tc>
        <w:tc>
          <w:tcPr>
            <w:tcW w:w="307" w:type="pct"/>
            <w:vAlign w:val="center"/>
          </w:tcPr>
          <w:p>
            <w:pPr>
              <w:jc w:val="center"/>
              <w:rPr>
                <w:szCs w:val="21"/>
              </w:rPr>
            </w:pPr>
            <w:r>
              <w:rPr>
                <w:szCs w:val="21"/>
              </w:rPr>
              <w:t>39.4</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33.4</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restart"/>
            <w:vAlign w:val="center"/>
          </w:tcPr>
          <w:p>
            <w:pPr>
              <w:contextualSpacing/>
              <w:jc w:val="center"/>
              <w:textAlignment w:val="baseline"/>
              <w:rPr>
                <w:szCs w:val="21"/>
              </w:rPr>
            </w:pPr>
            <w:r>
              <w:rPr>
                <w:color w:val="000000"/>
                <w:kern w:val="0"/>
                <w:szCs w:val="21"/>
                <w:lang w:bidi="ar"/>
              </w:rPr>
              <w:t>潜污泵</w:t>
            </w:r>
          </w:p>
        </w:tc>
        <w:tc>
          <w:tcPr>
            <w:tcW w:w="477" w:type="pct"/>
            <w:vMerge w:val="restart"/>
            <w:vAlign w:val="center"/>
          </w:tcPr>
          <w:p>
            <w:pPr>
              <w:contextualSpacing/>
              <w:jc w:val="center"/>
              <w:textAlignment w:val="baseline"/>
              <w:rPr>
                <w:szCs w:val="21"/>
              </w:rPr>
            </w:pPr>
            <w:r>
              <w:rPr>
                <w:szCs w:val="21"/>
              </w:rPr>
              <w:t>90/1</w:t>
            </w:r>
          </w:p>
        </w:tc>
        <w:tc>
          <w:tcPr>
            <w:tcW w:w="261" w:type="pct"/>
            <w:vMerge w:val="restart"/>
            <w:vAlign w:val="center"/>
          </w:tcPr>
          <w:p>
            <w:pPr>
              <w:contextualSpacing/>
              <w:jc w:val="center"/>
              <w:textAlignment w:val="baseline"/>
              <w:rPr>
                <w:szCs w:val="21"/>
              </w:rPr>
            </w:pPr>
            <w:r>
              <w:rPr>
                <w:szCs w:val="21"/>
              </w:rPr>
              <w:t>1</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65</w:t>
            </w:r>
          </w:p>
        </w:tc>
        <w:tc>
          <w:tcPr>
            <w:tcW w:w="337" w:type="pct"/>
            <w:vMerge w:val="restart"/>
            <w:vAlign w:val="center"/>
          </w:tcPr>
          <w:p>
            <w:pPr>
              <w:contextualSpacing/>
              <w:jc w:val="center"/>
              <w:textAlignment w:val="baseline"/>
              <w:rPr>
                <w:kern w:val="0"/>
                <w:szCs w:val="21"/>
              </w:rPr>
            </w:pPr>
            <w:r>
              <w:rPr>
                <w:kern w:val="0"/>
                <w:szCs w:val="21"/>
              </w:rPr>
              <w:t>65</w:t>
            </w:r>
          </w:p>
        </w:tc>
        <w:tc>
          <w:tcPr>
            <w:tcW w:w="201" w:type="pct"/>
            <w:vMerge w:val="restart"/>
            <w:vAlign w:val="center"/>
          </w:tcPr>
          <w:p>
            <w:pPr>
              <w:jc w:val="center"/>
              <w:rPr>
                <w:szCs w:val="21"/>
              </w:rPr>
            </w:pPr>
            <w:r>
              <w:rPr>
                <w:szCs w:val="21"/>
              </w:rPr>
              <w:t>44</w:t>
            </w:r>
          </w:p>
        </w:tc>
        <w:tc>
          <w:tcPr>
            <w:tcW w:w="201" w:type="pct"/>
            <w:vMerge w:val="restart"/>
            <w:vAlign w:val="center"/>
          </w:tcPr>
          <w:p>
            <w:pPr>
              <w:jc w:val="center"/>
              <w:rPr>
                <w:szCs w:val="21"/>
              </w:rPr>
            </w:pPr>
            <w:r>
              <w:rPr>
                <w:szCs w:val="21"/>
              </w:rPr>
              <w:t>95</w:t>
            </w:r>
          </w:p>
        </w:tc>
        <w:tc>
          <w:tcPr>
            <w:tcW w:w="203" w:type="pct"/>
            <w:vMerge w:val="restart"/>
            <w:vAlign w:val="center"/>
          </w:tcPr>
          <w:p>
            <w:pPr>
              <w:jc w:val="center"/>
              <w:rPr>
                <w:szCs w:val="21"/>
              </w:rPr>
            </w:pPr>
            <w:r>
              <w:rPr>
                <w:szCs w:val="21"/>
              </w:rPr>
              <w:t>-3</w:t>
            </w:r>
          </w:p>
        </w:tc>
        <w:tc>
          <w:tcPr>
            <w:tcW w:w="302" w:type="pct"/>
            <w:vAlign w:val="center"/>
          </w:tcPr>
          <w:p>
            <w:pPr>
              <w:jc w:val="center"/>
              <w:rPr>
                <w:szCs w:val="21"/>
              </w:rPr>
            </w:pPr>
            <w:r>
              <w:rPr>
                <w:szCs w:val="21"/>
              </w:rPr>
              <w:t>东 4</w:t>
            </w:r>
          </w:p>
        </w:tc>
        <w:tc>
          <w:tcPr>
            <w:tcW w:w="307" w:type="pct"/>
            <w:vAlign w:val="center"/>
          </w:tcPr>
          <w:p>
            <w:pPr>
              <w:jc w:val="center"/>
              <w:rPr>
                <w:szCs w:val="21"/>
              </w:rPr>
            </w:pPr>
            <w:r>
              <w:rPr>
                <w:szCs w:val="21"/>
              </w:rPr>
              <w:t>53</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47</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南 3</w:t>
            </w:r>
          </w:p>
        </w:tc>
        <w:tc>
          <w:tcPr>
            <w:tcW w:w="307" w:type="pct"/>
            <w:vAlign w:val="center"/>
          </w:tcPr>
          <w:p>
            <w:pPr>
              <w:jc w:val="center"/>
              <w:rPr>
                <w:szCs w:val="21"/>
              </w:rPr>
            </w:pPr>
            <w:r>
              <w:rPr>
                <w:szCs w:val="21"/>
              </w:rPr>
              <w:t>55.5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49.5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西 3</w:t>
            </w:r>
          </w:p>
        </w:tc>
        <w:tc>
          <w:tcPr>
            <w:tcW w:w="307" w:type="pct"/>
            <w:vAlign w:val="center"/>
          </w:tcPr>
          <w:p>
            <w:pPr>
              <w:jc w:val="center"/>
              <w:rPr>
                <w:szCs w:val="21"/>
              </w:rPr>
            </w:pPr>
            <w:r>
              <w:rPr>
                <w:szCs w:val="21"/>
              </w:rPr>
              <w:t>55.5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49.5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北 4</w:t>
            </w:r>
          </w:p>
        </w:tc>
        <w:tc>
          <w:tcPr>
            <w:tcW w:w="307" w:type="pct"/>
            <w:vAlign w:val="center"/>
          </w:tcPr>
          <w:p>
            <w:pPr>
              <w:jc w:val="center"/>
              <w:rPr>
                <w:szCs w:val="21"/>
              </w:rPr>
            </w:pPr>
            <w:r>
              <w:rPr>
                <w:szCs w:val="21"/>
              </w:rPr>
              <w:t>53</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47</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contextualSpacing/>
              <w:jc w:val="center"/>
              <w:textAlignment w:val="baseline"/>
              <w:rPr>
                <w:kern w:val="0"/>
                <w:szCs w:val="21"/>
              </w:rPr>
            </w:pPr>
            <w:r>
              <w:rPr>
                <w:kern w:val="0"/>
                <w:szCs w:val="21"/>
              </w:rPr>
              <w:t>11</w:t>
            </w:r>
          </w:p>
        </w:tc>
        <w:tc>
          <w:tcPr>
            <w:tcW w:w="257" w:type="pct"/>
            <w:vMerge w:val="restart"/>
            <w:vAlign w:val="center"/>
          </w:tcPr>
          <w:p>
            <w:pPr>
              <w:contextualSpacing/>
              <w:jc w:val="center"/>
              <w:textAlignment w:val="baseline"/>
              <w:rPr>
                <w:kern w:val="0"/>
                <w:szCs w:val="21"/>
              </w:rPr>
            </w:pPr>
            <w:r>
              <w:rPr>
                <w:color w:val="000000"/>
                <w:kern w:val="0"/>
                <w:szCs w:val="21"/>
                <w:lang w:bidi="ar"/>
              </w:rPr>
              <w:t>污泥处理系统</w:t>
            </w:r>
          </w:p>
        </w:tc>
        <w:tc>
          <w:tcPr>
            <w:tcW w:w="321" w:type="pct"/>
            <w:vMerge w:val="restart"/>
            <w:vAlign w:val="center"/>
          </w:tcPr>
          <w:p>
            <w:pPr>
              <w:contextualSpacing/>
              <w:jc w:val="center"/>
              <w:textAlignment w:val="baseline"/>
              <w:rPr>
                <w:szCs w:val="21"/>
              </w:rPr>
            </w:pPr>
            <w:r>
              <w:rPr>
                <w:color w:val="000000"/>
                <w:kern w:val="0"/>
                <w:szCs w:val="21"/>
                <w:lang w:bidi="ar"/>
              </w:rPr>
              <w:t>叠螺污泥脱水机</w:t>
            </w:r>
          </w:p>
        </w:tc>
        <w:tc>
          <w:tcPr>
            <w:tcW w:w="477" w:type="pct"/>
            <w:vMerge w:val="restart"/>
            <w:vAlign w:val="center"/>
          </w:tcPr>
          <w:p>
            <w:pPr>
              <w:contextualSpacing/>
              <w:jc w:val="center"/>
              <w:textAlignment w:val="baseline"/>
              <w:rPr>
                <w:szCs w:val="21"/>
              </w:rPr>
            </w:pPr>
            <w:r>
              <w:rPr>
                <w:szCs w:val="21"/>
              </w:rPr>
              <w:t>90/1</w:t>
            </w:r>
          </w:p>
        </w:tc>
        <w:tc>
          <w:tcPr>
            <w:tcW w:w="261" w:type="pct"/>
            <w:vMerge w:val="restart"/>
            <w:vAlign w:val="center"/>
          </w:tcPr>
          <w:p>
            <w:pPr>
              <w:contextualSpacing/>
              <w:jc w:val="center"/>
              <w:textAlignment w:val="baseline"/>
              <w:rPr>
                <w:szCs w:val="21"/>
              </w:rPr>
            </w:pPr>
            <w:r>
              <w:rPr>
                <w:szCs w:val="21"/>
              </w:rPr>
              <w:t>1</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65</w:t>
            </w:r>
          </w:p>
        </w:tc>
        <w:tc>
          <w:tcPr>
            <w:tcW w:w="337" w:type="pct"/>
            <w:vMerge w:val="restart"/>
            <w:vAlign w:val="center"/>
          </w:tcPr>
          <w:p>
            <w:pPr>
              <w:contextualSpacing/>
              <w:jc w:val="center"/>
              <w:textAlignment w:val="baseline"/>
              <w:rPr>
                <w:kern w:val="0"/>
                <w:szCs w:val="21"/>
              </w:rPr>
            </w:pPr>
            <w:r>
              <w:rPr>
                <w:kern w:val="0"/>
                <w:szCs w:val="21"/>
              </w:rPr>
              <w:t>65</w:t>
            </w:r>
          </w:p>
        </w:tc>
        <w:tc>
          <w:tcPr>
            <w:tcW w:w="201" w:type="pct"/>
            <w:vMerge w:val="restart"/>
            <w:vAlign w:val="center"/>
          </w:tcPr>
          <w:p>
            <w:pPr>
              <w:jc w:val="center"/>
              <w:rPr>
                <w:szCs w:val="21"/>
              </w:rPr>
            </w:pPr>
            <w:r>
              <w:rPr>
                <w:szCs w:val="21"/>
              </w:rPr>
              <w:t>45</w:t>
            </w:r>
          </w:p>
        </w:tc>
        <w:tc>
          <w:tcPr>
            <w:tcW w:w="201" w:type="pct"/>
            <w:vMerge w:val="restart"/>
            <w:vAlign w:val="center"/>
          </w:tcPr>
          <w:p>
            <w:pPr>
              <w:jc w:val="center"/>
              <w:rPr>
                <w:szCs w:val="21"/>
              </w:rPr>
            </w:pPr>
            <w:r>
              <w:rPr>
                <w:szCs w:val="21"/>
              </w:rPr>
              <w:t>94</w:t>
            </w:r>
          </w:p>
        </w:tc>
        <w:tc>
          <w:tcPr>
            <w:tcW w:w="203" w:type="pct"/>
            <w:vMerge w:val="restart"/>
            <w:vAlign w:val="center"/>
          </w:tcPr>
          <w:p>
            <w:pPr>
              <w:jc w:val="center"/>
              <w:rPr>
                <w:szCs w:val="21"/>
              </w:rPr>
            </w:pPr>
            <w:r>
              <w:rPr>
                <w:szCs w:val="21"/>
              </w:rPr>
              <w:t>4</w:t>
            </w:r>
          </w:p>
        </w:tc>
        <w:tc>
          <w:tcPr>
            <w:tcW w:w="302" w:type="pct"/>
            <w:vAlign w:val="center"/>
          </w:tcPr>
          <w:p>
            <w:pPr>
              <w:jc w:val="center"/>
              <w:rPr>
                <w:szCs w:val="21"/>
              </w:rPr>
            </w:pPr>
            <w:r>
              <w:rPr>
                <w:szCs w:val="21"/>
              </w:rPr>
              <w:t>东 3</w:t>
            </w:r>
          </w:p>
        </w:tc>
        <w:tc>
          <w:tcPr>
            <w:tcW w:w="307" w:type="pct"/>
            <w:vAlign w:val="center"/>
          </w:tcPr>
          <w:p>
            <w:pPr>
              <w:jc w:val="center"/>
              <w:rPr>
                <w:szCs w:val="21"/>
              </w:rPr>
            </w:pPr>
            <w:r>
              <w:rPr>
                <w:szCs w:val="21"/>
              </w:rPr>
              <w:t>55.5</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49.5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南 3</w:t>
            </w:r>
          </w:p>
        </w:tc>
        <w:tc>
          <w:tcPr>
            <w:tcW w:w="307" w:type="pct"/>
            <w:vAlign w:val="center"/>
          </w:tcPr>
          <w:p>
            <w:pPr>
              <w:jc w:val="center"/>
              <w:rPr>
                <w:szCs w:val="21"/>
              </w:rPr>
            </w:pPr>
            <w:r>
              <w:rPr>
                <w:szCs w:val="21"/>
              </w:rPr>
              <w:t>55.5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49.5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西 4</w:t>
            </w:r>
          </w:p>
        </w:tc>
        <w:tc>
          <w:tcPr>
            <w:tcW w:w="307" w:type="pct"/>
            <w:vAlign w:val="center"/>
          </w:tcPr>
          <w:p>
            <w:pPr>
              <w:jc w:val="center"/>
              <w:rPr>
                <w:szCs w:val="21"/>
              </w:rPr>
            </w:pPr>
            <w:r>
              <w:rPr>
                <w:szCs w:val="21"/>
              </w:rPr>
              <w:t>53</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47</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北 2</w:t>
            </w:r>
          </w:p>
        </w:tc>
        <w:tc>
          <w:tcPr>
            <w:tcW w:w="307" w:type="pct"/>
            <w:vAlign w:val="center"/>
          </w:tcPr>
          <w:p>
            <w:pPr>
              <w:jc w:val="center"/>
              <w:rPr>
                <w:szCs w:val="21"/>
              </w:rPr>
            </w:pPr>
            <w:r>
              <w:rPr>
                <w:szCs w:val="21"/>
              </w:rPr>
              <w:t>59</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53</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restart"/>
            <w:vAlign w:val="center"/>
          </w:tcPr>
          <w:p>
            <w:pPr>
              <w:contextualSpacing/>
              <w:jc w:val="center"/>
              <w:textAlignment w:val="baseline"/>
              <w:rPr>
                <w:szCs w:val="21"/>
              </w:rPr>
            </w:pPr>
            <w:r>
              <w:rPr>
                <w:kern w:val="0"/>
                <w:szCs w:val="21"/>
                <w:lang w:bidi="ar"/>
              </w:rPr>
              <w:t>PAM自动泡药机</w:t>
            </w:r>
          </w:p>
        </w:tc>
        <w:tc>
          <w:tcPr>
            <w:tcW w:w="477" w:type="pct"/>
            <w:vMerge w:val="restart"/>
            <w:vAlign w:val="center"/>
          </w:tcPr>
          <w:p>
            <w:pPr>
              <w:contextualSpacing/>
              <w:jc w:val="center"/>
              <w:textAlignment w:val="baseline"/>
              <w:rPr>
                <w:szCs w:val="21"/>
              </w:rPr>
            </w:pPr>
            <w:r>
              <w:rPr>
                <w:szCs w:val="21"/>
              </w:rPr>
              <w:t>80/1</w:t>
            </w:r>
          </w:p>
        </w:tc>
        <w:tc>
          <w:tcPr>
            <w:tcW w:w="261" w:type="pct"/>
            <w:vMerge w:val="restart"/>
            <w:vAlign w:val="center"/>
          </w:tcPr>
          <w:p>
            <w:pPr>
              <w:contextualSpacing/>
              <w:jc w:val="center"/>
              <w:textAlignment w:val="baseline"/>
              <w:rPr>
                <w:szCs w:val="21"/>
              </w:rPr>
            </w:pPr>
            <w:r>
              <w:rPr>
                <w:szCs w:val="21"/>
              </w:rPr>
              <w:t>1</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55</w:t>
            </w:r>
          </w:p>
        </w:tc>
        <w:tc>
          <w:tcPr>
            <w:tcW w:w="337" w:type="pct"/>
            <w:vMerge w:val="restart"/>
            <w:vAlign w:val="center"/>
          </w:tcPr>
          <w:p>
            <w:pPr>
              <w:contextualSpacing/>
              <w:jc w:val="center"/>
              <w:textAlignment w:val="baseline"/>
              <w:rPr>
                <w:kern w:val="0"/>
                <w:szCs w:val="21"/>
              </w:rPr>
            </w:pPr>
            <w:r>
              <w:rPr>
                <w:kern w:val="0"/>
                <w:szCs w:val="21"/>
              </w:rPr>
              <w:t>55</w:t>
            </w:r>
          </w:p>
        </w:tc>
        <w:tc>
          <w:tcPr>
            <w:tcW w:w="201" w:type="pct"/>
            <w:vMerge w:val="restart"/>
            <w:vAlign w:val="center"/>
          </w:tcPr>
          <w:p>
            <w:pPr>
              <w:jc w:val="center"/>
              <w:rPr>
                <w:szCs w:val="21"/>
              </w:rPr>
            </w:pPr>
            <w:r>
              <w:rPr>
                <w:szCs w:val="21"/>
              </w:rPr>
              <w:t>45</w:t>
            </w:r>
          </w:p>
        </w:tc>
        <w:tc>
          <w:tcPr>
            <w:tcW w:w="201" w:type="pct"/>
            <w:vMerge w:val="restart"/>
            <w:vAlign w:val="center"/>
          </w:tcPr>
          <w:p>
            <w:pPr>
              <w:jc w:val="center"/>
              <w:rPr>
                <w:szCs w:val="21"/>
              </w:rPr>
            </w:pPr>
            <w:r>
              <w:rPr>
                <w:szCs w:val="21"/>
              </w:rPr>
              <w:t>76</w:t>
            </w:r>
          </w:p>
        </w:tc>
        <w:tc>
          <w:tcPr>
            <w:tcW w:w="203" w:type="pct"/>
            <w:vMerge w:val="restart"/>
            <w:vAlign w:val="center"/>
          </w:tcPr>
          <w:p>
            <w:pPr>
              <w:jc w:val="center"/>
              <w:rPr>
                <w:szCs w:val="21"/>
              </w:rPr>
            </w:pPr>
            <w:r>
              <w:rPr>
                <w:szCs w:val="21"/>
              </w:rPr>
              <w:t>0.3</w:t>
            </w:r>
          </w:p>
        </w:tc>
        <w:tc>
          <w:tcPr>
            <w:tcW w:w="302" w:type="pct"/>
            <w:vAlign w:val="center"/>
          </w:tcPr>
          <w:p>
            <w:pPr>
              <w:jc w:val="center"/>
              <w:rPr>
                <w:szCs w:val="21"/>
              </w:rPr>
            </w:pPr>
            <w:r>
              <w:rPr>
                <w:szCs w:val="21"/>
              </w:rPr>
              <w:t>东 3</w:t>
            </w:r>
          </w:p>
        </w:tc>
        <w:tc>
          <w:tcPr>
            <w:tcW w:w="307" w:type="pct"/>
            <w:vAlign w:val="center"/>
          </w:tcPr>
          <w:p>
            <w:pPr>
              <w:jc w:val="center"/>
              <w:rPr>
                <w:szCs w:val="21"/>
              </w:rPr>
            </w:pPr>
            <w:r>
              <w:rPr>
                <w:szCs w:val="21"/>
              </w:rPr>
              <w:t>45.5</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39.5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南 4</w:t>
            </w:r>
          </w:p>
        </w:tc>
        <w:tc>
          <w:tcPr>
            <w:tcW w:w="307" w:type="pct"/>
            <w:vAlign w:val="center"/>
          </w:tcPr>
          <w:p>
            <w:pPr>
              <w:jc w:val="center"/>
              <w:rPr>
                <w:szCs w:val="21"/>
              </w:rPr>
            </w:pPr>
            <w:r>
              <w:rPr>
                <w:szCs w:val="21"/>
              </w:rPr>
              <w:t>43</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37</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西 4</w:t>
            </w:r>
          </w:p>
        </w:tc>
        <w:tc>
          <w:tcPr>
            <w:tcW w:w="307" w:type="pct"/>
            <w:vAlign w:val="center"/>
          </w:tcPr>
          <w:p>
            <w:pPr>
              <w:jc w:val="center"/>
              <w:rPr>
                <w:szCs w:val="21"/>
              </w:rPr>
            </w:pPr>
            <w:r>
              <w:rPr>
                <w:szCs w:val="21"/>
              </w:rPr>
              <w:t>43</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37</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rPr>
            </w:pPr>
          </w:p>
        </w:tc>
        <w:tc>
          <w:tcPr>
            <w:tcW w:w="201" w:type="pct"/>
            <w:vMerge w:val="continue"/>
            <w:vAlign w:val="center"/>
          </w:tcPr>
          <w:p>
            <w:pPr>
              <w:jc w:val="center"/>
              <w:rPr>
                <w:szCs w:val="21"/>
              </w:rPr>
            </w:pPr>
          </w:p>
        </w:tc>
        <w:tc>
          <w:tcPr>
            <w:tcW w:w="203" w:type="pct"/>
            <w:vMerge w:val="continue"/>
            <w:vAlign w:val="center"/>
          </w:tcPr>
          <w:p>
            <w:pPr>
              <w:jc w:val="center"/>
              <w:rPr>
                <w:szCs w:val="21"/>
              </w:rPr>
            </w:pPr>
          </w:p>
        </w:tc>
        <w:tc>
          <w:tcPr>
            <w:tcW w:w="302" w:type="pct"/>
            <w:vAlign w:val="center"/>
          </w:tcPr>
          <w:p>
            <w:pPr>
              <w:jc w:val="center"/>
              <w:rPr>
                <w:szCs w:val="21"/>
              </w:rPr>
            </w:pPr>
            <w:r>
              <w:rPr>
                <w:szCs w:val="21"/>
              </w:rPr>
              <w:t>北 3</w:t>
            </w:r>
          </w:p>
        </w:tc>
        <w:tc>
          <w:tcPr>
            <w:tcW w:w="307" w:type="pct"/>
            <w:vAlign w:val="center"/>
          </w:tcPr>
          <w:p>
            <w:pPr>
              <w:jc w:val="center"/>
              <w:rPr>
                <w:szCs w:val="21"/>
              </w:rPr>
            </w:pPr>
            <w:r>
              <w:rPr>
                <w:szCs w:val="21"/>
              </w:rPr>
              <w:t>45.5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39.5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restart"/>
            <w:vAlign w:val="center"/>
          </w:tcPr>
          <w:p>
            <w:pPr>
              <w:contextualSpacing/>
              <w:jc w:val="center"/>
              <w:textAlignment w:val="baseline"/>
              <w:rPr>
                <w:szCs w:val="21"/>
              </w:rPr>
            </w:pPr>
            <w:r>
              <w:rPr>
                <w:color w:val="000000"/>
                <w:kern w:val="0"/>
                <w:szCs w:val="21"/>
                <w:lang w:bidi="ar"/>
              </w:rPr>
              <w:t>加药泵</w:t>
            </w:r>
          </w:p>
        </w:tc>
        <w:tc>
          <w:tcPr>
            <w:tcW w:w="477" w:type="pct"/>
            <w:vMerge w:val="restart"/>
            <w:vAlign w:val="center"/>
          </w:tcPr>
          <w:p>
            <w:pPr>
              <w:contextualSpacing/>
              <w:jc w:val="center"/>
              <w:textAlignment w:val="baseline"/>
              <w:rPr>
                <w:szCs w:val="21"/>
              </w:rPr>
            </w:pPr>
            <w:r>
              <w:rPr>
                <w:szCs w:val="21"/>
              </w:rPr>
              <w:t>90/1</w:t>
            </w:r>
          </w:p>
        </w:tc>
        <w:tc>
          <w:tcPr>
            <w:tcW w:w="261" w:type="pct"/>
            <w:vMerge w:val="restart"/>
            <w:vAlign w:val="center"/>
          </w:tcPr>
          <w:p>
            <w:pPr>
              <w:contextualSpacing/>
              <w:jc w:val="center"/>
              <w:textAlignment w:val="baseline"/>
              <w:rPr>
                <w:szCs w:val="21"/>
              </w:rPr>
            </w:pPr>
            <w:r>
              <w:rPr>
                <w:szCs w:val="21"/>
              </w:rPr>
              <w:t>1</w:t>
            </w:r>
          </w:p>
        </w:tc>
        <w:tc>
          <w:tcPr>
            <w:tcW w:w="269" w:type="pct"/>
            <w:vMerge w:val="restart"/>
            <w:vAlign w:val="center"/>
          </w:tcPr>
          <w:p>
            <w:pPr>
              <w:jc w:val="center"/>
              <w:rPr>
                <w:szCs w:val="21"/>
              </w:rPr>
            </w:pPr>
            <w:r>
              <w:rPr>
                <w:szCs w:val="21"/>
              </w:rPr>
              <w:t>减振、隔声</w:t>
            </w:r>
          </w:p>
        </w:tc>
        <w:tc>
          <w:tcPr>
            <w:tcW w:w="337" w:type="pct"/>
            <w:vMerge w:val="restart"/>
            <w:vAlign w:val="center"/>
          </w:tcPr>
          <w:p>
            <w:pPr>
              <w:jc w:val="center"/>
              <w:rPr>
                <w:szCs w:val="21"/>
              </w:rPr>
            </w:pPr>
            <w:r>
              <w:rPr>
                <w:szCs w:val="21"/>
              </w:rPr>
              <w:t>65</w:t>
            </w:r>
          </w:p>
        </w:tc>
        <w:tc>
          <w:tcPr>
            <w:tcW w:w="337" w:type="pct"/>
            <w:vMerge w:val="restart"/>
            <w:vAlign w:val="center"/>
          </w:tcPr>
          <w:p>
            <w:pPr>
              <w:contextualSpacing/>
              <w:jc w:val="center"/>
              <w:textAlignment w:val="baseline"/>
              <w:rPr>
                <w:kern w:val="0"/>
                <w:szCs w:val="21"/>
              </w:rPr>
            </w:pPr>
            <w:r>
              <w:rPr>
                <w:kern w:val="0"/>
                <w:szCs w:val="21"/>
              </w:rPr>
              <w:t>65</w:t>
            </w:r>
          </w:p>
        </w:tc>
        <w:tc>
          <w:tcPr>
            <w:tcW w:w="201" w:type="pct"/>
            <w:vMerge w:val="restart"/>
            <w:vAlign w:val="center"/>
          </w:tcPr>
          <w:p>
            <w:pPr>
              <w:jc w:val="center"/>
              <w:rPr>
                <w:szCs w:val="21"/>
              </w:rPr>
            </w:pPr>
            <w:r>
              <w:rPr>
                <w:szCs w:val="21"/>
              </w:rPr>
              <w:t>45</w:t>
            </w:r>
          </w:p>
        </w:tc>
        <w:tc>
          <w:tcPr>
            <w:tcW w:w="201" w:type="pct"/>
            <w:vMerge w:val="restart"/>
            <w:vAlign w:val="center"/>
          </w:tcPr>
          <w:p>
            <w:pPr>
              <w:jc w:val="center"/>
              <w:rPr>
                <w:szCs w:val="21"/>
              </w:rPr>
            </w:pPr>
            <w:r>
              <w:rPr>
                <w:szCs w:val="21"/>
              </w:rPr>
              <w:t>75</w:t>
            </w:r>
          </w:p>
        </w:tc>
        <w:tc>
          <w:tcPr>
            <w:tcW w:w="203" w:type="pct"/>
            <w:vMerge w:val="restart"/>
            <w:vAlign w:val="center"/>
          </w:tcPr>
          <w:p>
            <w:pPr>
              <w:jc w:val="center"/>
              <w:rPr>
                <w:szCs w:val="21"/>
              </w:rPr>
            </w:pPr>
            <w:r>
              <w:rPr>
                <w:szCs w:val="21"/>
              </w:rPr>
              <w:t>0.3</w:t>
            </w:r>
          </w:p>
        </w:tc>
        <w:tc>
          <w:tcPr>
            <w:tcW w:w="302" w:type="pct"/>
            <w:vAlign w:val="center"/>
          </w:tcPr>
          <w:p>
            <w:pPr>
              <w:jc w:val="center"/>
              <w:rPr>
                <w:szCs w:val="21"/>
              </w:rPr>
            </w:pPr>
            <w:r>
              <w:rPr>
                <w:szCs w:val="21"/>
              </w:rPr>
              <w:t>东 3</w:t>
            </w:r>
          </w:p>
        </w:tc>
        <w:tc>
          <w:tcPr>
            <w:tcW w:w="307" w:type="pct"/>
            <w:vAlign w:val="center"/>
          </w:tcPr>
          <w:p>
            <w:pPr>
              <w:jc w:val="center"/>
              <w:rPr>
                <w:szCs w:val="21"/>
              </w:rPr>
            </w:pPr>
            <w:r>
              <w:rPr>
                <w:szCs w:val="21"/>
              </w:rPr>
              <w:t>55.5</w:t>
            </w:r>
          </w:p>
        </w:tc>
        <w:tc>
          <w:tcPr>
            <w:tcW w:w="246" w:type="pct"/>
            <w:vMerge w:val="restart"/>
            <w:vAlign w:val="center"/>
          </w:tcPr>
          <w:p>
            <w:pPr>
              <w:contextualSpacing/>
              <w:jc w:val="center"/>
              <w:textAlignment w:val="baseline"/>
              <w:rPr>
                <w:szCs w:val="21"/>
              </w:rPr>
            </w:pPr>
            <w:r>
              <w:rPr>
                <w:szCs w:val="21"/>
              </w:rPr>
              <w:t>昼夜全时段</w:t>
            </w:r>
          </w:p>
        </w:tc>
        <w:tc>
          <w:tcPr>
            <w:tcW w:w="405" w:type="pct"/>
            <w:vMerge w:val="restart"/>
            <w:vAlign w:val="center"/>
          </w:tcPr>
          <w:p>
            <w:pPr>
              <w:contextualSpacing/>
              <w:jc w:val="center"/>
              <w:textAlignment w:val="baseline"/>
              <w:rPr>
                <w:kern w:val="0"/>
                <w:szCs w:val="21"/>
              </w:rPr>
            </w:pPr>
            <w:r>
              <w:rPr>
                <w:kern w:val="0"/>
                <w:szCs w:val="21"/>
              </w:rPr>
              <w:t>6</w:t>
            </w:r>
          </w:p>
        </w:tc>
        <w:tc>
          <w:tcPr>
            <w:tcW w:w="354" w:type="pct"/>
            <w:vAlign w:val="center"/>
          </w:tcPr>
          <w:p>
            <w:pPr>
              <w:jc w:val="center"/>
              <w:rPr>
                <w:szCs w:val="21"/>
              </w:rPr>
            </w:pPr>
            <w:r>
              <w:rPr>
                <w:szCs w:val="21"/>
              </w:rPr>
              <w:t>49.5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南 3</w:t>
            </w:r>
          </w:p>
        </w:tc>
        <w:tc>
          <w:tcPr>
            <w:tcW w:w="307" w:type="pct"/>
            <w:vAlign w:val="center"/>
          </w:tcPr>
          <w:p>
            <w:pPr>
              <w:jc w:val="center"/>
              <w:rPr>
                <w:szCs w:val="21"/>
              </w:rPr>
            </w:pPr>
            <w:r>
              <w:rPr>
                <w:szCs w:val="21"/>
              </w:rPr>
              <w:t>55.5</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49.5</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西 4</w:t>
            </w:r>
          </w:p>
        </w:tc>
        <w:tc>
          <w:tcPr>
            <w:tcW w:w="307" w:type="pct"/>
            <w:vAlign w:val="center"/>
          </w:tcPr>
          <w:p>
            <w:pPr>
              <w:jc w:val="center"/>
              <w:rPr>
                <w:szCs w:val="21"/>
              </w:rPr>
            </w:pPr>
            <w:r>
              <w:rPr>
                <w:szCs w:val="21"/>
              </w:rPr>
              <w:t>53</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47</w:t>
            </w:r>
          </w:p>
        </w:tc>
        <w:tc>
          <w:tcPr>
            <w:tcW w:w="363" w:type="pct"/>
            <w:vAlign w:val="center"/>
          </w:tcPr>
          <w:p>
            <w:pPr>
              <w:contextualSpacing/>
              <w:jc w:val="center"/>
              <w:textAlignment w:val="baseline"/>
              <w:rPr>
                <w:kern w:val="0"/>
                <w:szCs w:val="21"/>
              </w:rPr>
            </w:pPr>
            <w:r>
              <w:rPr>
                <w:kern w:val="0"/>
                <w:szCs w:val="21"/>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contextualSpacing/>
              <w:jc w:val="center"/>
              <w:textAlignment w:val="baseline"/>
              <w:rPr>
                <w:kern w:val="0"/>
                <w:szCs w:val="21"/>
              </w:rPr>
            </w:pPr>
          </w:p>
        </w:tc>
        <w:tc>
          <w:tcPr>
            <w:tcW w:w="257" w:type="pct"/>
            <w:vMerge w:val="continue"/>
            <w:vAlign w:val="center"/>
          </w:tcPr>
          <w:p>
            <w:pPr>
              <w:contextualSpacing/>
              <w:jc w:val="center"/>
              <w:textAlignment w:val="baseline"/>
              <w:rPr>
                <w:kern w:val="0"/>
                <w:szCs w:val="21"/>
              </w:rPr>
            </w:pPr>
          </w:p>
        </w:tc>
        <w:tc>
          <w:tcPr>
            <w:tcW w:w="321" w:type="pct"/>
            <w:vMerge w:val="continue"/>
            <w:vAlign w:val="center"/>
          </w:tcPr>
          <w:p>
            <w:pPr>
              <w:contextualSpacing/>
              <w:jc w:val="center"/>
              <w:textAlignment w:val="baseline"/>
              <w:rPr>
                <w:szCs w:val="21"/>
              </w:rPr>
            </w:pPr>
          </w:p>
        </w:tc>
        <w:tc>
          <w:tcPr>
            <w:tcW w:w="477" w:type="pct"/>
            <w:vMerge w:val="continue"/>
            <w:vAlign w:val="center"/>
          </w:tcPr>
          <w:p>
            <w:pPr>
              <w:contextualSpacing/>
              <w:jc w:val="center"/>
              <w:textAlignment w:val="baseline"/>
              <w:rPr>
                <w:szCs w:val="21"/>
              </w:rPr>
            </w:pPr>
          </w:p>
        </w:tc>
        <w:tc>
          <w:tcPr>
            <w:tcW w:w="261" w:type="pct"/>
            <w:vMerge w:val="continue"/>
            <w:vAlign w:val="center"/>
          </w:tcPr>
          <w:p>
            <w:pPr>
              <w:contextualSpacing/>
              <w:jc w:val="center"/>
              <w:textAlignment w:val="baseline"/>
              <w:rPr>
                <w:szCs w:val="21"/>
              </w:rPr>
            </w:pPr>
          </w:p>
        </w:tc>
        <w:tc>
          <w:tcPr>
            <w:tcW w:w="269" w:type="pct"/>
            <w:vMerge w:val="continue"/>
            <w:vAlign w:val="center"/>
          </w:tcPr>
          <w:p>
            <w:pPr>
              <w:jc w:val="center"/>
              <w:rPr>
                <w:szCs w:val="21"/>
              </w:rPr>
            </w:pPr>
          </w:p>
        </w:tc>
        <w:tc>
          <w:tcPr>
            <w:tcW w:w="337" w:type="pct"/>
            <w:vMerge w:val="continue"/>
            <w:vAlign w:val="center"/>
          </w:tcPr>
          <w:p>
            <w:pPr>
              <w:jc w:val="center"/>
              <w:rPr>
                <w:szCs w:val="21"/>
              </w:rPr>
            </w:pPr>
          </w:p>
        </w:tc>
        <w:tc>
          <w:tcPr>
            <w:tcW w:w="337" w:type="pct"/>
            <w:vMerge w:val="continue"/>
            <w:vAlign w:val="center"/>
          </w:tcPr>
          <w:p>
            <w:pPr>
              <w:contextualSpacing/>
              <w:jc w:val="center"/>
              <w:textAlignment w:val="baseline"/>
              <w:rPr>
                <w:kern w:val="0"/>
                <w:szCs w:val="21"/>
              </w:rPr>
            </w:pPr>
          </w:p>
        </w:tc>
        <w:tc>
          <w:tcPr>
            <w:tcW w:w="201" w:type="pct"/>
            <w:vMerge w:val="continue"/>
            <w:vAlign w:val="center"/>
          </w:tcPr>
          <w:p>
            <w:pPr>
              <w:jc w:val="center"/>
              <w:rPr>
                <w:szCs w:val="21"/>
                <w:highlight w:val="yellow"/>
              </w:rPr>
            </w:pPr>
          </w:p>
        </w:tc>
        <w:tc>
          <w:tcPr>
            <w:tcW w:w="201" w:type="pct"/>
            <w:vMerge w:val="continue"/>
            <w:vAlign w:val="center"/>
          </w:tcPr>
          <w:p>
            <w:pPr>
              <w:jc w:val="center"/>
              <w:rPr>
                <w:szCs w:val="21"/>
                <w:highlight w:val="yellow"/>
              </w:rPr>
            </w:pPr>
          </w:p>
        </w:tc>
        <w:tc>
          <w:tcPr>
            <w:tcW w:w="203" w:type="pct"/>
            <w:vMerge w:val="continue"/>
            <w:vAlign w:val="center"/>
          </w:tcPr>
          <w:p>
            <w:pPr>
              <w:jc w:val="center"/>
              <w:rPr>
                <w:szCs w:val="21"/>
                <w:highlight w:val="yellow"/>
              </w:rPr>
            </w:pPr>
          </w:p>
        </w:tc>
        <w:tc>
          <w:tcPr>
            <w:tcW w:w="302" w:type="pct"/>
            <w:vAlign w:val="center"/>
          </w:tcPr>
          <w:p>
            <w:pPr>
              <w:jc w:val="center"/>
              <w:rPr>
                <w:szCs w:val="21"/>
              </w:rPr>
            </w:pPr>
            <w:r>
              <w:rPr>
                <w:szCs w:val="21"/>
              </w:rPr>
              <w:t>北 4</w:t>
            </w:r>
          </w:p>
        </w:tc>
        <w:tc>
          <w:tcPr>
            <w:tcW w:w="307" w:type="pct"/>
            <w:vAlign w:val="center"/>
          </w:tcPr>
          <w:p>
            <w:pPr>
              <w:jc w:val="center"/>
              <w:rPr>
                <w:szCs w:val="21"/>
              </w:rPr>
            </w:pPr>
            <w:r>
              <w:rPr>
                <w:szCs w:val="21"/>
              </w:rPr>
              <w:t>53</w:t>
            </w:r>
          </w:p>
        </w:tc>
        <w:tc>
          <w:tcPr>
            <w:tcW w:w="246" w:type="pct"/>
            <w:vMerge w:val="continue"/>
            <w:vAlign w:val="center"/>
          </w:tcPr>
          <w:p>
            <w:pPr>
              <w:contextualSpacing/>
              <w:jc w:val="center"/>
              <w:textAlignment w:val="baseline"/>
              <w:rPr>
                <w:szCs w:val="21"/>
              </w:rPr>
            </w:pPr>
          </w:p>
        </w:tc>
        <w:tc>
          <w:tcPr>
            <w:tcW w:w="405" w:type="pct"/>
            <w:vMerge w:val="continue"/>
            <w:vAlign w:val="center"/>
          </w:tcPr>
          <w:p>
            <w:pPr>
              <w:contextualSpacing/>
              <w:jc w:val="center"/>
              <w:textAlignment w:val="baseline"/>
              <w:rPr>
                <w:kern w:val="0"/>
                <w:szCs w:val="21"/>
              </w:rPr>
            </w:pPr>
          </w:p>
        </w:tc>
        <w:tc>
          <w:tcPr>
            <w:tcW w:w="354" w:type="pct"/>
            <w:vAlign w:val="center"/>
          </w:tcPr>
          <w:p>
            <w:pPr>
              <w:jc w:val="center"/>
              <w:rPr>
                <w:szCs w:val="21"/>
              </w:rPr>
            </w:pPr>
            <w:r>
              <w:rPr>
                <w:szCs w:val="21"/>
              </w:rPr>
              <w:t>47</w:t>
            </w:r>
          </w:p>
        </w:tc>
        <w:tc>
          <w:tcPr>
            <w:tcW w:w="363" w:type="pct"/>
            <w:vAlign w:val="center"/>
          </w:tcPr>
          <w:p>
            <w:pPr>
              <w:contextualSpacing/>
              <w:jc w:val="center"/>
              <w:textAlignment w:val="baseline"/>
              <w:rPr>
                <w:kern w:val="0"/>
                <w:szCs w:val="21"/>
              </w:rPr>
            </w:pPr>
            <w:r>
              <w:rPr>
                <w:kern w:val="0"/>
                <w:szCs w:val="21"/>
              </w:rPr>
              <w:t>1m</w:t>
            </w:r>
          </w:p>
        </w:tc>
      </w:tr>
    </w:tbl>
    <w:p>
      <w:pPr>
        <w:spacing w:line="520" w:lineRule="exact"/>
        <w:ind w:firstLine="480" w:firstLineChars="200"/>
        <w:rPr>
          <w:sz w:val="24"/>
          <w:szCs w:val="24"/>
        </w:rPr>
        <w:sectPr>
          <w:pgSz w:w="16838" w:h="11906" w:orient="landscape"/>
          <w:pgMar w:top="1588" w:right="1701" w:bottom="1588" w:left="1701" w:header="851" w:footer="777" w:gutter="0"/>
          <w:cols w:space="720" w:num="1"/>
          <w:docGrid w:type="lines" w:linePitch="312" w:charSpace="0"/>
        </w:sectPr>
      </w:pPr>
      <w:r>
        <w:rPr>
          <w:rFonts w:hint="eastAsia"/>
          <w:sz w:val="24"/>
          <w:szCs w:val="24"/>
        </w:rPr>
        <w:t>根据上表，本项目各类高噪声设备源强为8</w:t>
      </w:r>
      <w:r>
        <w:rPr>
          <w:sz w:val="24"/>
          <w:szCs w:val="24"/>
        </w:rPr>
        <w:t>0</w:t>
      </w:r>
      <w:r>
        <w:rPr>
          <w:rFonts w:hint="eastAsia"/>
          <w:sz w:val="24"/>
          <w:szCs w:val="24"/>
        </w:rPr>
        <w:t>~</w:t>
      </w:r>
      <w:r>
        <w:rPr>
          <w:sz w:val="24"/>
          <w:szCs w:val="24"/>
        </w:rPr>
        <w:t>90dB(A)</w:t>
      </w:r>
      <w:r>
        <w:rPr>
          <w:rFonts w:hint="eastAsia"/>
          <w:sz w:val="24"/>
          <w:szCs w:val="24"/>
        </w:rPr>
        <w:t>，经减振、隔声等措施治理后，</w:t>
      </w:r>
      <w:r>
        <w:rPr>
          <w:sz w:val="24"/>
          <w:szCs w:val="24"/>
        </w:rPr>
        <w:t>各厂界噪声均能够达到《工业企业厂界环境噪声排放标准》（GB12348-2008）3类昼间65dB(A)、夜间55dB(A)标准的要求。</w:t>
      </w:r>
    </w:p>
    <w:p>
      <w:pPr>
        <w:spacing w:line="520" w:lineRule="exact"/>
        <w:ind w:firstLine="482" w:firstLineChars="200"/>
        <w:outlineLvl w:val="4"/>
        <w:rPr>
          <w:b/>
          <w:bCs/>
          <w:sz w:val="24"/>
          <w:szCs w:val="24"/>
        </w:rPr>
      </w:pPr>
      <w:r>
        <w:rPr>
          <w:rFonts w:hint="eastAsia"/>
          <w:b/>
          <w:bCs/>
          <w:sz w:val="24"/>
          <w:szCs w:val="24"/>
        </w:rPr>
        <w:t>四、</w:t>
      </w:r>
      <w:r>
        <w:rPr>
          <w:b/>
          <w:bCs/>
          <w:sz w:val="24"/>
          <w:szCs w:val="24"/>
        </w:rPr>
        <w:t>固废</w:t>
      </w:r>
    </w:p>
    <w:p>
      <w:pPr>
        <w:spacing w:line="520" w:lineRule="exact"/>
        <w:ind w:firstLine="480" w:firstLineChars="200"/>
        <w:rPr>
          <w:sz w:val="24"/>
          <w:szCs w:val="24"/>
        </w:rPr>
      </w:pPr>
      <w:r>
        <w:rPr>
          <w:sz w:val="24"/>
          <w:szCs w:val="24"/>
        </w:rPr>
        <w:t>营运期产生的固体废物的主要有：</w:t>
      </w:r>
      <w:r>
        <w:rPr>
          <w:rFonts w:hint="eastAsia"/>
          <w:sz w:val="24"/>
          <w:szCs w:val="24"/>
        </w:rPr>
        <w:t>格栅和超微过滤机产生的废渣</w:t>
      </w:r>
      <w:r>
        <w:rPr>
          <w:sz w:val="24"/>
          <w:szCs w:val="24"/>
        </w:rPr>
        <w:t>、</w:t>
      </w:r>
      <w:r>
        <w:rPr>
          <w:rFonts w:hint="eastAsia"/>
          <w:sz w:val="24"/>
          <w:szCs w:val="24"/>
        </w:rPr>
        <w:t>污泥脱水后的污泥</w:t>
      </w:r>
      <w:r>
        <w:rPr>
          <w:sz w:val="24"/>
          <w:szCs w:val="24"/>
        </w:rPr>
        <w:t>。</w:t>
      </w:r>
    </w:p>
    <w:p>
      <w:pPr>
        <w:spacing w:line="520" w:lineRule="exact"/>
        <w:ind w:firstLine="480" w:firstLineChars="200"/>
        <w:rPr>
          <w:sz w:val="24"/>
          <w:szCs w:val="24"/>
        </w:rPr>
      </w:pPr>
      <w:r>
        <w:rPr>
          <w:rFonts w:hint="eastAsia"/>
          <w:sz w:val="24"/>
          <w:szCs w:val="24"/>
        </w:rPr>
        <w:t>（1）废渣</w:t>
      </w:r>
    </w:p>
    <w:p>
      <w:pPr>
        <w:spacing w:line="520" w:lineRule="exact"/>
        <w:ind w:firstLine="480" w:firstLineChars="200"/>
        <w:rPr>
          <w:sz w:val="24"/>
          <w:szCs w:val="24"/>
        </w:rPr>
      </w:pPr>
      <w:r>
        <w:rPr>
          <w:rFonts w:hint="eastAsia"/>
          <w:sz w:val="24"/>
          <w:szCs w:val="24"/>
        </w:rPr>
        <w:t>在预处理阶段，由格栅井分离出一定量的栅渣，主要是较大块状物、枝状物、软性物质和软塑料等粗细垃圾、悬浮物或漂浮状态的杂物，与生活垃圾成分相似。根据有关资料，格栅</w:t>
      </w:r>
      <w:r>
        <w:rPr>
          <w:sz w:val="24"/>
          <w:szCs w:val="24"/>
        </w:rPr>
        <w:t>渣系数按每1000m</w:t>
      </w:r>
      <w:r>
        <w:rPr>
          <w:sz w:val="24"/>
          <w:szCs w:val="24"/>
          <w:vertAlign w:val="superscript"/>
        </w:rPr>
        <w:t>3</w:t>
      </w:r>
      <w:r>
        <w:rPr>
          <w:sz w:val="24"/>
          <w:szCs w:val="24"/>
        </w:rPr>
        <w:t>污水产生0.</w:t>
      </w:r>
      <w:r>
        <w:rPr>
          <w:rFonts w:hint="eastAsia"/>
          <w:sz w:val="24"/>
          <w:szCs w:val="24"/>
        </w:rPr>
        <w:t>1</w:t>
      </w:r>
      <w:r>
        <w:rPr>
          <w:sz w:val="24"/>
          <w:szCs w:val="24"/>
        </w:rPr>
        <w:t>m</w:t>
      </w:r>
      <w:r>
        <w:rPr>
          <w:sz w:val="24"/>
          <w:szCs w:val="24"/>
          <w:vertAlign w:val="superscript"/>
        </w:rPr>
        <w:t>3</w:t>
      </w:r>
      <w:r>
        <w:rPr>
          <w:sz w:val="24"/>
          <w:szCs w:val="24"/>
        </w:rPr>
        <w:t>栅渣计算，</w:t>
      </w:r>
      <w:r>
        <w:rPr>
          <w:rFonts w:hint="eastAsia"/>
          <w:sz w:val="24"/>
          <w:szCs w:val="24"/>
        </w:rPr>
        <w:t>含水率一般为80%，</w:t>
      </w:r>
      <w:r>
        <w:rPr>
          <w:sz w:val="24"/>
          <w:szCs w:val="24"/>
        </w:rPr>
        <w:t>容重为960kg/m</w:t>
      </w:r>
      <w:r>
        <w:rPr>
          <w:sz w:val="24"/>
          <w:szCs w:val="24"/>
          <w:vertAlign w:val="superscript"/>
        </w:rPr>
        <w:t>3</w:t>
      </w:r>
      <w:r>
        <w:rPr>
          <w:rFonts w:hint="eastAsia"/>
          <w:sz w:val="24"/>
          <w:szCs w:val="24"/>
        </w:rPr>
        <w:t>，按此计算，本工程</w:t>
      </w:r>
      <w:r>
        <w:rPr>
          <w:sz w:val="24"/>
          <w:szCs w:val="24"/>
        </w:rPr>
        <w:t>栅渣产生量为0.</w:t>
      </w:r>
      <w:r>
        <w:rPr>
          <w:rFonts w:hint="eastAsia"/>
          <w:sz w:val="24"/>
          <w:szCs w:val="24"/>
        </w:rPr>
        <w:t>192</w:t>
      </w:r>
      <w:r>
        <w:rPr>
          <w:sz w:val="24"/>
          <w:szCs w:val="24"/>
        </w:rPr>
        <w:t>t/d</w:t>
      </w:r>
      <w:r>
        <w:rPr>
          <w:rFonts w:hint="eastAsia"/>
          <w:sz w:val="24"/>
          <w:szCs w:val="24"/>
        </w:rPr>
        <w:t>（含水率80%）</w:t>
      </w:r>
      <w:r>
        <w:rPr>
          <w:sz w:val="24"/>
          <w:szCs w:val="24"/>
        </w:rPr>
        <w:t>，</w:t>
      </w:r>
      <w:r>
        <w:rPr>
          <w:rFonts w:hint="eastAsia"/>
          <w:sz w:val="24"/>
          <w:szCs w:val="24"/>
        </w:rPr>
        <w:t>70.08</w:t>
      </w:r>
      <w:r>
        <w:rPr>
          <w:sz w:val="24"/>
          <w:szCs w:val="24"/>
        </w:rPr>
        <w:t>t/a</w:t>
      </w:r>
      <w:r>
        <w:rPr>
          <w:rFonts w:hint="eastAsia"/>
          <w:sz w:val="24"/>
          <w:szCs w:val="24"/>
        </w:rPr>
        <w:t>。</w:t>
      </w:r>
    </w:p>
    <w:p>
      <w:pPr>
        <w:spacing w:line="520" w:lineRule="exact"/>
        <w:ind w:firstLine="480" w:firstLineChars="200"/>
        <w:rPr>
          <w:sz w:val="24"/>
          <w:szCs w:val="24"/>
        </w:rPr>
      </w:pPr>
      <w:r>
        <w:rPr>
          <w:rFonts w:hint="eastAsia"/>
          <w:sz w:val="24"/>
          <w:szCs w:val="24"/>
        </w:rPr>
        <w:t>在预处理阶段，超微过滤机主要去除截留污水中大部分的细小的毛发和微小悬浮物。根据有关资料，超微过滤机可以去除污水中85%的悬浮物质。根据废水工程分析，污水处理站设计进水悬浮物量为1</w:t>
      </w:r>
      <w:r>
        <w:rPr>
          <w:sz w:val="24"/>
          <w:szCs w:val="24"/>
        </w:rPr>
        <w:t>095</w:t>
      </w:r>
      <w:r>
        <w:rPr>
          <w:rFonts w:hint="eastAsia"/>
          <w:sz w:val="24"/>
          <w:szCs w:val="24"/>
        </w:rPr>
        <w:t>t/a，则过滤废渣产生量为9</w:t>
      </w:r>
      <w:r>
        <w:rPr>
          <w:sz w:val="24"/>
          <w:szCs w:val="24"/>
        </w:rPr>
        <w:t>30.75</w:t>
      </w:r>
      <w:r>
        <w:rPr>
          <w:rFonts w:hint="eastAsia"/>
          <w:sz w:val="24"/>
          <w:szCs w:val="24"/>
        </w:rPr>
        <w:t>t/a。</w:t>
      </w:r>
    </w:p>
    <w:p>
      <w:pPr>
        <w:spacing w:line="520" w:lineRule="exact"/>
        <w:ind w:firstLine="480" w:firstLineChars="200"/>
        <w:rPr>
          <w:sz w:val="24"/>
          <w:szCs w:val="24"/>
        </w:rPr>
      </w:pPr>
      <w:r>
        <w:rPr>
          <w:rFonts w:hint="eastAsia"/>
          <w:sz w:val="24"/>
          <w:szCs w:val="24"/>
        </w:rPr>
        <w:t>格栅渣和过滤废渣在一般固废间暂存后经垃圾车拉走。一般固废间废气经负压收集引入</w:t>
      </w:r>
      <w:r>
        <w:rPr>
          <w:sz w:val="24"/>
          <w:szCs w:val="24"/>
        </w:rPr>
        <w:t>废气治理设施处理。</w:t>
      </w:r>
    </w:p>
    <w:p>
      <w:pPr>
        <w:spacing w:line="520" w:lineRule="exact"/>
        <w:ind w:firstLine="480" w:firstLineChars="200"/>
        <w:rPr>
          <w:sz w:val="24"/>
          <w:szCs w:val="24"/>
        </w:rPr>
      </w:pPr>
      <w:r>
        <w:rPr>
          <w:rFonts w:hint="eastAsia"/>
          <w:sz w:val="24"/>
          <w:szCs w:val="24"/>
        </w:rPr>
        <w:t>（2）污泥</w:t>
      </w:r>
    </w:p>
    <w:p>
      <w:pPr>
        <w:spacing w:line="520" w:lineRule="exact"/>
        <w:ind w:firstLine="480" w:firstLineChars="200"/>
        <w:rPr>
          <w:sz w:val="24"/>
          <w:szCs w:val="24"/>
        </w:rPr>
      </w:pPr>
      <w:r>
        <w:rPr>
          <w:sz w:val="24"/>
          <w:szCs w:val="24"/>
        </w:rPr>
        <w:t>根据《集中式污染治理设施产排污系数手册》（2010修订），</w:t>
      </w:r>
      <w:r>
        <w:rPr>
          <w:rFonts w:hint="eastAsia"/>
          <w:sz w:val="24"/>
          <w:szCs w:val="24"/>
        </w:rPr>
        <w:t>污泥产生量一般由物理污泥/生化污泥和化学污泥三部分组成。其中，工业废水集中处理设施核算污泥产生量可按下式计算：</w:t>
      </w:r>
    </w:p>
    <w:p>
      <w:pPr>
        <w:spacing w:line="520" w:lineRule="exact"/>
        <w:ind w:firstLine="480" w:firstLineChars="200"/>
        <w:rPr>
          <w:sz w:val="24"/>
          <w:szCs w:val="24"/>
        </w:rPr>
      </w:pPr>
      <w:r>
        <w:rPr>
          <w:sz w:val="24"/>
          <w:szCs w:val="24"/>
        </w:rPr>
        <w:object>
          <v:shape id="_x0000_i1028" o:spt="75" alt="" type="#_x0000_t75" style="height:21pt;width:91.85pt;" o:ole="t" filled="f" o:preferrelative="t" stroked="f" coordsize="21600,21600">
            <v:path/>
            <v:fill on="f" focussize="0,0"/>
            <v:stroke on="f"/>
            <v:imagedata r:id="rId50" o:title=""/>
            <o:lock v:ext="edit" aspectratio="t"/>
            <w10:wrap type="none"/>
            <w10:anchorlock/>
          </v:shape>
          <o:OLEObject Type="Embed" ProgID="Equation.KSEE3" ShapeID="_x0000_i1028" DrawAspect="Content" ObjectID="_1468075728" r:id="rId49">
            <o:LockedField>false</o:LockedField>
          </o:OLEObject>
        </w:object>
      </w:r>
    </w:p>
    <w:p>
      <w:pPr>
        <w:spacing w:line="520" w:lineRule="exact"/>
        <w:ind w:firstLine="480" w:firstLineChars="200"/>
        <w:rPr>
          <w:sz w:val="24"/>
          <w:szCs w:val="24"/>
        </w:rPr>
      </w:pPr>
      <w:r>
        <w:rPr>
          <w:rFonts w:hint="eastAsia"/>
          <w:sz w:val="24"/>
          <w:szCs w:val="24"/>
        </w:rPr>
        <w:t>式中：</w:t>
      </w:r>
    </w:p>
    <w:p>
      <w:pPr>
        <w:spacing w:line="520" w:lineRule="exact"/>
        <w:ind w:firstLine="480" w:firstLineChars="200"/>
        <w:rPr>
          <w:sz w:val="24"/>
          <w:szCs w:val="24"/>
        </w:rPr>
      </w:pPr>
      <w:r>
        <w:rPr>
          <w:sz w:val="24"/>
          <w:szCs w:val="24"/>
        </w:rPr>
        <w:t>S：污水处理厂含水率80%的污泥产生量，t/a；</w:t>
      </w:r>
    </w:p>
    <w:p>
      <w:pPr>
        <w:spacing w:line="520" w:lineRule="exact"/>
        <w:ind w:firstLine="480" w:firstLineChars="200"/>
        <w:rPr>
          <w:sz w:val="24"/>
          <w:szCs w:val="24"/>
        </w:rPr>
      </w:pPr>
      <w:r>
        <w:rPr>
          <w:sz w:val="24"/>
          <w:szCs w:val="24"/>
        </w:rPr>
        <w:t>K</w:t>
      </w:r>
      <w:r>
        <w:rPr>
          <w:sz w:val="24"/>
          <w:szCs w:val="24"/>
          <w:vertAlign w:val="subscript"/>
        </w:rPr>
        <w:t>4</w:t>
      </w:r>
      <w:r>
        <w:rPr>
          <w:sz w:val="24"/>
          <w:szCs w:val="24"/>
        </w:rPr>
        <w:t>：物理与生化污泥综合产生系数，t/万t--废水处理量，系数取值见《集中式污染治理设施产排污系数手册》（2010修订）中第一册“表4”，本项目取</w:t>
      </w:r>
      <w:r>
        <w:rPr>
          <w:rFonts w:hint="eastAsia"/>
          <w:sz w:val="24"/>
          <w:szCs w:val="24"/>
        </w:rPr>
        <w:t>食品</w:t>
      </w:r>
      <w:r>
        <w:rPr>
          <w:sz w:val="24"/>
          <w:szCs w:val="24"/>
        </w:rPr>
        <w:t>工业“6.7t/万t--废水处理量”；</w:t>
      </w:r>
    </w:p>
    <w:p>
      <w:pPr>
        <w:spacing w:line="520" w:lineRule="exact"/>
        <w:ind w:firstLine="480" w:firstLineChars="200"/>
        <w:rPr>
          <w:sz w:val="24"/>
          <w:szCs w:val="24"/>
        </w:rPr>
      </w:pPr>
      <w:r>
        <w:rPr>
          <w:sz w:val="24"/>
          <w:szCs w:val="24"/>
        </w:rPr>
        <w:t>Q：污水处理量，万t/a；</w:t>
      </w:r>
    </w:p>
    <w:p>
      <w:pPr>
        <w:spacing w:line="520" w:lineRule="exact"/>
        <w:ind w:firstLine="480" w:firstLineChars="200"/>
        <w:rPr>
          <w:sz w:val="24"/>
          <w:szCs w:val="24"/>
          <w:highlight w:val="yellow"/>
        </w:rPr>
      </w:pPr>
      <w:r>
        <w:rPr>
          <w:sz w:val="24"/>
          <w:szCs w:val="24"/>
        </w:rPr>
        <w:t>K</w:t>
      </w:r>
      <w:r>
        <w:rPr>
          <w:rFonts w:hint="eastAsia"/>
          <w:sz w:val="24"/>
          <w:szCs w:val="24"/>
          <w:vertAlign w:val="subscript"/>
        </w:rPr>
        <w:t>3</w:t>
      </w:r>
      <w:r>
        <w:rPr>
          <w:sz w:val="24"/>
          <w:szCs w:val="24"/>
        </w:rPr>
        <w:t>：化学污泥产生系数，t/t--絮凝剂使用量，系数取值见《集中式污染治理设施产排污系数手册》（2010修订）中第一册“表3”，即4.53t/t--絮凝剂使用量；</w:t>
      </w:r>
    </w:p>
    <w:p>
      <w:pPr>
        <w:spacing w:line="520" w:lineRule="exact"/>
        <w:ind w:firstLine="480" w:firstLineChars="200"/>
        <w:rPr>
          <w:sz w:val="24"/>
          <w:szCs w:val="24"/>
        </w:rPr>
      </w:pPr>
      <w:r>
        <w:rPr>
          <w:rFonts w:hint="eastAsia"/>
          <w:sz w:val="24"/>
          <w:szCs w:val="24"/>
        </w:rPr>
        <w:t>C：无机絮凝剂使用总量，t/a，本项目无机絮凝剂使用总量为1</w:t>
      </w:r>
      <w:r>
        <w:rPr>
          <w:sz w:val="24"/>
          <w:szCs w:val="24"/>
        </w:rPr>
        <w:t>57</w:t>
      </w:r>
      <w:r>
        <w:rPr>
          <w:rFonts w:hint="eastAsia"/>
          <w:sz w:val="24"/>
          <w:szCs w:val="24"/>
        </w:rPr>
        <w:t>t/a。</w:t>
      </w:r>
    </w:p>
    <w:p>
      <w:pPr>
        <w:spacing w:line="520" w:lineRule="exact"/>
        <w:ind w:firstLine="480" w:firstLineChars="200"/>
        <w:rPr>
          <w:sz w:val="24"/>
          <w:szCs w:val="24"/>
        </w:rPr>
      </w:pPr>
      <w:r>
        <w:rPr>
          <w:rFonts w:hint="eastAsia"/>
          <w:sz w:val="24"/>
          <w:szCs w:val="24"/>
        </w:rPr>
        <w:t>本项目污泥含水率为</w:t>
      </w:r>
      <w:r>
        <w:rPr>
          <w:sz w:val="24"/>
          <w:szCs w:val="24"/>
        </w:rPr>
        <w:t>8</w:t>
      </w:r>
      <w:r>
        <w:rPr>
          <w:rFonts w:hint="eastAsia"/>
          <w:sz w:val="24"/>
          <w:szCs w:val="24"/>
        </w:rPr>
        <w:t>0%，经计算本工程污泥产生量为</w:t>
      </w:r>
      <w:r>
        <w:rPr>
          <w:sz w:val="24"/>
          <w:szCs w:val="24"/>
        </w:rPr>
        <w:t>1113.21</w:t>
      </w:r>
      <w:r>
        <w:rPr>
          <w:rFonts w:hint="eastAsia"/>
          <w:sz w:val="24"/>
          <w:szCs w:val="24"/>
        </w:rPr>
        <w:t>t/a。</w:t>
      </w:r>
    </w:p>
    <w:p>
      <w:pPr>
        <w:spacing w:line="520" w:lineRule="exact"/>
        <w:ind w:firstLine="480" w:firstLineChars="200"/>
        <w:rPr>
          <w:sz w:val="24"/>
          <w:szCs w:val="24"/>
        </w:rPr>
      </w:pPr>
      <w:r>
        <w:rPr>
          <w:rFonts w:hint="eastAsia"/>
          <w:sz w:val="24"/>
          <w:szCs w:val="24"/>
        </w:rPr>
        <w:t>根据关于污（废）水处理设施产生污泥危险特性鉴别有关意见的函（环境保护部，环函〔2010〕129号），“专门处理工业废水（或同时处理少量生活污水）的处理设施产生的污泥，可能具有危险特性，结合本项目废水来源为预制菜创新孵化园入驻企业（主要为食品加工、预制菜生产加工及相关配套企业）产生的生产废水，生产废水不涉及重金属，污水处理涉及的原辅料不含有毒有害物质，故本项目产生污泥为一般固体废物，污泥暂存间</w:t>
      </w:r>
      <w:r>
        <w:rPr>
          <w:sz w:val="24"/>
          <w:szCs w:val="24"/>
        </w:rPr>
        <w:t>自然干化至含水率</w:t>
      </w:r>
      <w:r>
        <w:rPr>
          <w:rFonts w:hint="eastAsia"/>
          <w:sz w:val="24"/>
          <w:szCs w:val="24"/>
        </w:rPr>
        <w:t>达到要求</w:t>
      </w:r>
      <w:r>
        <w:rPr>
          <w:sz w:val="24"/>
          <w:szCs w:val="24"/>
        </w:rPr>
        <w:t>后运输</w:t>
      </w:r>
      <w:r>
        <w:rPr>
          <w:rFonts w:hint="eastAsia"/>
          <w:sz w:val="24"/>
          <w:szCs w:val="24"/>
        </w:rPr>
        <w:t>至污泥处置单位处置</w:t>
      </w:r>
      <w:r>
        <w:rPr>
          <w:sz w:val="24"/>
          <w:szCs w:val="24"/>
        </w:rPr>
        <w:t>。</w:t>
      </w:r>
      <w:r>
        <w:rPr>
          <w:rFonts w:hint="eastAsia"/>
          <w:sz w:val="24"/>
          <w:szCs w:val="24"/>
        </w:rPr>
        <w:t>污泥暂存间</w:t>
      </w:r>
      <w:r>
        <w:rPr>
          <w:sz w:val="24"/>
          <w:szCs w:val="24"/>
        </w:rPr>
        <w:t>废气经负压收集引入废气治理设施处理。</w:t>
      </w:r>
    </w:p>
    <w:p>
      <w:pPr>
        <w:spacing w:line="520" w:lineRule="exact"/>
        <w:ind w:firstLine="480" w:firstLineChars="200"/>
        <w:rPr>
          <w:sz w:val="24"/>
          <w:szCs w:val="24"/>
        </w:rPr>
      </w:pPr>
      <w:r>
        <w:rPr>
          <w:rFonts w:hint="eastAsia"/>
          <w:sz w:val="24"/>
          <w:szCs w:val="24"/>
        </w:rPr>
        <w:t>本项目固体废物产排情况和处理措施见下表。</w:t>
      </w:r>
    </w:p>
    <w:p>
      <w:pPr>
        <w:spacing w:before="120" w:beforeLines="50"/>
        <w:ind w:firstLine="480" w:firstLineChars="200"/>
        <w:rPr>
          <w:rFonts w:hAnsi="黑体" w:eastAsia="黑体"/>
          <w:bCs/>
          <w:color w:val="000000"/>
          <w:sz w:val="24"/>
        </w:rPr>
      </w:pPr>
      <w:r>
        <w:rPr>
          <w:rFonts w:hAnsi="黑体" w:eastAsia="黑体"/>
          <w:bCs/>
          <w:color w:val="000000"/>
          <w:sz w:val="24"/>
        </w:rPr>
        <w:t>表3.1-30            固废产生情况及处置措施</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711"/>
        <w:gridCol w:w="1296"/>
        <w:gridCol w:w="1296"/>
        <w:gridCol w:w="1151"/>
        <w:gridCol w:w="1439"/>
        <w:gridCol w:w="29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9" w:type="dxa"/>
            <w:vAlign w:val="center"/>
          </w:tcPr>
          <w:p>
            <w:pPr>
              <w:jc w:val="center"/>
              <w:rPr>
                <w:b/>
                <w:szCs w:val="21"/>
              </w:rPr>
            </w:pPr>
            <w:r>
              <w:rPr>
                <w:rFonts w:hint="eastAsia"/>
                <w:b/>
                <w:szCs w:val="21"/>
              </w:rPr>
              <w:t>序号</w:t>
            </w:r>
          </w:p>
        </w:tc>
        <w:tc>
          <w:tcPr>
            <w:tcW w:w="1276" w:type="dxa"/>
            <w:vAlign w:val="center"/>
          </w:tcPr>
          <w:p>
            <w:pPr>
              <w:jc w:val="center"/>
              <w:rPr>
                <w:b/>
                <w:szCs w:val="21"/>
              </w:rPr>
            </w:pPr>
            <w:r>
              <w:rPr>
                <w:b/>
                <w:szCs w:val="21"/>
              </w:rPr>
              <w:t>排放源</w:t>
            </w:r>
          </w:p>
        </w:tc>
        <w:tc>
          <w:tcPr>
            <w:tcW w:w="1276" w:type="dxa"/>
            <w:vAlign w:val="center"/>
          </w:tcPr>
          <w:p>
            <w:pPr>
              <w:jc w:val="center"/>
              <w:rPr>
                <w:b/>
                <w:szCs w:val="21"/>
              </w:rPr>
            </w:pPr>
            <w:r>
              <w:rPr>
                <w:b/>
                <w:szCs w:val="21"/>
              </w:rPr>
              <w:t>固废名称</w:t>
            </w:r>
          </w:p>
        </w:tc>
        <w:tc>
          <w:tcPr>
            <w:tcW w:w="1134" w:type="dxa"/>
            <w:vAlign w:val="center"/>
          </w:tcPr>
          <w:p>
            <w:pPr>
              <w:jc w:val="center"/>
              <w:rPr>
                <w:b/>
                <w:szCs w:val="21"/>
              </w:rPr>
            </w:pPr>
            <w:r>
              <w:rPr>
                <w:b/>
                <w:szCs w:val="21"/>
              </w:rPr>
              <w:t>固废性质</w:t>
            </w:r>
          </w:p>
        </w:tc>
        <w:tc>
          <w:tcPr>
            <w:tcW w:w="1417" w:type="dxa"/>
            <w:vAlign w:val="center"/>
          </w:tcPr>
          <w:p>
            <w:pPr>
              <w:jc w:val="center"/>
              <w:rPr>
                <w:b/>
                <w:szCs w:val="21"/>
              </w:rPr>
            </w:pPr>
            <w:r>
              <w:rPr>
                <w:b/>
                <w:szCs w:val="21"/>
              </w:rPr>
              <w:t>产生量（t/a）</w:t>
            </w:r>
          </w:p>
        </w:tc>
        <w:tc>
          <w:tcPr>
            <w:tcW w:w="2908" w:type="dxa"/>
            <w:vAlign w:val="center"/>
          </w:tcPr>
          <w:p>
            <w:pPr>
              <w:jc w:val="center"/>
              <w:rPr>
                <w:b/>
                <w:szCs w:val="21"/>
              </w:rPr>
            </w:pPr>
            <w:r>
              <w:rPr>
                <w:b/>
                <w:szCs w:val="21"/>
              </w:rPr>
              <w:t>处理措施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9" w:type="dxa"/>
            <w:vAlign w:val="center"/>
          </w:tcPr>
          <w:p>
            <w:pPr>
              <w:contextualSpacing/>
              <w:jc w:val="center"/>
              <w:textAlignment w:val="baseline"/>
              <w:rPr>
                <w:kern w:val="0"/>
                <w:szCs w:val="21"/>
              </w:rPr>
            </w:pPr>
            <w:r>
              <w:rPr>
                <w:rFonts w:hint="eastAsia"/>
                <w:kern w:val="0"/>
                <w:szCs w:val="21"/>
              </w:rPr>
              <w:t>1</w:t>
            </w:r>
          </w:p>
        </w:tc>
        <w:tc>
          <w:tcPr>
            <w:tcW w:w="1276" w:type="dxa"/>
            <w:vAlign w:val="center"/>
          </w:tcPr>
          <w:p>
            <w:pPr>
              <w:contextualSpacing/>
              <w:jc w:val="center"/>
              <w:textAlignment w:val="baseline"/>
              <w:rPr>
                <w:kern w:val="0"/>
                <w:szCs w:val="21"/>
                <w:highlight w:val="yellow"/>
              </w:rPr>
            </w:pPr>
            <w:r>
              <w:rPr>
                <w:rFonts w:hint="eastAsia"/>
                <w:kern w:val="0"/>
                <w:szCs w:val="21"/>
              </w:rPr>
              <w:t>污泥脱水</w:t>
            </w:r>
          </w:p>
        </w:tc>
        <w:tc>
          <w:tcPr>
            <w:tcW w:w="1276" w:type="dxa"/>
            <w:vAlign w:val="center"/>
          </w:tcPr>
          <w:p>
            <w:pPr>
              <w:contextualSpacing/>
              <w:jc w:val="center"/>
              <w:textAlignment w:val="baseline"/>
              <w:rPr>
                <w:kern w:val="0"/>
                <w:szCs w:val="21"/>
                <w:highlight w:val="yellow"/>
              </w:rPr>
            </w:pPr>
            <w:r>
              <w:rPr>
                <w:rFonts w:hint="eastAsia"/>
                <w:kern w:val="0"/>
                <w:szCs w:val="21"/>
              </w:rPr>
              <w:t>污泥</w:t>
            </w:r>
          </w:p>
        </w:tc>
        <w:tc>
          <w:tcPr>
            <w:tcW w:w="1134" w:type="dxa"/>
            <w:vAlign w:val="center"/>
          </w:tcPr>
          <w:p>
            <w:pPr>
              <w:jc w:val="center"/>
              <w:rPr>
                <w:szCs w:val="21"/>
                <w:highlight w:val="yellow"/>
              </w:rPr>
            </w:pPr>
            <w:r>
              <w:rPr>
                <w:szCs w:val="21"/>
              </w:rPr>
              <w:t>一般固废</w:t>
            </w:r>
          </w:p>
        </w:tc>
        <w:tc>
          <w:tcPr>
            <w:tcW w:w="1417" w:type="dxa"/>
            <w:vAlign w:val="center"/>
          </w:tcPr>
          <w:p>
            <w:pPr>
              <w:jc w:val="center"/>
              <w:rPr>
                <w:szCs w:val="21"/>
                <w:highlight w:val="yellow"/>
              </w:rPr>
            </w:pPr>
            <w:r>
              <w:rPr>
                <w:szCs w:val="21"/>
              </w:rPr>
              <w:t>1113.21</w:t>
            </w:r>
          </w:p>
        </w:tc>
        <w:tc>
          <w:tcPr>
            <w:tcW w:w="2908" w:type="dxa"/>
            <w:vAlign w:val="center"/>
          </w:tcPr>
          <w:p>
            <w:pPr>
              <w:contextualSpacing/>
              <w:jc w:val="center"/>
              <w:textAlignment w:val="baseline"/>
              <w:rPr>
                <w:kern w:val="0"/>
                <w:szCs w:val="21"/>
              </w:rPr>
            </w:pPr>
            <w:r>
              <w:rPr>
                <w:rFonts w:hint="eastAsia"/>
                <w:kern w:val="0"/>
                <w:szCs w:val="21"/>
              </w:rPr>
              <w:t>污泥暂存间暂存后交由污泥处置单位处置。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9" w:type="dxa"/>
            <w:vMerge w:val="restart"/>
            <w:vAlign w:val="center"/>
          </w:tcPr>
          <w:p>
            <w:pPr>
              <w:contextualSpacing/>
              <w:jc w:val="center"/>
              <w:textAlignment w:val="baseline"/>
              <w:rPr>
                <w:kern w:val="0"/>
                <w:szCs w:val="21"/>
              </w:rPr>
            </w:pPr>
            <w:r>
              <w:rPr>
                <w:rFonts w:hint="eastAsia"/>
                <w:kern w:val="0"/>
                <w:szCs w:val="21"/>
              </w:rPr>
              <w:t>2</w:t>
            </w:r>
          </w:p>
        </w:tc>
        <w:tc>
          <w:tcPr>
            <w:tcW w:w="1276" w:type="dxa"/>
            <w:vMerge w:val="restart"/>
            <w:vAlign w:val="center"/>
          </w:tcPr>
          <w:p>
            <w:pPr>
              <w:contextualSpacing/>
              <w:jc w:val="center"/>
              <w:textAlignment w:val="baseline"/>
              <w:rPr>
                <w:kern w:val="0"/>
                <w:szCs w:val="21"/>
              </w:rPr>
            </w:pPr>
            <w:r>
              <w:rPr>
                <w:rFonts w:hint="eastAsia"/>
                <w:kern w:val="0"/>
                <w:szCs w:val="21"/>
              </w:rPr>
              <w:t>污水处理站</w:t>
            </w:r>
          </w:p>
        </w:tc>
        <w:tc>
          <w:tcPr>
            <w:tcW w:w="1276" w:type="dxa"/>
            <w:vAlign w:val="center"/>
          </w:tcPr>
          <w:p>
            <w:pPr>
              <w:contextualSpacing/>
              <w:jc w:val="center"/>
              <w:textAlignment w:val="baseline"/>
              <w:rPr>
                <w:kern w:val="0"/>
                <w:szCs w:val="21"/>
              </w:rPr>
            </w:pPr>
            <w:r>
              <w:rPr>
                <w:rFonts w:hint="eastAsia"/>
                <w:kern w:val="0"/>
                <w:szCs w:val="21"/>
              </w:rPr>
              <w:t>格</w:t>
            </w:r>
            <w:r>
              <w:rPr>
                <w:kern w:val="0"/>
                <w:szCs w:val="21"/>
              </w:rPr>
              <w:t>栅渣</w:t>
            </w:r>
          </w:p>
        </w:tc>
        <w:tc>
          <w:tcPr>
            <w:tcW w:w="1134" w:type="dxa"/>
            <w:vAlign w:val="center"/>
          </w:tcPr>
          <w:p>
            <w:pPr>
              <w:jc w:val="center"/>
              <w:rPr>
                <w:szCs w:val="21"/>
              </w:rPr>
            </w:pPr>
            <w:r>
              <w:rPr>
                <w:szCs w:val="21"/>
              </w:rPr>
              <w:t>一般固废</w:t>
            </w:r>
          </w:p>
        </w:tc>
        <w:tc>
          <w:tcPr>
            <w:tcW w:w="1417" w:type="dxa"/>
            <w:vAlign w:val="center"/>
          </w:tcPr>
          <w:p>
            <w:pPr>
              <w:jc w:val="center"/>
              <w:rPr>
                <w:szCs w:val="21"/>
              </w:rPr>
            </w:pPr>
            <w:r>
              <w:rPr>
                <w:rFonts w:hint="eastAsia"/>
                <w:szCs w:val="21"/>
              </w:rPr>
              <w:t>7</w:t>
            </w:r>
            <w:r>
              <w:rPr>
                <w:szCs w:val="21"/>
              </w:rPr>
              <w:t>0.08</w:t>
            </w:r>
          </w:p>
        </w:tc>
        <w:tc>
          <w:tcPr>
            <w:tcW w:w="2908" w:type="dxa"/>
            <w:vMerge w:val="restart"/>
            <w:vAlign w:val="center"/>
          </w:tcPr>
          <w:p>
            <w:pPr>
              <w:contextualSpacing/>
              <w:jc w:val="center"/>
              <w:textAlignment w:val="baseline"/>
              <w:rPr>
                <w:kern w:val="0"/>
                <w:szCs w:val="21"/>
              </w:rPr>
            </w:pPr>
            <w:r>
              <w:rPr>
                <w:rFonts w:hint="eastAsia"/>
                <w:kern w:val="0"/>
                <w:szCs w:val="21"/>
              </w:rPr>
              <w:t>一般固废间暂存后经垃圾车拉走。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99" w:type="dxa"/>
            <w:vMerge w:val="continue"/>
            <w:vAlign w:val="center"/>
          </w:tcPr>
          <w:p>
            <w:pPr>
              <w:contextualSpacing/>
              <w:jc w:val="center"/>
              <w:textAlignment w:val="baseline"/>
              <w:rPr>
                <w:kern w:val="0"/>
                <w:szCs w:val="21"/>
              </w:rPr>
            </w:pPr>
          </w:p>
        </w:tc>
        <w:tc>
          <w:tcPr>
            <w:tcW w:w="1276" w:type="dxa"/>
            <w:vMerge w:val="continue"/>
            <w:vAlign w:val="center"/>
          </w:tcPr>
          <w:p>
            <w:pPr>
              <w:contextualSpacing/>
              <w:jc w:val="center"/>
              <w:textAlignment w:val="baseline"/>
              <w:rPr>
                <w:kern w:val="0"/>
                <w:szCs w:val="21"/>
              </w:rPr>
            </w:pPr>
          </w:p>
        </w:tc>
        <w:tc>
          <w:tcPr>
            <w:tcW w:w="1276" w:type="dxa"/>
            <w:vAlign w:val="center"/>
          </w:tcPr>
          <w:p>
            <w:pPr>
              <w:contextualSpacing/>
              <w:jc w:val="center"/>
              <w:textAlignment w:val="baseline"/>
              <w:rPr>
                <w:kern w:val="0"/>
                <w:szCs w:val="21"/>
              </w:rPr>
            </w:pPr>
            <w:r>
              <w:rPr>
                <w:rFonts w:hint="eastAsia"/>
                <w:kern w:val="0"/>
                <w:szCs w:val="21"/>
              </w:rPr>
              <w:t>过滤废渣</w:t>
            </w:r>
          </w:p>
        </w:tc>
        <w:tc>
          <w:tcPr>
            <w:tcW w:w="1134" w:type="dxa"/>
            <w:vAlign w:val="center"/>
          </w:tcPr>
          <w:p>
            <w:pPr>
              <w:jc w:val="center"/>
              <w:rPr>
                <w:szCs w:val="21"/>
              </w:rPr>
            </w:pPr>
            <w:r>
              <w:rPr>
                <w:szCs w:val="21"/>
              </w:rPr>
              <w:t>一般固废</w:t>
            </w:r>
          </w:p>
        </w:tc>
        <w:tc>
          <w:tcPr>
            <w:tcW w:w="1417" w:type="dxa"/>
            <w:vAlign w:val="center"/>
          </w:tcPr>
          <w:p>
            <w:pPr>
              <w:jc w:val="center"/>
              <w:rPr>
                <w:szCs w:val="21"/>
              </w:rPr>
            </w:pPr>
            <w:r>
              <w:rPr>
                <w:rFonts w:hint="eastAsia"/>
                <w:szCs w:val="21"/>
              </w:rPr>
              <w:t>9</w:t>
            </w:r>
            <w:r>
              <w:rPr>
                <w:szCs w:val="21"/>
              </w:rPr>
              <w:t>30.75</w:t>
            </w:r>
          </w:p>
        </w:tc>
        <w:tc>
          <w:tcPr>
            <w:tcW w:w="2908" w:type="dxa"/>
            <w:vMerge w:val="continue"/>
            <w:vAlign w:val="center"/>
          </w:tcPr>
          <w:p>
            <w:pPr>
              <w:contextualSpacing/>
              <w:jc w:val="center"/>
              <w:textAlignment w:val="baseline"/>
              <w:rPr>
                <w:kern w:val="0"/>
                <w:szCs w:val="21"/>
              </w:rPr>
            </w:pPr>
          </w:p>
        </w:tc>
      </w:tr>
    </w:tbl>
    <w:p>
      <w:pPr>
        <w:spacing w:line="460" w:lineRule="exact"/>
        <w:ind w:firstLine="480" w:firstLineChars="200"/>
        <w:jc w:val="left"/>
        <w:rPr>
          <w:rFonts w:eastAsia="黑体"/>
          <w:sz w:val="24"/>
          <w:lang w:val="pt-BR"/>
        </w:rPr>
      </w:pPr>
      <w:r>
        <w:rPr>
          <w:rFonts w:eastAsia="黑体"/>
          <w:sz w:val="24"/>
          <w:lang w:val="pt-BR"/>
        </w:rPr>
        <w:t xml:space="preserve">表3.1-25                </w:t>
      </w:r>
      <w:r>
        <w:rPr>
          <w:rFonts w:hint="eastAsia" w:eastAsia="黑体"/>
          <w:sz w:val="24"/>
          <w:lang w:val="pt-BR"/>
        </w:rPr>
        <w:t>本项目</w:t>
      </w:r>
      <w:r>
        <w:rPr>
          <w:rFonts w:eastAsia="黑体"/>
          <w:sz w:val="24"/>
          <w:lang w:val="pt-BR"/>
        </w:rPr>
        <w:t>一般固体废物汇总表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35"/>
        <w:gridCol w:w="1622"/>
        <w:gridCol w:w="1131"/>
        <w:gridCol w:w="990"/>
        <w:gridCol w:w="833"/>
        <w:gridCol w:w="1002"/>
        <w:gridCol w:w="20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Align w:val="center"/>
          </w:tcPr>
          <w:p>
            <w:pPr>
              <w:jc w:val="center"/>
              <w:rPr>
                <w:b/>
                <w:szCs w:val="21"/>
              </w:rPr>
            </w:pPr>
            <w:r>
              <w:rPr>
                <w:b/>
                <w:szCs w:val="21"/>
              </w:rPr>
              <w:t>排放源</w:t>
            </w:r>
          </w:p>
        </w:tc>
        <w:tc>
          <w:tcPr>
            <w:tcW w:w="1608" w:type="dxa"/>
            <w:vAlign w:val="center"/>
          </w:tcPr>
          <w:p>
            <w:pPr>
              <w:jc w:val="center"/>
              <w:rPr>
                <w:b/>
                <w:szCs w:val="21"/>
              </w:rPr>
            </w:pPr>
            <w:r>
              <w:rPr>
                <w:b/>
                <w:szCs w:val="21"/>
              </w:rPr>
              <w:t>固废名称</w:t>
            </w:r>
          </w:p>
        </w:tc>
        <w:tc>
          <w:tcPr>
            <w:tcW w:w="1121" w:type="dxa"/>
            <w:vAlign w:val="center"/>
          </w:tcPr>
          <w:p>
            <w:pPr>
              <w:jc w:val="center"/>
              <w:rPr>
                <w:b/>
                <w:szCs w:val="21"/>
              </w:rPr>
            </w:pPr>
            <w:r>
              <w:rPr>
                <w:b/>
                <w:szCs w:val="21"/>
              </w:rPr>
              <w:t>类别代码</w:t>
            </w:r>
          </w:p>
        </w:tc>
        <w:tc>
          <w:tcPr>
            <w:tcW w:w="981" w:type="dxa"/>
            <w:vAlign w:val="center"/>
          </w:tcPr>
          <w:p>
            <w:pPr>
              <w:jc w:val="center"/>
              <w:rPr>
                <w:b/>
                <w:szCs w:val="21"/>
              </w:rPr>
            </w:pPr>
            <w:r>
              <w:rPr>
                <w:b/>
                <w:szCs w:val="21"/>
              </w:rPr>
              <w:t>固废性质</w:t>
            </w:r>
          </w:p>
        </w:tc>
        <w:tc>
          <w:tcPr>
            <w:tcW w:w="826" w:type="dxa"/>
            <w:vAlign w:val="center"/>
          </w:tcPr>
          <w:p>
            <w:pPr>
              <w:jc w:val="center"/>
              <w:rPr>
                <w:b/>
                <w:szCs w:val="21"/>
              </w:rPr>
            </w:pPr>
            <w:r>
              <w:rPr>
                <w:b/>
                <w:szCs w:val="21"/>
              </w:rPr>
              <w:t>产生量（t/a）</w:t>
            </w:r>
          </w:p>
        </w:tc>
        <w:tc>
          <w:tcPr>
            <w:tcW w:w="993" w:type="dxa"/>
            <w:vAlign w:val="center"/>
          </w:tcPr>
          <w:p>
            <w:pPr>
              <w:jc w:val="center"/>
              <w:rPr>
                <w:b/>
                <w:szCs w:val="21"/>
              </w:rPr>
            </w:pPr>
            <w:r>
              <w:rPr>
                <w:rFonts w:hint="eastAsia"/>
                <w:b/>
                <w:szCs w:val="21"/>
              </w:rPr>
              <w:t>产生周期</w:t>
            </w:r>
          </w:p>
        </w:tc>
        <w:tc>
          <w:tcPr>
            <w:tcW w:w="2057" w:type="dxa"/>
            <w:vAlign w:val="center"/>
          </w:tcPr>
          <w:p>
            <w:pPr>
              <w:jc w:val="center"/>
              <w:rPr>
                <w:b/>
                <w:szCs w:val="21"/>
              </w:rPr>
            </w:pPr>
            <w:r>
              <w:rPr>
                <w:b/>
                <w:szCs w:val="21"/>
              </w:rPr>
              <w:t>处理措施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Align w:val="center"/>
          </w:tcPr>
          <w:p>
            <w:pPr>
              <w:contextualSpacing/>
              <w:jc w:val="center"/>
              <w:textAlignment w:val="baseline"/>
              <w:rPr>
                <w:kern w:val="0"/>
                <w:szCs w:val="21"/>
              </w:rPr>
            </w:pPr>
            <w:r>
              <w:rPr>
                <w:rFonts w:hint="eastAsia"/>
                <w:kern w:val="0"/>
                <w:szCs w:val="21"/>
              </w:rPr>
              <w:t>污泥脱水</w:t>
            </w:r>
          </w:p>
        </w:tc>
        <w:tc>
          <w:tcPr>
            <w:tcW w:w="1608" w:type="dxa"/>
            <w:vAlign w:val="center"/>
          </w:tcPr>
          <w:p>
            <w:pPr>
              <w:contextualSpacing/>
              <w:jc w:val="center"/>
              <w:textAlignment w:val="baseline"/>
              <w:rPr>
                <w:kern w:val="0"/>
                <w:szCs w:val="21"/>
              </w:rPr>
            </w:pPr>
            <w:r>
              <w:rPr>
                <w:rFonts w:hint="eastAsia"/>
                <w:kern w:val="0"/>
                <w:szCs w:val="21"/>
              </w:rPr>
              <w:t>污泥</w:t>
            </w:r>
          </w:p>
        </w:tc>
        <w:tc>
          <w:tcPr>
            <w:tcW w:w="1121" w:type="dxa"/>
            <w:vAlign w:val="center"/>
          </w:tcPr>
          <w:p>
            <w:pPr>
              <w:jc w:val="center"/>
              <w:rPr>
                <w:szCs w:val="21"/>
              </w:rPr>
            </w:pPr>
            <w:r>
              <w:rPr>
                <w:rFonts w:hint="eastAsia"/>
                <w:szCs w:val="21"/>
              </w:rPr>
              <w:t>4</w:t>
            </w:r>
            <w:r>
              <w:rPr>
                <w:szCs w:val="21"/>
              </w:rPr>
              <w:t>62-001-62</w:t>
            </w:r>
          </w:p>
        </w:tc>
        <w:tc>
          <w:tcPr>
            <w:tcW w:w="981" w:type="dxa"/>
            <w:vAlign w:val="center"/>
          </w:tcPr>
          <w:p>
            <w:pPr>
              <w:jc w:val="center"/>
              <w:rPr>
                <w:szCs w:val="21"/>
              </w:rPr>
            </w:pPr>
            <w:r>
              <w:rPr>
                <w:szCs w:val="21"/>
              </w:rPr>
              <w:t>一般固废</w:t>
            </w:r>
          </w:p>
        </w:tc>
        <w:tc>
          <w:tcPr>
            <w:tcW w:w="826" w:type="dxa"/>
            <w:vAlign w:val="center"/>
          </w:tcPr>
          <w:p>
            <w:pPr>
              <w:jc w:val="center"/>
              <w:rPr>
                <w:szCs w:val="21"/>
              </w:rPr>
            </w:pPr>
            <w:r>
              <w:rPr>
                <w:szCs w:val="21"/>
              </w:rPr>
              <w:t>1200.31</w:t>
            </w:r>
          </w:p>
        </w:tc>
        <w:tc>
          <w:tcPr>
            <w:tcW w:w="993" w:type="dxa"/>
            <w:vAlign w:val="center"/>
          </w:tcPr>
          <w:p>
            <w:pPr>
              <w:contextualSpacing/>
              <w:jc w:val="center"/>
              <w:textAlignment w:val="baseline"/>
              <w:rPr>
                <w:kern w:val="0"/>
                <w:szCs w:val="21"/>
              </w:rPr>
            </w:pPr>
            <w:r>
              <w:rPr>
                <w:rFonts w:hint="eastAsia"/>
                <w:kern w:val="0"/>
                <w:szCs w:val="21"/>
              </w:rPr>
              <w:t>每天</w:t>
            </w:r>
          </w:p>
        </w:tc>
        <w:tc>
          <w:tcPr>
            <w:tcW w:w="2057" w:type="dxa"/>
            <w:vAlign w:val="center"/>
          </w:tcPr>
          <w:p>
            <w:pPr>
              <w:contextualSpacing/>
              <w:jc w:val="center"/>
              <w:textAlignment w:val="baseline"/>
              <w:rPr>
                <w:kern w:val="0"/>
                <w:szCs w:val="21"/>
              </w:rPr>
            </w:pPr>
            <w:r>
              <w:rPr>
                <w:rFonts w:hint="eastAsia"/>
                <w:kern w:val="0"/>
                <w:szCs w:val="21"/>
              </w:rPr>
              <w:t>污泥暂存间暂存后交由污泥处置单位处置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restart"/>
            <w:vAlign w:val="center"/>
          </w:tcPr>
          <w:p>
            <w:pPr>
              <w:contextualSpacing/>
              <w:jc w:val="center"/>
              <w:textAlignment w:val="baseline"/>
              <w:rPr>
                <w:kern w:val="0"/>
                <w:szCs w:val="21"/>
              </w:rPr>
            </w:pPr>
            <w:r>
              <w:rPr>
                <w:kern w:val="0"/>
                <w:szCs w:val="21"/>
              </w:rPr>
              <w:t>污水处理站</w:t>
            </w:r>
          </w:p>
        </w:tc>
        <w:tc>
          <w:tcPr>
            <w:tcW w:w="1608" w:type="dxa"/>
            <w:vAlign w:val="center"/>
          </w:tcPr>
          <w:p>
            <w:pPr>
              <w:contextualSpacing/>
              <w:jc w:val="center"/>
              <w:textAlignment w:val="baseline"/>
              <w:rPr>
                <w:kern w:val="0"/>
                <w:szCs w:val="21"/>
              </w:rPr>
            </w:pPr>
            <w:r>
              <w:rPr>
                <w:rFonts w:hint="eastAsia"/>
                <w:kern w:val="0"/>
                <w:szCs w:val="21"/>
              </w:rPr>
              <w:t>格</w:t>
            </w:r>
            <w:r>
              <w:rPr>
                <w:kern w:val="0"/>
                <w:szCs w:val="21"/>
              </w:rPr>
              <w:t>栅渣</w:t>
            </w:r>
          </w:p>
        </w:tc>
        <w:tc>
          <w:tcPr>
            <w:tcW w:w="1121" w:type="dxa"/>
            <w:vAlign w:val="center"/>
          </w:tcPr>
          <w:p>
            <w:pPr>
              <w:jc w:val="center"/>
              <w:rPr>
                <w:szCs w:val="21"/>
              </w:rPr>
            </w:pPr>
            <w:r>
              <w:rPr>
                <w:rFonts w:hint="eastAsia"/>
                <w:szCs w:val="21"/>
              </w:rPr>
              <w:t>4</w:t>
            </w:r>
            <w:r>
              <w:rPr>
                <w:szCs w:val="21"/>
              </w:rPr>
              <w:t>62-001-99</w:t>
            </w:r>
          </w:p>
        </w:tc>
        <w:tc>
          <w:tcPr>
            <w:tcW w:w="981" w:type="dxa"/>
            <w:vAlign w:val="center"/>
          </w:tcPr>
          <w:p>
            <w:pPr>
              <w:jc w:val="center"/>
              <w:rPr>
                <w:szCs w:val="21"/>
              </w:rPr>
            </w:pPr>
            <w:r>
              <w:rPr>
                <w:szCs w:val="21"/>
              </w:rPr>
              <w:t>一般固废</w:t>
            </w:r>
          </w:p>
        </w:tc>
        <w:tc>
          <w:tcPr>
            <w:tcW w:w="826" w:type="dxa"/>
            <w:vAlign w:val="center"/>
          </w:tcPr>
          <w:p>
            <w:pPr>
              <w:jc w:val="center"/>
              <w:rPr>
                <w:szCs w:val="21"/>
              </w:rPr>
            </w:pPr>
            <w:r>
              <w:rPr>
                <w:rFonts w:hint="eastAsia"/>
                <w:szCs w:val="21"/>
              </w:rPr>
              <w:t>7</w:t>
            </w:r>
            <w:r>
              <w:rPr>
                <w:szCs w:val="21"/>
              </w:rPr>
              <w:t>0.08</w:t>
            </w:r>
          </w:p>
        </w:tc>
        <w:tc>
          <w:tcPr>
            <w:tcW w:w="993" w:type="dxa"/>
            <w:vAlign w:val="center"/>
          </w:tcPr>
          <w:p>
            <w:pPr>
              <w:contextualSpacing/>
              <w:jc w:val="center"/>
              <w:textAlignment w:val="baseline"/>
              <w:rPr>
                <w:kern w:val="0"/>
                <w:szCs w:val="21"/>
              </w:rPr>
            </w:pPr>
            <w:r>
              <w:rPr>
                <w:rFonts w:hint="eastAsia"/>
                <w:kern w:val="0"/>
                <w:szCs w:val="21"/>
              </w:rPr>
              <w:t>每天</w:t>
            </w:r>
          </w:p>
        </w:tc>
        <w:tc>
          <w:tcPr>
            <w:tcW w:w="2057" w:type="dxa"/>
            <w:vMerge w:val="restart"/>
            <w:vAlign w:val="center"/>
          </w:tcPr>
          <w:p>
            <w:pPr>
              <w:contextualSpacing/>
              <w:jc w:val="center"/>
              <w:textAlignment w:val="baseline"/>
              <w:rPr>
                <w:kern w:val="0"/>
                <w:szCs w:val="21"/>
              </w:rPr>
            </w:pPr>
            <w:r>
              <w:rPr>
                <w:rFonts w:hint="eastAsia"/>
                <w:kern w:val="0"/>
                <w:szCs w:val="21"/>
              </w:rPr>
              <w:t>一般固废间暂存后经垃圾车拉走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vAlign w:val="center"/>
          </w:tcPr>
          <w:p>
            <w:pPr>
              <w:contextualSpacing/>
              <w:jc w:val="center"/>
              <w:textAlignment w:val="baseline"/>
              <w:rPr>
                <w:kern w:val="0"/>
                <w:szCs w:val="21"/>
              </w:rPr>
            </w:pPr>
          </w:p>
        </w:tc>
        <w:tc>
          <w:tcPr>
            <w:tcW w:w="1608" w:type="dxa"/>
            <w:vAlign w:val="center"/>
          </w:tcPr>
          <w:p>
            <w:pPr>
              <w:contextualSpacing/>
              <w:jc w:val="center"/>
              <w:textAlignment w:val="baseline"/>
              <w:rPr>
                <w:kern w:val="0"/>
                <w:szCs w:val="21"/>
              </w:rPr>
            </w:pPr>
            <w:r>
              <w:rPr>
                <w:rFonts w:hint="eastAsia"/>
                <w:kern w:val="0"/>
                <w:szCs w:val="21"/>
              </w:rPr>
              <w:t>过滤废渣</w:t>
            </w:r>
          </w:p>
        </w:tc>
        <w:tc>
          <w:tcPr>
            <w:tcW w:w="1121" w:type="dxa"/>
            <w:vAlign w:val="center"/>
          </w:tcPr>
          <w:p>
            <w:pPr>
              <w:jc w:val="center"/>
              <w:rPr>
                <w:szCs w:val="21"/>
              </w:rPr>
            </w:pPr>
            <w:r>
              <w:rPr>
                <w:rFonts w:hint="eastAsia"/>
                <w:szCs w:val="21"/>
              </w:rPr>
              <w:t>4</w:t>
            </w:r>
            <w:r>
              <w:rPr>
                <w:szCs w:val="21"/>
              </w:rPr>
              <w:t>62-001-99</w:t>
            </w:r>
          </w:p>
        </w:tc>
        <w:tc>
          <w:tcPr>
            <w:tcW w:w="981" w:type="dxa"/>
            <w:vAlign w:val="center"/>
          </w:tcPr>
          <w:p>
            <w:pPr>
              <w:jc w:val="center"/>
              <w:rPr>
                <w:szCs w:val="21"/>
              </w:rPr>
            </w:pPr>
            <w:r>
              <w:rPr>
                <w:szCs w:val="21"/>
              </w:rPr>
              <w:t>一般固废</w:t>
            </w:r>
          </w:p>
        </w:tc>
        <w:tc>
          <w:tcPr>
            <w:tcW w:w="826" w:type="dxa"/>
            <w:vAlign w:val="center"/>
          </w:tcPr>
          <w:p>
            <w:pPr>
              <w:jc w:val="center"/>
              <w:rPr>
                <w:szCs w:val="21"/>
              </w:rPr>
            </w:pPr>
            <w:r>
              <w:rPr>
                <w:rFonts w:hint="eastAsia"/>
                <w:szCs w:val="21"/>
              </w:rPr>
              <w:t>9</w:t>
            </w:r>
            <w:r>
              <w:rPr>
                <w:szCs w:val="21"/>
              </w:rPr>
              <w:t>30.75</w:t>
            </w:r>
          </w:p>
        </w:tc>
        <w:tc>
          <w:tcPr>
            <w:tcW w:w="993" w:type="dxa"/>
            <w:vAlign w:val="center"/>
          </w:tcPr>
          <w:p>
            <w:pPr>
              <w:contextualSpacing/>
              <w:jc w:val="center"/>
              <w:textAlignment w:val="baseline"/>
              <w:rPr>
                <w:kern w:val="0"/>
                <w:szCs w:val="21"/>
              </w:rPr>
            </w:pPr>
            <w:r>
              <w:rPr>
                <w:rFonts w:hint="eastAsia"/>
                <w:kern w:val="0"/>
                <w:szCs w:val="21"/>
              </w:rPr>
              <w:t>每天</w:t>
            </w:r>
          </w:p>
        </w:tc>
        <w:tc>
          <w:tcPr>
            <w:tcW w:w="2057" w:type="dxa"/>
            <w:vMerge w:val="continue"/>
            <w:vAlign w:val="center"/>
          </w:tcPr>
          <w:p>
            <w:pPr>
              <w:contextualSpacing/>
              <w:jc w:val="center"/>
              <w:textAlignment w:val="baseline"/>
              <w:rPr>
                <w:kern w:val="0"/>
                <w:szCs w:val="21"/>
              </w:rPr>
            </w:pPr>
          </w:p>
        </w:tc>
      </w:tr>
    </w:tbl>
    <w:p>
      <w:pPr>
        <w:spacing w:line="520" w:lineRule="exact"/>
        <w:ind w:firstLine="480" w:firstLineChars="200"/>
        <w:rPr>
          <w:sz w:val="24"/>
          <w:szCs w:val="24"/>
          <w:highlight w:val="yellow"/>
        </w:rPr>
      </w:pPr>
    </w:p>
    <w:p>
      <w:pPr>
        <w:keepNext/>
        <w:keepLines/>
        <w:spacing w:line="520" w:lineRule="exact"/>
        <w:outlineLvl w:val="2"/>
        <w:rPr>
          <w:rFonts w:eastAsia="黑体"/>
          <w:bCs/>
          <w:sz w:val="28"/>
          <w:szCs w:val="28"/>
        </w:rPr>
      </w:pPr>
      <w:r>
        <w:rPr>
          <w:rFonts w:eastAsia="黑体"/>
          <w:bCs/>
          <w:sz w:val="28"/>
          <w:szCs w:val="28"/>
        </w:rPr>
        <w:t>3</w:t>
      </w:r>
      <w:bookmarkStart w:id="71" w:name="_Toc75824194"/>
      <w:bookmarkStart w:id="72" w:name="_Toc92964871"/>
      <w:r>
        <w:rPr>
          <w:rFonts w:eastAsia="黑体"/>
          <w:bCs/>
          <w:sz w:val="28"/>
          <w:szCs w:val="28"/>
        </w:rPr>
        <w:t>.1.10本项目污染物产排量汇总</w:t>
      </w:r>
      <w:bookmarkEnd w:id="71"/>
      <w:bookmarkEnd w:id="72"/>
    </w:p>
    <w:p>
      <w:pPr>
        <w:spacing w:line="520" w:lineRule="exact"/>
        <w:ind w:firstLine="480" w:firstLineChars="200"/>
        <w:rPr>
          <w:sz w:val="24"/>
          <w:szCs w:val="24"/>
        </w:rPr>
      </w:pPr>
      <w:r>
        <w:rPr>
          <w:sz w:val="24"/>
          <w:szCs w:val="24"/>
        </w:rPr>
        <w:t>本项目污染物排放情况见下表。</w:t>
      </w:r>
    </w:p>
    <w:p>
      <w:pPr>
        <w:spacing w:line="520" w:lineRule="exact"/>
        <w:ind w:firstLine="480" w:firstLineChars="200"/>
        <w:rPr>
          <w:rFonts w:eastAsia="黑体"/>
          <w:sz w:val="24"/>
          <w:szCs w:val="24"/>
        </w:rPr>
      </w:pPr>
    </w:p>
    <w:p>
      <w:pPr>
        <w:spacing w:line="520" w:lineRule="exact"/>
        <w:ind w:firstLine="480" w:firstLineChars="200"/>
        <w:rPr>
          <w:rFonts w:eastAsia="黑体"/>
          <w:sz w:val="24"/>
          <w:szCs w:val="24"/>
        </w:rPr>
      </w:pPr>
    </w:p>
    <w:p>
      <w:pPr>
        <w:spacing w:line="520" w:lineRule="exact"/>
        <w:ind w:firstLine="480" w:firstLineChars="200"/>
        <w:rPr>
          <w:rFonts w:eastAsia="黑体"/>
          <w:sz w:val="24"/>
          <w:szCs w:val="24"/>
        </w:rPr>
      </w:pPr>
      <w:r>
        <w:rPr>
          <w:rFonts w:eastAsia="黑体"/>
          <w:sz w:val="24"/>
          <w:szCs w:val="24"/>
        </w:rPr>
        <w:t>表3.1-26             本项目污染物排放情况汇总</w:t>
      </w:r>
    </w:p>
    <w:tbl>
      <w:tblPr>
        <w:tblStyle w:val="49"/>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37"/>
        <w:gridCol w:w="2047"/>
        <w:gridCol w:w="2765"/>
        <w:gridCol w:w="26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6" w:hRule="atLeast"/>
          <w:jc w:val="center"/>
        </w:trPr>
        <w:tc>
          <w:tcPr>
            <w:tcW w:w="1947" w:type="pct"/>
            <w:gridSpan w:val="2"/>
            <w:tcMar>
              <w:top w:w="85" w:type="dxa"/>
              <w:bottom w:w="85" w:type="dxa"/>
            </w:tcMar>
            <w:vAlign w:val="center"/>
          </w:tcPr>
          <w:p>
            <w:pPr>
              <w:widowControl/>
              <w:jc w:val="center"/>
              <w:rPr>
                <w:b/>
                <w:szCs w:val="21"/>
              </w:rPr>
            </w:pPr>
            <w:r>
              <w:rPr>
                <w:b/>
                <w:szCs w:val="21"/>
              </w:rPr>
              <w:t>污染物名称</w:t>
            </w:r>
          </w:p>
        </w:tc>
        <w:tc>
          <w:tcPr>
            <w:tcW w:w="1545" w:type="pct"/>
            <w:tcBorders>
              <w:left w:val="single" w:color="auto" w:sz="4" w:space="0"/>
              <w:right w:val="single" w:color="auto" w:sz="4" w:space="0"/>
            </w:tcBorders>
            <w:vAlign w:val="center"/>
          </w:tcPr>
          <w:p>
            <w:pPr>
              <w:jc w:val="center"/>
              <w:rPr>
                <w:b/>
                <w:szCs w:val="21"/>
              </w:rPr>
            </w:pPr>
            <w:r>
              <w:rPr>
                <w:rFonts w:hint="eastAsia"/>
                <w:b/>
                <w:szCs w:val="21"/>
              </w:rPr>
              <w:t>出厂</w:t>
            </w:r>
            <w:r>
              <w:rPr>
                <w:b/>
                <w:szCs w:val="21"/>
              </w:rPr>
              <w:t>排放量（t/a）</w:t>
            </w:r>
          </w:p>
        </w:tc>
        <w:tc>
          <w:tcPr>
            <w:tcW w:w="1508" w:type="pct"/>
            <w:tcBorders>
              <w:left w:val="single" w:color="auto" w:sz="4" w:space="0"/>
              <w:right w:val="single" w:color="auto" w:sz="4" w:space="0"/>
            </w:tcBorders>
            <w:vAlign w:val="center"/>
          </w:tcPr>
          <w:p>
            <w:pPr>
              <w:jc w:val="center"/>
              <w:rPr>
                <w:b/>
                <w:szCs w:val="21"/>
              </w:rPr>
            </w:pPr>
            <w:r>
              <w:rPr>
                <w:rFonts w:hint="eastAsia"/>
                <w:b/>
                <w:szCs w:val="21"/>
              </w:rPr>
              <w:t>排入外环境</w:t>
            </w:r>
            <w:r>
              <w:rPr>
                <w:b/>
                <w:szCs w:val="21"/>
              </w:rPr>
              <w:t>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803" w:type="pct"/>
            <w:vMerge w:val="restart"/>
            <w:tcMar>
              <w:top w:w="85" w:type="dxa"/>
              <w:bottom w:w="85" w:type="dxa"/>
            </w:tcMar>
            <w:vAlign w:val="center"/>
          </w:tcPr>
          <w:p>
            <w:pPr>
              <w:widowControl/>
              <w:jc w:val="center"/>
              <w:rPr>
                <w:bCs/>
                <w:szCs w:val="21"/>
              </w:rPr>
            </w:pPr>
            <w:r>
              <w:rPr>
                <w:bCs/>
                <w:szCs w:val="21"/>
              </w:rPr>
              <w:t>废气</w:t>
            </w:r>
          </w:p>
        </w:tc>
        <w:tc>
          <w:tcPr>
            <w:tcW w:w="1144" w:type="pct"/>
            <w:tcMar>
              <w:top w:w="85" w:type="dxa"/>
              <w:bottom w:w="85" w:type="dxa"/>
            </w:tcMar>
            <w:vAlign w:val="center"/>
          </w:tcPr>
          <w:p>
            <w:pPr>
              <w:widowControl/>
              <w:jc w:val="center"/>
              <w:textAlignment w:val="center"/>
              <w:rPr>
                <w:bCs/>
                <w:szCs w:val="21"/>
              </w:rPr>
            </w:pPr>
            <w:r>
              <w:rPr>
                <w:rFonts w:hint="eastAsia"/>
                <w:szCs w:val="21"/>
              </w:rPr>
              <w:t>氨</w:t>
            </w:r>
          </w:p>
        </w:tc>
        <w:tc>
          <w:tcPr>
            <w:tcW w:w="1545" w:type="pct"/>
            <w:tcBorders>
              <w:left w:val="single" w:color="auto" w:sz="4" w:space="0"/>
              <w:right w:val="single" w:color="auto" w:sz="4" w:space="0"/>
            </w:tcBorders>
            <w:vAlign w:val="center"/>
          </w:tcPr>
          <w:p>
            <w:pPr>
              <w:jc w:val="center"/>
              <w:textAlignment w:val="center"/>
              <w:rPr>
                <w:szCs w:val="21"/>
                <w:highlight w:val="yellow"/>
              </w:rPr>
            </w:pPr>
            <w:r>
              <w:rPr>
                <w:rFonts w:hint="eastAsia"/>
                <w:bCs/>
                <w:color w:val="000000"/>
                <w:szCs w:val="21"/>
                <w:lang w:val="fr-FR"/>
              </w:rPr>
              <w:t>0</w:t>
            </w:r>
            <w:r>
              <w:rPr>
                <w:bCs/>
                <w:color w:val="000000"/>
                <w:szCs w:val="21"/>
                <w:lang w:val="fr-FR"/>
              </w:rPr>
              <w:t>.1487</w:t>
            </w:r>
          </w:p>
        </w:tc>
        <w:tc>
          <w:tcPr>
            <w:tcW w:w="1508" w:type="pct"/>
            <w:tcBorders>
              <w:left w:val="single" w:color="auto" w:sz="4" w:space="0"/>
              <w:right w:val="single" w:color="auto" w:sz="4" w:space="0"/>
            </w:tcBorders>
            <w:vAlign w:val="center"/>
          </w:tcPr>
          <w:p>
            <w:pPr>
              <w:jc w:val="center"/>
              <w:textAlignment w:val="center"/>
              <w:rPr>
                <w:bCs/>
                <w:szCs w:val="21"/>
                <w:highlight w:val="yellow"/>
              </w:rPr>
            </w:pPr>
            <w:r>
              <w:rPr>
                <w:rFonts w:hint="eastAsia"/>
                <w:bCs/>
                <w:color w:val="000000"/>
                <w:szCs w:val="21"/>
                <w:lang w:val="fr-FR"/>
              </w:rPr>
              <w:t>0</w:t>
            </w:r>
            <w:r>
              <w:rPr>
                <w:bCs/>
                <w:color w:val="000000"/>
                <w:szCs w:val="21"/>
                <w:lang w:val="fr-FR"/>
              </w:rPr>
              <w:t>.1487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803" w:type="pct"/>
            <w:vMerge w:val="continue"/>
            <w:tcMar>
              <w:top w:w="85" w:type="dxa"/>
              <w:bottom w:w="85" w:type="dxa"/>
            </w:tcMar>
            <w:vAlign w:val="center"/>
          </w:tcPr>
          <w:p>
            <w:pPr>
              <w:widowControl/>
              <w:jc w:val="center"/>
              <w:rPr>
                <w:bCs/>
                <w:szCs w:val="21"/>
              </w:rPr>
            </w:pPr>
          </w:p>
        </w:tc>
        <w:tc>
          <w:tcPr>
            <w:tcW w:w="1144" w:type="pct"/>
            <w:tcMar>
              <w:top w:w="85" w:type="dxa"/>
              <w:bottom w:w="85" w:type="dxa"/>
            </w:tcMar>
            <w:vAlign w:val="center"/>
          </w:tcPr>
          <w:p>
            <w:pPr>
              <w:widowControl/>
              <w:jc w:val="center"/>
              <w:textAlignment w:val="center"/>
              <w:rPr>
                <w:szCs w:val="21"/>
              </w:rPr>
            </w:pPr>
            <w:r>
              <w:rPr>
                <w:rFonts w:hint="eastAsia"/>
                <w:szCs w:val="21"/>
              </w:rPr>
              <w:t>硫化氢</w:t>
            </w:r>
          </w:p>
        </w:tc>
        <w:tc>
          <w:tcPr>
            <w:tcW w:w="1545" w:type="pct"/>
            <w:tcBorders>
              <w:left w:val="single" w:color="auto" w:sz="4" w:space="0"/>
              <w:right w:val="single" w:color="auto" w:sz="4" w:space="0"/>
            </w:tcBorders>
            <w:vAlign w:val="center"/>
          </w:tcPr>
          <w:p>
            <w:pPr>
              <w:jc w:val="center"/>
              <w:textAlignment w:val="center"/>
              <w:rPr>
                <w:sz w:val="22"/>
                <w:highlight w:val="yellow"/>
              </w:rPr>
            </w:pPr>
            <w:r>
              <w:rPr>
                <w:rFonts w:hint="eastAsia"/>
                <w:bCs/>
                <w:color w:val="000000"/>
                <w:szCs w:val="21"/>
                <w:lang w:val="fr-FR"/>
              </w:rPr>
              <w:t>0</w:t>
            </w:r>
            <w:r>
              <w:rPr>
                <w:bCs/>
                <w:color w:val="000000"/>
                <w:szCs w:val="21"/>
                <w:lang w:val="fr-FR"/>
              </w:rPr>
              <w:t>.0057</w:t>
            </w:r>
          </w:p>
        </w:tc>
        <w:tc>
          <w:tcPr>
            <w:tcW w:w="1508" w:type="pct"/>
            <w:tcBorders>
              <w:left w:val="single" w:color="auto" w:sz="4" w:space="0"/>
              <w:right w:val="single" w:color="auto" w:sz="4" w:space="0"/>
            </w:tcBorders>
            <w:vAlign w:val="center"/>
          </w:tcPr>
          <w:p>
            <w:pPr>
              <w:jc w:val="center"/>
              <w:textAlignment w:val="center"/>
              <w:rPr>
                <w:szCs w:val="21"/>
                <w:highlight w:val="yellow"/>
              </w:rPr>
            </w:pPr>
            <w:r>
              <w:rPr>
                <w:rFonts w:hint="eastAsia"/>
                <w:bCs/>
                <w:color w:val="000000"/>
                <w:szCs w:val="21"/>
                <w:lang w:val="fr-FR"/>
              </w:rPr>
              <w:t>0</w:t>
            </w:r>
            <w:r>
              <w:rPr>
                <w:bCs/>
                <w:color w:val="000000"/>
                <w:szCs w:val="21"/>
                <w:lang w:val="fr-FR"/>
              </w:rPr>
              <w:t>.0057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803" w:type="pct"/>
            <w:vMerge w:val="restart"/>
            <w:tcMar>
              <w:top w:w="85" w:type="dxa"/>
              <w:bottom w:w="85" w:type="dxa"/>
            </w:tcMar>
            <w:vAlign w:val="center"/>
          </w:tcPr>
          <w:p>
            <w:pPr>
              <w:widowControl/>
              <w:jc w:val="center"/>
              <w:rPr>
                <w:bCs/>
                <w:szCs w:val="21"/>
              </w:rPr>
            </w:pPr>
            <w:r>
              <w:rPr>
                <w:bCs/>
                <w:szCs w:val="21"/>
              </w:rPr>
              <w:t>废水</w:t>
            </w:r>
          </w:p>
        </w:tc>
        <w:tc>
          <w:tcPr>
            <w:tcW w:w="1144" w:type="pct"/>
            <w:tcMar>
              <w:top w:w="85" w:type="dxa"/>
              <w:bottom w:w="85" w:type="dxa"/>
            </w:tcMar>
            <w:vAlign w:val="center"/>
          </w:tcPr>
          <w:p>
            <w:pPr>
              <w:widowControl/>
              <w:jc w:val="center"/>
              <w:rPr>
                <w:bCs/>
                <w:szCs w:val="21"/>
              </w:rPr>
            </w:pPr>
            <w:r>
              <w:rPr>
                <w:bCs/>
                <w:szCs w:val="21"/>
              </w:rPr>
              <w:t>废水量（万m</w:t>
            </w:r>
            <w:r>
              <w:rPr>
                <w:bCs/>
                <w:szCs w:val="21"/>
                <w:vertAlign w:val="superscript"/>
              </w:rPr>
              <w:t>3</w:t>
            </w:r>
            <w:r>
              <w:rPr>
                <w:bCs/>
                <w:szCs w:val="21"/>
              </w:rPr>
              <w:t>/a）</w:t>
            </w:r>
          </w:p>
        </w:tc>
        <w:tc>
          <w:tcPr>
            <w:tcW w:w="1545" w:type="pct"/>
            <w:tcBorders>
              <w:left w:val="single" w:color="auto" w:sz="4" w:space="0"/>
              <w:right w:val="single" w:color="auto" w:sz="4" w:space="0"/>
            </w:tcBorders>
            <w:vAlign w:val="center"/>
          </w:tcPr>
          <w:p>
            <w:pPr>
              <w:widowControl/>
              <w:jc w:val="center"/>
              <w:textAlignment w:val="center"/>
              <w:rPr>
                <w:sz w:val="22"/>
                <w:highlight w:val="yellow"/>
              </w:rPr>
            </w:pPr>
            <w:r>
              <w:rPr>
                <w:sz w:val="22"/>
              </w:rPr>
              <w:t>60</w:t>
            </w:r>
          </w:p>
        </w:tc>
        <w:tc>
          <w:tcPr>
            <w:tcW w:w="1508" w:type="pct"/>
            <w:tcBorders>
              <w:left w:val="single" w:color="auto" w:sz="4" w:space="0"/>
              <w:right w:val="single" w:color="auto" w:sz="4" w:space="0"/>
            </w:tcBorders>
            <w:vAlign w:val="center"/>
          </w:tcPr>
          <w:p>
            <w:pPr>
              <w:widowControl/>
              <w:jc w:val="center"/>
              <w:textAlignment w:val="center"/>
              <w:rPr>
                <w:sz w:val="22"/>
              </w:rPr>
            </w:pPr>
            <w:r>
              <w:rPr>
                <w:sz w:val="22"/>
              </w:rPr>
              <w:t>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803" w:type="pct"/>
            <w:vMerge w:val="continue"/>
            <w:tcMar>
              <w:top w:w="85" w:type="dxa"/>
              <w:bottom w:w="85" w:type="dxa"/>
            </w:tcMar>
            <w:vAlign w:val="center"/>
          </w:tcPr>
          <w:p>
            <w:pPr>
              <w:widowControl/>
              <w:jc w:val="center"/>
              <w:rPr>
                <w:bCs/>
                <w:szCs w:val="21"/>
                <w:highlight w:val="yellow"/>
              </w:rPr>
            </w:pPr>
          </w:p>
        </w:tc>
        <w:tc>
          <w:tcPr>
            <w:tcW w:w="1144" w:type="pct"/>
            <w:tcMar>
              <w:top w:w="85" w:type="dxa"/>
              <w:bottom w:w="85" w:type="dxa"/>
            </w:tcMar>
            <w:vAlign w:val="center"/>
          </w:tcPr>
          <w:p>
            <w:pPr>
              <w:widowControl/>
              <w:jc w:val="center"/>
              <w:rPr>
                <w:bCs/>
                <w:szCs w:val="21"/>
              </w:rPr>
            </w:pPr>
            <w:r>
              <w:rPr>
                <w:bCs/>
                <w:szCs w:val="21"/>
              </w:rPr>
              <w:t>COD</w:t>
            </w:r>
          </w:p>
        </w:tc>
        <w:tc>
          <w:tcPr>
            <w:tcW w:w="1545" w:type="pct"/>
            <w:tcBorders>
              <w:left w:val="single" w:color="auto" w:sz="4" w:space="0"/>
              <w:right w:val="single" w:color="auto" w:sz="4" w:space="0"/>
            </w:tcBorders>
            <w:vAlign w:val="center"/>
          </w:tcPr>
          <w:p>
            <w:pPr>
              <w:jc w:val="center"/>
              <w:textAlignment w:val="center"/>
              <w:rPr>
                <w:szCs w:val="21"/>
              </w:rPr>
            </w:pPr>
            <w:r>
              <w:rPr>
                <w:rFonts w:eastAsia="等线"/>
              </w:rPr>
              <w:t>44.1</w:t>
            </w:r>
          </w:p>
        </w:tc>
        <w:tc>
          <w:tcPr>
            <w:tcW w:w="1508" w:type="pct"/>
            <w:tcBorders>
              <w:left w:val="single" w:color="auto" w:sz="4" w:space="0"/>
              <w:right w:val="single" w:color="auto" w:sz="4" w:space="0"/>
            </w:tcBorders>
            <w:vAlign w:val="center"/>
          </w:tcPr>
          <w:p>
            <w:pPr>
              <w:widowControl/>
              <w:jc w:val="center"/>
              <w:textAlignment w:val="center"/>
              <w:rPr>
                <w:szCs w:val="21"/>
              </w:rPr>
            </w:pPr>
            <w:r>
              <w:rPr>
                <w:rFonts w:hint="eastAsia"/>
                <w:sz w:val="22"/>
              </w:rPr>
              <w:t>2</w:t>
            </w:r>
            <w:r>
              <w:rPr>
                <w:sz w:val="22"/>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803" w:type="pct"/>
            <w:vMerge w:val="continue"/>
            <w:tcMar>
              <w:top w:w="85" w:type="dxa"/>
              <w:bottom w:w="85" w:type="dxa"/>
            </w:tcMar>
            <w:vAlign w:val="center"/>
          </w:tcPr>
          <w:p>
            <w:pPr>
              <w:widowControl/>
              <w:jc w:val="center"/>
              <w:rPr>
                <w:bCs/>
                <w:szCs w:val="21"/>
                <w:highlight w:val="yellow"/>
              </w:rPr>
            </w:pPr>
          </w:p>
        </w:tc>
        <w:tc>
          <w:tcPr>
            <w:tcW w:w="1144" w:type="pct"/>
            <w:tcMar>
              <w:top w:w="85" w:type="dxa"/>
              <w:bottom w:w="85" w:type="dxa"/>
            </w:tcMar>
            <w:vAlign w:val="center"/>
          </w:tcPr>
          <w:p>
            <w:pPr>
              <w:widowControl/>
              <w:jc w:val="center"/>
              <w:rPr>
                <w:bCs/>
                <w:szCs w:val="21"/>
              </w:rPr>
            </w:pPr>
            <w:r>
              <w:rPr>
                <w:bCs/>
                <w:szCs w:val="21"/>
              </w:rPr>
              <w:t>氨氮</w:t>
            </w:r>
          </w:p>
        </w:tc>
        <w:tc>
          <w:tcPr>
            <w:tcW w:w="1545" w:type="pct"/>
            <w:tcBorders>
              <w:left w:val="single" w:color="auto" w:sz="4" w:space="0"/>
              <w:right w:val="single" w:color="auto" w:sz="4" w:space="0"/>
            </w:tcBorders>
            <w:vAlign w:val="center"/>
          </w:tcPr>
          <w:p>
            <w:pPr>
              <w:jc w:val="center"/>
              <w:textAlignment w:val="center"/>
              <w:rPr>
                <w:szCs w:val="21"/>
              </w:rPr>
            </w:pPr>
            <w:r>
              <w:rPr>
                <w:rFonts w:hint="eastAsia"/>
                <w:szCs w:val="21"/>
              </w:rPr>
              <w:t>1</w:t>
            </w:r>
            <w:r>
              <w:rPr>
                <w:szCs w:val="21"/>
              </w:rPr>
              <w:t>1.76</w:t>
            </w:r>
          </w:p>
        </w:tc>
        <w:tc>
          <w:tcPr>
            <w:tcW w:w="1508" w:type="pct"/>
            <w:tcBorders>
              <w:left w:val="single" w:color="auto" w:sz="4" w:space="0"/>
              <w:right w:val="single" w:color="auto" w:sz="4" w:space="0"/>
            </w:tcBorders>
            <w:vAlign w:val="center"/>
          </w:tcPr>
          <w:p>
            <w:pPr>
              <w:widowControl/>
              <w:jc w:val="center"/>
              <w:textAlignment w:val="center"/>
              <w:rPr>
                <w:szCs w:val="21"/>
              </w:rPr>
            </w:pPr>
            <w:r>
              <w:rPr>
                <w:rFonts w:hint="eastAsia"/>
                <w:szCs w:val="21"/>
              </w:rPr>
              <w:t>1</w:t>
            </w:r>
            <w:r>
              <w:rPr>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803" w:type="pct"/>
            <w:vMerge w:val="continue"/>
            <w:tcMar>
              <w:top w:w="85" w:type="dxa"/>
              <w:bottom w:w="85" w:type="dxa"/>
            </w:tcMar>
            <w:vAlign w:val="center"/>
          </w:tcPr>
          <w:p>
            <w:pPr>
              <w:widowControl/>
              <w:jc w:val="center"/>
              <w:rPr>
                <w:bCs/>
                <w:szCs w:val="21"/>
                <w:highlight w:val="yellow"/>
              </w:rPr>
            </w:pPr>
          </w:p>
        </w:tc>
        <w:tc>
          <w:tcPr>
            <w:tcW w:w="1144" w:type="pct"/>
            <w:tcMar>
              <w:top w:w="85" w:type="dxa"/>
              <w:bottom w:w="85" w:type="dxa"/>
            </w:tcMar>
            <w:vAlign w:val="center"/>
          </w:tcPr>
          <w:p>
            <w:pPr>
              <w:widowControl/>
              <w:jc w:val="center"/>
              <w:rPr>
                <w:bCs/>
                <w:szCs w:val="21"/>
              </w:rPr>
            </w:pPr>
            <w:r>
              <w:rPr>
                <w:bCs/>
                <w:szCs w:val="21"/>
              </w:rPr>
              <w:t>总氮</w:t>
            </w:r>
          </w:p>
        </w:tc>
        <w:tc>
          <w:tcPr>
            <w:tcW w:w="1545" w:type="pct"/>
            <w:tcBorders>
              <w:left w:val="single" w:color="auto" w:sz="4" w:space="0"/>
              <w:right w:val="single" w:color="auto" w:sz="4" w:space="0"/>
            </w:tcBorders>
            <w:vAlign w:val="center"/>
          </w:tcPr>
          <w:p>
            <w:pPr>
              <w:jc w:val="center"/>
              <w:textAlignment w:val="center"/>
              <w:rPr>
                <w:szCs w:val="21"/>
              </w:rPr>
            </w:pPr>
            <w:r>
              <w:rPr>
                <w:rFonts w:hint="eastAsia"/>
                <w:szCs w:val="21"/>
              </w:rPr>
              <w:t>2</w:t>
            </w:r>
            <w:r>
              <w:rPr>
                <w:szCs w:val="21"/>
              </w:rPr>
              <w:t>1.42</w:t>
            </w:r>
          </w:p>
        </w:tc>
        <w:tc>
          <w:tcPr>
            <w:tcW w:w="1508" w:type="pct"/>
            <w:tcBorders>
              <w:left w:val="single" w:color="auto" w:sz="4" w:space="0"/>
              <w:right w:val="single" w:color="auto" w:sz="4" w:space="0"/>
            </w:tcBorders>
            <w:vAlign w:val="center"/>
          </w:tcPr>
          <w:p>
            <w:pPr>
              <w:widowControl/>
              <w:jc w:val="center"/>
              <w:textAlignment w:val="center"/>
              <w:rPr>
                <w:szCs w:val="21"/>
              </w:rPr>
            </w:pPr>
            <w:r>
              <w:rPr>
                <w:szCs w:val="21"/>
              </w:rPr>
              <w:t>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03" w:type="pct"/>
            <w:vMerge w:val="continue"/>
            <w:tcMar>
              <w:top w:w="85" w:type="dxa"/>
              <w:bottom w:w="85" w:type="dxa"/>
            </w:tcMar>
            <w:vAlign w:val="center"/>
          </w:tcPr>
          <w:p>
            <w:pPr>
              <w:widowControl/>
              <w:jc w:val="center"/>
              <w:rPr>
                <w:bCs/>
                <w:szCs w:val="21"/>
                <w:highlight w:val="yellow"/>
              </w:rPr>
            </w:pPr>
          </w:p>
        </w:tc>
        <w:tc>
          <w:tcPr>
            <w:tcW w:w="1144" w:type="pct"/>
            <w:tcMar>
              <w:top w:w="85" w:type="dxa"/>
              <w:bottom w:w="85" w:type="dxa"/>
            </w:tcMar>
            <w:vAlign w:val="center"/>
          </w:tcPr>
          <w:p>
            <w:pPr>
              <w:widowControl/>
              <w:jc w:val="center"/>
              <w:rPr>
                <w:bCs/>
                <w:szCs w:val="21"/>
              </w:rPr>
            </w:pPr>
            <w:r>
              <w:rPr>
                <w:bCs/>
                <w:szCs w:val="21"/>
              </w:rPr>
              <w:t>总磷</w:t>
            </w:r>
          </w:p>
        </w:tc>
        <w:tc>
          <w:tcPr>
            <w:tcW w:w="1545" w:type="pct"/>
            <w:tcBorders>
              <w:left w:val="single" w:color="auto" w:sz="4" w:space="0"/>
              <w:right w:val="single" w:color="auto" w:sz="4" w:space="0"/>
            </w:tcBorders>
            <w:vAlign w:val="center"/>
          </w:tcPr>
          <w:p>
            <w:pPr>
              <w:jc w:val="center"/>
              <w:textAlignment w:val="center"/>
              <w:rPr>
                <w:szCs w:val="21"/>
              </w:rPr>
            </w:pPr>
            <w:r>
              <w:rPr>
                <w:rFonts w:hint="eastAsia"/>
                <w:szCs w:val="21"/>
              </w:rPr>
              <w:t>0</w:t>
            </w:r>
            <w:r>
              <w:rPr>
                <w:szCs w:val="21"/>
              </w:rPr>
              <w:t>.48</w:t>
            </w:r>
          </w:p>
        </w:tc>
        <w:tc>
          <w:tcPr>
            <w:tcW w:w="1508" w:type="pct"/>
            <w:tcBorders>
              <w:left w:val="single" w:color="auto" w:sz="4" w:space="0"/>
              <w:right w:val="single" w:color="auto" w:sz="4" w:space="0"/>
            </w:tcBorders>
            <w:vAlign w:val="center"/>
          </w:tcPr>
          <w:p>
            <w:pPr>
              <w:widowControl/>
              <w:jc w:val="center"/>
              <w:textAlignment w:val="center"/>
              <w:rPr>
                <w:szCs w:val="21"/>
              </w:rPr>
            </w:pPr>
            <w:r>
              <w:rPr>
                <w:rFonts w:hint="eastAsia"/>
                <w:szCs w:val="21"/>
              </w:rPr>
              <w:t>0</w:t>
            </w:r>
            <w:r>
              <w:rPr>
                <w:szCs w:val="21"/>
              </w:rPr>
              <w:t>.24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03" w:type="pct"/>
            <w:tcBorders>
              <w:top w:val="single" w:color="auto" w:sz="4" w:space="0"/>
            </w:tcBorders>
            <w:tcMar>
              <w:top w:w="85" w:type="dxa"/>
              <w:bottom w:w="85" w:type="dxa"/>
            </w:tcMar>
            <w:vAlign w:val="center"/>
          </w:tcPr>
          <w:p>
            <w:pPr>
              <w:widowControl/>
              <w:jc w:val="center"/>
              <w:rPr>
                <w:bCs/>
                <w:szCs w:val="21"/>
                <w:highlight w:val="yellow"/>
              </w:rPr>
            </w:pPr>
            <w:r>
              <w:rPr>
                <w:bCs/>
                <w:szCs w:val="21"/>
              </w:rPr>
              <w:t>固废</w:t>
            </w:r>
          </w:p>
        </w:tc>
        <w:tc>
          <w:tcPr>
            <w:tcW w:w="1144" w:type="pct"/>
            <w:tcBorders>
              <w:top w:val="single" w:color="auto" w:sz="4" w:space="0"/>
              <w:bottom w:val="single" w:color="auto" w:sz="4" w:space="0"/>
            </w:tcBorders>
            <w:tcMar>
              <w:top w:w="85" w:type="dxa"/>
              <w:bottom w:w="85" w:type="dxa"/>
            </w:tcMar>
            <w:vAlign w:val="center"/>
          </w:tcPr>
          <w:p>
            <w:pPr>
              <w:widowControl/>
              <w:jc w:val="center"/>
              <w:rPr>
                <w:bCs/>
                <w:szCs w:val="21"/>
              </w:rPr>
            </w:pPr>
            <w:r>
              <w:rPr>
                <w:bCs/>
                <w:szCs w:val="21"/>
              </w:rPr>
              <w:t>一般固废</w:t>
            </w:r>
          </w:p>
        </w:tc>
        <w:tc>
          <w:tcPr>
            <w:tcW w:w="1545" w:type="pct"/>
            <w:tcBorders>
              <w:left w:val="single" w:color="auto" w:sz="4" w:space="0"/>
              <w:right w:val="single" w:color="auto" w:sz="4" w:space="0"/>
            </w:tcBorders>
            <w:vAlign w:val="center"/>
          </w:tcPr>
          <w:p>
            <w:pPr>
              <w:jc w:val="center"/>
              <w:rPr>
                <w:bCs/>
                <w:szCs w:val="21"/>
              </w:rPr>
            </w:pPr>
            <w:r>
              <w:rPr>
                <w:bCs/>
                <w:szCs w:val="21"/>
              </w:rPr>
              <w:t>2201.14</w:t>
            </w:r>
          </w:p>
        </w:tc>
        <w:tc>
          <w:tcPr>
            <w:tcW w:w="1508" w:type="pct"/>
            <w:tcBorders>
              <w:left w:val="single" w:color="auto" w:sz="4" w:space="0"/>
              <w:right w:val="single" w:color="auto" w:sz="4" w:space="0"/>
            </w:tcBorders>
            <w:vAlign w:val="center"/>
          </w:tcPr>
          <w:p>
            <w:pPr>
              <w:jc w:val="center"/>
              <w:textAlignment w:val="center"/>
              <w:rPr>
                <w:bCs/>
                <w:szCs w:val="21"/>
              </w:rPr>
            </w:pPr>
            <w:r>
              <w:rPr>
                <w:rFonts w:hint="eastAsia"/>
                <w:bCs/>
                <w:szCs w:val="21"/>
              </w:rPr>
              <w:t>0</w:t>
            </w:r>
          </w:p>
        </w:tc>
      </w:tr>
    </w:tbl>
    <w:p>
      <w:pPr>
        <w:keepNext/>
        <w:keepLines/>
        <w:spacing w:line="500" w:lineRule="exact"/>
        <w:ind w:left="420" w:hanging="420"/>
        <w:outlineLvl w:val="1"/>
        <w:rPr>
          <w:rFonts w:eastAsia="黑体"/>
          <w:bCs/>
          <w:kern w:val="0"/>
          <w:sz w:val="28"/>
          <w:szCs w:val="28"/>
          <w:lang w:val="zh-CN"/>
        </w:rPr>
      </w:pPr>
      <w:bookmarkStart w:id="73" w:name="_Toc10714"/>
      <w:bookmarkStart w:id="74" w:name="_Toc75824195"/>
      <w:bookmarkStart w:id="75" w:name="_Toc92964872"/>
      <w:r>
        <w:rPr>
          <w:rFonts w:eastAsia="黑体"/>
          <w:bCs/>
          <w:kern w:val="0"/>
          <w:sz w:val="28"/>
          <w:szCs w:val="28"/>
          <w:lang w:val="zh-CN"/>
        </w:rPr>
        <w:t>3.2 非正常工况</w:t>
      </w:r>
      <w:bookmarkEnd w:id="73"/>
      <w:bookmarkEnd w:id="74"/>
      <w:bookmarkEnd w:id="75"/>
    </w:p>
    <w:p>
      <w:pPr>
        <w:keepNext/>
        <w:keepLines/>
        <w:spacing w:line="520" w:lineRule="exact"/>
        <w:outlineLvl w:val="2"/>
        <w:rPr>
          <w:rFonts w:eastAsia="黑体"/>
          <w:kern w:val="0"/>
          <w:sz w:val="28"/>
          <w:szCs w:val="28"/>
          <w:lang w:val="zh-CN"/>
        </w:rPr>
      </w:pPr>
      <w:r>
        <w:rPr>
          <w:rFonts w:hint="eastAsia" w:eastAsia="黑体"/>
          <w:bCs/>
          <w:sz w:val="28"/>
          <w:szCs w:val="28"/>
        </w:rPr>
        <w:t>3</w:t>
      </w:r>
      <w:r>
        <w:rPr>
          <w:rFonts w:eastAsia="黑体"/>
          <w:bCs/>
          <w:sz w:val="28"/>
          <w:szCs w:val="28"/>
        </w:rPr>
        <w:t xml:space="preserve">.2.1 </w:t>
      </w:r>
      <w:r>
        <w:rPr>
          <w:rFonts w:eastAsia="黑体"/>
          <w:kern w:val="0"/>
          <w:sz w:val="28"/>
          <w:szCs w:val="28"/>
          <w:lang w:val="zh-CN"/>
        </w:rPr>
        <w:t>非正常工况</w:t>
      </w:r>
      <w:r>
        <w:rPr>
          <w:rFonts w:hint="eastAsia" w:eastAsia="黑体"/>
          <w:kern w:val="0"/>
          <w:sz w:val="28"/>
          <w:szCs w:val="28"/>
          <w:lang w:val="zh-CN"/>
        </w:rPr>
        <w:t>下污水处理站废气处理装置故障</w:t>
      </w:r>
    </w:p>
    <w:p>
      <w:pPr>
        <w:spacing w:line="520" w:lineRule="exact"/>
        <w:ind w:firstLine="480" w:firstLineChars="200"/>
        <w:rPr>
          <w:bCs/>
          <w:iCs/>
          <w:sz w:val="24"/>
          <w:szCs w:val="24"/>
        </w:rPr>
      </w:pPr>
      <w:r>
        <w:rPr>
          <w:bCs/>
          <w:iCs/>
          <w:sz w:val="24"/>
          <w:szCs w:val="24"/>
        </w:rPr>
        <w:t>假定本项目</w:t>
      </w:r>
      <w:r>
        <w:rPr>
          <w:rFonts w:hint="eastAsia"/>
          <w:bCs/>
          <w:iCs/>
          <w:sz w:val="24"/>
          <w:szCs w:val="24"/>
        </w:rPr>
        <w:t>污水处理站恶臭气体</w:t>
      </w:r>
      <w:r>
        <w:rPr>
          <w:bCs/>
          <w:iCs/>
          <w:sz w:val="24"/>
          <w:szCs w:val="24"/>
        </w:rPr>
        <w:t>处理装置</w:t>
      </w:r>
      <w:r>
        <w:rPr>
          <w:rFonts w:hint="eastAsia"/>
          <w:bCs/>
          <w:iCs/>
          <w:sz w:val="24"/>
          <w:szCs w:val="24"/>
        </w:rPr>
        <w:t>“碱喷淋+生物除臭剂喷淋”</w:t>
      </w:r>
      <w:r>
        <w:rPr>
          <w:bCs/>
          <w:iCs/>
          <w:sz w:val="24"/>
          <w:szCs w:val="24"/>
        </w:rPr>
        <w:t>发生故障，导致</w:t>
      </w:r>
      <w:r>
        <w:rPr>
          <w:rFonts w:hint="eastAsia"/>
          <w:bCs/>
          <w:iCs/>
          <w:sz w:val="24"/>
          <w:szCs w:val="24"/>
        </w:rPr>
        <w:t>恶臭气体</w:t>
      </w:r>
      <w:r>
        <w:rPr>
          <w:bCs/>
          <w:iCs/>
          <w:sz w:val="24"/>
          <w:szCs w:val="24"/>
        </w:rPr>
        <w:t>未经处理直接排放</w:t>
      </w:r>
      <w:r>
        <w:rPr>
          <w:rFonts w:hint="eastAsia"/>
          <w:bCs/>
          <w:iCs/>
          <w:sz w:val="24"/>
          <w:szCs w:val="24"/>
        </w:rPr>
        <w:t>。停车检修时间约1h。</w:t>
      </w:r>
      <w:r>
        <w:rPr>
          <w:bCs/>
          <w:iCs/>
          <w:sz w:val="24"/>
          <w:szCs w:val="24"/>
        </w:rPr>
        <w:t>本次评价按照每年2次进行考虑，则项目</w:t>
      </w:r>
      <w:r>
        <w:rPr>
          <w:rFonts w:hint="eastAsia"/>
          <w:bCs/>
          <w:iCs/>
          <w:sz w:val="24"/>
          <w:szCs w:val="24"/>
        </w:rPr>
        <w:t>污水处理站恶臭气体</w:t>
      </w:r>
      <w:r>
        <w:rPr>
          <w:bCs/>
          <w:iCs/>
          <w:sz w:val="24"/>
          <w:szCs w:val="24"/>
        </w:rPr>
        <w:t>处理装置故障排放源强见下表。</w:t>
      </w:r>
    </w:p>
    <w:p>
      <w:pPr>
        <w:spacing w:line="520" w:lineRule="exact"/>
        <w:ind w:firstLine="480" w:firstLineChars="200"/>
        <w:rPr>
          <w:rFonts w:eastAsia="黑体"/>
          <w:bCs/>
          <w:sz w:val="24"/>
          <w:szCs w:val="24"/>
        </w:rPr>
      </w:pPr>
      <w:r>
        <w:rPr>
          <w:rFonts w:eastAsia="黑体"/>
          <w:bCs/>
          <w:sz w:val="24"/>
          <w:szCs w:val="24"/>
        </w:rPr>
        <w:t>表3.2-1      非正常工况</w:t>
      </w:r>
      <w:r>
        <w:rPr>
          <w:rFonts w:hint="eastAsia" w:eastAsia="黑体"/>
          <w:bCs/>
          <w:sz w:val="24"/>
          <w:szCs w:val="24"/>
        </w:rPr>
        <w:t>恶臭气体</w:t>
      </w:r>
      <w:r>
        <w:rPr>
          <w:rFonts w:eastAsia="黑体"/>
          <w:bCs/>
          <w:sz w:val="24"/>
          <w:szCs w:val="24"/>
        </w:rPr>
        <w:t>处理装置故障排放源强</w:t>
      </w:r>
    </w:p>
    <w:tbl>
      <w:tblPr>
        <w:tblStyle w:val="49"/>
        <w:tblW w:w="496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18"/>
        <w:gridCol w:w="1164"/>
        <w:gridCol w:w="1893"/>
        <w:gridCol w:w="1747"/>
        <w:gridCol w:w="1602"/>
        <w:gridCol w:w="17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 w:hRule="atLeast"/>
          <w:jc w:val="center"/>
        </w:trPr>
        <w:tc>
          <w:tcPr>
            <w:tcW w:w="404" w:type="pct"/>
            <w:tcMar>
              <w:top w:w="85" w:type="dxa"/>
              <w:bottom w:w="85" w:type="dxa"/>
            </w:tcMar>
            <w:vAlign w:val="center"/>
          </w:tcPr>
          <w:p>
            <w:pPr>
              <w:adjustRightInd w:val="0"/>
              <w:snapToGrid w:val="0"/>
              <w:jc w:val="center"/>
              <w:rPr>
                <w:b/>
                <w:szCs w:val="21"/>
              </w:rPr>
            </w:pPr>
            <w:r>
              <w:rPr>
                <w:b/>
                <w:szCs w:val="21"/>
              </w:rPr>
              <w:t>序号</w:t>
            </w:r>
          </w:p>
        </w:tc>
        <w:tc>
          <w:tcPr>
            <w:tcW w:w="655" w:type="pct"/>
            <w:tcMar>
              <w:top w:w="85" w:type="dxa"/>
              <w:bottom w:w="85" w:type="dxa"/>
            </w:tcMar>
            <w:vAlign w:val="center"/>
          </w:tcPr>
          <w:p>
            <w:pPr>
              <w:adjustRightInd w:val="0"/>
              <w:snapToGrid w:val="0"/>
              <w:jc w:val="center"/>
              <w:rPr>
                <w:b/>
                <w:szCs w:val="21"/>
              </w:rPr>
            </w:pPr>
            <w:r>
              <w:rPr>
                <w:b/>
                <w:szCs w:val="21"/>
              </w:rPr>
              <w:t>污染物</w:t>
            </w:r>
          </w:p>
        </w:tc>
        <w:tc>
          <w:tcPr>
            <w:tcW w:w="1065" w:type="pct"/>
            <w:tcBorders>
              <w:right w:val="single" w:color="auto" w:sz="4" w:space="0"/>
            </w:tcBorders>
            <w:tcMar>
              <w:top w:w="85" w:type="dxa"/>
              <w:bottom w:w="85" w:type="dxa"/>
            </w:tcMar>
            <w:vAlign w:val="center"/>
          </w:tcPr>
          <w:p>
            <w:pPr>
              <w:adjustRightInd w:val="0"/>
              <w:snapToGrid w:val="0"/>
              <w:jc w:val="center"/>
              <w:rPr>
                <w:b/>
                <w:szCs w:val="21"/>
              </w:rPr>
            </w:pPr>
            <w:r>
              <w:rPr>
                <w:b/>
                <w:szCs w:val="21"/>
              </w:rPr>
              <w:t>排放浓度mg/m</w:t>
            </w:r>
            <w:r>
              <w:rPr>
                <w:b/>
                <w:szCs w:val="21"/>
                <w:vertAlign w:val="superscript"/>
              </w:rPr>
              <w:t>3</w:t>
            </w:r>
          </w:p>
        </w:tc>
        <w:tc>
          <w:tcPr>
            <w:tcW w:w="983" w:type="pct"/>
            <w:tcBorders>
              <w:left w:val="single" w:color="auto" w:sz="4" w:space="0"/>
              <w:right w:val="single" w:color="auto" w:sz="4" w:space="0"/>
            </w:tcBorders>
            <w:vAlign w:val="center"/>
          </w:tcPr>
          <w:p>
            <w:pPr>
              <w:adjustRightInd w:val="0"/>
              <w:snapToGrid w:val="0"/>
              <w:jc w:val="center"/>
              <w:rPr>
                <w:b/>
                <w:szCs w:val="21"/>
              </w:rPr>
            </w:pPr>
            <w:r>
              <w:rPr>
                <w:b/>
                <w:szCs w:val="21"/>
              </w:rPr>
              <w:t>排放源强kg/h</w:t>
            </w:r>
          </w:p>
        </w:tc>
        <w:tc>
          <w:tcPr>
            <w:tcW w:w="901" w:type="pct"/>
            <w:tcBorders>
              <w:left w:val="single" w:color="auto" w:sz="4" w:space="0"/>
              <w:right w:val="single" w:color="auto" w:sz="4" w:space="0"/>
            </w:tcBorders>
            <w:vAlign w:val="center"/>
          </w:tcPr>
          <w:p>
            <w:pPr>
              <w:adjustRightInd w:val="0"/>
              <w:snapToGrid w:val="0"/>
              <w:jc w:val="center"/>
              <w:rPr>
                <w:b/>
                <w:szCs w:val="21"/>
              </w:rPr>
            </w:pPr>
            <w:r>
              <w:rPr>
                <w:b/>
                <w:szCs w:val="21"/>
              </w:rPr>
              <w:t>排放量kg/次</w:t>
            </w:r>
          </w:p>
        </w:tc>
        <w:tc>
          <w:tcPr>
            <w:tcW w:w="992" w:type="pct"/>
            <w:tcBorders>
              <w:left w:val="single" w:color="auto" w:sz="4" w:space="0"/>
            </w:tcBorders>
            <w:vAlign w:val="center"/>
          </w:tcPr>
          <w:p>
            <w:pPr>
              <w:adjustRightInd w:val="0"/>
              <w:snapToGrid w:val="0"/>
              <w:jc w:val="center"/>
              <w:rPr>
                <w:b/>
                <w:szCs w:val="21"/>
              </w:rPr>
            </w:pPr>
            <w:r>
              <w:rPr>
                <w:b/>
                <w:szCs w:val="21"/>
              </w:rPr>
              <w:t>全年排放量kg/a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 w:hRule="atLeast"/>
          <w:jc w:val="center"/>
        </w:trPr>
        <w:tc>
          <w:tcPr>
            <w:tcW w:w="404" w:type="pct"/>
            <w:tcBorders>
              <w:top w:val="single" w:color="auto" w:sz="4" w:space="0"/>
              <w:bottom w:val="single" w:color="auto" w:sz="4" w:space="0"/>
            </w:tcBorders>
            <w:tcMar>
              <w:top w:w="85" w:type="dxa"/>
              <w:bottom w:w="85" w:type="dxa"/>
            </w:tcMar>
            <w:vAlign w:val="center"/>
          </w:tcPr>
          <w:p>
            <w:pPr>
              <w:widowControl/>
              <w:jc w:val="center"/>
              <w:textAlignment w:val="center"/>
              <w:rPr>
                <w:bCs/>
                <w:szCs w:val="21"/>
              </w:rPr>
            </w:pPr>
            <w:r>
              <w:rPr>
                <w:bCs/>
                <w:szCs w:val="21"/>
              </w:rPr>
              <w:t>1</w:t>
            </w:r>
          </w:p>
        </w:tc>
        <w:tc>
          <w:tcPr>
            <w:tcW w:w="655" w:type="pct"/>
            <w:tcBorders>
              <w:top w:val="single" w:color="auto" w:sz="4" w:space="0"/>
              <w:bottom w:val="single" w:color="auto" w:sz="4" w:space="0"/>
            </w:tcBorders>
            <w:tcMar>
              <w:top w:w="85" w:type="dxa"/>
              <w:bottom w:w="85" w:type="dxa"/>
            </w:tcMar>
            <w:vAlign w:val="center"/>
          </w:tcPr>
          <w:p>
            <w:pPr>
              <w:widowControl/>
              <w:jc w:val="center"/>
              <w:textAlignment w:val="center"/>
              <w:rPr>
                <w:bCs/>
                <w:szCs w:val="21"/>
              </w:rPr>
            </w:pPr>
            <w:r>
              <w:rPr>
                <w:rFonts w:hint="eastAsia"/>
                <w:szCs w:val="21"/>
              </w:rPr>
              <w:t>氨</w:t>
            </w:r>
          </w:p>
        </w:tc>
        <w:tc>
          <w:tcPr>
            <w:tcW w:w="1065" w:type="pct"/>
            <w:tcBorders>
              <w:top w:val="single" w:color="auto" w:sz="4" w:space="0"/>
              <w:bottom w:val="single" w:color="auto" w:sz="4" w:space="0"/>
              <w:right w:val="single" w:color="auto" w:sz="4" w:space="0"/>
            </w:tcBorders>
            <w:tcMar>
              <w:top w:w="85" w:type="dxa"/>
              <w:bottom w:w="85" w:type="dxa"/>
            </w:tcMar>
            <w:vAlign w:val="center"/>
          </w:tcPr>
          <w:p>
            <w:pPr>
              <w:widowControl/>
              <w:jc w:val="center"/>
              <w:textAlignment w:val="center"/>
              <w:rPr>
                <w:bCs/>
                <w:szCs w:val="21"/>
              </w:rPr>
            </w:pPr>
            <w:r>
              <w:rPr>
                <w:szCs w:val="21"/>
              </w:rPr>
              <w:t>15.9</w:t>
            </w:r>
          </w:p>
        </w:tc>
        <w:tc>
          <w:tcPr>
            <w:tcW w:w="9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bCs/>
                <w:szCs w:val="21"/>
              </w:rPr>
            </w:pPr>
            <w:r>
              <w:rPr>
                <w:szCs w:val="21"/>
              </w:rPr>
              <w:t>0.2385</w:t>
            </w:r>
          </w:p>
        </w:tc>
        <w:tc>
          <w:tcPr>
            <w:tcW w:w="901"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szCs w:val="21"/>
              </w:rPr>
            </w:pPr>
            <w:r>
              <w:rPr>
                <w:szCs w:val="21"/>
              </w:rPr>
              <w:t>0.2385</w:t>
            </w:r>
          </w:p>
        </w:tc>
        <w:tc>
          <w:tcPr>
            <w:tcW w:w="992" w:type="pct"/>
            <w:tcBorders>
              <w:top w:val="single" w:color="auto" w:sz="4" w:space="0"/>
              <w:left w:val="single" w:color="auto" w:sz="4" w:space="0"/>
              <w:bottom w:val="single" w:color="auto" w:sz="4" w:space="0"/>
            </w:tcBorders>
            <w:vAlign w:val="center"/>
          </w:tcPr>
          <w:p>
            <w:pPr>
              <w:widowControl/>
              <w:jc w:val="center"/>
              <w:textAlignment w:val="center"/>
              <w:rPr>
                <w:bCs/>
                <w:szCs w:val="21"/>
              </w:rPr>
            </w:pPr>
            <w:r>
              <w:rPr>
                <w:rFonts w:hint="eastAsia"/>
                <w:szCs w:val="21"/>
              </w:rPr>
              <w:t>0</w:t>
            </w:r>
            <w:r>
              <w:rPr>
                <w:szCs w:val="21"/>
              </w:rPr>
              <w:t>.477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 w:hRule="atLeast"/>
          <w:jc w:val="center"/>
        </w:trPr>
        <w:tc>
          <w:tcPr>
            <w:tcW w:w="404" w:type="pct"/>
            <w:tcBorders>
              <w:top w:val="single" w:color="auto" w:sz="4" w:space="0"/>
              <w:bottom w:val="single" w:color="auto" w:sz="4" w:space="0"/>
            </w:tcBorders>
            <w:tcMar>
              <w:top w:w="85" w:type="dxa"/>
              <w:bottom w:w="85" w:type="dxa"/>
            </w:tcMar>
            <w:vAlign w:val="center"/>
          </w:tcPr>
          <w:p>
            <w:pPr>
              <w:widowControl/>
              <w:jc w:val="center"/>
              <w:textAlignment w:val="center"/>
              <w:rPr>
                <w:bCs/>
                <w:szCs w:val="21"/>
              </w:rPr>
            </w:pPr>
            <w:r>
              <w:rPr>
                <w:bCs/>
                <w:szCs w:val="21"/>
              </w:rPr>
              <w:t>2</w:t>
            </w:r>
          </w:p>
        </w:tc>
        <w:tc>
          <w:tcPr>
            <w:tcW w:w="655" w:type="pct"/>
            <w:tcBorders>
              <w:top w:val="single" w:color="auto" w:sz="4" w:space="0"/>
              <w:bottom w:val="single" w:color="auto" w:sz="4" w:space="0"/>
            </w:tcBorders>
            <w:tcMar>
              <w:top w:w="85" w:type="dxa"/>
              <w:bottom w:w="85" w:type="dxa"/>
            </w:tcMar>
            <w:vAlign w:val="center"/>
          </w:tcPr>
          <w:p>
            <w:pPr>
              <w:widowControl/>
              <w:jc w:val="center"/>
              <w:textAlignment w:val="center"/>
              <w:rPr>
                <w:bCs/>
                <w:szCs w:val="21"/>
              </w:rPr>
            </w:pPr>
            <w:r>
              <w:rPr>
                <w:rFonts w:hint="eastAsia"/>
                <w:szCs w:val="21"/>
              </w:rPr>
              <w:t>硫化氢</w:t>
            </w:r>
          </w:p>
        </w:tc>
        <w:tc>
          <w:tcPr>
            <w:tcW w:w="1065" w:type="pct"/>
            <w:tcBorders>
              <w:top w:val="single" w:color="auto" w:sz="4" w:space="0"/>
              <w:bottom w:val="single" w:color="auto" w:sz="4" w:space="0"/>
              <w:right w:val="single" w:color="auto" w:sz="4" w:space="0"/>
            </w:tcBorders>
            <w:tcMar>
              <w:top w:w="85" w:type="dxa"/>
              <w:bottom w:w="85" w:type="dxa"/>
            </w:tcMar>
            <w:vAlign w:val="center"/>
          </w:tcPr>
          <w:p>
            <w:pPr>
              <w:widowControl/>
              <w:jc w:val="center"/>
              <w:textAlignment w:val="center"/>
            </w:pPr>
            <w:r>
              <w:rPr>
                <w:szCs w:val="21"/>
              </w:rPr>
              <w:t>0.61</w:t>
            </w:r>
          </w:p>
        </w:tc>
        <w:tc>
          <w:tcPr>
            <w:tcW w:w="983"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szCs w:val="21"/>
              </w:rPr>
            </w:pPr>
            <w:r>
              <w:rPr>
                <w:szCs w:val="21"/>
              </w:rPr>
              <w:t>0.0092</w:t>
            </w:r>
          </w:p>
        </w:tc>
        <w:tc>
          <w:tcPr>
            <w:tcW w:w="901"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szCs w:val="21"/>
              </w:rPr>
            </w:pPr>
            <w:r>
              <w:rPr>
                <w:szCs w:val="21"/>
              </w:rPr>
              <w:t>0.0092</w:t>
            </w:r>
          </w:p>
        </w:tc>
        <w:tc>
          <w:tcPr>
            <w:tcW w:w="992" w:type="pct"/>
            <w:tcBorders>
              <w:top w:val="single" w:color="auto" w:sz="4" w:space="0"/>
              <w:left w:val="single" w:color="auto" w:sz="4" w:space="0"/>
              <w:bottom w:val="single" w:color="auto" w:sz="4" w:space="0"/>
            </w:tcBorders>
            <w:vAlign w:val="center"/>
          </w:tcPr>
          <w:p>
            <w:pPr>
              <w:widowControl/>
              <w:jc w:val="center"/>
              <w:textAlignment w:val="center"/>
              <w:rPr>
                <w:szCs w:val="21"/>
              </w:rPr>
            </w:pPr>
            <w:r>
              <w:rPr>
                <w:rFonts w:hint="eastAsia"/>
                <w:szCs w:val="21"/>
              </w:rPr>
              <w:t>0</w:t>
            </w:r>
            <w:r>
              <w:rPr>
                <w:szCs w:val="21"/>
              </w:rPr>
              <w:t>.0184</w:t>
            </w:r>
          </w:p>
        </w:tc>
      </w:tr>
    </w:tbl>
    <w:p>
      <w:pPr>
        <w:spacing w:line="360" w:lineRule="auto"/>
        <w:ind w:firstLine="480" w:firstLineChars="200"/>
        <w:jc w:val="left"/>
        <w:rPr>
          <w:rFonts w:ascii="Calibri" w:hAnsi="Calibri"/>
          <w:kern w:val="0"/>
          <w:sz w:val="24"/>
        </w:rPr>
      </w:pPr>
    </w:p>
    <w:p>
      <w:pPr>
        <w:pStyle w:val="89"/>
      </w:pPr>
    </w:p>
    <w:p>
      <w:pPr>
        <w:pStyle w:val="89"/>
      </w:pPr>
    </w:p>
    <w:p>
      <w:pPr>
        <w:pStyle w:val="89"/>
      </w:pPr>
    </w:p>
    <w:p>
      <w:pPr>
        <w:pStyle w:val="89"/>
      </w:pPr>
    </w:p>
    <w:p>
      <w:pPr>
        <w:pStyle w:val="89"/>
      </w:pPr>
    </w:p>
    <w:p>
      <w:pPr>
        <w:pStyle w:val="89"/>
        <w:sectPr>
          <w:pgSz w:w="11907" w:h="16840"/>
          <w:pgMar w:top="1701" w:right="1588" w:bottom="1701" w:left="1588" w:header="851" w:footer="1134" w:gutter="0"/>
          <w:cols w:space="720" w:num="1"/>
        </w:sectPr>
      </w:pPr>
    </w:p>
    <w:p>
      <w:pPr>
        <w:keepNext/>
        <w:keepLines/>
        <w:tabs>
          <w:tab w:val="left" w:pos="1275"/>
        </w:tabs>
        <w:spacing w:line="360" w:lineRule="auto"/>
        <w:jc w:val="center"/>
        <w:outlineLvl w:val="0"/>
        <w:rPr>
          <w:rFonts w:eastAsia="黑体"/>
          <w:bCs/>
          <w:kern w:val="44"/>
          <w:sz w:val="44"/>
          <w:szCs w:val="44"/>
        </w:rPr>
      </w:pPr>
      <w:bookmarkStart w:id="76" w:name="_Toc10128"/>
      <w:r>
        <w:rPr>
          <w:rFonts w:eastAsia="黑体"/>
          <w:bCs/>
          <w:kern w:val="44"/>
          <w:sz w:val="44"/>
          <w:szCs w:val="44"/>
        </w:rPr>
        <w:t>第4章  环境现状调查与评价</w:t>
      </w:r>
      <w:bookmarkEnd w:id="76"/>
    </w:p>
    <w:p>
      <w:pPr>
        <w:spacing w:line="240" w:lineRule="exact"/>
        <w:rPr>
          <w:sz w:val="24"/>
          <w:szCs w:val="24"/>
        </w:rPr>
      </w:pPr>
      <w:bookmarkStart w:id="77" w:name="_Toc283989959"/>
      <w:bookmarkStart w:id="78" w:name="_Toc397026767"/>
      <w:bookmarkStart w:id="79" w:name="_Toc311820676"/>
      <w:bookmarkStart w:id="80" w:name="_Toc341087037"/>
    </w:p>
    <w:p>
      <w:pPr>
        <w:keepNext/>
        <w:keepLines/>
        <w:spacing w:line="520" w:lineRule="exact"/>
        <w:ind w:left="420" w:hanging="420"/>
        <w:outlineLvl w:val="1"/>
        <w:rPr>
          <w:rFonts w:eastAsia="黑体"/>
          <w:bCs/>
          <w:kern w:val="0"/>
          <w:sz w:val="28"/>
          <w:szCs w:val="28"/>
          <w:lang w:val="zh-CN"/>
        </w:rPr>
      </w:pPr>
      <w:bookmarkStart w:id="81" w:name="_Toc25163"/>
      <w:r>
        <w:rPr>
          <w:rFonts w:eastAsia="黑体"/>
          <w:bCs/>
          <w:kern w:val="0"/>
          <w:sz w:val="28"/>
          <w:szCs w:val="28"/>
          <w:lang w:val="zh-CN"/>
        </w:rPr>
        <w:t>4.1 自然环境概况</w:t>
      </w:r>
      <w:bookmarkEnd w:id="81"/>
    </w:p>
    <w:p>
      <w:pPr>
        <w:keepNext/>
        <w:keepLines/>
        <w:spacing w:line="520" w:lineRule="exact"/>
        <w:outlineLvl w:val="2"/>
        <w:rPr>
          <w:rFonts w:eastAsia="黑体"/>
          <w:bCs/>
          <w:sz w:val="28"/>
          <w:szCs w:val="28"/>
        </w:rPr>
      </w:pPr>
      <w:r>
        <w:rPr>
          <w:rFonts w:eastAsia="黑体"/>
          <w:bCs/>
          <w:sz w:val="28"/>
          <w:szCs w:val="28"/>
        </w:rPr>
        <w:t>4.1.1 地理位置</w:t>
      </w:r>
    </w:p>
    <w:p>
      <w:pPr>
        <w:spacing w:line="520" w:lineRule="exact"/>
        <w:ind w:firstLine="480" w:firstLineChars="200"/>
        <w:rPr>
          <w:sz w:val="24"/>
          <w:szCs w:val="24"/>
        </w:rPr>
      </w:pPr>
      <w:r>
        <w:rPr>
          <w:rFonts w:hint="eastAsia"/>
          <w:sz w:val="24"/>
          <w:szCs w:val="24"/>
        </w:rPr>
        <w:t>原阳县属于河南省新乡市，地处豫北平原，南临黄河，北面是余河通道，地势西南偏高，东北偏低，地貌属黄河冲积平原，其地理坐标东经113.36~114.15度，北纬34.55~35.11度，东接封丘，西邻武陟、获嘉，背靠新乡、延津，南与中牟和郑州郊区隔河相望，历史悠久。全县辖14个乡，3个镇，一个街道办事处，总人口68万，区域总面积1339km。</w:t>
      </w:r>
    </w:p>
    <w:p>
      <w:pPr>
        <w:spacing w:line="520" w:lineRule="exact"/>
        <w:ind w:firstLine="480" w:firstLineChars="200"/>
        <w:rPr>
          <w:sz w:val="24"/>
          <w:szCs w:val="24"/>
        </w:rPr>
      </w:pPr>
      <w:r>
        <w:rPr>
          <w:rFonts w:hint="eastAsia"/>
          <w:sz w:val="24"/>
          <w:szCs w:val="24"/>
        </w:rPr>
        <w:t>原阳产业集聚区原规划选址位于原阳县城西南部，106-107国道连接线两侧北至原阳县城南干道，南至工纬五路，东至陈平路，西至西二环西侧，总规划面积为10.5km。集聚区调整方案向南、向东扩区，西、北边界不变，整后区域为东至黄河路，南至工业大道，西至西二环，北至南干道，规划总面积14.69平方公里。集聚区与京港澳高速入口接壤，距省会郑州35km，一河之隔，三桥相连新乡市区25km，处于郑州、新乡、开封和焦作所自然形成的交汇中心要冲地域107国道、京港澳高速、郑焦晋高速、黄河公铁两用桥107连接线、310省道从规划区附近穿过，交通区位优势明显。</w:t>
      </w:r>
    </w:p>
    <w:p>
      <w:pPr>
        <w:spacing w:line="520" w:lineRule="exact"/>
        <w:ind w:firstLine="480" w:firstLineChars="200"/>
        <w:rPr>
          <w:sz w:val="24"/>
          <w:szCs w:val="24"/>
        </w:rPr>
      </w:pPr>
      <w:r>
        <w:rPr>
          <w:rFonts w:hint="eastAsia"/>
          <w:sz w:val="24"/>
          <w:szCs w:val="24"/>
        </w:rPr>
        <w:t>本项目位于原阳县产业集聚区永安路南侧、小庄村西侧（金祥南街建成打通后为金祥南街西侧，路东为小庄村）、小庄排河东侧</w:t>
      </w:r>
      <w:r>
        <w:rPr>
          <w:sz w:val="24"/>
          <w:szCs w:val="24"/>
        </w:rPr>
        <w:t>。距离厂址</w:t>
      </w:r>
      <w:r>
        <w:rPr>
          <w:rFonts w:hint="eastAsia"/>
          <w:sz w:val="24"/>
          <w:szCs w:val="24"/>
        </w:rPr>
        <w:t>较</w:t>
      </w:r>
      <w:r>
        <w:rPr>
          <w:sz w:val="24"/>
          <w:szCs w:val="24"/>
        </w:rPr>
        <w:t>近环境的敏感点主要为：</w:t>
      </w:r>
      <w:r>
        <w:rPr>
          <w:rFonts w:hint="eastAsia"/>
          <w:sz w:val="24"/>
          <w:szCs w:val="24"/>
        </w:rPr>
        <w:t>厂区东侧紧邻的小庄村（待金祥南街建成后，小庄村则位于厂区东侧</w:t>
      </w:r>
      <w:r>
        <w:rPr>
          <w:sz w:val="24"/>
          <w:szCs w:val="24"/>
        </w:rPr>
        <w:t>50m处</w:t>
      </w:r>
      <w:r>
        <w:rPr>
          <w:rFonts w:hint="eastAsia"/>
          <w:sz w:val="24"/>
          <w:szCs w:val="24"/>
        </w:rPr>
        <w:t>），西侧9</w:t>
      </w:r>
      <w:r>
        <w:rPr>
          <w:sz w:val="24"/>
          <w:szCs w:val="24"/>
        </w:rPr>
        <w:t>40m</w:t>
      </w:r>
      <w:r>
        <w:rPr>
          <w:rFonts w:hint="eastAsia"/>
          <w:sz w:val="24"/>
          <w:szCs w:val="24"/>
        </w:rPr>
        <w:t>处的樊庄村和东南3</w:t>
      </w:r>
      <w:r>
        <w:rPr>
          <w:sz w:val="24"/>
          <w:szCs w:val="24"/>
        </w:rPr>
        <w:t>70m</w:t>
      </w:r>
      <w:r>
        <w:rPr>
          <w:rFonts w:hint="eastAsia"/>
          <w:sz w:val="24"/>
          <w:szCs w:val="24"/>
        </w:rPr>
        <w:t>处的袁庄</w:t>
      </w:r>
      <w:r>
        <w:rPr>
          <w:sz w:val="24"/>
          <w:szCs w:val="24"/>
        </w:rPr>
        <w:t>等。项目地理位置见附图一，项目厂址周边环境示意图</w:t>
      </w:r>
      <w:r>
        <w:rPr>
          <w:rFonts w:hint="eastAsia"/>
          <w:sz w:val="24"/>
          <w:szCs w:val="24"/>
        </w:rPr>
        <w:t>如下</w:t>
      </w:r>
      <w:r>
        <w:rPr>
          <w:sz w:val="24"/>
          <w:szCs w:val="24"/>
        </w:rPr>
        <w:t>。</w:t>
      </w:r>
    </w:p>
    <w:p>
      <w:pPr>
        <w:spacing w:line="360" w:lineRule="auto"/>
        <w:rPr>
          <w:sz w:val="28"/>
          <w:szCs w:val="24"/>
        </w:rPr>
      </w:pPr>
      <w:r>
        <w:rPr>
          <w:sz w:val="28"/>
          <w:szCs w:val="24"/>
        </w:rPr>
        <w:drawing>
          <wp:inline distT="0" distB="0" distL="0" distR="0">
            <wp:extent cx="5543550" cy="4953635"/>
            <wp:effectExtent l="0" t="0" r="0" b="18415"/>
            <wp:docPr id="1569702064" name="图片 30" descr="墙上贴着许多广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02064" name="图片 30" descr="墙上贴着许多广告&#10;&#10;中度可信度描述已自动生成"/>
                    <pic:cNvPicPr>
                      <a:picLocks noChangeAspect="1" noChangeArrowheads="1"/>
                    </pic:cNvPicPr>
                  </pic:nvPicPr>
                  <pic:blipFill>
                    <a:blip r:embed="rId51"/>
                    <a:srcRect/>
                    <a:stretch>
                      <a:fillRect/>
                    </a:stretch>
                  </pic:blipFill>
                  <pic:spPr>
                    <a:xfrm>
                      <a:off x="0" y="0"/>
                      <a:ext cx="5543550" cy="4953635"/>
                    </a:xfrm>
                    <a:prstGeom prst="rect">
                      <a:avLst/>
                    </a:prstGeom>
                    <a:noFill/>
                    <a:ln>
                      <a:noFill/>
                    </a:ln>
                  </pic:spPr>
                </pic:pic>
              </a:graphicData>
            </a:graphic>
          </wp:inline>
        </w:drawing>
      </w:r>
    </w:p>
    <w:p>
      <w:pPr>
        <w:spacing w:line="360" w:lineRule="auto"/>
        <w:jc w:val="center"/>
        <w:rPr>
          <w:rFonts w:eastAsia="黑体"/>
          <w:sz w:val="24"/>
          <w:szCs w:val="24"/>
        </w:rPr>
      </w:pPr>
      <w:r>
        <w:rPr>
          <w:rFonts w:eastAsia="黑体"/>
          <w:sz w:val="24"/>
          <w:szCs w:val="24"/>
        </w:rPr>
        <w:t>图4.1-1  本项目厂址周边环境示意图</w:t>
      </w:r>
    </w:p>
    <w:p>
      <w:pPr>
        <w:keepNext/>
        <w:keepLines/>
        <w:spacing w:line="520" w:lineRule="exact"/>
        <w:outlineLvl w:val="2"/>
        <w:rPr>
          <w:rFonts w:eastAsia="黑体"/>
          <w:bCs/>
          <w:sz w:val="28"/>
          <w:szCs w:val="28"/>
        </w:rPr>
      </w:pPr>
      <w:r>
        <w:rPr>
          <w:rFonts w:eastAsia="黑体"/>
          <w:bCs/>
          <w:sz w:val="28"/>
          <w:szCs w:val="28"/>
        </w:rPr>
        <w:t>4.1.2 地形地貌</w:t>
      </w:r>
    </w:p>
    <w:p>
      <w:pPr>
        <w:snapToGrid w:val="0"/>
        <w:spacing w:line="520" w:lineRule="exact"/>
        <w:ind w:left="1" w:firstLine="480" w:firstLineChars="200"/>
        <w:rPr>
          <w:bCs/>
          <w:sz w:val="24"/>
          <w:szCs w:val="24"/>
          <w:highlight w:val="yellow"/>
        </w:rPr>
      </w:pPr>
      <w:r>
        <w:rPr>
          <w:rFonts w:hint="eastAsia"/>
          <w:bCs/>
          <w:sz w:val="24"/>
          <w:szCs w:val="24"/>
        </w:rPr>
        <w:t>原阳县系黄河中下游冲击平原，地势大致平坦。县域地势西南高，东北地,坡降约为1/6000~1/10000，海拔高度为70.5m~93.5m，黄河大堤南北地面高差7~9m。黄河自古流经县境，在境内多次决溢、改道，自此形成自北至南的沙丘、冲击平原、背河洼地、高滩等四大地貌特征。沙丘主要分布在县境西北和北部,东西长约25公里，南北宽约3至10公里，面积157.7平方公里，占全县总面积的11.8%；冲击平原面积267平方公里，占全县总面积的19.9%；背河洼地主要分布在沿黄河大堤北侧一线，包括天然干渠两岸，东西长约56公里，南北宽约2至12公里，面积为432.6平方公里，占全县总面积的32.3%：堤南高滩地东西长约60公里，南北宽约2至6公里，面积480平方公里，占全县总面积的35.9%。</w:t>
      </w:r>
    </w:p>
    <w:p>
      <w:pPr>
        <w:keepNext/>
        <w:keepLines/>
        <w:spacing w:line="520" w:lineRule="exact"/>
        <w:outlineLvl w:val="2"/>
        <w:rPr>
          <w:rFonts w:eastAsia="黑体"/>
          <w:bCs/>
          <w:sz w:val="28"/>
          <w:szCs w:val="28"/>
        </w:rPr>
      </w:pPr>
      <w:r>
        <w:rPr>
          <w:rFonts w:eastAsia="黑体"/>
          <w:bCs/>
          <w:sz w:val="28"/>
          <w:szCs w:val="28"/>
        </w:rPr>
        <w:t>4.1.3 地质</w:t>
      </w:r>
    </w:p>
    <w:p>
      <w:pPr>
        <w:snapToGrid w:val="0"/>
        <w:spacing w:line="520" w:lineRule="exact"/>
        <w:ind w:left="1" w:firstLine="480" w:firstLineChars="200"/>
        <w:rPr>
          <w:bCs/>
          <w:sz w:val="24"/>
          <w:szCs w:val="24"/>
        </w:rPr>
      </w:pPr>
      <w:r>
        <w:rPr>
          <w:rFonts w:hint="eastAsia"/>
          <w:bCs/>
          <w:sz w:val="24"/>
          <w:szCs w:val="24"/>
        </w:rPr>
        <w:t>原阳县县域内地表均为第四系地层所覆盖，下层属内陆湖泊沉积和黄河河相沉积，表层为黄河泛流堆积物，由于本区位于华北地台黄淮中断坳的开封地凹的西北部，太行山复背斜的南移复式向斜的核部，位于新华夏系与纬向构造带的复合部位，故县域内褶皱、断层较发育，断层主要可分为三组:北东向，近南北向及东西向展布。县域内岩承载力一般为8~12t/m。</w:t>
      </w:r>
    </w:p>
    <w:p>
      <w:pPr>
        <w:snapToGrid w:val="0"/>
        <w:spacing w:line="520" w:lineRule="exact"/>
        <w:ind w:left="1" w:firstLine="480" w:firstLineChars="200"/>
        <w:rPr>
          <w:bCs/>
          <w:sz w:val="24"/>
          <w:szCs w:val="24"/>
        </w:rPr>
      </w:pPr>
      <w:r>
        <w:rPr>
          <w:rFonts w:hint="eastAsia"/>
          <w:bCs/>
          <w:sz w:val="24"/>
          <w:szCs w:val="24"/>
        </w:rPr>
        <w:t>本项目所经区域在地质构造分区上属于中朝准地台华北坳陷地区，地层为新生界第四系（Qh）。喜马拉雅运动以来，以相对沉降为主，沉积了巨厚的第三系、第四系地层。区内起控制作用断裂主要为NNE向的太行山山前断裂和NNW向的汤东断裂。太行山山前断裂位于华北平原西部边缘，由一系列倾向SSE的高角度正断裂层组成；汤东断裂是汤阴地堑的东部边界断裂，为一倾向NNW的高角度正断层。</w:t>
      </w:r>
    </w:p>
    <w:p>
      <w:pPr>
        <w:snapToGrid w:val="0"/>
        <w:spacing w:line="520" w:lineRule="exact"/>
        <w:ind w:left="1" w:firstLine="480" w:firstLineChars="200"/>
        <w:rPr>
          <w:bCs/>
          <w:sz w:val="24"/>
          <w:szCs w:val="24"/>
        </w:rPr>
      </w:pPr>
      <w:r>
        <w:rPr>
          <w:rFonts w:hint="eastAsia"/>
          <w:bCs/>
          <w:sz w:val="24"/>
          <w:szCs w:val="24"/>
        </w:rPr>
        <w:t>区域主要断裂有：</w:t>
      </w:r>
    </w:p>
    <w:p>
      <w:pPr>
        <w:snapToGrid w:val="0"/>
        <w:spacing w:line="520" w:lineRule="exact"/>
        <w:ind w:left="1" w:firstLine="480" w:firstLineChars="200"/>
        <w:rPr>
          <w:bCs/>
          <w:sz w:val="24"/>
          <w:szCs w:val="24"/>
        </w:rPr>
      </w:pPr>
      <w:r>
        <w:rPr>
          <w:rFonts w:hint="eastAsia"/>
          <w:bCs/>
          <w:sz w:val="24"/>
          <w:szCs w:val="24"/>
        </w:rPr>
        <w:t>（1）太行山山前断裂带</w:t>
      </w:r>
    </w:p>
    <w:p>
      <w:pPr>
        <w:snapToGrid w:val="0"/>
        <w:spacing w:line="520" w:lineRule="exact"/>
        <w:ind w:left="1" w:firstLine="480" w:firstLineChars="200"/>
        <w:rPr>
          <w:bCs/>
          <w:sz w:val="24"/>
          <w:szCs w:val="24"/>
        </w:rPr>
      </w:pPr>
      <w:r>
        <w:rPr>
          <w:rFonts w:hint="eastAsia"/>
          <w:bCs/>
          <w:sz w:val="24"/>
          <w:szCs w:val="24"/>
        </w:rPr>
        <w:t>南起新乡，经邢台、石家庄转向北东向，经保定、汤县，在通县附近与北西向的张家口至渤海断裂带交汇。地质物探资料表明，该带由一系列长几十或百余公里的北北东至北东向断裂组成，这些断裂均为右旋正断裂，它们控制了华北平原西部断陷盆地的形成与发展。其中距本工程场地较近的主要为汤西断裂和汤东断裂，这两条断裂均为第四系新近活动断裂，该断裂带曾发生过多次6级以上强震。</w:t>
      </w:r>
    </w:p>
    <w:p>
      <w:pPr>
        <w:snapToGrid w:val="0"/>
        <w:spacing w:line="520" w:lineRule="exact"/>
        <w:ind w:left="1" w:firstLine="480" w:firstLineChars="200"/>
        <w:rPr>
          <w:bCs/>
          <w:sz w:val="24"/>
          <w:szCs w:val="24"/>
        </w:rPr>
      </w:pPr>
      <w:r>
        <w:rPr>
          <w:rFonts w:hint="eastAsia"/>
          <w:bCs/>
          <w:sz w:val="24"/>
          <w:szCs w:val="24"/>
        </w:rPr>
        <w:t>（2）东濮地堑断裂带</w:t>
      </w:r>
    </w:p>
    <w:p>
      <w:pPr>
        <w:snapToGrid w:val="0"/>
        <w:spacing w:line="520" w:lineRule="exact"/>
        <w:ind w:left="1" w:firstLine="480" w:firstLineChars="200"/>
        <w:rPr>
          <w:bCs/>
          <w:sz w:val="24"/>
          <w:szCs w:val="24"/>
        </w:rPr>
      </w:pPr>
      <w:r>
        <w:rPr>
          <w:rFonts w:hint="eastAsia"/>
          <w:bCs/>
          <w:sz w:val="24"/>
          <w:szCs w:val="24"/>
        </w:rPr>
        <w:t>由北北东-北东向的聊兰断裂带、长垣断裂和黄河断裂组成东濮拗陷。拗陷长轴方向为北北东，西边缓、东边陡。该拗陷基底为石炭系和二迭系，局部有侏罗-白型系地层，拗陷内沉积了巨厚的新生界，最大厚度可达8000米。</w:t>
      </w:r>
    </w:p>
    <w:p>
      <w:pPr>
        <w:snapToGrid w:val="0"/>
        <w:spacing w:line="520" w:lineRule="exact"/>
        <w:ind w:left="1" w:firstLine="480" w:firstLineChars="200"/>
        <w:rPr>
          <w:bCs/>
          <w:sz w:val="24"/>
          <w:szCs w:val="24"/>
        </w:rPr>
      </w:pPr>
      <w:r>
        <w:rPr>
          <w:rFonts w:hint="eastAsia"/>
          <w:bCs/>
          <w:sz w:val="24"/>
          <w:szCs w:val="24"/>
        </w:rPr>
        <w:t>该断裂带基本属张性活动的正断层系列，但从地堑内部次一级断层的分布方式看，又具有右旋滑动的特征，其深部构造比较复杂，据资料分析，其莫氏面埋深为 29-30 公里，是一条北东东向的上地慢隆起带，在地壳中部 16 公里左右，存在低速层这种特殊介质层，该断层是一条重要的控震新近活动构造带。</w:t>
      </w:r>
    </w:p>
    <w:p>
      <w:pPr>
        <w:snapToGrid w:val="0"/>
        <w:spacing w:line="520" w:lineRule="exact"/>
        <w:ind w:left="1" w:firstLine="480" w:firstLineChars="200"/>
        <w:rPr>
          <w:bCs/>
          <w:sz w:val="24"/>
          <w:szCs w:val="24"/>
        </w:rPr>
      </w:pPr>
      <w:r>
        <w:rPr>
          <w:rFonts w:hint="eastAsia"/>
          <w:bCs/>
          <w:sz w:val="24"/>
          <w:szCs w:val="24"/>
        </w:rPr>
        <w:t>（3）盘古寺-新乡断裂带</w:t>
      </w:r>
    </w:p>
    <w:p>
      <w:pPr>
        <w:snapToGrid w:val="0"/>
        <w:spacing w:line="520" w:lineRule="exact"/>
        <w:ind w:left="1" w:firstLine="480" w:firstLineChars="200"/>
        <w:rPr>
          <w:bCs/>
          <w:sz w:val="24"/>
          <w:szCs w:val="24"/>
        </w:rPr>
      </w:pPr>
      <w:r>
        <w:rPr>
          <w:rFonts w:hint="eastAsia"/>
          <w:bCs/>
          <w:sz w:val="24"/>
          <w:szCs w:val="24"/>
        </w:rPr>
        <w:t>位于太行山南麓，西起克井盆地以西的山区，向东经交地、盘古寺、河口、仙神口、柏山，再向东隐伏，直到新乡市南的郎公庙，全长约160km。以柏山、大高村为界，把盘古寺断裂分为西、中、东三段。</w:t>
      </w:r>
    </w:p>
    <w:p>
      <w:pPr>
        <w:snapToGrid w:val="0"/>
        <w:spacing w:line="520" w:lineRule="exact"/>
        <w:ind w:left="1" w:firstLine="480" w:firstLineChars="200"/>
        <w:rPr>
          <w:bCs/>
          <w:sz w:val="24"/>
          <w:szCs w:val="24"/>
        </w:rPr>
      </w:pPr>
      <w:r>
        <w:rPr>
          <w:rFonts w:hint="eastAsia"/>
          <w:bCs/>
          <w:sz w:val="24"/>
          <w:szCs w:val="24"/>
        </w:rPr>
        <w:t>西段断裂走向东西，倾向南，地表倾角60°-70°。断裂破碎带宽约20-70m，两盘基岩落差大于700m，新构造活动时代为上新世一中更新世。中段基岩最大断距可达1500m，东段断裂走向近东西，倾向北，倾角约60°。自古生代以来具有继承性正断层活动特征，新生代最大断距达800多米。</w:t>
      </w:r>
    </w:p>
    <w:p>
      <w:pPr>
        <w:snapToGrid w:val="0"/>
        <w:spacing w:line="520" w:lineRule="exact"/>
        <w:ind w:left="1" w:firstLine="480" w:firstLineChars="200"/>
        <w:rPr>
          <w:bCs/>
          <w:sz w:val="24"/>
          <w:szCs w:val="24"/>
        </w:rPr>
      </w:pPr>
      <w:r>
        <w:rPr>
          <w:rFonts w:hint="eastAsia"/>
          <w:bCs/>
          <w:sz w:val="24"/>
          <w:szCs w:val="24"/>
        </w:rPr>
        <w:t>盘古寺-新乡断裂是一条规模较大，切割较深的活动断裂。有仪器记录以来沿断裂也曾记录到一些小震活动。</w:t>
      </w:r>
    </w:p>
    <w:p>
      <w:pPr>
        <w:snapToGrid w:val="0"/>
        <w:spacing w:line="520" w:lineRule="exact"/>
        <w:ind w:left="1" w:firstLine="480" w:firstLineChars="200"/>
        <w:rPr>
          <w:bCs/>
          <w:sz w:val="24"/>
          <w:szCs w:val="24"/>
        </w:rPr>
      </w:pPr>
      <w:r>
        <w:rPr>
          <w:rFonts w:hint="eastAsia"/>
          <w:bCs/>
          <w:sz w:val="24"/>
          <w:szCs w:val="24"/>
        </w:rPr>
        <w:t>（4）新乡-商丘断裂带</w:t>
      </w:r>
    </w:p>
    <w:p>
      <w:pPr>
        <w:snapToGrid w:val="0"/>
        <w:spacing w:line="520" w:lineRule="exact"/>
        <w:ind w:left="1" w:firstLine="480" w:firstLineChars="200"/>
        <w:rPr>
          <w:bCs/>
          <w:sz w:val="24"/>
          <w:szCs w:val="24"/>
        </w:rPr>
      </w:pPr>
      <w:r>
        <w:rPr>
          <w:rFonts w:hint="eastAsia"/>
          <w:bCs/>
          <w:sz w:val="24"/>
          <w:szCs w:val="24"/>
        </w:rPr>
        <w:t>该断裂隐伏于第四纪松散沉积物之下。西起新乡北，向南东经兰考、商丘、夏邑延伸进入安徽境内，交于郑庐断裂带,是冀鲁断块与豫皖断块的边界断裂全长约250km。据重、磁及其延拓资料解释，该带至少有两条近于平行的断裂组成走向约300°。被北东或北北东向断裂切割成若干段，倾向北东或南西摆动。该断裂西段为郑汴坳陷的北缘断裂，切割了古生代和中生代地层，为左旋平移正断层。断裂代北侧发育北北东和北东向构造，而其南为北西西及近东西向构造为主。</w:t>
      </w:r>
    </w:p>
    <w:p>
      <w:pPr>
        <w:snapToGrid w:val="0"/>
        <w:spacing w:line="520" w:lineRule="exact"/>
        <w:ind w:left="1" w:firstLine="480" w:firstLineChars="200"/>
        <w:rPr>
          <w:bCs/>
          <w:sz w:val="24"/>
          <w:szCs w:val="24"/>
        </w:rPr>
      </w:pPr>
      <w:r>
        <w:rPr>
          <w:rFonts w:hint="eastAsia"/>
          <w:bCs/>
          <w:sz w:val="24"/>
          <w:szCs w:val="24"/>
        </w:rPr>
        <w:t>场地地层岩性：</w:t>
      </w:r>
    </w:p>
    <w:p>
      <w:pPr>
        <w:snapToGrid w:val="0"/>
        <w:spacing w:line="520" w:lineRule="exact"/>
        <w:ind w:left="1" w:firstLine="480" w:firstLineChars="200"/>
        <w:rPr>
          <w:bCs/>
          <w:sz w:val="24"/>
          <w:szCs w:val="24"/>
        </w:rPr>
      </w:pPr>
      <w:r>
        <w:rPr>
          <w:rFonts w:hint="eastAsia"/>
          <w:bCs/>
          <w:sz w:val="24"/>
          <w:szCs w:val="24"/>
        </w:rPr>
        <w:t>根据《预制菜创新孵化园建设项目岩土工程勘察报告》，场地在揭露深度范围内均为第四系沉积层，根据物理力学特征共划分5个地质单元层，其各地质单元层的岩土特征如下：</w:t>
      </w:r>
    </w:p>
    <w:p>
      <w:pPr>
        <w:snapToGrid w:val="0"/>
        <w:spacing w:line="520" w:lineRule="exact"/>
        <w:ind w:left="1" w:firstLine="480" w:firstLineChars="200"/>
        <w:rPr>
          <w:bCs/>
          <w:sz w:val="24"/>
          <w:szCs w:val="24"/>
        </w:rPr>
      </w:pPr>
      <w:r>
        <w:rPr>
          <w:rFonts w:hint="eastAsia"/>
          <w:bCs/>
          <w:sz w:val="24"/>
          <w:szCs w:val="24"/>
        </w:rPr>
        <w:t>（1）素填土：黄灰-灰黄色，以粉土为主，含少量灰渣、砖块、植物根等杂物，局部为杂填土。</w:t>
      </w:r>
    </w:p>
    <w:p>
      <w:pPr>
        <w:snapToGrid w:val="0"/>
        <w:spacing w:line="520" w:lineRule="exact"/>
        <w:ind w:left="1" w:firstLine="480" w:firstLineChars="200"/>
        <w:rPr>
          <w:bCs/>
          <w:sz w:val="24"/>
          <w:szCs w:val="24"/>
        </w:rPr>
      </w:pPr>
      <w:r>
        <w:rPr>
          <w:rFonts w:hint="eastAsia"/>
          <w:bCs/>
          <w:sz w:val="24"/>
          <w:szCs w:val="24"/>
        </w:rPr>
        <w:t>（2）粉质粘土夹粉土：棕黄-褐黄色，可塑，光滑，干强度、韧性中等，无摇震反应，多处夹厚40cm左右中密状粉土。场区普遍分布，属中压缩性土。</w:t>
      </w:r>
    </w:p>
    <w:p>
      <w:pPr>
        <w:snapToGrid w:val="0"/>
        <w:spacing w:line="520" w:lineRule="exact"/>
        <w:ind w:left="1" w:firstLine="480" w:firstLineChars="200"/>
        <w:rPr>
          <w:bCs/>
          <w:sz w:val="24"/>
          <w:szCs w:val="24"/>
        </w:rPr>
      </w:pPr>
      <w:r>
        <w:rPr>
          <w:rFonts w:hint="eastAsia"/>
          <w:bCs/>
          <w:sz w:val="24"/>
          <w:szCs w:val="24"/>
        </w:rPr>
        <w:t>（3）粉土：黄褐色，湿，中密，无光泽反应，低干强度，低韧性，摇震反应中等，具锈染，不均质，局部砂粒含量高，偶夹薄层可塑状粉质粘土。场区普遍分布，属中压缩性土。</w:t>
      </w:r>
    </w:p>
    <w:p>
      <w:pPr>
        <w:snapToGrid w:val="0"/>
        <w:spacing w:line="520" w:lineRule="exact"/>
        <w:ind w:left="1" w:firstLine="480" w:firstLineChars="200"/>
        <w:rPr>
          <w:bCs/>
          <w:sz w:val="24"/>
          <w:szCs w:val="24"/>
        </w:rPr>
      </w:pPr>
      <w:r>
        <w:rPr>
          <w:rFonts w:hint="eastAsia"/>
          <w:bCs/>
          <w:sz w:val="24"/>
          <w:szCs w:val="24"/>
        </w:rPr>
        <w:t>（4）粉砂：灰黄色，饱和，稍密-中密，不均质，主要矿物成分为石英、长石，云母等暗色矿物次之，偶夹粘土团，多处相变为粉土或细砂。场区普遍分布，属中偏低压缩性土。</w:t>
      </w:r>
    </w:p>
    <w:p>
      <w:pPr>
        <w:snapToGrid w:val="0"/>
        <w:spacing w:line="520" w:lineRule="exact"/>
        <w:ind w:left="1" w:firstLine="480" w:firstLineChars="200"/>
        <w:rPr>
          <w:bCs/>
          <w:sz w:val="24"/>
          <w:szCs w:val="24"/>
          <w:highlight w:val="yellow"/>
        </w:rPr>
      </w:pPr>
      <w:r>
        <w:rPr>
          <w:rFonts w:hint="eastAsia"/>
          <w:bCs/>
          <w:sz w:val="24"/>
          <w:szCs w:val="24"/>
        </w:rPr>
        <w:t>（5）细砂：灰黄色，饱和，中密-密实，不均质，偶夹粘土团或粉土薄层，主要矿物成分为石英、长石，云母等暗色矿物次之。场区普遍分布，该层已揭最大厚10.00m。属低压缩性土。</w:t>
      </w:r>
    </w:p>
    <w:p>
      <w:pPr>
        <w:keepNext/>
        <w:keepLines/>
        <w:spacing w:line="520" w:lineRule="exact"/>
        <w:outlineLvl w:val="2"/>
        <w:rPr>
          <w:rFonts w:eastAsia="黑体"/>
          <w:bCs/>
          <w:sz w:val="28"/>
          <w:szCs w:val="28"/>
        </w:rPr>
      </w:pPr>
      <w:r>
        <w:rPr>
          <w:rFonts w:eastAsia="黑体"/>
          <w:bCs/>
          <w:sz w:val="28"/>
          <w:szCs w:val="28"/>
        </w:rPr>
        <w:t>4.1.4 水文</w:t>
      </w:r>
    </w:p>
    <w:p>
      <w:pPr>
        <w:snapToGrid w:val="0"/>
        <w:spacing w:line="520" w:lineRule="exact"/>
        <w:ind w:firstLine="480" w:firstLineChars="200"/>
        <w:rPr>
          <w:sz w:val="24"/>
          <w:szCs w:val="24"/>
        </w:rPr>
      </w:pPr>
      <w:r>
        <w:rPr>
          <w:rFonts w:hint="eastAsia"/>
          <w:sz w:val="24"/>
          <w:szCs w:val="24"/>
        </w:rPr>
        <w:t>（1）地表水</w:t>
      </w:r>
    </w:p>
    <w:p>
      <w:pPr>
        <w:snapToGrid w:val="0"/>
        <w:spacing w:line="520" w:lineRule="exact"/>
        <w:ind w:firstLine="480" w:firstLineChars="200"/>
        <w:rPr>
          <w:sz w:val="24"/>
          <w:szCs w:val="24"/>
        </w:rPr>
      </w:pPr>
      <w:r>
        <w:rPr>
          <w:rFonts w:hint="eastAsia"/>
          <w:sz w:val="24"/>
          <w:szCs w:val="24"/>
        </w:rPr>
        <w:t>原阳县属黄河流域，境内河流除黄河为天然河流外，其他河流均为人工引黄灌溉沟渠。</w:t>
      </w:r>
    </w:p>
    <w:p>
      <w:pPr>
        <w:snapToGrid w:val="0"/>
        <w:spacing w:line="520" w:lineRule="exact"/>
        <w:ind w:firstLine="482" w:firstLineChars="200"/>
        <w:rPr>
          <w:sz w:val="24"/>
          <w:szCs w:val="24"/>
        </w:rPr>
      </w:pPr>
      <w:r>
        <w:rPr>
          <w:rFonts w:hint="eastAsia"/>
          <w:b/>
          <w:bCs/>
          <w:sz w:val="24"/>
          <w:szCs w:val="24"/>
        </w:rPr>
        <w:t>黄河：</w:t>
      </w:r>
      <w:r>
        <w:rPr>
          <w:sz w:val="24"/>
          <w:szCs w:val="24"/>
        </w:rPr>
        <w:t>黄河</w:t>
      </w:r>
      <w:r>
        <w:rPr>
          <w:rFonts w:hint="eastAsia"/>
          <w:sz w:val="24"/>
          <w:szCs w:val="24"/>
        </w:rPr>
        <w:t>干流</w:t>
      </w:r>
      <w:r>
        <w:rPr>
          <w:sz w:val="24"/>
          <w:szCs w:val="24"/>
        </w:rPr>
        <w:t>：</w:t>
      </w:r>
    </w:p>
    <w:p>
      <w:pPr>
        <w:snapToGrid w:val="0"/>
        <w:spacing w:line="520" w:lineRule="exact"/>
        <w:ind w:firstLine="480" w:firstLineChars="200"/>
        <w:rPr>
          <w:sz w:val="24"/>
          <w:szCs w:val="24"/>
        </w:rPr>
      </w:pPr>
      <w:r>
        <w:rPr>
          <w:rFonts w:hint="eastAsia"/>
          <w:sz w:val="24"/>
          <w:szCs w:val="24"/>
        </w:rPr>
        <w:t>黄河自孟津宁嘴出峡谷，自西向东径流，自郑州桃花峪进入黄河下游。从工作区南部边界由西向东流过，长约37km。黄河下游河道为强烈堆积型河道，由于河水高含泥沙，并在下游段落淤，河床每年以0.01-0.1m的速度增高，促成黄河河床高出堤外地面3-4m不等，形成地表分水岭和黄淮海大平原的脊柱，成为驰名中外的“地上悬河”。黄河具水少沙多的特点，且水沙极不均匀，一年中60%水量和80%的输沙量都集中于汛期。据花园口水文站1950年-2010年资料（见图3-3），黄河多年平均流量1195m</w:t>
      </w:r>
      <w:r>
        <w:rPr>
          <w:rFonts w:hint="eastAsia"/>
          <w:sz w:val="24"/>
          <w:szCs w:val="24"/>
          <w:vertAlign w:val="superscript"/>
        </w:rPr>
        <w:t>3</w:t>
      </w:r>
      <w:r>
        <w:rPr>
          <w:rFonts w:hint="eastAsia"/>
          <w:sz w:val="24"/>
          <w:szCs w:val="24"/>
        </w:rPr>
        <w:t>/s；最大实测洪峰流量22300m</w:t>
      </w:r>
      <w:r>
        <w:rPr>
          <w:rFonts w:hint="eastAsia"/>
          <w:sz w:val="24"/>
          <w:szCs w:val="24"/>
          <w:vertAlign w:val="superscript"/>
        </w:rPr>
        <w:t>3</w:t>
      </w:r>
      <w:r>
        <w:rPr>
          <w:rFonts w:hint="eastAsia"/>
          <w:sz w:val="24"/>
          <w:szCs w:val="24"/>
        </w:rPr>
        <w:t>/s（1958年7月17日），最小流量0（1960年6月1日）。多年平均含沙量26.4kg/m</w:t>
      </w:r>
      <w:r>
        <w:rPr>
          <w:rFonts w:hint="eastAsia"/>
          <w:sz w:val="24"/>
          <w:szCs w:val="24"/>
          <w:vertAlign w:val="superscript"/>
        </w:rPr>
        <w:t>3</w:t>
      </w:r>
      <w:r>
        <w:rPr>
          <w:rFonts w:hint="eastAsia"/>
          <w:sz w:val="24"/>
          <w:szCs w:val="24"/>
        </w:rPr>
        <w:t>， 最大年平均含沙量53.6kg/m</w:t>
      </w:r>
      <w:r>
        <w:rPr>
          <w:rFonts w:hint="eastAsia"/>
          <w:sz w:val="24"/>
          <w:szCs w:val="24"/>
          <w:vertAlign w:val="superscript"/>
        </w:rPr>
        <w:t>3</w:t>
      </w:r>
      <w:r>
        <w:rPr>
          <w:rFonts w:hint="eastAsia"/>
          <w:sz w:val="24"/>
          <w:szCs w:val="24"/>
        </w:rPr>
        <w:t>。实测最大含沙量546kg/m3(1977年)。含沙量年内分配也极不均一，12月至翌年6月含沙量较小，7月至10月含沙量较大，所携泥沙主要为悬移质，大于0.05mm的粗颗粒占30.5%，小于0.05mm的细颗粒占69.5%。</w:t>
      </w:r>
    </w:p>
    <w:p>
      <w:pPr>
        <w:snapToGrid w:val="0"/>
        <w:spacing w:line="520" w:lineRule="exact"/>
        <w:ind w:firstLine="480" w:firstLineChars="200"/>
        <w:rPr>
          <w:sz w:val="24"/>
          <w:szCs w:val="24"/>
        </w:rPr>
      </w:pPr>
      <w:r>
        <w:rPr>
          <w:rFonts w:hint="eastAsia"/>
          <w:sz w:val="24"/>
          <w:szCs w:val="24"/>
        </w:rPr>
        <w:t>20世纪70年代以来，黄河中上游来水量减少，下游断流情况日趋严重，从1972年到1997年的26年中，黄河下游共有20年发生断流，其中1997年断流时间长达226d，河道断流上端到达开封柳园口，断流河段长约700km，夹河滩水文站断流时间达18d。</w:t>
      </w:r>
    </w:p>
    <w:p>
      <w:pPr>
        <w:snapToGrid w:val="0"/>
        <w:spacing w:line="520" w:lineRule="exact"/>
        <w:ind w:firstLine="480" w:firstLineChars="200"/>
        <w:rPr>
          <w:sz w:val="24"/>
          <w:szCs w:val="24"/>
        </w:rPr>
      </w:pPr>
      <w:r>
        <w:rPr>
          <w:rFonts w:hint="eastAsia"/>
          <w:sz w:val="24"/>
          <w:szCs w:val="24"/>
        </w:rPr>
        <w:t>由于受黄河中上游气象要素周期性变化和水库运行方式影响，水位变化显著，连续出现2－3年偏高水位之后，即出现2年左右的偏低或低水位期。每年10月至翌年6月，一般为低水位期和平水位期，7－9月为高水位期（6.5-3）。近年受黄河淤积影响，河道萎缩严重，同流量洪水位显著增高，由图3-4可看出，1958年7月洪水最大流量22300m</w:t>
      </w:r>
      <w:r>
        <w:rPr>
          <w:rFonts w:hint="eastAsia"/>
          <w:sz w:val="24"/>
          <w:szCs w:val="24"/>
          <w:vertAlign w:val="superscript"/>
        </w:rPr>
        <w:t>3</w:t>
      </w:r>
      <w:r>
        <w:rPr>
          <w:rFonts w:hint="eastAsia"/>
          <w:sz w:val="24"/>
          <w:szCs w:val="24"/>
        </w:rPr>
        <w:t>/s，相应水位93.82m；1982年8月最大洪水流量15300m</w:t>
      </w:r>
      <w:r>
        <w:rPr>
          <w:rFonts w:hint="eastAsia"/>
          <w:sz w:val="24"/>
          <w:szCs w:val="24"/>
          <w:vertAlign w:val="superscript"/>
        </w:rPr>
        <w:t>3</w:t>
      </w:r>
      <w:r>
        <w:rPr>
          <w:rFonts w:hint="eastAsia"/>
          <w:sz w:val="24"/>
          <w:szCs w:val="24"/>
        </w:rPr>
        <w:t>/s，相应水位93.99m；1996年8月最大洪水流量7600m</w:t>
      </w:r>
      <w:r>
        <w:rPr>
          <w:rFonts w:hint="eastAsia"/>
          <w:sz w:val="24"/>
          <w:szCs w:val="24"/>
          <w:vertAlign w:val="superscript"/>
        </w:rPr>
        <w:t>3</w:t>
      </w:r>
      <w:r>
        <w:rPr>
          <w:rFonts w:hint="eastAsia"/>
          <w:sz w:val="24"/>
          <w:szCs w:val="24"/>
        </w:rPr>
        <w:t>/s，相应水位高达94.72m，创该站有记录以来最高水位，且原阳高滩普遍上水被淹。</w:t>
      </w:r>
    </w:p>
    <w:p>
      <w:pPr>
        <w:snapToGrid w:val="0"/>
        <w:spacing w:line="520" w:lineRule="exact"/>
        <w:ind w:firstLine="480" w:firstLineChars="200"/>
        <w:rPr>
          <w:sz w:val="24"/>
          <w:szCs w:val="24"/>
        </w:rPr>
      </w:pPr>
      <w:r>
        <w:rPr>
          <w:rFonts w:hint="eastAsia"/>
          <w:sz w:val="24"/>
          <w:szCs w:val="24"/>
        </w:rPr>
        <w:t>1999年10月小浪底水库下闸蓄水，小浪底水库开始运行和几次调水调沙，下游来水来沙条件得到改变，自七十年代黄河下游出现断流的现象不复存在，来水条件的改善和黄河调水调沙的运用，使下游河床冲淤情况大为改善，同流量水位明显降低，说明工作区河床以侵蚀下切为主。黄河花园口站1990－1999年多年平均水位92.52m。1990－2009年多年平均水位91.56m，多年平均流量747m</w:t>
      </w:r>
      <w:r>
        <w:rPr>
          <w:rFonts w:hint="eastAsia"/>
          <w:sz w:val="24"/>
          <w:szCs w:val="24"/>
          <w:vertAlign w:val="superscript"/>
        </w:rPr>
        <w:t>3</w:t>
      </w:r>
      <w:r>
        <w:rPr>
          <w:rFonts w:hint="eastAsia"/>
          <w:sz w:val="24"/>
          <w:szCs w:val="24"/>
        </w:rPr>
        <w:t>/s。目前河床与漫滩高差2m左右。</w:t>
      </w:r>
    </w:p>
    <w:p>
      <w:pPr>
        <w:jc w:val="center"/>
        <w:rPr>
          <w:sz w:val="28"/>
          <w:szCs w:val="24"/>
        </w:rPr>
      </w:pPr>
      <w:r>
        <w:rPr>
          <w:sz w:val="28"/>
          <w:szCs w:val="24"/>
        </w:rPr>
        <w:drawing>
          <wp:inline distT="0" distB="0" distL="0" distR="0">
            <wp:extent cx="5241925" cy="1981200"/>
            <wp:effectExtent l="0" t="0" r="15875" b="0"/>
            <wp:docPr id="1952277011" name="图片 29"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77011" name="图片 29" descr="图表, 折线图&#10;&#10;描述已自动生成"/>
                    <pic:cNvPicPr>
                      <a:picLocks noChangeAspect="1" noChangeArrowheads="1"/>
                    </pic:cNvPicPr>
                  </pic:nvPicPr>
                  <pic:blipFill>
                    <a:blip r:embed="rId52"/>
                    <a:srcRect/>
                    <a:stretch>
                      <a:fillRect/>
                    </a:stretch>
                  </pic:blipFill>
                  <pic:spPr>
                    <a:xfrm>
                      <a:off x="0" y="0"/>
                      <a:ext cx="5241925" cy="1981200"/>
                    </a:xfrm>
                    <a:prstGeom prst="rect">
                      <a:avLst/>
                    </a:prstGeom>
                    <a:noFill/>
                    <a:ln>
                      <a:noFill/>
                    </a:ln>
                  </pic:spPr>
                </pic:pic>
              </a:graphicData>
            </a:graphic>
          </wp:inline>
        </w:drawing>
      </w:r>
    </w:p>
    <w:p>
      <w:pPr>
        <w:jc w:val="center"/>
        <w:rPr>
          <w:rFonts w:eastAsia="黑体"/>
          <w:bCs/>
          <w:sz w:val="24"/>
          <w:szCs w:val="24"/>
        </w:rPr>
      </w:pPr>
      <w:r>
        <w:rPr>
          <w:rFonts w:hint="eastAsia" w:eastAsia="黑体"/>
          <w:bCs/>
          <w:sz w:val="24"/>
          <w:szCs w:val="24"/>
        </w:rPr>
        <w:t>图</w:t>
      </w:r>
      <w:r>
        <w:rPr>
          <w:rFonts w:eastAsia="黑体"/>
          <w:bCs/>
          <w:sz w:val="24"/>
          <w:szCs w:val="24"/>
        </w:rPr>
        <w:t xml:space="preserve">4.1-1 </w:t>
      </w:r>
      <w:r>
        <w:rPr>
          <w:rFonts w:hint="eastAsia" w:eastAsia="黑体"/>
          <w:bCs/>
          <w:sz w:val="24"/>
          <w:szCs w:val="24"/>
        </w:rPr>
        <w:t>黄河花园口站多年平均流量曲线图</w:t>
      </w:r>
    </w:p>
    <w:p>
      <w:pPr>
        <w:rPr>
          <w:sz w:val="28"/>
          <w:szCs w:val="24"/>
        </w:rPr>
      </w:pPr>
      <w:r>
        <w:rPr>
          <w:kern w:val="0"/>
          <w:sz w:val="20"/>
          <w:szCs w:val="20"/>
        </w:rPr>
        <w:drawing>
          <wp:inline distT="0" distB="0" distL="0" distR="0">
            <wp:extent cx="5543550" cy="2143125"/>
            <wp:effectExtent l="0" t="0" r="0" b="9525"/>
            <wp:docPr id="1533139148" name="图片 2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39148" name="图片 28" descr="图表, 折线图&#10;&#10;描述已自动生成"/>
                    <pic:cNvPicPr>
                      <a:picLocks noChangeAspect="1" noChangeArrowheads="1"/>
                    </pic:cNvPicPr>
                  </pic:nvPicPr>
                  <pic:blipFill>
                    <a:blip r:embed="rId53"/>
                    <a:srcRect/>
                    <a:stretch>
                      <a:fillRect/>
                    </a:stretch>
                  </pic:blipFill>
                  <pic:spPr>
                    <a:xfrm>
                      <a:off x="0" y="0"/>
                      <a:ext cx="5543550" cy="2143125"/>
                    </a:xfrm>
                    <a:prstGeom prst="rect">
                      <a:avLst/>
                    </a:prstGeom>
                    <a:noFill/>
                    <a:ln>
                      <a:noFill/>
                    </a:ln>
                  </pic:spPr>
                </pic:pic>
              </a:graphicData>
            </a:graphic>
          </wp:inline>
        </w:drawing>
      </w:r>
    </w:p>
    <w:p>
      <w:pPr>
        <w:adjustRightInd w:val="0"/>
        <w:snapToGrid w:val="0"/>
        <w:jc w:val="center"/>
        <w:rPr>
          <w:rFonts w:ascii="宋体" w:hAnsi="宋体"/>
          <w:b/>
          <w:sz w:val="28"/>
          <w:szCs w:val="21"/>
        </w:rPr>
      </w:pPr>
      <w:r>
        <w:rPr>
          <w:rFonts w:hint="eastAsia" w:eastAsia="黑体"/>
          <w:bCs/>
          <w:sz w:val="24"/>
          <w:szCs w:val="24"/>
        </w:rPr>
        <w:t>图</w:t>
      </w:r>
      <w:r>
        <w:rPr>
          <w:rFonts w:eastAsia="黑体"/>
          <w:bCs/>
          <w:sz w:val="24"/>
          <w:szCs w:val="24"/>
        </w:rPr>
        <w:t>4.1-2</w:t>
      </w:r>
      <w:r>
        <w:rPr>
          <w:rFonts w:hint="eastAsia" w:eastAsia="黑体"/>
          <w:bCs/>
          <w:sz w:val="24"/>
          <w:szCs w:val="24"/>
        </w:rPr>
        <w:t xml:space="preserve"> 黄河花园口站1949-2009年各年最大流量、最高水位曲线图</w:t>
      </w:r>
      <w:r>
        <w:rPr>
          <w:sz w:val="28"/>
          <w:szCs w:val="24"/>
        </w:rPr>
        <w:drawing>
          <wp:inline distT="0" distB="0" distL="0" distR="0">
            <wp:extent cx="5283200" cy="1981200"/>
            <wp:effectExtent l="0" t="0" r="12700" b="0"/>
            <wp:docPr id="2032981667" name="图片 2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81667" name="图片 27" descr="图表, 折线图&#10;&#10;描述已自动生成"/>
                    <pic:cNvPicPr>
                      <a:picLocks noChangeAspect="1" noChangeArrowheads="1"/>
                    </pic:cNvPicPr>
                  </pic:nvPicPr>
                  <pic:blipFill>
                    <a:blip r:embed="rId54"/>
                    <a:srcRect/>
                    <a:stretch>
                      <a:fillRect/>
                    </a:stretch>
                  </pic:blipFill>
                  <pic:spPr>
                    <a:xfrm>
                      <a:off x="0" y="0"/>
                      <a:ext cx="5283200" cy="1981200"/>
                    </a:xfrm>
                    <a:prstGeom prst="rect">
                      <a:avLst/>
                    </a:prstGeom>
                    <a:noFill/>
                    <a:ln>
                      <a:noFill/>
                    </a:ln>
                  </pic:spPr>
                </pic:pic>
              </a:graphicData>
            </a:graphic>
          </wp:inline>
        </w:drawing>
      </w:r>
    </w:p>
    <w:p>
      <w:pPr>
        <w:jc w:val="center"/>
        <w:rPr>
          <w:rFonts w:eastAsia="黑体"/>
          <w:bCs/>
          <w:sz w:val="24"/>
          <w:szCs w:val="24"/>
        </w:rPr>
      </w:pPr>
      <w:r>
        <w:rPr>
          <w:rFonts w:hint="eastAsia" w:eastAsia="黑体"/>
          <w:bCs/>
          <w:sz w:val="24"/>
          <w:szCs w:val="24"/>
        </w:rPr>
        <w:t>图</w:t>
      </w:r>
      <w:r>
        <w:rPr>
          <w:rFonts w:eastAsia="黑体"/>
          <w:bCs/>
          <w:sz w:val="24"/>
          <w:szCs w:val="24"/>
        </w:rPr>
        <w:t>4.1-3</w:t>
      </w:r>
      <w:r>
        <w:rPr>
          <w:rFonts w:hint="eastAsia" w:eastAsia="黑体"/>
          <w:bCs/>
          <w:sz w:val="24"/>
          <w:szCs w:val="24"/>
        </w:rPr>
        <w:t xml:space="preserve"> 黄河花园口站多年月平均水文曲线图</w:t>
      </w:r>
    </w:p>
    <w:p>
      <w:pPr>
        <w:spacing w:line="520" w:lineRule="exact"/>
        <w:jc w:val="center"/>
        <w:rPr>
          <w:rFonts w:eastAsia="黑体"/>
          <w:bCs/>
          <w:kern w:val="0"/>
          <w:sz w:val="24"/>
          <w:szCs w:val="24"/>
        </w:rPr>
      </w:pPr>
      <w:r>
        <w:rPr>
          <w:rFonts w:eastAsia="黑体"/>
          <w:bCs/>
          <w:kern w:val="0"/>
          <w:sz w:val="24"/>
          <w:szCs w:val="24"/>
        </w:rPr>
        <w:drawing>
          <wp:anchor distT="0" distB="0" distL="114300" distR="114300" simplePos="0" relativeHeight="251744256" behindDoc="0" locked="0" layoutInCell="1" allowOverlap="1">
            <wp:simplePos x="0" y="0"/>
            <wp:positionH relativeFrom="column">
              <wp:posOffset>-66675</wp:posOffset>
            </wp:positionH>
            <wp:positionV relativeFrom="paragraph">
              <wp:posOffset>43180</wp:posOffset>
            </wp:positionV>
            <wp:extent cx="5543550" cy="2905125"/>
            <wp:effectExtent l="0" t="0" r="0" b="9525"/>
            <wp:wrapTopAndBottom/>
            <wp:docPr id="2131166819" name="图片 32"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66819" name="图片 32" descr="图片包含 图表&#10;&#10;描述已自动生成"/>
                    <pic:cNvPicPr>
                      <a:picLocks noChangeAspect="1" noChangeArrowheads="1"/>
                    </pic:cNvPicPr>
                  </pic:nvPicPr>
                  <pic:blipFill>
                    <a:blip r:embed="rId55"/>
                    <a:srcRect/>
                    <a:stretch>
                      <a:fillRect/>
                    </a:stretch>
                  </pic:blipFill>
                  <pic:spPr>
                    <a:xfrm>
                      <a:off x="0" y="0"/>
                      <a:ext cx="5543550" cy="2905125"/>
                    </a:xfrm>
                    <a:prstGeom prst="rect">
                      <a:avLst/>
                    </a:prstGeom>
                    <a:noFill/>
                  </pic:spPr>
                </pic:pic>
              </a:graphicData>
            </a:graphic>
          </wp:anchor>
        </w:drawing>
      </w:r>
      <w:r>
        <w:rPr>
          <w:rFonts w:hint="eastAsia" w:eastAsia="黑体"/>
          <w:bCs/>
          <w:kern w:val="0"/>
          <w:sz w:val="24"/>
          <w:szCs w:val="24"/>
        </w:rPr>
        <w:t>图</w:t>
      </w:r>
      <w:r>
        <w:rPr>
          <w:rFonts w:eastAsia="黑体"/>
          <w:bCs/>
          <w:kern w:val="0"/>
          <w:sz w:val="24"/>
          <w:szCs w:val="24"/>
        </w:rPr>
        <w:t>4.1-4</w:t>
      </w:r>
      <w:r>
        <w:rPr>
          <w:rFonts w:hint="eastAsia" w:eastAsia="黑体"/>
          <w:bCs/>
          <w:kern w:val="0"/>
          <w:sz w:val="24"/>
          <w:szCs w:val="24"/>
        </w:rPr>
        <w:t xml:space="preserve"> 黄河花园口站1990-2009年月均水位、流量曲线图</w:t>
      </w:r>
    </w:p>
    <w:p>
      <w:pPr>
        <w:snapToGrid w:val="0"/>
        <w:spacing w:line="520" w:lineRule="exact"/>
        <w:ind w:firstLine="482" w:firstLineChars="200"/>
        <w:rPr>
          <w:sz w:val="24"/>
          <w:szCs w:val="24"/>
        </w:rPr>
      </w:pPr>
      <w:r>
        <w:rPr>
          <w:rFonts w:hint="eastAsia"/>
          <w:b/>
          <w:bCs/>
          <w:sz w:val="24"/>
          <w:szCs w:val="24"/>
        </w:rPr>
        <w:t>文岩渠：</w:t>
      </w:r>
      <w:r>
        <w:rPr>
          <w:rFonts w:hint="eastAsia"/>
          <w:sz w:val="24"/>
          <w:szCs w:val="24"/>
        </w:rPr>
        <w:t>文岩渠源于本县西部祝楼村南的背河洼地，往东北行至韩庄出境境内渠长36km，主要为排涝渠道，也兼做引黄灌溉之用。</w:t>
      </w:r>
    </w:p>
    <w:p>
      <w:pPr>
        <w:snapToGrid w:val="0"/>
        <w:spacing w:line="520" w:lineRule="exact"/>
        <w:ind w:firstLine="482" w:firstLineChars="200"/>
        <w:rPr>
          <w:sz w:val="24"/>
          <w:szCs w:val="24"/>
        </w:rPr>
      </w:pPr>
      <w:r>
        <w:rPr>
          <w:rFonts w:hint="eastAsia"/>
          <w:b/>
          <w:bCs/>
          <w:sz w:val="24"/>
          <w:szCs w:val="24"/>
        </w:rPr>
        <w:t>天然渠</w:t>
      </w:r>
      <w:r>
        <w:rPr>
          <w:rFonts w:hint="eastAsia"/>
          <w:sz w:val="24"/>
          <w:szCs w:val="24"/>
        </w:rPr>
        <w:t>：天然渠发源于本县西部祝楼南部的背河洼地，平行于黄河大堤，自西向东至梁寨出境，全长59km，排涝面积161平方公里，常年排泄地下水和汛期洪水。</w:t>
      </w:r>
    </w:p>
    <w:p>
      <w:pPr>
        <w:snapToGrid w:val="0"/>
        <w:spacing w:line="520" w:lineRule="exact"/>
        <w:ind w:firstLine="482" w:firstLineChars="200"/>
        <w:rPr>
          <w:sz w:val="24"/>
          <w:szCs w:val="24"/>
        </w:rPr>
      </w:pPr>
      <w:r>
        <w:rPr>
          <w:rFonts w:hint="eastAsia"/>
          <w:b/>
          <w:bCs/>
          <w:sz w:val="24"/>
          <w:szCs w:val="24"/>
        </w:rPr>
        <w:t>引黄灌溉渠道：</w:t>
      </w:r>
      <w:r>
        <w:rPr>
          <w:rFonts w:hint="eastAsia"/>
          <w:sz w:val="24"/>
          <w:szCs w:val="24"/>
        </w:rPr>
        <w:t>原阳县境内现有6个引黄闸，已建成堤南、韩董庄、祥符朱大引黄灌区，灌区内渠道纵横，仅干支渠就将近300条，总长约800km。</w:t>
      </w:r>
    </w:p>
    <w:p>
      <w:pPr>
        <w:snapToGrid w:val="0"/>
        <w:spacing w:line="520" w:lineRule="exact"/>
        <w:ind w:firstLine="482" w:firstLineChars="200"/>
        <w:rPr>
          <w:sz w:val="24"/>
          <w:szCs w:val="24"/>
        </w:rPr>
      </w:pPr>
      <w:r>
        <w:rPr>
          <w:rFonts w:hint="eastAsia"/>
          <w:b/>
          <w:bCs/>
          <w:sz w:val="24"/>
          <w:szCs w:val="24"/>
        </w:rPr>
        <w:t>新一干渠：</w:t>
      </w:r>
      <w:r>
        <w:rPr>
          <w:rFonts w:hint="eastAsia"/>
          <w:sz w:val="24"/>
          <w:szCs w:val="24"/>
        </w:rPr>
        <w:t>为新乡市第五水厂饮用水渠，自黄河取水口取水，送入福宁集南岳蓄水池，作为饮用水源。</w:t>
      </w:r>
    </w:p>
    <w:p>
      <w:pPr>
        <w:snapToGrid w:val="0"/>
        <w:spacing w:line="520" w:lineRule="exact"/>
        <w:ind w:firstLine="480" w:firstLineChars="200"/>
        <w:rPr>
          <w:sz w:val="24"/>
          <w:szCs w:val="24"/>
        </w:rPr>
      </w:pPr>
      <w:r>
        <w:rPr>
          <w:rFonts w:hint="eastAsia"/>
          <w:sz w:val="24"/>
          <w:szCs w:val="24"/>
        </w:rPr>
        <w:t>（2）地下水</w:t>
      </w:r>
    </w:p>
    <w:p>
      <w:pPr>
        <w:snapToGrid w:val="0"/>
        <w:spacing w:line="520" w:lineRule="exact"/>
        <w:ind w:firstLine="480" w:firstLineChars="200"/>
        <w:rPr>
          <w:sz w:val="24"/>
          <w:szCs w:val="24"/>
        </w:rPr>
      </w:pPr>
      <w:r>
        <w:rPr>
          <w:rFonts w:hint="eastAsia"/>
          <w:sz w:val="24"/>
          <w:szCs w:val="24"/>
        </w:rPr>
        <w:t>①浅层地下水</w:t>
      </w:r>
    </w:p>
    <w:p>
      <w:pPr>
        <w:snapToGrid w:val="0"/>
        <w:spacing w:line="520" w:lineRule="exact"/>
        <w:ind w:firstLine="480" w:firstLineChars="200"/>
        <w:rPr>
          <w:sz w:val="24"/>
          <w:szCs w:val="24"/>
        </w:rPr>
      </w:pPr>
      <w:r>
        <w:rPr>
          <w:sz w:val="24"/>
          <w:szCs w:val="24"/>
        </w:rPr>
        <w:t>含水层为全新统</w:t>
      </w:r>
      <w:r>
        <w:rPr>
          <w:rFonts w:hint="eastAsia"/>
          <w:sz w:val="24"/>
          <w:szCs w:val="24"/>
        </w:rPr>
        <w:t>（</w:t>
      </w:r>
      <w:r>
        <w:rPr>
          <w:sz w:val="24"/>
          <w:szCs w:val="24"/>
        </w:rPr>
        <w:t>Q</w:t>
      </w:r>
      <w:r>
        <w:rPr>
          <w:sz w:val="24"/>
          <w:szCs w:val="24"/>
          <w:vertAlign w:val="subscript"/>
        </w:rPr>
        <w:t>4</w:t>
      </w:r>
      <w:r>
        <w:rPr>
          <w:rFonts w:hint="eastAsia"/>
          <w:sz w:val="24"/>
          <w:szCs w:val="24"/>
        </w:rPr>
        <w:t>）</w:t>
      </w:r>
      <w:r>
        <w:rPr>
          <w:sz w:val="24"/>
          <w:szCs w:val="24"/>
        </w:rPr>
        <w:t>、晚更新统</w:t>
      </w:r>
      <w:r>
        <w:rPr>
          <w:rFonts w:hint="eastAsia"/>
          <w:sz w:val="24"/>
          <w:szCs w:val="24"/>
        </w:rPr>
        <w:t>（</w:t>
      </w:r>
      <w:r>
        <w:rPr>
          <w:sz w:val="24"/>
          <w:szCs w:val="24"/>
        </w:rPr>
        <w:t>Q</w:t>
      </w:r>
      <w:r>
        <w:rPr>
          <w:sz w:val="24"/>
          <w:szCs w:val="24"/>
          <w:vertAlign w:val="subscript"/>
        </w:rPr>
        <w:t>3</w:t>
      </w:r>
      <w:r>
        <w:rPr>
          <w:sz w:val="24"/>
          <w:szCs w:val="24"/>
          <w:vertAlign w:val="superscript"/>
        </w:rPr>
        <w:t>al</w:t>
      </w:r>
      <w:r>
        <w:rPr>
          <w:rFonts w:hint="eastAsia"/>
          <w:sz w:val="24"/>
          <w:szCs w:val="24"/>
        </w:rPr>
        <w:t>）</w:t>
      </w:r>
      <w:r>
        <w:rPr>
          <w:sz w:val="24"/>
          <w:szCs w:val="24"/>
        </w:rPr>
        <w:t>黄河冲积层。岩性由粉细砂、细砂、中粗砂组成。全新统含水砂层主要分布千县城以南及县城，颗粒以中粗砂为主；晚更新统主要分布千县城以东，北部较薄。以细砂、粉细砂为主。共有1-2层砂分布，底板埋深15.0-63.10m。分为强富水区和富水区。</w:t>
      </w:r>
    </w:p>
    <w:p>
      <w:pPr>
        <w:snapToGrid w:val="0"/>
        <w:spacing w:line="520" w:lineRule="exact"/>
        <w:ind w:firstLine="480" w:firstLineChars="200"/>
        <w:rPr>
          <w:sz w:val="24"/>
          <w:szCs w:val="24"/>
        </w:rPr>
      </w:pPr>
      <w:r>
        <w:rPr>
          <w:sz w:val="24"/>
          <w:szCs w:val="24"/>
        </w:rPr>
        <w:t>强富水区</w:t>
      </w:r>
      <w:r>
        <w:rPr>
          <w:rFonts w:hint="eastAsia"/>
          <w:sz w:val="24"/>
          <w:szCs w:val="24"/>
        </w:rPr>
        <w:t>（</w:t>
      </w:r>
      <w:r>
        <w:rPr>
          <w:sz w:val="24"/>
          <w:szCs w:val="24"/>
        </w:rPr>
        <w:t>3000</w:t>
      </w:r>
      <w:r>
        <w:rPr>
          <w:rFonts w:hint="eastAsia"/>
          <w:sz w:val="24"/>
          <w:szCs w:val="24"/>
        </w:rPr>
        <w:t>-</w:t>
      </w:r>
      <w:r>
        <w:rPr>
          <w:sz w:val="24"/>
          <w:szCs w:val="24"/>
        </w:rPr>
        <w:t>5000m</w:t>
      </w:r>
      <w:r>
        <w:rPr>
          <w:sz w:val="24"/>
          <w:szCs w:val="24"/>
          <w:vertAlign w:val="superscript"/>
        </w:rPr>
        <w:t>3</w:t>
      </w:r>
      <w:r>
        <w:rPr>
          <w:sz w:val="24"/>
          <w:szCs w:val="24"/>
        </w:rPr>
        <w:t>/d</w:t>
      </w:r>
      <w:r>
        <w:rPr>
          <w:rFonts w:hint="eastAsia"/>
          <w:sz w:val="24"/>
          <w:szCs w:val="24"/>
        </w:rPr>
        <w:t>）</w:t>
      </w:r>
      <w:r>
        <w:rPr>
          <w:sz w:val="24"/>
          <w:szCs w:val="24"/>
        </w:rPr>
        <w:t>：分布于县城周围及县城北东，广泛分布于调查区。含水岩性以全新统细砂、中细砂、粗中砂、粗砂为主。单井涌水量2880m</w:t>
      </w:r>
      <w:r>
        <w:rPr>
          <w:sz w:val="24"/>
          <w:szCs w:val="24"/>
          <w:vertAlign w:val="superscript"/>
        </w:rPr>
        <w:t>3</w:t>
      </w:r>
      <w:r>
        <w:rPr>
          <w:sz w:val="24"/>
          <w:szCs w:val="24"/>
        </w:rPr>
        <w:t>/d，水位降深3.54m。按5m降深换算单井涌水量为4067.8m</w:t>
      </w:r>
      <w:r>
        <w:rPr>
          <w:sz w:val="24"/>
          <w:szCs w:val="24"/>
          <w:vertAlign w:val="superscript"/>
        </w:rPr>
        <w:t>3</w:t>
      </w:r>
      <w:r>
        <w:rPr>
          <w:sz w:val="24"/>
          <w:szCs w:val="24"/>
        </w:rPr>
        <w:t>/d。含水层渗透系数34.3m/d。区内地下水位埋深3-5m</w:t>
      </w:r>
      <w:r>
        <w:rPr>
          <w:rFonts w:hint="eastAsia"/>
          <w:sz w:val="24"/>
          <w:szCs w:val="24"/>
        </w:rPr>
        <w:t>，</w:t>
      </w:r>
      <w:r>
        <w:rPr>
          <w:sz w:val="24"/>
          <w:szCs w:val="24"/>
        </w:rPr>
        <w:t>县城南部水位埋深较浅，北部较深。地下水PH值为7.3-7.4</w:t>
      </w:r>
      <w:r>
        <w:rPr>
          <w:rFonts w:hint="eastAsia"/>
          <w:sz w:val="24"/>
          <w:szCs w:val="24"/>
        </w:rPr>
        <w:t>，</w:t>
      </w:r>
      <w:r>
        <w:rPr>
          <w:sz w:val="24"/>
          <w:szCs w:val="24"/>
        </w:rPr>
        <w:t>总硬度471.5-552.0mg/</w:t>
      </w:r>
      <w:r>
        <w:rPr>
          <w:rFonts w:hint="eastAsia"/>
          <w:sz w:val="24"/>
          <w:szCs w:val="24"/>
        </w:rPr>
        <w:t>L（</w:t>
      </w:r>
      <w:r>
        <w:rPr>
          <w:sz w:val="24"/>
          <w:szCs w:val="24"/>
        </w:rPr>
        <w:t>CaCO</w:t>
      </w:r>
      <w:r>
        <w:rPr>
          <w:sz w:val="24"/>
          <w:szCs w:val="24"/>
          <w:vertAlign w:val="subscript"/>
        </w:rPr>
        <w:t>3</w:t>
      </w:r>
      <w:r>
        <w:rPr>
          <w:sz w:val="24"/>
          <w:szCs w:val="24"/>
        </w:rPr>
        <w:t>计</w:t>
      </w:r>
      <w:r>
        <w:rPr>
          <w:rFonts w:hint="eastAsia"/>
          <w:sz w:val="24"/>
          <w:szCs w:val="24"/>
        </w:rPr>
        <w:t>）</w:t>
      </w:r>
      <w:r>
        <w:rPr>
          <w:sz w:val="24"/>
          <w:szCs w:val="24"/>
        </w:rPr>
        <w:t>，水化学类型为HCO</w:t>
      </w:r>
      <w:r>
        <w:rPr>
          <w:sz w:val="24"/>
          <w:szCs w:val="24"/>
          <w:vertAlign w:val="subscript"/>
        </w:rPr>
        <w:t>3</w:t>
      </w:r>
      <w:r>
        <w:rPr>
          <w:sz w:val="24"/>
          <w:szCs w:val="24"/>
        </w:rPr>
        <w:t>-Na.Ca.Mg型。</w:t>
      </w:r>
    </w:p>
    <w:p>
      <w:pPr>
        <w:snapToGrid w:val="0"/>
        <w:spacing w:line="520" w:lineRule="exact"/>
        <w:ind w:firstLine="480" w:firstLineChars="200"/>
        <w:rPr>
          <w:sz w:val="24"/>
          <w:szCs w:val="24"/>
        </w:rPr>
      </w:pPr>
      <w:r>
        <w:rPr>
          <w:sz w:val="24"/>
          <w:szCs w:val="24"/>
        </w:rPr>
        <w:t>富水区（单井涌水量1000-3000m</w:t>
      </w:r>
      <w:r>
        <w:rPr>
          <w:sz w:val="24"/>
          <w:szCs w:val="24"/>
          <w:vertAlign w:val="superscript"/>
        </w:rPr>
        <w:t>3</w:t>
      </w:r>
      <w:r>
        <w:rPr>
          <w:sz w:val="24"/>
          <w:szCs w:val="24"/>
        </w:rPr>
        <w:t>/d）分布在县城以东及北西。含水层为上更新统冲积层的粉砂、细砂、中砂、粗砂为主。厚13.9-32.8m，顶板埋深5.7-13.0m，水位降深2.26-4.50m，单井出水量1140-1488m</w:t>
      </w:r>
      <w:r>
        <w:rPr>
          <w:sz w:val="24"/>
          <w:szCs w:val="24"/>
          <w:vertAlign w:val="superscript"/>
        </w:rPr>
        <w:t>3</w:t>
      </w:r>
      <w:r>
        <w:rPr>
          <w:sz w:val="24"/>
          <w:szCs w:val="24"/>
        </w:rPr>
        <w:t>/d。按5m降深换算单井涌水量为1781.25-2976.m</w:t>
      </w:r>
      <w:r>
        <w:rPr>
          <w:sz w:val="24"/>
          <w:szCs w:val="24"/>
          <w:vertAlign w:val="superscript"/>
        </w:rPr>
        <w:t>3</w:t>
      </w:r>
      <w:r>
        <w:rPr>
          <w:sz w:val="24"/>
          <w:szCs w:val="24"/>
        </w:rPr>
        <w:t>/d。地下水位埋深一般为3-6m，部分洼地为1-3m，含水层渗透系数16.0-83m/d，地下水矿化度0.2-0.65g/</w:t>
      </w:r>
      <w:r>
        <w:rPr>
          <w:rFonts w:hint="eastAsia"/>
          <w:sz w:val="24"/>
          <w:szCs w:val="24"/>
        </w:rPr>
        <w:t>L</w:t>
      </w:r>
      <w:r>
        <w:rPr>
          <w:sz w:val="24"/>
          <w:szCs w:val="24"/>
        </w:rPr>
        <w:t>。地下水类型为HCO</w:t>
      </w:r>
      <w:r>
        <w:rPr>
          <w:sz w:val="24"/>
          <w:szCs w:val="24"/>
          <w:vertAlign w:val="subscript"/>
        </w:rPr>
        <w:t>3</w:t>
      </w:r>
      <w:r>
        <w:rPr>
          <w:sz w:val="24"/>
          <w:szCs w:val="24"/>
        </w:rPr>
        <w:t>-Ca.Mg.Na、HCO</w:t>
      </w:r>
      <w:r>
        <w:rPr>
          <w:sz w:val="24"/>
          <w:szCs w:val="24"/>
          <w:vertAlign w:val="subscript"/>
        </w:rPr>
        <w:t>3</w:t>
      </w:r>
      <w:r>
        <w:rPr>
          <w:sz w:val="24"/>
          <w:szCs w:val="24"/>
        </w:rPr>
        <w:t>-Ca.Mg、HCO</w:t>
      </w:r>
      <w:r>
        <w:rPr>
          <w:sz w:val="24"/>
          <w:szCs w:val="24"/>
          <w:vertAlign w:val="subscript"/>
        </w:rPr>
        <w:t>3</w:t>
      </w:r>
      <w:r>
        <w:rPr>
          <w:sz w:val="24"/>
          <w:szCs w:val="24"/>
        </w:rPr>
        <w:t>.Cl-Na.Mg型等。</w:t>
      </w:r>
    </w:p>
    <w:p>
      <w:pPr>
        <w:snapToGrid w:val="0"/>
        <w:spacing w:line="520" w:lineRule="exact"/>
        <w:ind w:firstLine="480" w:firstLineChars="200"/>
        <w:rPr>
          <w:sz w:val="24"/>
          <w:szCs w:val="24"/>
        </w:rPr>
      </w:pPr>
      <w:r>
        <w:rPr>
          <w:rFonts w:hint="eastAsia"/>
          <w:sz w:val="24"/>
          <w:szCs w:val="24"/>
        </w:rPr>
        <w:t>②中深层地下水</w:t>
      </w:r>
    </w:p>
    <w:p>
      <w:pPr>
        <w:snapToGrid w:val="0"/>
        <w:spacing w:line="520" w:lineRule="exact"/>
        <w:ind w:firstLine="480" w:firstLineChars="200"/>
        <w:rPr>
          <w:sz w:val="24"/>
          <w:szCs w:val="24"/>
        </w:rPr>
      </w:pPr>
      <w:r>
        <w:rPr>
          <w:sz w:val="24"/>
          <w:szCs w:val="24"/>
        </w:rPr>
        <w:t>含水层为下更新统冲积</w:t>
      </w:r>
      <w:r>
        <w:rPr>
          <w:rFonts w:hint="eastAsia"/>
          <w:sz w:val="24"/>
          <w:szCs w:val="24"/>
        </w:rPr>
        <w:t>（</w:t>
      </w:r>
      <w:r>
        <w:rPr>
          <w:sz w:val="24"/>
          <w:szCs w:val="24"/>
        </w:rPr>
        <w:t>Q</w:t>
      </w:r>
      <w:r>
        <w:rPr>
          <w:sz w:val="24"/>
          <w:szCs w:val="24"/>
          <w:vertAlign w:val="subscript"/>
        </w:rPr>
        <w:t>1</w:t>
      </w:r>
      <w:r>
        <w:rPr>
          <w:sz w:val="24"/>
          <w:szCs w:val="24"/>
          <w:vertAlign w:val="superscript"/>
        </w:rPr>
        <w:t>al+pl</w:t>
      </w:r>
      <w:r>
        <w:rPr>
          <w:rFonts w:hint="eastAsia"/>
          <w:sz w:val="24"/>
          <w:szCs w:val="24"/>
        </w:rPr>
        <w:t>）</w:t>
      </w:r>
      <w:r>
        <w:rPr>
          <w:sz w:val="24"/>
          <w:szCs w:val="24"/>
        </w:rPr>
        <w:t>，中更新统冲洪积砂层</w:t>
      </w:r>
      <w:r>
        <w:rPr>
          <w:rFonts w:hint="eastAsia"/>
          <w:sz w:val="24"/>
          <w:szCs w:val="24"/>
        </w:rPr>
        <w:t>（</w:t>
      </w:r>
      <w:r>
        <w:rPr>
          <w:sz w:val="24"/>
          <w:szCs w:val="24"/>
        </w:rPr>
        <w:t>Q</w:t>
      </w:r>
      <w:r>
        <w:rPr>
          <w:sz w:val="24"/>
          <w:szCs w:val="24"/>
          <w:vertAlign w:val="subscript"/>
        </w:rPr>
        <w:t>2</w:t>
      </w:r>
      <w:r>
        <w:rPr>
          <w:sz w:val="24"/>
          <w:szCs w:val="24"/>
          <w:vertAlign w:val="superscript"/>
        </w:rPr>
        <w:t>al+pl</w:t>
      </w:r>
      <w:r>
        <w:rPr>
          <w:rFonts w:hint="eastAsia"/>
          <w:sz w:val="24"/>
          <w:szCs w:val="24"/>
        </w:rPr>
        <w:t>）</w:t>
      </w:r>
      <w:r>
        <w:rPr>
          <w:sz w:val="24"/>
          <w:szCs w:val="24"/>
        </w:rPr>
        <w:t>，上更新统冲洪积砂层</w:t>
      </w:r>
      <w:r>
        <w:rPr>
          <w:rFonts w:hint="eastAsia"/>
          <w:sz w:val="24"/>
          <w:szCs w:val="24"/>
        </w:rPr>
        <w:t>（</w:t>
      </w:r>
      <w:r>
        <w:rPr>
          <w:sz w:val="24"/>
          <w:szCs w:val="24"/>
        </w:rPr>
        <w:t>Q</w:t>
      </w:r>
      <w:r>
        <w:rPr>
          <w:sz w:val="24"/>
          <w:szCs w:val="24"/>
          <w:vertAlign w:val="subscript"/>
        </w:rPr>
        <w:t>3</w:t>
      </w:r>
      <w:r>
        <w:rPr>
          <w:sz w:val="24"/>
          <w:szCs w:val="24"/>
          <w:vertAlign w:val="superscript"/>
        </w:rPr>
        <w:t>al+pl</w:t>
      </w:r>
      <w:r>
        <w:rPr>
          <w:rFonts w:hint="eastAsia"/>
          <w:sz w:val="24"/>
          <w:szCs w:val="24"/>
        </w:rPr>
        <w:t>）</w:t>
      </w:r>
      <w:r>
        <w:rPr>
          <w:sz w:val="24"/>
          <w:szCs w:val="24"/>
        </w:rPr>
        <w:t>，岩性由细砂，细中砂及中粗砂组成。含水砂层以上、中更新统为主，下更新统仅在城区北部有分布。砂层顶板埋深60-80m，共有3-6层，砂层厚度大且分布稳定，单层厚10-35.0m，砂层总厚45.0-75.5m。与上部浅层含水层之间有7-15m厚的粉土、粉质粘土、粘土相隔。浅层与中深层地下水的联系微弱。区内中深层地下水分为水量强丰富和水量丰富区。</w:t>
      </w:r>
    </w:p>
    <w:p>
      <w:pPr>
        <w:snapToGrid w:val="0"/>
        <w:spacing w:line="520" w:lineRule="exact"/>
        <w:ind w:firstLine="480" w:firstLineChars="200"/>
        <w:rPr>
          <w:sz w:val="24"/>
          <w:szCs w:val="24"/>
        </w:rPr>
      </w:pPr>
      <w:r>
        <w:rPr>
          <w:sz w:val="24"/>
          <w:szCs w:val="24"/>
        </w:rPr>
        <w:t>（I）水量强丰富区（单井涌水量3000-5000m</w:t>
      </w:r>
      <w:r>
        <w:rPr>
          <w:sz w:val="24"/>
          <w:szCs w:val="24"/>
          <w:vertAlign w:val="superscript"/>
        </w:rPr>
        <w:t>3</w:t>
      </w:r>
      <w:r>
        <w:rPr>
          <w:sz w:val="24"/>
          <w:szCs w:val="24"/>
        </w:rPr>
        <w:t>/d)</w:t>
      </w:r>
    </w:p>
    <w:p>
      <w:pPr>
        <w:snapToGrid w:val="0"/>
        <w:spacing w:line="520" w:lineRule="exact"/>
        <w:ind w:firstLine="480" w:firstLineChars="200"/>
        <w:rPr>
          <w:sz w:val="24"/>
          <w:szCs w:val="24"/>
        </w:rPr>
      </w:pPr>
      <w:r>
        <w:rPr>
          <w:sz w:val="24"/>
          <w:szCs w:val="24"/>
        </w:rPr>
        <w:t>分布于县城南部及西南部，含水层岩性主要为细砂、中细砂、中粗砂为主，单井涌水量按15m降深换算为3096m</w:t>
      </w:r>
      <w:r>
        <w:rPr>
          <w:sz w:val="24"/>
          <w:szCs w:val="24"/>
          <w:vertAlign w:val="superscript"/>
        </w:rPr>
        <w:t>3</w:t>
      </w:r>
      <w:r>
        <w:rPr>
          <w:sz w:val="24"/>
          <w:szCs w:val="24"/>
        </w:rPr>
        <w:t>/d和3186m</w:t>
      </w:r>
      <w:r>
        <w:rPr>
          <w:sz w:val="24"/>
          <w:szCs w:val="24"/>
          <w:vertAlign w:val="superscript"/>
        </w:rPr>
        <w:t>3</w:t>
      </w:r>
      <w:r>
        <w:rPr>
          <w:sz w:val="24"/>
          <w:szCs w:val="24"/>
        </w:rPr>
        <w:t>/d，为水量强丰富区。含水层渗透系数10.0-12.3m/d，导水系数650-871.3m</w:t>
      </w:r>
      <w:r>
        <w:rPr>
          <w:sz w:val="24"/>
          <w:szCs w:val="24"/>
          <w:vertAlign w:val="superscript"/>
        </w:rPr>
        <w:t>2</w:t>
      </w:r>
      <w:r>
        <w:rPr>
          <w:sz w:val="24"/>
          <w:szCs w:val="24"/>
        </w:rPr>
        <w:t>/d。地下水类型属HCO</w:t>
      </w:r>
      <w:r>
        <w:rPr>
          <w:sz w:val="24"/>
          <w:szCs w:val="24"/>
          <w:vertAlign w:val="subscript"/>
        </w:rPr>
        <w:t>3</w:t>
      </w:r>
      <w:r>
        <w:rPr>
          <w:sz w:val="24"/>
          <w:szCs w:val="24"/>
        </w:rPr>
        <w:t>-Ca.Mg.Na型，矿化度0.52-0.94g/</w:t>
      </w:r>
      <w:r>
        <w:rPr>
          <w:rFonts w:hint="eastAsia"/>
          <w:sz w:val="24"/>
          <w:szCs w:val="24"/>
        </w:rPr>
        <w:t>L</w:t>
      </w:r>
      <w:r>
        <w:rPr>
          <w:sz w:val="24"/>
          <w:szCs w:val="24"/>
        </w:rPr>
        <w:t>，总硬度235.5-664.0mg/</w:t>
      </w:r>
      <w:r>
        <w:rPr>
          <w:rFonts w:hint="eastAsia"/>
          <w:sz w:val="24"/>
          <w:szCs w:val="24"/>
        </w:rPr>
        <w:t>L</w:t>
      </w:r>
      <w:r>
        <w:rPr>
          <w:sz w:val="24"/>
          <w:szCs w:val="24"/>
        </w:rPr>
        <w:t>，PH值为7.4-7.6，属低矿化中－硬弱碱淡水。</w:t>
      </w:r>
    </w:p>
    <w:p>
      <w:pPr>
        <w:snapToGrid w:val="0"/>
        <w:spacing w:line="520" w:lineRule="exact"/>
        <w:ind w:firstLine="480" w:firstLineChars="200"/>
        <w:rPr>
          <w:sz w:val="24"/>
          <w:szCs w:val="24"/>
        </w:rPr>
      </w:pPr>
      <w:r>
        <w:rPr>
          <w:sz w:val="24"/>
          <w:szCs w:val="24"/>
        </w:rPr>
        <w:t>（Ⅱ）水量丰富区（单井涌水量1000-3000m</w:t>
      </w:r>
      <w:r>
        <w:rPr>
          <w:sz w:val="24"/>
          <w:szCs w:val="24"/>
          <w:vertAlign w:val="superscript"/>
        </w:rPr>
        <w:t>3</w:t>
      </w:r>
      <w:r>
        <w:rPr>
          <w:sz w:val="24"/>
          <w:szCs w:val="24"/>
        </w:rPr>
        <w:t>/d)</w:t>
      </w:r>
    </w:p>
    <w:p>
      <w:pPr>
        <w:snapToGrid w:val="0"/>
        <w:spacing w:line="520" w:lineRule="exact"/>
        <w:ind w:firstLine="480" w:firstLineChars="200"/>
        <w:rPr>
          <w:sz w:val="24"/>
          <w:szCs w:val="24"/>
        </w:rPr>
      </w:pPr>
      <w:r>
        <w:rPr>
          <w:sz w:val="24"/>
          <w:szCs w:val="24"/>
        </w:rPr>
        <w:t>分布千县城北部及西北部，含水层岩性主要为细砂、中细砂、中砂为主，单井涌水量按15m降深换算为1440m</w:t>
      </w:r>
      <w:r>
        <w:rPr>
          <w:sz w:val="24"/>
          <w:szCs w:val="24"/>
          <w:vertAlign w:val="superscript"/>
        </w:rPr>
        <w:t>3</w:t>
      </w:r>
      <w:r>
        <w:rPr>
          <w:sz w:val="24"/>
          <w:szCs w:val="24"/>
        </w:rPr>
        <w:t>/d和3186m</w:t>
      </w:r>
      <w:r>
        <w:rPr>
          <w:sz w:val="24"/>
          <w:szCs w:val="24"/>
          <w:vertAlign w:val="superscript"/>
        </w:rPr>
        <w:t>3</w:t>
      </w:r>
      <w:r>
        <w:rPr>
          <w:sz w:val="24"/>
          <w:szCs w:val="24"/>
        </w:rPr>
        <w:t>/d，为水量丰富区。含水层渗透系数8.0—10.6m/d，导水系数600-801.3m</w:t>
      </w:r>
      <w:r>
        <w:rPr>
          <w:sz w:val="24"/>
          <w:szCs w:val="24"/>
          <w:vertAlign w:val="superscript"/>
        </w:rPr>
        <w:t>2</w:t>
      </w:r>
      <w:r>
        <w:rPr>
          <w:sz w:val="24"/>
          <w:szCs w:val="24"/>
        </w:rPr>
        <w:t>/d。地下水类型属HCO</w:t>
      </w:r>
      <w:r>
        <w:rPr>
          <w:sz w:val="24"/>
          <w:szCs w:val="24"/>
          <w:vertAlign w:val="subscript"/>
        </w:rPr>
        <w:t>3</w:t>
      </w:r>
      <w:r>
        <w:rPr>
          <w:sz w:val="24"/>
          <w:szCs w:val="24"/>
        </w:rPr>
        <w:t>-Ca.Mg.Na、Cl.HCO</w:t>
      </w:r>
      <w:r>
        <w:rPr>
          <w:sz w:val="24"/>
          <w:szCs w:val="24"/>
          <w:vertAlign w:val="subscript"/>
        </w:rPr>
        <w:t>3</w:t>
      </w:r>
      <w:r>
        <w:rPr>
          <w:sz w:val="24"/>
          <w:szCs w:val="24"/>
        </w:rPr>
        <w:t>-Ca.Mg.Na型，矿化度0.52-0.69g/</w:t>
      </w:r>
      <w:r>
        <w:rPr>
          <w:rFonts w:hint="eastAsia"/>
          <w:sz w:val="24"/>
          <w:szCs w:val="24"/>
        </w:rPr>
        <w:t>L</w:t>
      </w:r>
      <w:r>
        <w:rPr>
          <w:sz w:val="24"/>
          <w:szCs w:val="24"/>
        </w:rPr>
        <w:t>，总硬度259.0-664.0mg/</w:t>
      </w:r>
      <w:r>
        <w:rPr>
          <w:rFonts w:hint="eastAsia"/>
          <w:sz w:val="24"/>
          <w:szCs w:val="24"/>
        </w:rPr>
        <w:t>L</w:t>
      </w:r>
      <w:r>
        <w:rPr>
          <w:sz w:val="24"/>
          <w:szCs w:val="24"/>
        </w:rPr>
        <w:t>，pH值为7.4-7.6，属低矿化中－硬弱碱淡水。但在县城北城关中学附近矿化度1455mg/</w:t>
      </w:r>
      <w:r>
        <w:rPr>
          <w:rFonts w:hint="eastAsia"/>
          <w:sz w:val="24"/>
          <w:szCs w:val="24"/>
        </w:rPr>
        <w:t>L</w:t>
      </w:r>
      <w:r>
        <w:rPr>
          <w:sz w:val="24"/>
          <w:szCs w:val="24"/>
        </w:rPr>
        <w:t>，总硬度664mg/l，两项指标均偏高。</w:t>
      </w:r>
    </w:p>
    <w:p>
      <w:pPr>
        <w:snapToGrid w:val="0"/>
        <w:spacing w:line="520" w:lineRule="exact"/>
        <w:ind w:firstLine="480" w:firstLineChars="200"/>
        <w:rPr>
          <w:sz w:val="24"/>
          <w:szCs w:val="24"/>
        </w:rPr>
      </w:pPr>
      <w:r>
        <w:rPr>
          <w:sz w:val="24"/>
          <w:szCs w:val="24"/>
        </w:rPr>
        <w:t>中深层地下水位动态受大气降水影响较弱，受开采强度影响较大。目前，通过实际开采量调查，原阳县城区现状开采量为21700m</w:t>
      </w:r>
      <w:r>
        <w:rPr>
          <w:sz w:val="24"/>
          <w:szCs w:val="24"/>
          <w:vertAlign w:val="superscript"/>
        </w:rPr>
        <w:t>3</w:t>
      </w:r>
      <w:r>
        <w:rPr>
          <w:sz w:val="24"/>
          <w:szCs w:val="24"/>
        </w:rPr>
        <w:t>/d，县城区以外基本不开采中深层地下水。县城周围七十年代化肥厂一带自流千地表，现在水位埋深在7.6m左右。城区的县宾馆、人民医院等水位埋深也在7m左右。中深层地下水位变化总体较为平缓，呈缓慢下降趋势。</w:t>
      </w:r>
    </w:p>
    <w:p>
      <w:pPr>
        <w:snapToGrid w:val="0"/>
        <w:spacing w:line="520" w:lineRule="exact"/>
        <w:ind w:firstLine="480" w:firstLineChars="200"/>
        <w:rPr>
          <w:bCs/>
          <w:sz w:val="24"/>
          <w:szCs w:val="24"/>
        </w:rPr>
      </w:pPr>
      <w:r>
        <w:rPr>
          <w:rFonts w:hint="eastAsia"/>
          <w:bCs/>
          <w:sz w:val="24"/>
          <w:szCs w:val="24"/>
        </w:rPr>
        <w:t>③</w:t>
      </w:r>
      <w:r>
        <w:rPr>
          <w:bCs/>
          <w:sz w:val="24"/>
          <w:szCs w:val="24"/>
        </w:rPr>
        <w:t>深层地下水</w:t>
      </w:r>
    </w:p>
    <w:p>
      <w:pPr>
        <w:snapToGrid w:val="0"/>
        <w:spacing w:line="520" w:lineRule="exact"/>
        <w:ind w:firstLine="480" w:firstLineChars="200"/>
        <w:rPr>
          <w:sz w:val="24"/>
          <w:szCs w:val="24"/>
        </w:rPr>
      </w:pPr>
      <w:r>
        <w:rPr>
          <w:sz w:val="24"/>
          <w:szCs w:val="24"/>
        </w:rPr>
        <w:t>系指下更新统和部分上第三系松散沉积物孔隙水，其上部有比较稳定的粘土、亚粘土隔水层使地下水具有明显的承压性质，与上部含水层水力联系较差。岩性为中砂、细砂、粉细砂，地下水类型为HCO</w:t>
      </w:r>
      <w:r>
        <w:rPr>
          <w:sz w:val="24"/>
          <w:szCs w:val="24"/>
          <w:vertAlign w:val="subscript"/>
        </w:rPr>
        <w:t>3</w:t>
      </w:r>
      <w:r>
        <w:rPr>
          <w:sz w:val="24"/>
          <w:szCs w:val="24"/>
        </w:rPr>
        <w:t>-Na.Mg.Ca型。</w:t>
      </w:r>
    </w:p>
    <w:p>
      <w:pPr>
        <w:keepNext/>
        <w:keepLines/>
        <w:spacing w:line="520" w:lineRule="exact"/>
        <w:ind w:firstLine="200"/>
        <w:outlineLvl w:val="2"/>
        <w:rPr>
          <w:rFonts w:eastAsia="黑体"/>
          <w:bCs/>
          <w:sz w:val="28"/>
          <w:szCs w:val="28"/>
        </w:rPr>
      </w:pPr>
      <w:r>
        <w:rPr>
          <w:rFonts w:eastAsia="黑体"/>
          <w:bCs/>
          <w:sz w:val="28"/>
          <w:szCs w:val="28"/>
        </w:rPr>
        <w:t>4.1.5 气候气象</w:t>
      </w:r>
    </w:p>
    <w:p>
      <w:pPr>
        <w:snapToGrid w:val="0"/>
        <w:spacing w:line="520" w:lineRule="exact"/>
        <w:ind w:firstLine="480" w:firstLineChars="200"/>
        <w:rPr>
          <w:sz w:val="24"/>
          <w:szCs w:val="24"/>
        </w:rPr>
      </w:pPr>
      <w:r>
        <w:rPr>
          <w:rFonts w:hint="eastAsia"/>
          <w:sz w:val="24"/>
          <w:szCs w:val="24"/>
        </w:rPr>
        <w:t>原阳属暖温带大陆性季风气候。其特点是：四季分明，即冬季寒冷干燥，雨雪稀少；春秋干旱多风，气温上升而不稳；夏季炎热多雨，气温高、湿度大，降水多而集中，易造成夏涝和伏早；秋季秋高气爽，天气多晴朗，降温快，日差较大，部分年份秋雨连绵。因此，早、涝、风、雹、低温、霜冻和干热风等气候灾害较多，尤其以干旱危害最大。</w:t>
      </w:r>
    </w:p>
    <w:p>
      <w:pPr>
        <w:snapToGrid w:val="0"/>
        <w:spacing w:line="520" w:lineRule="exact"/>
        <w:ind w:firstLine="480" w:firstLineChars="200"/>
        <w:rPr>
          <w:sz w:val="24"/>
          <w:szCs w:val="24"/>
        </w:rPr>
      </w:pPr>
      <w:r>
        <w:rPr>
          <w:rFonts w:hint="eastAsia"/>
          <w:sz w:val="24"/>
          <w:szCs w:val="24"/>
        </w:rPr>
        <w:t>（1）日照</w:t>
      </w:r>
    </w:p>
    <w:p>
      <w:pPr>
        <w:snapToGrid w:val="0"/>
        <w:spacing w:line="520" w:lineRule="exact"/>
        <w:ind w:firstLine="480" w:firstLineChars="200"/>
        <w:rPr>
          <w:sz w:val="24"/>
          <w:szCs w:val="24"/>
        </w:rPr>
      </w:pPr>
      <w:r>
        <w:rPr>
          <w:rFonts w:hint="eastAsia"/>
          <w:sz w:val="24"/>
          <w:szCs w:val="24"/>
        </w:rPr>
        <w:t>历年平均年日照2324.2时，日照率为53%，今年太阳总辐射量为113.34千卡/平方厘米。光合有效辐射量为55.5千卡/平方厘米，属高值区。</w:t>
      </w:r>
    </w:p>
    <w:p>
      <w:pPr>
        <w:snapToGrid w:val="0"/>
        <w:spacing w:line="520" w:lineRule="exact"/>
        <w:ind w:firstLine="480" w:firstLineChars="200"/>
        <w:rPr>
          <w:sz w:val="24"/>
          <w:szCs w:val="24"/>
        </w:rPr>
      </w:pPr>
      <w:r>
        <w:rPr>
          <w:rFonts w:hint="eastAsia"/>
          <w:sz w:val="24"/>
          <w:szCs w:val="24"/>
        </w:rPr>
        <w:t>（2）气温、积温</w:t>
      </w:r>
    </w:p>
    <w:p>
      <w:pPr>
        <w:snapToGrid w:val="0"/>
        <w:spacing w:line="520" w:lineRule="exact"/>
        <w:ind w:firstLine="480" w:firstLineChars="200"/>
        <w:rPr>
          <w:sz w:val="24"/>
          <w:szCs w:val="24"/>
        </w:rPr>
      </w:pPr>
      <w:r>
        <w:rPr>
          <w:sz w:val="24"/>
          <w:szCs w:val="24"/>
        </w:rPr>
        <w:t>年平均气温为14.4℃</w:t>
      </w:r>
      <w:r>
        <w:rPr>
          <w:rFonts w:hint="eastAsia"/>
          <w:sz w:val="24"/>
          <w:szCs w:val="24"/>
        </w:rPr>
        <w:t>，介于13.5~15.5</w:t>
      </w:r>
      <w:r>
        <w:rPr>
          <w:sz w:val="24"/>
          <w:szCs w:val="24"/>
        </w:rPr>
        <w:t>℃</w:t>
      </w:r>
      <w:r>
        <w:rPr>
          <w:rFonts w:hint="eastAsia"/>
          <w:sz w:val="24"/>
          <w:szCs w:val="24"/>
        </w:rPr>
        <w:t>之间。平均气温以7月份最高，元月份最低。极端最高气温44.1</w:t>
      </w:r>
      <w:r>
        <w:rPr>
          <w:sz w:val="24"/>
          <w:szCs w:val="24"/>
        </w:rPr>
        <w:t>℃</w:t>
      </w:r>
      <w:r>
        <w:rPr>
          <w:rFonts w:hint="eastAsia"/>
          <w:sz w:val="24"/>
          <w:szCs w:val="24"/>
        </w:rPr>
        <w:t>，极端最低气温-18.9</w:t>
      </w:r>
      <w:r>
        <w:rPr>
          <w:sz w:val="24"/>
          <w:szCs w:val="24"/>
        </w:rPr>
        <w:t>℃</w:t>
      </w:r>
      <w:r>
        <w:rPr>
          <w:rFonts w:hint="eastAsia"/>
          <w:sz w:val="24"/>
          <w:szCs w:val="24"/>
        </w:rPr>
        <w:t>。年均积温为52987</w:t>
      </w:r>
      <w:r>
        <w:rPr>
          <w:sz w:val="24"/>
          <w:szCs w:val="24"/>
        </w:rPr>
        <w:t>℃</w:t>
      </w:r>
      <w:r>
        <w:rPr>
          <w:rFonts w:hint="eastAsia"/>
          <w:sz w:val="24"/>
          <w:szCs w:val="24"/>
        </w:rPr>
        <w:t>，稳定通过0</w:t>
      </w:r>
      <w:r>
        <w:rPr>
          <w:sz w:val="24"/>
          <w:szCs w:val="24"/>
        </w:rPr>
        <w:t>℃</w:t>
      </w:r>
      <w:r>
        <w:rPr>
          <w:rFonts w:hint="eastAsia"/>
          <w:sz w:val="24"/>
          <w:szCs w:val="24"/>
        </w:rPr>
        <w:t>的（按80%保证率）为282天。</w:t>
      </w:r>
    </w:p>
    <w:p>
      <w:pPr>
        <w:snapToGrid w:val="0"/>
        <w:spacing w:line="520" w:lineRule="exact"/>
        <w:ind w:firstLine="480" w:firstLineChars="200"/>
        <w:rPr>
          <w:sz w:val="24"/>
          <w:szCs w:val="24"/>
        </w:rPr>
      </w:pPr>
      <w:r>
        <w:rPr>
          <w:rFonts w:hint="eastAsia"/>
          <w:sz w:val="24"/>
          <w:szCs w:val="24"/>
        </w:rPr>
        <w:t>（3）地温</w:t>
      </w:r>
    </w:p>
    <w:p>
      <w:pPr>
        <w:snapToGrid w:val="0"/>
        <w:spacing w:line="520" w:lineRule="exact"/>
        <w:ind w:firstLine="480" w:firstLineChars="200"/>
        <w:rPr>
          <w:sz w:val="24"/>
          <w:szCs w:val="24"/>
        </w:rPr>
      </w:pPr>
      <w:r>
        <w:rPr>
          <w:rFonts w:hint="eastAsia"/>
          <w:sz w:val="24"/>
          <w:szCs w:val="24"/>
        </w:rPr>
        <w:t>地温年变化趋势与气温的年变化趋势基本一致。地面温度年平均为17</w:t>
      </w:r>
      <w:r>
        <w:rPr>
          <w:sz w:val="24"/>
          <w:szCs w:val="24"/>
        </w:rPr>
        <w:t>℃</w:t>
      </w:r>
      <w:r>
        <w:rPr>
          <w:rFonts w:hint="eastAsia"/>
          <w:sz w:val="24"/>
          <w:szCs w:val="24"/>
        </w:rPr>
        <w:t>，比平均气温高2.6</w:t>
      </w:r>
      <w:r>
        <w:rPr>
          <w:sz w:val="24"/>
          <w:szCs w:val="24"/>
        </w:rPr>
        <w:t>℃</w:t>
      </w:r>
      <w:r>
        <w:rPr>
          <w:rFonts w:hint="eastAsia"/>
          <w:sz w:val="24"/>
          <w:szCs w:val="24"/>
        </w:rPr>
        <w:t>。</w:t>
      </w:r>
    </w:p>
    <w:p>
      <w:pPr>
        <w:snapToGrid w:val="0"/>
        <w:spacing w:line="520" w:lineRule="exact"/>
        <w:ind w:firstLine="480" w:firstLineChars="200"/>
        <w:rPr>
          <w:sz w:val="24"/>
          <w:szCs w:val="24"/>
        </w:rPr>
      </w:pPr>
      <w:r>
        <w:rPr>
          <w:rFonts w:hint="eastAsia"/>
          <w:sz w:val="24"/>
          <w:szCs w:val="24"/>
        </w:rPr>
        <w:t>（4）降水</w:t>
      </w:r>
    </w:p>
    <w:p>
      <w:pPr>
        <w:snapToGrid w:val="0"/>
        <w:spacing w:line="520" w:lineRule="exact"/>
        <w:ind w:firstLine="480" w:firstLineChars="200"/>
        <w:rPr>
          <w:sz w:val="24"/>
          <w:szCs w:val="24"/>
        </w:rPr>
      </w:pPr>
      <w:r>
        <w:rPr>
          <w:rFonts w:hint="eastAsia"/>
          <w:sz w:val="24"/>
          <w:szCs w:val="24"/>
        </w:rPr>
        <w:t>年平均降水量为549.9mm，但年际变化大，四季分配不均。最多的年降水量达874.8mm（1964年），最少的降水量只有282.9mm（1966年）。在年内降水量中，夏季6、7、8三个月降水多而集中，占全年总降水量的57.6%，以7月份量多，平均151mm，冬春季雨水稀少，元月份最少，平均只有3.7mm。</w:t>
      </w:r>
    </w:p>
    <w:p>
      <w:pPr>
        <w:snapToGrid w:val="0"/>
        <w:spacing w:line="520" w:lineRule="exact"/>
        <w:ind w:firstLine="480" w:firstLineChars="200"/>
        <w:rPr>
          <w:sz w:val="24"/>
          <w:szCs w:val="24"/>
        </w:rPr>
      </w:pPr>
      <w:r>
        <w:rPr>
          <w:rFonts w:hint="eastAsia"/>
          <w:sz w:val="24"/>
          <w:szCs w:val="24"/>
        </w:rPr>
        <w:t>（5）风</w:t>
      </w:r>
    </w:p>
    <w:p>
      <w:pPr>
        <w:snapToGrid w:val="0"/>
        <w:spacing w:line="520" w:lineRule="exact"/>
        <w:ind w:firstLine="480" w:firstLineChars="200"/>
        <w:rPr>
          <w:sz w:val="24"/>
          <w:szCs w:val="24"/>
          <w:highlight w:val="yellow"/>
        </w:rPr>
      </w:pPr>
      <w:r>
        <w:rPr>
          <w:rFonts w:hint="eastAsia"/>
          <w:sz w:val="24"/>
          <w:szCs w:val="24"/>
        </w:rPr>
        <w:t>原阳县属季风气候区。风向、风力随季节的更替而变化，年最多风向频率为东北风（NE）15%，静风（C）14%。多年年内平均风速为3.4m/s。冬春主导风向为东北风和西北风，最大风力为24m/s。夏季多东南风和南风，最大风力为20m/s。</w:t>
      </w:r>
    </w:p>
    <w:p>
      <w:pPr>
        <w:keepNext/>
        <w:keepLines/>
        <w:spacing w:line="520" w:lineRule="exact"/>
        <w:outlineLvl w:val="2"/>
        <w:rPr>
          <w:rFonts w:eastAsia="黑体"/>
          <w:bCs/>
          <w:sz w:val="28"/>
          <w:szCs w:val="28"/>
        </w:rPr>
      </w:pPr>
      <w:r>
        <w:rPr>
          <w:rFonts w:eastAsia="黑体"/>
          <w:bCs/>
          <w:sz w:val="28"/>
          <w:szCs w:val="28"/>
        </w:rPr>
        <w:t>4.1.6 土壤</w:t>
      </w:r>
    </w:p>
    <w:p>
      <w:pPr>
        <w:spacing w:line="480" w:lineRule="exact"/>
        <w:ind w:firstLine="480" w:firstLineChars="200"/>
        <w:rPr>
          <w:bCs/>
          <w:sz w:val="24"/>
          <w:szCs w:val="24"/>
        </w:rPr>
      </w:pPr>
      <w:r>
        <w:rPr>
          <w:bCs/>
          <w:sz w:val="24"/>
          <w:szCs w:val="24"/>
        </w:rPr>
        <w:t>原阳县的土壤分两大类：潮土和风沙土。潮土类土壤面积所占比例较大，分布在全县各个乡、镇。其地势平坦、土层深厚，土质偏碱性，适宜多种农作物、林木和其他植物。区域内植被多为农作物栽培植被片，成片林植被分布在故道沙区。其余植被系统为人工植被，人工栽培的杨类、旱柳与农作物组成的大面积的人工农田林网。</w:t>
      </w:r>
    </w:p>
    <w:p>
      <w:pPr>
        <w:spacing w:line="480" w:lineRule="exact"/>
        <w:ind w:firstLine="480" w:firstLineChars="200"/>
        <w:rPr>
          <w:sz w:val="24"/>
          <w:szCs w:val="24"/>
        </w:rPr>
      </w:pPr>
      <w:r>
        <w:rPr>
          <w:rFonts w:hint="eastAsia"/>
          <w:sz w:val="24"/>
          <w:szCs w:val="24"/>
        </w:rPr>
        <w:t>根据国家土壤信息平台中土壤发生类型（2016）相关图件（中国1公里发生分类土壤图，图</w:t>
      </w:r>
      <w:r>
        <w:rPr>
          <w:sz w:val="24"/>
          <w:szCs w:val="24"/>
        </w:rPr>
        <w:t>4.1-5</w:t>
      </w:r>
      <w:r>
        <w:rPr>
          <w:rFonts w:hint="eastAsia"/>
          <w:sz w:val="24"/>
          <w:szCs w:val="24"/>
        </w:rPr>
        <w:t>），本项目所在区域土壤类型为黄褐土。</w:t>
      </w:r>
    </w:p>
    <w:p>
      <w:pPr>
        <w:spacing w:line="360" w:lineRule="auto"/>
        <w:rPr>
          <w:sz w:val="24"/>
          <w:szCs w:val="24"/>
        </w:rPr>
      </w:pPr>
      <w:r>
        <w:rPr>
          <w:sz w:val="28"/>
          <w:szCs w:val="24"/>
        </w:rPr>
        <mc:AlternateContent>
          <mc:Choice Requires="wps">
            <w:drawing>
              <wp:anchor distT="0" distB="0" distL="114300" distR="114300" simplePos="0" relativeHeight="251745280" behindDoc="0" locked="0" layoutInCell="1" allowOverlap="1">
                <wp:simplePos x="0" y="0"/>
                <wp:positionH relativeFrom="column">
                  <wp:posOffset>2291715</wp:posOffset>
                </wp:positionH>
                <wp:positionV relativeFrom="paragraph">
                  <wp:posOffset>351155</wp:posOffset>
                </wp:positionV>
                <wp:extent cx="953770" cy="349885"/>
                <wp:effectExtent l="567690" t="113030" r="12065" b="13335"/>
                <wp:wrapNone/>
                <wp:docPr id="1564736185" name="对话气泡: 圆角矩形 31"/>
                <wp:cNvGraphicFramePr/>
                <a:graphic xmlns:a="http://schemas.openxmlformats.org/drawingml/2006/main">
                  <a:graphicData uri="http://schemas.microsoft.com/office/word/2010/wordprocessingShape">
                    <wps:wsp>
                      <wps:cNvSpPr>
                        <a:spLocks noChangeArrowheads="1"/>
                      </wps:cNvSpPr>
                      <wps:spPr bwMode="auto">
                        <a:xfrm>
                          <a:off x="0" y="0"/>
                          <a:ext cx="953770" cy="349885"/>
                        </a:xfrm>
                        <a:prstGeom prst="wedgeRoundRectCallout">
                          <a:avLst>
                            <a:gd name="adj1" fmla="val -102463"/>
                            <a:gd name="adj2" fmla="val -72866"/>
                            <a:gd name="adj3" fmla="val 16667"/>
                          </a:avLst>
                        </a:prstGeom>
                        <a:noFill/>
                        <a:ln w="9525">
                          <a:solidFill>
                            <a:srgbClr val="000000"/>
                          </a:solidFill>
                          <a:miter lim="800000"/>
                        </a:ln>
                      </wps:spPr>
                      <wps:txbx>
                        <w:txbxContent>
                          <w:p>
                            <w:pPr>
                              <w:spacing w:line="340" w:lineRule="exact"/>
                              <w:rPr>
                                <w:sz w:val="22"/>
                                <w:szCs w:val="21"/>
                              </w:rPr>
                            </w:pPr>
                            <w:r>
                              <w:rPr>
                                <w:rFonts w:hint="eastAsia"/>
                                <w:sz w:val="22"/>
                                <w:szCs w:val="21"/>
                              </w:rPr>
                              <w:t>本项目位置</w:t>
                            </w:r>
                          </w:p>
                        </w:txbxContent>
                      </wps:txbx>
                      <wps:bodyPr rot="0" vert="horz" wrap="square" lIns="91440" tIns="45720" rIns="91440" bIns="45720" anchor="t" anchorCtr="0" upright="1">
                        <a:noAutofit/>
                      </wps:bodyPr>
                    </wps:wsp>
                  </a:graphicData>
                </a:graphic>
              </wp:anchor>
            </w:drawing>
          </mc:Choice>
          <mc:Fallback>
            <w:pict>
              <v:shape id="对话气泡: 圆角矩形 31" o:spid="_x0000_s1026" o:spt="62" type="#_x0000_t62" style="position:absolute;left:0pt;margin-left:180.45pt;margin-top:27.65pt;height:27.55pt;width:75.1pt;z-index:251745280;mso-width-relative:page;mso-height-relative:page;" filled="f" stroked="t" coordsize="21600,21600" o:gfxdata="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QJV0z&#10;1AAAAAoBAAAPAAAAAAAAAAEAIAAAACIAAABkcnMvZG93bnJldi54bWxQSwECFAAUAAAACACHTuJA&#10;TKA/mpcCAAD3BAAADgAAAAAAAAABACAAAAAjAQAAZHJzL2Uyb0RvYy54bWxQSwUGAAAAAAYABgBZ&#10;AQAALAYAAAAA&#10;" adj="-11332,-4939,14400">
                <v:fill on="f" focussize="0,0"/>
                <v:stroke color="#000000" miterlimit="8" joinstyle="miter"/>
                <v:imagedata o:title=""/>
                <o:lock v:ext="edit" aspectratio="f"/>
                <v:textbox>
                  <w:txbxContent>
                    <w:p>
                      <w:pPr>
                        <w:spacing w:line="340" w:lineRule="exact"/>
                        <w:rPr>
                          <w:sz w:val="22"/>
                          <w:szCs w:val="21"/>
                        </w:rPr>
                      </w:pPr>
                      <w:r>
                        <w:rPr>
                          <w:rFonts w:hint="eastAsia"/>
                          <w:sz w:val="22"/>
                          <w:szCs w:val="21"/>
                        </w:rPr>
                        <w:t>本项目位置</w:t>
                      </w:r>
                    </w:p>
                  </w:txbxContent>
                </v:textbox>
              </v:shape>
            </w:pict>
          </mc:Fallback>
        </mc:AlternateContent>
      </w:r>
      <w:r>
        <w:rPr>
          <w:sz w:val="28"/>
          <w:szCs w:val="24"/>
          <w:highlight w:val="yellow"/>
        </w:rPr>
        <w:drawing>
          <wp:inline distT="0" distB="0" distL="0" distR="0">
            <wp:extent cx="5495925" cy="3104515"/>
            <wp:effectExtent l="0" t="0" r="9525" b="635"/>
            <wp:docPr id="1975368437" name="图片 2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68437" name="图片 26" descr="地图&#10;&#10;描述已自动生成"/>
                    <pic:cNvPicPr>
                      <a:picLocks noChangeAspect="1" noChangeArrowheads="1"/>
                    </pic:cNvPicPr>
                  </pic:nvPicPr>
                  <pic:blipFill>
                    <a:blip r:embed="rId56"/>
                    <a:srcRect/>
                    <a:stretch>
                      <a:fillRect/>
                    </a:stretch>
                  </pic:blipFill>
                  <pic:spPr>
                    <a:xfrm>
                      <a:off x="0" y="0"/>
                      <a:ext cx="5495925" cy="3104515"/>
                    </a:xfrm>
                    <a:prstGeom prst="rect">
                      <a:avLst/>
                    </a:prstGeom>
                    <a:noFill/>
                    <a:ln>
                      <a:noFill/>
                    </a:ln>
                  </pic:spPr>
                </pic:pic>
              </a:graphicData>
            </a:graphic>
          </wp:inline>
        </w:drawing>
      </w:r>
    </w:p>
    <w:p>
      <w:pPr>
        <w:spacing w:line="520" w:lineRule="exact"/>
        <w:jc w:val="center"/>
        <w:rPr>
          <w:rFonts w:eastAsia="黑体"/>
          <w:sz w:val="24"/>
          <w:szCs w:val="24"/>
        </w:rPr>
      </w:pPr>
      <w:r>
        <w:rPr>
          <w:rFonts w:eastAsia="黑体"/>
          <w:sz w:val="24"/>
          <w:szCs w:val="24"/>
        </w:rPr>
        <w:t xml:space="preserve">图4.1-5   </w:t>
      </w:r>
      <w:r>
        <w:rPr>
          <w:rFonts w:eastAsia="黑体"/>
          <w:bCs/>
          <w:sz w:val="24"/>
          <w:szCs w:val="24"/>
        </w:rPr>
        <w:t>中国1公里发生分类土壤图（原阳县附近区域）</w:t>
      </w:r>
    </w:p>
    <w:p>
      <w:pPr>
        <w:spacing w:line="480" w:lineRule="exact"/>
        <w:ind w:firstLine="480" w:firstLineChars="200"/>
        <w:rPr>
          <w:sz w:val="24"/>
          <w:szCs w:val="24"/>
        </w:rPr>
      </w:pPr>
      <w:r>
        <w:rPr>
          <w:rFonts w:hint="eastAsia"/>
          <w:sz w:val="24"/>
          <w:szCs w:val="24"/>
        </w:rPr>
        <w:t>黄褐土土体深厚，土壤呈黄褐色或黄棕色，质地粘重（粘壤土至粘土），土层紧实，尤以心底土中的粘粒聚集明显，并有铁锰胶膜和结核淀积。</w:t>
      </w:r>
    </w:p>
    <w:p>
      <w:pPr>
        <w:spacing w:line="480" w:lineRule="exact"/>
        <w:ind w:firstLine="480" w:firstLineChars="200"/>
        <w:rPr>
          <w:sz w:val="24"/>
          <w:szCs w:val="24"/>
        </w:rPr>
      </w:pPr>
      <w:r>
        <w:rPr>
          <w:rFonts w:hint="eastAsia"/>
          <w:sz w:val="24"/>
          <w:szCs w:val="24"/>
        </w:rPr>
        <w:t>黄褐土理化性质调查：淮北地区黄褐壤呈中性，交换性酸在0.03～4.0毫克当量／百克土之间，其中交换性铝离子平均为72%。盐基饱和度为60～90%，沿江地区为58．17%，中部江淮丘陵土壤为74．98%，淮北黄褐土盐基交换量17~27mg/百克土，其中以交换性钙和镁为主，饱和度为80%以上。土体中铁、锰的淋溶与淀积强烈，下部出现大量铁锰结核和铁锰胶斑。淀积层有较多粘粒积聚，粘土矿物以伊利石为主，自南向北有伊利石含量逐渐减少，蒙脱石逐渐增加的变化规律。土壤中铁的游离度为40%，粘粒部分硅铝率变动于2.8～3.6之间，硅铝铁率为2.2</w:t>
      </w:r>
      <w:r>
        <w:rPr>
          <w:sz w:val="24"/>
          <w:szCs w:val="24"/>
        </w:rPr>
        <w:t>～</w:t>
      </w:r>
      <w:r>
        <w:rPr>
          <w:rFonts w:hint="eastAsia"/>
          <w:sz w:val="24"/>
          <w:szCs w:val="24"/>
        </w:rPr>
        <w:t>2.8。</w:t>
      </w:r>
    </w:p>
    <w:p>
      <w:pPr>
        <w:spacing w:line="480" w:lineRule="exact"/>
        <w:ind w:firstLine="480" w:firstLineChars="200"/>
        <w:rPr>
          <w:sz w:val="24"/>
          <w:szCs w:val="24"/>
        </w:rPr>
      </w:pPr>
      <w:r>
        <w:rPr>
          <w:rFonts w:hint="eastAsia"/>
          <w:bCs/>
          <w:sz w:val="24"/>
          <w:szCs w:val="24"/>
        </w:rPr>
        <w:t>土壤养分状况：有机质和氮含量偏低，钾较为丰富，磷贫缺。有效微量元素中，铁和锰含量丰富，锌和钼属于低值范围，硼极缺。</w:t>
      </w:r>
    </w:p>
    <w:bookmarkEnd w:id="77"/>
    <w:bookmarkEnd w:id="78"/>
    <w:bookmarkEnd w:id="79"/>
    <w:bookmarkEnd w:id="80"/>
    <w:p>
      <w:pPr>
        <w:keepNext/>
        <w:keepLines/>
        <w:spacing w:line="520" w:lineRule="exact"/>
        <w:outlineLvl w:val="1"/>
        <w:rPr>
          <w:rFonts w:eastAsia="黑体"/>
          <w:bCs/>
          <w:sz w:val="28"/>
          <w:szCs w:val="28"/>
        </w:rPr>
      </w:pPr>
      <w:bookmarkStart w:id="82" w:name="_Toc7029"/>
      <w:r>
        <w:rPr>
          <w:rFonts w:eastAsia="黑体"/>
          <w:bCs/>
          <w:sz w:val="28"/>
          <w:szCs w:val="28"/>
        </w:rPr>
        <w:t>4.2 项目所在地环境功能区划</w:t>
      </w:r>
      <w:bookmarkEnd w:id="82"/>
    </w:p>
    <w:p>
      <w:pPr>
        <w:keepNext/>
        <w:keepLines/>
        <w:spacing w:line="520" w:lineRule="exact"/>
        <w:outlineLvl w:val="2"/>
        <w:rPr>
          <w:rFonts w:eastAsia="黑体"/>
          <w:bCs/>
          <w:sz w:val="28"/>
          <w:szCs w:val="28"/>
        </w:rPr>
      </w:pPr>
      <w:r>
        <w:rPr>
          <w:rFonts w:eastAsia="黑体"/>
          <w:bCs/>
          <w:sz w:val="28"/>
          <w:szCs w:val="28"/>
        </w:rPr>
        <w:t>4.2.1 环境空气</w:t>
      </w:r>
    </w:p>
    <w:p>
      <w:pPr>
        <w:spacing w:line="480" w:lineRule="exact"/>
        <w:ind w:right="-21" w:rightChars="-10" w:firstLine="480" w:firstLineChars="200"/>
        <w:rPr>
          <w:sz w:val="24"/>
          <w:szCs w:val="24"/>
        </w:rPr>
      </w:pPr>
      <w:r>
        <w:rPr>
          <w:sz w:val="24"/>
          <w:szCs w:val="24"/>
        </w:rPr>
        <w:t>本项目位于</w:t>
      </w:r>
      <w:r>
        <w:rPr>
          <w:rFonts w:hint="eastAsia"/>
          <w:sz w:val="24"/>
          <w:szCs w:val="24"/>
        </w:rPr>
        <w:t>原阳县</w:t>
      </w:r>
      <w:r>
        <w:rPr>
          <w:sz w:val="24"/>
          <w:szCs w:val="24"/>
        </w:rPr>
        <w:t>产业集聚区，按照当地环境功能区划，本项目环境空气质量执行《环境空气质量标准》（GB3096-2012）二级标准。</w:t>
      </w:r>
    </w:p>
    <w:p>
      <w:pPr>
        <w:keepNext/>
        <w:keepLines/>
        <w:spacing w:line="520" w:lineRule="exact"/>
        <w:outlineLvl w:val="2"/>
        <w:rPr>
          <w:rFonts w:eastAsia="黑体"/>
          <w:bCs/>
          <w:sz w:val="28"/>
          <w:szCs w:val="28"/>
        </w:rPr>
      </w:pPr>
      <w:r>
        <w:rPr>
          <w:rFonts w:eastAsia="黑体"/>
          <w:bCs/>
          <w:sz w:val="28"/>
          <w:szCs w:val="28"/>
        </w:rPr>
        <w:t>4.2.2 地表水</w:t>
      </w:r>
    </w:p>
    <w:p>
      <w:pPr>
        <w:spacing w:line="520" w:lineRule="exact"/>
        <w:ind w:firstLine="480" w:firstLineChars="200"/>
        <w:rPr>
          <w:sz w:val="24"/>
          <w:szCs w:val="24"/>
        </w:rPr>
      </w:pPr>
      <w:r>
        <w:rPr>
          <w:sz w:val="24"/>
          <w:szCs w:val="24"/>
        </w:rPr>
        <w:t>本项目废水经污水处理站处理后</w:t>
      </w:r>
      <w:r>
        <w:rPr>
          <w:rFonts w:hint="eastAsia"/>
          <w:sz w:val="24"/>
          <w:szCs w:val="24"/>
        </w:rPr>
        <w:t>通过污水管网进入原阳县产业集聚区污水处理厂进一步处理，</w:t>
      </w:r>
      <w:r>
        <w:rPr>
          <w:bCs/>
          <w:sz w:val="24"/>
          <w:szCs w:val="24"/>
        </w:rPr>
        <w:t>处理后排入东关排渠，汇入文岩干渠。</w:t>
      </w:r>
      <w:r>
        <w:rPr>
          <w:rFonts w:hint="eastAsia"/>
          <w:bCs/>
          <w:sz w:val="24"/>
          <w:szCs w:val="24"/>
        </w:rPr>
        <w:t>根据《新乡市生态环境局关于下达2</w:t>
      </w:r>
      <w:r>
        <w:rPr>
          <w:bCs/>
          <w:sz w:val="24"/>
          <w:szCs w:val="24"/>
        </w:rPr>
        <w:t>023</w:t>
      </w:r>
      <w:r>
        <w:rPr>
          <w:rFonts w:hint="eastAsia"/>
          <w:bCs/>
          <w:sz w:val="24"/>
          <w:szCs w:val="24"/>
        </w:rPr>
        <w:t>年地表水环境质量目标的函》，</w:t>
      </w:r>
      <w:r>
        <w:rPr>
          <w:rFonts w:hint="eastAsia"/>
          <w:sz w:val="24"/>
          <w:szCs w:val="24"/>
        </w:rPr>
        <w:t xml:space="preserve"> 2</w:t>
      </w:r>
      <w:r>
        <w:rPr>
          <w:sz w:val="24"/>
          <w:szCs w:val="24"/>
        </w:rPr>
        <w:t>023</w:t>
      </w:r>
      <w:r>
        <w:rPr>
          <w:rFonts w:hint="eastAsia"/>
          <w:sz w:val="24"/>
          <w:szCs w:val="24"/>
        </w:rPr>
        <w:t>年</w:t>
      </w:r>
      <w:r>
        <w:rPr>
          <w:rFonts w:hint="eastAsia"/>
          <w:bCs/>
          <w:sz w:val="24"/>
          <w:szCs w:val="24"/>
        </w:rPr>
        <w:t>文岩渠</w:t>
      </w:r>
      <w:r>
        <w:rPr>
          <w:sz w:val="24"/>
          <w:szCs w:val="24"/>
        </w:rPr>
        <w:t>规划水体</w:t>
      </w:r>
      <w:r>
        <w:rPr>
          <w:rFonts w:hint="eastAsia"/>
          <w:sz w:val="24"/>
          <w:szCs w:val="24"/>
        </w:rPr>
        <w:t>考核</w:t>
      </w:r>
      <w:r>
        <w:rPr>
          <w:sz w:val="24"/>
          <w:szCs w:val="24"/>
        </w:rPr>
        <w:t>功能为《地表水环境质量标准》(GB3838-2002)Ⅲ类。</w:t>
      </w:r>
    </w:p>
    <w:p>
      <w:pPr>
        <w:keepNext/>
        <w:keepLines/>
        <w:spacing w:line="520" w:lineRule="exact"/>
        <w:outlineLvl w:val="2"/>
        <w:rPr>
          <w:rFonts w:eastAsia="黑体"/>
          <w:bCs/>
          <w:sz w:val="28"/>
          <w:szCs w:val="28"/>
        </w:rPr>
      </w:pPr>
      <w:r>
        <w:rPr>
          <w:rFonts w:eastAsia="黑体"/>
          <w:bCs/>
          <w:sz w:val="28"/>
          <w:szCs w:val="28"/>
        </w:rPr>
        <w:t>4.2.3 地下水</w:t>
      </w:r>
    </w:p>
    <w:p>
      <w:pPr>
        <w:spacing w:line="520" w:lineRule="exact"/>
        <w:ind w:firstLine="480" w:firstLineChars="200"/>
        <w:rPr>
          <w:sz w:val="24"/>
          <w:szCs w:val="24"/>
        </w:rPr>
      </w:pPr>
      <w:r>
        <w:rPr>
          <w:sz w:val="24"/>
          <w:szCs w:val="24"/>
        </w:rPr>
        <w:t>根据当地环境功能区划，本项目地下水环境质量执行《地下水质量标准》（GB/T14848-2017）Ⅲ类标准。</w:t>
      </w:r>
    </w:p>
    <w:p>
      <w:pPr>
        <w:keepNext/>
        <w:keepLines/>
        <w:spacing w:line="520" w:lineRule="exact"/>
        <w:outlineLvl w:val="2"/>
        <w:rPr>
          <w:rFonts w:eastAsia="黑体"/>
          <w:bCs/>
          <w:sz w:val="28"/>
          <w:szCs w:val="28"/>
        </w:rPr>
      </w:pPr>
      <w:r>
        <w:rPr>
          <w:rFonts w:eastAsia="黑体"/>
          <w:bCs/>
          <w:sz w:val="28"/>
          <w:szCs w:val="28"/>
        </w:rPr>
        <w:t>4.2.4 声环境</w:t>
      </w:r>
    </w:p>
    <w:p>
      <w:pPr>
        <w:spacing w:line="520" w:lineRule="exact"/>
        <w:ind w:firstLine="480" w:firstLineChars="200"/>
        <w:rPr>
          <w:sz w:val="24"/>
          <w:szCs w:val="24"/>
        </w:rPr>
      </w:pPr>
      <w:r>
        <w:rPr>
          <w:sz w:val="24"/>
          <w:szCs w:val="24"/>
        </w:rPr>
        <w:t>本项目位于</w:t>
      </w:r>
      <w:r>
        <w:rPr>
          <w:rFonts w:hint="eastAsia"/>
          <w:sz w:val="24"/>
          <w:szCs w:val="24"/>
        </w:rPr>
        <w:t>原阳县</w:t>
      </w:r>
      <w:r>
        <w:rPr>
          <w:sz w:val="24"/>
          <w:szCs w:val="24"/>
        </w:rPr>
        <w:t>产业集聚区，声环境执行《声环境质量标准》（GB3096-2008）3类标准。</w:t>
      </w:r>
    </w:p>
    <w:p>
      <w:pPr>
        <w:keepNext/>
        <w:keepLines/>
        <w:spacing w:line="520" w:lineRule="exact"/>
        <w:outlineLvl w:val="2"/>
        <w:rPr>
          <w:rFonts w:eastAsia="黑体"/>
          <w:bCs/>
          <w:sz w:val="28"/>
          <w:szCs w:val="28"/>
        </w:rPr>
      </w:pPr>
      <w:r>
        <w:rPr>
          <w:rFonts w:eastAsia="黑体"/>
          <w:bCs/>
          <w:sz w:val="28"/>
          <w:szCs w:val="28"/>
        </w:rPr>
        <w:t>4.2.5 土壤</w:t>
      </w:r>
    </w:p>
    <w:p>
      <w:pPr>
        <w:spacing w:line="480" w:lineRule="exact"/>
        <w:ind w:right="-21" w:rightChars="-10" w:firstLine="480" w:firstLineChars="200"/>
        <w:rPr>
          <w:sz w:val="24"/>
          <w:szCs w:val="24"/>
        </w:rPr>
      </w:pPr>
      <w:r>
        <w:rPr>
          <w:sz w:val="24"/>
          <w:szCs w:val="24"/>
        </w:rPr>
        <w:t>本项目位于</w:t>
      </w:r>
      <w:r>
        <w:rPr>
          <w:rFonts w:hint="eastAsia"/>
          <w:sz w:val="24"/>
          <w:szCs w:val="24"/>
        </w:rPr>
        <w:t>原阳县产业集聚区</w:t>
      </w:r>
      <w:r>
        <w:rPr>
          <w:sz w:val="24"/>
          <w:szCs w:val="24"/>
        </w:rPr>
        <w:t>，建设用地土壤执行《土壤环境质量 建设用地土壤污染风险管控标准（试行）》（GB36600-2018）第二类用地筛选值。</w:t>
      </w:r>
    </w:p>
    <w:p>
      <w:pPr>
        <w:keepNext/>
        <w:keepLines/>
        <w:spacing w:line="520" w:lineRule="exact"/>
        <w:outlineLvl w:val="1"/>
        <w:rPr>
          <w:rFonts w:eastAsia="黑体"/>
          <w:bCs/>
          <w:sz w:val="28"/>
          <w:szCs w:val="28"/>
        </w:rPr>
      </w:pPr>
      <w:bookmarkStart w:id="83" w:name="_Toc25878"/>
      <w:r>
        <w:rPr>
          <w:rFonts w:eastAsia="黑体"/>
          <w:bCs/>
          <w:sz w:val="28"/>
          <w:szCs w:val="28"/>
        </w:rPr>
        <w:t>4.3 环境质量现状监测与评价</w:t>
      </w:r>
      <w:bookmarkEnd w:id="83"/>
    </w:p>
    <w:p>
      <w:pPr>
        <w:keepNext/>
        <w:keepLines/>
        <w:spacing w:line="520" w:lineRule="exact"/>
        <w:outlineLvl w:val="2"/>
        <w:rPr>
          <w:rFonts w:eastAsia="黑体"/>
          <w:bCs/>
          <w:sz w:val="28"/>
          <w:szCs w:val="28"/>
        </w:rPr>
      </w:pPr>
      <w:r>
        <w:rPr>
          <w:rFonts w:eastAsia="黑体"/>
          <w:bCs/>
          <w:sz w:val="28"/>
          <w:szCs w:val="28"/>
        </w:rPr>
        <w:t>4.3.1现状</w:t>
      </w:r>
      <w:r>
        <w:rPr>
          <w:rFonts w:hint="eastAsia" w:eastAsia="黑体"/>
          <w:bCs/>
          <w:sz w:val="28"/>
          <w:szCs w:val="28"/>
        </w:rPr>
        <w:t>监测数据来源</w:t>
      </w:r>
    </w:p>
    <w:p>
      <w:pPr>
        <w:spacing w:line="520" w:lineRule="exact"/>
        <w:ind w:firstLine="480"/>
        <w:rPr>
          <w:sz w:val="24"/>
          <w:szCs w:val="24"/>
          <w:highlight w:val="yellow"/>
        </w:rPr>
      </w:pPr>
      <w:r>
        <w:rPr>
          <w:sz w:val="24"/>
          <w:szCs w:val="24"/>
        </w:rPr>
        <w:t>环境空气质量评价因子中基本污染物（SO</w:t>
      </w:r>
      <w:r>
        <w:rPr>
          <w:sz w:val="24"/>
          <w:szCs w:val="24"/>
          <w:vertAlign w:val="subscript"/>
        </w:rPr>
        <w:t>2</w:t>
      </w:r>
      <w:r>
        <w:rPr>
          <w:sz w:val="24"/>
          <w:szCs w:val="24"/>
        </w:rPr>
        <w:t>、NO</w:t>
      </w:r>
      <w:r>
        <w:rPr>
          <w:sz w:val="24"/>
          <w:szCs w:val="24"/>
          <w:vertAlign w:val="subscript"/>
        </w:rPr>
        <w:t>2</w:t>
      </w:r>
      <w:r>
        <w:rPr>
          <w:sz w:val="24"/>
          <w:szCs w:val="24"/>
        </w:rPr>
        <w:t>、PM</w:t>
      </w:r>
      <w:r>
        <w:rPr>
          <w:sz w:val="24"/>
          <w:szCs w:val="24"/>
          <w:vertAlign w:val="subscript"/>
        </w:rPr>
        <w:t>10</w:t>
      </w:r>
      <w:r>
        <w:rPr>
          <w:sz w:val="24"/>
          <w:szCs w:val="24"/>
        </w:rPr>
        <w:t>、PM</w:t>
      </w:r>
      <w:r>
        <w:rPr>
          <w:sz w:val="24"/>
          <w:szCs w:val="24"/>
          <w:vertAlign w:val="subscript"/>
        </w:rPr>
        <w:t>2.5</w:t>
      </w:r>
      <w:r>
        <w:rPr>
          <w:sz w:val="24"/>
          <w:szCs w:val="24"/>
        </w:rPr>
        <w:t>、CO、O</w:t>
      </w:r>
      <w:r>
        <w:rPr>
          <w:sz w:val="24"/>
          <w:szCs w:val="24"/>
          <w:vertAlign w:val="subscript"/>
        </w:rPr>
        <w:t>3</w:t>
      </w:r>
      <w:r>
        <w:rPr>
          <w:sz w:val="24"/>
          <w:szCs w:val="24"/>
        </w:rPr>
        <w:t>）环境质量现状数据来源于</w:t>
      </w:r>
      <w:r>
        <w:rPr>
          <w:rFonts w:hint="eastAsia"/>
          <w:sz w:val="24"/>
          <w:szCs w:val="24"/>
        </w:rPr>
        <w:t>原阳县产业集聚区内常规监测站点大信家具2</w:t>
      </w:r>
      <w:r>
        <w:rPr>
          <w:sz w:val="24"/>
          <w:szCs w:val="24"/>
        </w:rPr>
        <w:t>021</w:t>
      </w:r>
      <w:r>
        <w:rPr>
          <w:rFonts w:hint="eastAsia"/>
          <w:sz w:val="24"/>
          <w:szCs w:val="24"/>
        </w:rPr>
        <w:t>年环境空气质量监测数据</w:t>
      </w:r>
      <w:r>
        <w:rPr>
          <w:sz w:val="24"/>
          <w:szCs w:val="24"/>
        </w:rPr>
        <w:t>；其他污染物（氨、硫化氢、臭气浓度）环境质量现状数据来源于本次环评委托河南永飞检测科技有限公司2023年04月05日~04月11日</w:t>
      </w:r>
      <w:r>
        <w:rPr>
          <w:rFonts w:hint="eastAsia"/>
          <w:sz w:val="24"/>
          <w:szCs w:val="24"/>
        </w:rPr>
        <w:t>在厂区西南角和尹圪垱村</w:t>
      </w:r>
      <w:r>
        <w:rPr>
          <w:sz w:val="24"/>
          <w:szCs w:val="24"/>
        </w:rPr>
        <w:t>对氨、硫化氢、臭气浓度进行的监测。</w:t>
      </w:r>
    </w:p>
    <w:p>
      <w:pPr>
        <w:spacing w:line="520" w:lineRule="exact"/>
        <w:ind w:firstLine="480"/>
        <w:rPr>
          <w:sz w:val="24"/>
          <w:szCs w:val="24"/>
        </w:rPr>
      </w:pPr>
      <w:r>
        <w:rPr>
          <w:sz w:val="24"/>
          <w:szCs w:val="24"/>
        </w:rPr>
        <w:t>地表水环境质量现状监测数据来源于新乡市环境监测站编制的202</w:t>
      </w:r>
      <w:r>
        <w:rPr>
          <w:rFonts w:hint="eastAsia"/>
          <w:sz w:val="24"/>
          <w:szCs w:val="24"/>
        </w:rPr>
        <w:t>3</w:t>
      </w:r>
      <w:r>
        <w:rPr>
          <w:sz w:val="24"/>
          <w:szCs w:val="24"/>
        </w:rPr>
        <w:t>年1月～2023</w:t>
      </w:r>
      <w:r>
        <w:rPr>
          <w:rFonts w:hint="eastAsia"/>
          <w:sz w:val="24"/>
          <w:szCs w:val="24"/>
        </w:rPr>
        <w:t>年12</w:t>
      </w:r>
      <w:r>
        <w:rPr>
          <w:sz w:val="24"/>
          <w:szCs w:val="24"/>
        </w:rPr>
        <w:t>月监测通报关于</w:t>
      </w:r>
      <w:r>
        <w:rPr>
          <w:rFonts w:hint="eastAsia"/>
          <w:bCs/>
          <w:sz w:val="24"/>
          <w:szCs w:val="24"/>
        </w:rPr>
        <w:t>文岩渠安乐庄</w:t>
      </w:r>
      <w:r>
        <w:rPr>
          <w:sz w:val="24"/>
          <w:szCs w:val="24"/>
        </w:rPr>
        <w:t>断面水质的常规监测资料。</w:t>
      </w:r>
    </w:p>
    <w:p>
      <w:pPr>
        <w:spacing w:line="520" w:lineRule="exact"/>
        <w:ind w:firstLine="480"/>
        <w:rPr>
          <w:sz w:val="24"/>
          <w:szCs w:val="24"/>
        </w:rPr>
      </w:pPr>
      <w:r>
        <w:rPr>
          <w:sz w:val="24"/>
          <w:szCs w:val="24"/>
        </w:rPr>
        <w:t>地下水环境质量现状来源于本次环评委托河南永飞检测科技有限公司2023年04月07日~09日进行的监测。</w:t>
      </w:r>
    </w:p>
    <w:p>
      <w:pPr>
        <w:spacing w:line="520" w:lineRule="exact"/>
        <w:ind w:firstLine="480"/>
        <w:rPr>
          <w:sz w:val="24"/>
          <w:szCs w:val="24"/>
        </w:rPr>
      </w:pPr>
      <w:r>
        <w:rPr>
          <w:sz w:val="24"/>
          <w:szCs w:val="24"/>
        </w:rPr>
        <w:t>土壤环境质量现状来源于本次环评委托河南永飞检测科技有限公司2023年04月07日进行的监测。</w:t>
      </w:r>
    </w:p>
    <w:p>
      <w:pPr>
        <w:spacing w:line="520" w:lineRule="exact"/>
        <w:ind w:firstLine="480"/>
        <w:rPr>
          <w:sz w:val="24"/>
          <w:szCs w:val="24"/>
          <w:highlight w:val="yellow"/>
        </w:rPr>
      </w:pPr>
      <w:r>
        <w:rPr>
          <w:sz w:val="24"/>
          <w:szCs w:val="24"/>
        </w:rPr>
        <w:t>声环境质量现状来源于本次环评委托河南永飞检测科技有限公司2023年04月</w:t>
      </w:r>
      <w:r>
        <w:rPr>
          <w:rFonts w:hint="eastAsia"/>
          <w:sz w:val="24"/>
          <w:szCs w:val="24"/>
        </w:rPr>
        <w:t>0</w:t>
      </w:r>
      <w:r>
        <w:rPr>
          <w:sz w:val="24"/>
          <w:szCs w:val="24"/>
        </w:rPr>
        <w:t>7日</w:t>
      </w:r>
      <w:r>
        <w:rPr>
          <w:rFonts w:hint="eastAsia"/>
          <w:sz w:val="24"/>
          <w:szCs w:val="24"/>
        </w:rPr>
        <w:t>-</w:t>
      </w:r>
      <w:r>
        <w:rPr>
          <w:sz w:val="24"/>
          <w:szCs w:val="24"/>
        </w:rPr>
        <w:t>08</w:t>
      </w:r>
      <w:r>
        <w:rPr>
          <w:rFonts w:hint="eastAsia"/>
          <w:sz w:val="24"/>
          <w:szCs w:val="24"/>
        </w:rPr>
        <w:t>日</w:t>
      </w:r>
      <w:r>
        <w:rPr>
          <w:sz w:val="24"/>
          <w:szCs w:val="24"/>
        </w:rPr>
        <w:t>进行的监测。</w:t>
      </w:r>
    </w:p>
    <w:p>
      <w:pPr>
        <w:spacing w:line="520" w:lineRule="exact"/>
        <w:ind w:firstLine="480"/>
        <w:rPr>
          <w:sz w:val="24"/>
          <w:szCs w:val="24"/>
        </w:rPr>
      </w:pPr>
      <w:r>
        <w:rPr>
          <w:sz w:val="24"/>
          <w:szCs w:val="24"/>
        </w:rPr>
        <w:t>本次评价根据以上监测数据对本项目所在区域环境质量进行评价。</w:t>
      </w:r>
    </w:p>
    <w:p>
      <w:pPr>
        <w:keepNext/>
        <w:keepLines/>
        <w:spacing w:line="520" w:lineRule="exact"/>
        <w:outlineLvl w:val="2"/>
        <w:rPr>
          <w:rFonts w:eastAsia="黑体"/>
          <w:bCs/>
          <w:sz w:val="28"/>
          <w:szCs w:val="28"/>
        </w:rPr>
      </w:pPr>
      <w:r>
        <w:rPr>
          <w:rFonts w:eastAsia="黑体"/>
          <w:bCs/>
          <w:sz w:val="28"/>
          <w:szCs w:val="28"/>
        </w:rPr>
        <w:t>4.3.2 环境空气质量现状监测与评价</w:t>
      </w:r>
    </w:p>
    <w:p>
      <w:pPr>
        <w:spacing w:line="520" w:lineRule="exact"/>
        <w:outlineLvl w:val="3"/>
        <w:rPr>
          <w:sz w:val="24"/>
          <w:szCs w:val="24"/>
        </w:rPr>
      </w:pPr>
      <w:r>
        <w:rPr>
          <w:sz w:val="24"/>
          <w:szCs w:val="24"/>
        </w:rPr>
        <w:t>4.3.2.1 基本污染物环境质量现状评价</w:t>
      </w:r>
    </w:p>
    <w:p>
      <w:pPr>
        <w:spacing w:line="520" w:lineRule="exact"/>
        <w:ind w:firstLine="480" w:firstLineChars="200"/>
        <w:rPr>
          <w:sz w:val="24"/>
          <w:szCs w:val="24"/>
        </w:rPr>
      </w:pPr>
      <w:r>
        <w:rPr>
          <w:sz w:val="24"/>
          <w:szCs w:val="24"/>
        </w:rPr>
        <w:t>根据大气功能区划分原则，项目所在区域为二类功能区，环境空气质量应执行《环境空气质量标准》（GB3095-2012）二级标准。根据</w:t>
      </w:r>
      <w:r>
        <w:rPr>
          <w:rFonts w:hint="eastAsia"/>
          <w:sz w:val="24"/>
          <w:szCs w:val="24"/>
        </w:rPr>
        <w:t>原阳县产业集聚区内常规监测站点大信家具2</w:t>
      </w:r>
      <w:r>
        <w:rPr>
          <w:sz w:val="24"/>
          <w:szCs w:val="24"/>
        </w:rPr>
        <w:t>021</w:t>
      </w:r>
      <w:r>
        <w:rPr>
          <w:rFonts w:hint="eastAsia"/>
          <w:sz w:val="24"/>
          <w:szCs w:val="24"/>
        </w:rPr>
        <w:t>年环境空气质量监测数据</w:t>
      </w:r>
      <w:r>
        <w:rPr>
          <w:sz w:val="24"/>
          <w:szCs w:val="24"/>
        </w:rPr>
        <w:t>，区域空气质量现状数据如下表所示。</w:t>
      </w:r>
    </w:p>
    <w:p>
      <w:pPr>
        <w:spacing w:line="360" w:lineRule="auto"/>
        <w:ind w:firstLine="480" w:firstLineChars="200"/>
        <w:rPr>
          <w:rFonts w:eastAsia="黑体"/>
          <w:sz w:val="24"/>
          <w:szCs w:val="24"/>
        </w:rPr>
      </w:pPr>
      <w:r>
        <w:rPr>
          <w:rFonts w:eastAsia="黑体"/>
          <w:sz w:val="24"/>
          <w:szCs w:val="24"/>
        </w:rPr>
        <w:t>表4.3-1              区域空气质量现状评价表</w:t>
      </w:r>
    </w:p>
    <w:tbl>
      <w:tblPr>
        <w:tblStyle w:val="49"/>
        <w:tblpPr w:leftFromText="180" w:rightFromText="180" w:vertAnchor="text" w:tblpXSpec="center" w:tblpY="1"/>
        <w:tblOverlap w:val="never"/>
        <w:tblW w:w="5000" w:type="pct"/>
        <w:tblInd w:w="0" w:type="dxa"/>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fixed"/>
        <w:tblCellMar>
          <w:top w:w="57" w:type="dxa"/>
          <w:left w:w="85" w:type="dxa"/>
          <w:bottom w:w="57" w:type="dxa"/>
          <w:right w:w="85" w:type="dxa"/>
        </w:tblCellMar>
      </w:tblPr>
      <w:tblGrid>
        <w:gridCol w:w="901"/>
        <w:gridCol w:w="1865"/>
        <w:gridCol w:w="1933"/>
        <w:gridCol w:w="1785"/>
        <w:gridCol w:w="1338"/>
        <w:gridCol w:w="1078"/>
      </w:tblGrid>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57" w:type="dxa"/>
            <w:left w:w="85" w:type="dxa"/>
            <w:bottom w:w="57" w:type="dxa"/>
            <w:right w:w="85" w:type="dxa"/>
          </w:tblCellMar>
        </w:tblPrEx>
        <w:trPr>
          <w:cantSplit/>
          <w:trHeight w:val="454" w:hRule="atLeast"/>
        </w:trPr>
        <w:tc>
          <w:tcPr>
            <w:tcW w:w="860" w:type="dxa"/>
            <w:vAlign w:val="center"/>
          </w:tcPr>
          <w:p>
            <w:pPr>
              <w:autoSpaceDE w:val="0"/>
              <w:autoSpaceDN w:val="0"/>
              <w:adjustRightInd w:val="0"/>
              <w:snapToGrid w:val="0"/>
              <w:jc w:val="center"/>
              <w:rPr>
                <w:b/>
                <w:szCs w:val="21"/>
              </w:rPr>
            </w:pPr>
            <w:r>
              <w:rPr>
                <w:b/>
                <w:szCs w:val="21"/>
              </w:rPr>
              <w:t>污染物</w:t>
            </w:r>
          </w:p>
        </w:tc>
        <w:tc>
          <w:tcPr>
            <w:tcW w:w="1777" w:type="dxa"/>
            <w:vAlign w:val="center"/>
          </w:tcPr>
          <w:p>
            <w:pPr>
              <w:autoSpaceDE w:val="0"/>
              <w:autoSpaceDN w:val="0"/>
              <w:adjustRightInd w:val="0"/>
              <w:snapToGrid w:val="0"/>
              <w:jc w:val="center"/>
              <w:rPr>
                <w:b/>
                <w:szCs w:val="21"/>
              </w:rPr>
            </w:pPr>
            <w:r>
              <w:rPr>
                <w:b/>
                <w:szCs w:val="21"/>
              </w:rPr>
              <w:t>年评价指标</w:t>
            </w:r>
          </w:p>
        </w:tc>
        <w:tc>
          <w:tcPr>
            <w:tcW w:w="1843" w:type="dxa"/>
            <w:vAlign w:val="center"/>
          </w:tcPr>
          <w:p>
            <w:pPr>
              <w:autoSpaceDE w:val="0"/>
              <w:autoSpaceDN w:val="0"/>
              <w:adjustRightInd w:val="0"/>
              <w:snapToGrid w:val="0"/>
              <w:jc w:val="center"/>
              <w:rPr>
                <w:b/>
                <w:szCs w:val="21"/>
              </w:rPr>
            </w:pPr>
            <w:r>
              <w:rPr>
                <w:b/>
                <w:szCs w:val="21"/>
              </w:rPr>
              <w:t>现状浓度/（μg/m</w:t>
            </w:r>
            <w:r>
              <w:rPr>
                <w:b/>
                <w:szCs w:val="21"/>
                <w:vertAlign w:val="superscript"/>
              </w:rPr>
              <w:t>3</w:t>
            </w:r>
            <w:r>
              <w:rPr>
                <w:b/>
                <w:szCs w:val="21"/>
              </w:rPr>
              <w:t>）</w:t>
            </w:r>
          </w:p>
        </w:tc>
        <w:tc>
          <w:tcPr>
            <w:tcW w:w="1701" w:type="dxa"/>
            <w:vAlign w:val="center"/>
          </w:tcPr>
          <w:p>
            <w:pPr>
              <w:autoSpaceDE w:val="0"/>
              <w:autoSpaceDN w:val="0"/>
              <w:adjustRightInd w:val="0"/>
              <w:snapToGrid w:val="0"/>
              <w:jc w:val="center"/>
              <w:rPr>
                <w:b/>
                <w:szCs w:val="21"/>
              </w:rPr>
            </w:pPr>
            <w:r>
              <w:rPr>
                <w:b/>
                <w:szCs w:val="21"/>
              </w:rPr>
              <w:t>标准值/（</w:t>
            </w:r>
            <w:r>
              <w:rPr>
                <w:b/>
                <w:bCs/>
                <w:szCs w:val="21"/>
              </w:rPr>
              <w:t>μ</w:t>
            </w:r>
            <w:r>
              <w:rPr>
                <w:b/>
                <w:szCs w:val="21"/>
              </w:rPr>
              <w:t>g/m</w:t>
            </w:r>
            <w:r>
              <w:rPr>
                <w:b/>
                <w:szCs w:val="21"/>
                <w:vertAlign w:val="superscript"/>
              </w:rPr>
              <w:t>3</w:t>
            </w:r>
            <w:r>
              <w:rPr>
                <w:b/>
                <w:szCs w:val="21"/>
              </w:rPr>
              <w:t>）</w:t>
            </w:r>
          </w:p>
        </w:tc>
        <w:tc>
          <w:tcPr>
            <w:tcW w:w="1275" w:type="dxa"/>
            <w:vAlign w:val="center"/>
          </w:tcPr>
          <w:p>
            <w:pPr>
              <w:autoSpaceDE w:val="0"/>
              <w:autoSpaceDN w:val="0"/>
              <w:adjustRightInd w:val="0"/>
              <w:snapToGrid w:val="0"/>
              <w:jc w:val="center"/>
              <w:rPr>
                <w:b/>
                <w:szCs w:val="21"/>
              </w:rPr>
            </w:pPr>
            <w:r>
              <w:rPr>
                <w:b/>
                <w:szCs w:val="21"/>
              </w:rPr>
              <w:t>占标率/%</w:t>
            </w:r>
          </w:p>
        </w:tc>
        <w:tc>
          <w:tcPr>
            <w:tcW w:w="1027" w:type="dxa"/>
            <w:vAlign w:val="center"/>
          </w:tcPr>
          <w:p>
            <w:pPr>
              <w:autoSpaceDE w:val="0"/>
              <w:autoSpaceDN w:val="0"/>
              <w:adjustRightInd w:val="0"/>
              <w:snapToGrid w:val="0"/>
              <w:jc w:val="center"/>
              <w:rPr>
                <w:b/>
                <w:szCs w:val="21"/>
              </w:rPr>
            </w:pPr>
            <w:r>
              <w:rPr>
                <w:b/>
                <w:szCs w:val="21"/>
              </w:rPr>
              <w:t>达标情况</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57" w:type="dxa"/>
            <w:left w:w="85" w:type="dxa"/>
            <w:bottom w:w="57" w:type="dxa"/>
            <w:right w:w="85" w:type="dxa"/>
          </w:tblCellMar>
        </w:tblPrEx>
        <w:trPr>
          <w:cantSplit/>
          <w:trHeight w:val="454" w:hRule="atLeast"/>
        </w:trPr>
        <w:tc>
          <w:tcPr>
            <w:tcW w:w="860" w:type="dxa"/>
            <w:vAlign w:val="center"/>
          </w:tcPr>
          <w:p>
            <w:pPr>
              <w:autoSpaceDE w:val="0"/>
              <w:autoSpaceDN w:val="0"/>
              <w:adjustRightInd w:val="0"/>
              <w:snapToGrid w:val="0"/>
              <w:jc w:val="center"/>
              <w:rPr>
                <w:szCs w:val="21"/>
              </w:rPr>
            </w:pPr>
            <w:r>
              <w:rPr>
                <w:szCs w:val="21"/>
              </w:rPr>
              <w:t>PM</w:t>
            </w:r>
            <w:r>
              <w:rPr>
                <w:szCs w:val="21"/>
                <w:vertAlign w:val="subscript"/>
              </w:rPr>
              <w:t>10</w:t>
            </w:r>
          </w:p>
        </w:tc>
        <w:tc>
          <w:tcPr>
            <w:tcW w:w="1777" w:type="dxa"/>
            <w:vAlign w:val="center"/>
          </w:tcPr>
          <w:p>
            <w:pPr>
              <w:autoSpaceDE w:val="0"/>
              <w:autoSpaceDN w:val="0"/>
              <w:adjustRightInd w:val="0"/>
              <w:snapToGrid w:val="0"/>
              <w:jc w:val="center"/>
              <w:rPr>
                <w:szCs w:val="21"/>
              </w:rPr>
            </w:pPr>
            <w:r>
              <w:rPr>
                <w:rFonts w:hint="eastAsia"/>
                <w:szCs w:val="21"/>
              </w:rPr>
              <w:t>月</w:t>
            </w:r>
            <w:r>
              <w:rPr>
                <w:szCs w:val="21"/>
              </w:rPr>
              <w:t>平均质量浓度</w:t>
            </w:r>
          </w:p>
        </w:tc>
        <w:tc>
          <w:tcPr>
            <w:tcW w:w="1843" w:type="dxa"/>
            <w:vAlign w:val="center"/>
          </w:tcPr>
          <w:p>
            <w:pPr>
              <w:autoSpaceDE w:val="0"/>
              <w:autoSpaceDN w:val="0"/>
              <w:adjustRightInd w:val="0"/>
              <w:snapToGrid w:val="0"/>
              <w:jc w:val="center"/>
              <w:rPr>
                <w:kern w:val="0"/>
                <w:szCs w:val="21"/>
              </w:rPr>
            </w:pPr>
            <w:r>
              <w:rPr>
                <w:kern w:val="0"/>
                <w:szCs w:val="21"/>
              </w:rPr>
              <w:t>59</w:t>
            </w:r>
            <w:r>
              <w:rPr>
                <w:rFonts w:hint="eastAsia"/>
                <w:kern w:val="0"/>
                <w:szCs w:val="21"/>
              </w:rPr>
              <w:t>~</w:t>
            </w:r>
            <w:r>
              <w:rPr>
                <w:kern w:val="0"/>
                <w:szCs w:val="21"/>
              </w:rPr>
              <w:t>210</w:t>
            </w:r>
          </w:p>
        </w:tc>
        <w:tc>
          <w:tcPr>
            <w:tcW w:w="1701" w:type="dxa"/>
            <w:vAlign w:val="center"/>
          </w:tcPr>
          <w:p>
            <w:pPr>
              <w:autoSpaceDE w:val="0"/>
              <w:autoSpaceDN w:val="0"/>
              <w:adjustRightInd w:val="0"/>
              <w:snapToGrid w:val="0"/>
              <w:jc w:val="center"/>
              <w:rPr>
                <w:szCs w:val="21"/>
              </w:rPr>
            </w:pPr>
            <w:r>
              <w:rPr>
                <w:kern w:val="0"/>
                <w:szCs w:val="21"/>
              </w:rPr>
              <w:t>70</w:t>
            </w:r>
          </w:p>
        </w:tc>
        <w:tc>
          <w:tcPr>
            <w:tcW w:w="1275" w:type="dxa"/>
            <w:vAlign w:val="center"/>
          </w:tcPr>
          <w:p>
            <w:pPr>
              <w:autoSpaceDE w:val="0"/>
              <w:autoSpaceDN w:val="0"/>
              <w:adjustRightInd w:val="0"/>
              <w:snapToGrid w:val="0"/>
              <w:jc w:val="center"/>
              <w:rPr>
                <w:kern w:val="0"/>
                <w:szCs w:val="21"/>
              </w:rPr>
            </w:pPr>
            <w:r>
              <w:rPr>
                <w:kern w:val="0"/>
                <w:szCs w:val="21"/>
              </w:rPr>
              <w:t>84</w:t>
            </w:r>
            <w:r>
              <w:rPr>
                <w:rFonts w:hint="eastAsia"/>
                <w:kern w:val="0"/>
                <w:szCs w:val="21"/>
              </w:rPr>
              <w:t>~</w:t>
            </w:r>
            <w:r>
              <w:rPr>
                <w:kern w:val="0"/>
                <w:szCs w:val="21"/>
              </w:rPr>
              <w:t>300</w:t>
            </w:r>
          </w:p>
        </w:tc>
        <w:tc>
          <w:tcPr>
            <w:tcW w:w="1027" w:type="dxa"/>
            <w:vAlign w:val="center"/>
          </w:tcPr>
          <w:p>
            <w:pPr>
              <w:autoSpaceDE w:val="0"/>
              <w:autoSpaceDN w:val="0"/>
              <w:adjustRightInd w:val="0"/>
              <w:snapToGrid w:val="0"/>
              <w:jc w:val="center"/>
              <w:rPr>
                <w:szCs w:val="21"/>
              </w:rPr>
            </w:pPr>
            <w:r>
              <w:rPr>
                <w:kern w:val="0"/>
                <w:szCs w:val="21"/>
              </w:rPr>
              <w:t>超标</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57" w:type="dxa"/>
            <w:left w:w="85" w:type="dxa"/>
            <w:bottom w:w="57" w:type="dxa"/>
            <w:right w:w="85" w:type="dxa"/>
          </w:tblCellMar>
        </w:tblPrEx>
        <w:trPr>
          <w:cantSplit/>
          <w:trHeight w:val="454" w:hRule="atLeast"/>
        </w:trPr>
        <w:tc>
          <w:tcPr>
            <w:tcW w:w="860" w:type="dxa"/>
            <w:vAlign w:val="center"/>
          </w:tcPr>
          <w:p>
            <w:pPr>
              <w:autoSpaceDE w:val="0"/>
              <w:autoSpaceDN w:val="0"/>
              <w:adjustRightInd w:val="0"/>
              <w:snapToGrid w:val="0"/>
              <w:jc w:val="center"/>
              <w:rPr>
                <w:szCs w:val="21"/>
              </w:rPr>
            </w:pPr>
            <w:r>
              <w:rPr>
                <w:szCs w:val="21"/>
              </w:rPr>
              <w:t>PM</w:t>
            </w:r>
            <w:r>
              <w:rPr>
                <w:szCs w:val="21"/>
                <w:vertAlign w:val="subscript"/>
              </w:rPr>
              <w:t>2.5</w:t>
            </w:r>
          </w:p>
        </w:tc>
        <w:tc>
          <w:tcPr>
            <w:tcW w:w="1777" w:type="dxa"/>
            <w:vAlign w:val="center"/>
          </w:tcPr>
          <w:p>
            <w:pPr>
              <w:autoSpaceDE w:val="0"/>
              <w:autoSpaceDN w:val="0"/>
              <w:adjustRightInd w:val="0"/>
              <w:snapToGrid w:val="0"/>
              <w:jc w:val="center"/>
              <w:rPr>
                <w:szCs w:val="21"/>
              </w:rPr>
            </w:pPr>
            <w:r>
              <w:rPr>
                <w:rFonts w:hint="eastAsia"/>
                <w:szCs w:val="21"/>
              </w:rPr>
              <w:t>月</w:t>
            </w:r>
            <w:r>
              <w:rPr>
                <w:szCs w:val="21"/>
              </w:rPr>
              <w:t>平均质量浓度</w:t>
            </w:r>
          </w:p>
        </w:tc>
        <w:tc>
          <w:tcPr>
            <w:tcW w:w="1843" w:type="dxa"/>
            <w:vAlign w:val="center"/>
          </w:tcPr>
          <w:p>
            <w:pPr>
              <w:autoSpaceDE w:val="0"/>
              <w:autoSpaceDN w:val="0"/>
              <w:adjustRightInd w:val="0"/>
              <w:snapToGrid w:val="0"/>
              <w:jc w:val="center"/>
              <w:rPr>
                <w:kern w:val="0"/>
                <w:szCs w:val="21"/>
              </w:rPr>
            </w:pPr>
            <w:r>
              <w:rPr>
                <w:kern w:val="0"/>
                <w:szCs w:val="21"/>
              </w:rPr>
              <w:t>39</w:t>
            </w:r>
            <w:r>
              <w:rPr>
                <w:rFonts w:hint="eastAsia"/>
                <w:kern w:val="0"/>
                <w:szCs w:val="21"/>
              </w:rPr>
              <w:t>~</w:t>
            </w:r>
            <w:r>
              <w:rPr>
                <w:kern w:val="0"/>
                <w:szCs w:val="21"/>
              </w:rPr>
              <w:t>102</w:t>
            </w:r>
          </w:p>
        </w:tc>
        <w:tc>
          <w:tcPr>
            <w:tcW w:w="1701" w:type="dxa"/>
            <w:vAlign w:val="center"/>
          </w:tcPr>
          <w:p>
            <w:pPr>
              <w:autoSpaceDE w:val="0"/>
              <w:autoSpaceDN w:val="0"/>
              <w:adjustRightInd w:val="0"/>
              <w:snapToGrid w:val="0"/>
              <w:jc w:val="center"/>
              <w:rPr>
                <w:szCs w:val="21"/>
              </w:rPr>
            </w:pPr>
            <w:r>
              <w:rPr>
                <w:kern w:val="0"/>
                <w:szCs w:val="21"/>
              </w:rPr>
              <w:t>35</w:t>
            </w:r>
          </w:p>
        </w:tc>
        <w:tc>
          <w:tcPr>
            <w:tcW w:w="1275" w:type="dxa"/>
            <w:vAlign w:val="center"/>
          </w:tcPr>
          <w:p>
            <w:pPr>
              <w:autoSpaceDE w:val="0"/>
              <w:autoSpaceDN w:val="0"/>
              <w:adjustRightInd w:val="0"/>
              <w:snapToGrid w:val="0"/>
              <w:jc w:val="center"/>
              <w:rPr>
                <w:kern w:val="0"/>
                <w:szCs w:val="21"/>
              </w:rPr>
            </w:pPr>
            <w:r>
              <w:rPr>
                <w:kern w:val="0"/>
                <w:szCs w:val="21"/>
              </w:rPr>
              <w:t>111</w:t>
            </w:r>
            <w:r>
              <w:rPr>
                <w:rFonts w:hint="eastAsia"/>
                <w:kern w:val="0"/>
                <w:szCs w:val="21"/>
              </w:rPr>
              <w:t>~</w:t>
            </w:r>
            <w:r>
              <w:rPr>
                <w:kern w:val="0"/>
                <w:szCs w:val="21"/>
              </w:rPr>
              <w:t>291</w:t>
            </w:r>
          </w:p>
        </w:tc>
        <w:tc>
          <w:tcPr>
            <w:tcW w:w="1027" w:type="dxa"/>
            <w:vAlign w:val="center"/>
          </w:tcPr>
          <w:p>
            <w:pPr>
              <w:autoSpaceDE w:val="0"/>
              <w:autoSpaceDN w:val="0"/>
              <w:adjustRightInd w:val="0"/>
              <w:snapToGrid w:val="0"/>
              <w:jc w:val="center"/>
              <w:rPr>
                <w:szCs w:val="21"/>
              </w:rPr>
            </w:pPr>
            <w:r>
              <w:rPr>
                <w:kern w:val="0"/>
                <w:szCs w:val="21"/>
              </w:rPr>
              <w:t>超标</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57" w:type="dxa"/>
            <w:left w:w="85" w:type="dxa"/>
            <w:bottom w:w="57" w:type="dxa"/>
            <w:right w:w="85" w:type="dxa"/>
          </w:tblCellMar>
        </w:tblPrEx>
        <w:trPr>
          <w:cantSplit/>
          <w:trHeight w:val="454" w:hRule="atLeast"/>
        </w:trPr>
        <w:tc>
          <w:tcPr>
            <w:tcW w:w="860" w:type="dxa"/>
            <w:vAlign w:val="center"/>
          </w:tcPr>
          <w:p>
            <w:pPr>
              <w:autoSpaceDE w:val="0"/>
              <w:autoSpaceDN w:val="0"/>
              <w:adjustRightInd w:val="0"/>
              <w:snapToGrid w:val="0"/>
              <w:jc w:val="center"/>
              <w:rPr>
                <w:szCs w:val="21"/>
              </w:rPr>
            </w:pPr>
            <w:r>
              <w:rPr>
                <w:szCs w:val="21"/>
              </w:rPr>
              <w:t>SO</w:t>
            </w:r>
            <w:r>
              <w:rPr>
                <w:szCs w:val="21"/>
                <w:vertAlign w:val="subscript"/>
              </w:rPr>
              <w:t>2</w:t>
            </w:r>
          </w:p>
        </w:tc>
        <w:tc>
          <w:tcPr>
            <w:tcW w:w="1777" w:type="dxa"/>
            <w:vAlign w:val="center"/>
          </w:tcPr>
          <w:p>
            <w:pPr>
              <w:autoSpaceDE w:val="0"/>
              <w:autoSpaceDN w:val="0"/>
              <w:adjustRightInd w:val="0"/>
              <w:snapToGrid w:val="0"/>
              <w:jc w:val="center"/>
              <w:rPr>
                <w:szCs w:val="21"/>
              </w:rPr>
            </w:pPr>
            <w:r>
              <w:rPr>
                <w:rFonts w:hint="eastAsia"/>
                <w:szCs w:val="21"/>
              </w:rPr>
              <w:t>月</w:t>
            </w:r>
            <w:r>
              <w:rPr>
                <w:szCs w:val="21"/>
              </w:rPr>
              <w:t>平均质量浓度</w:t>
            </w:r>
          </w:p>
        </w:tc>
        <w:tc>
          <w:tcPr>
            <w:tcW w:w="1843" w:type="dxa"/>
            <w:vAlign w:val="center"/>
          </w:tcPr>
          <w:p>
            <w:pPr>
              <w:autoSpaceDE w:val="0"/>
              <w:autoSpaceDN w:val="0"/>
              <w:adjustRightInd w:val="0"/>
              <w:snapToGrid w:val="0"/>
              <w:jc w:val="center"/>
              <w:rPr>
                <w:kern w:val="0"/>
                <w:szCs w:val="21"/>
              </w:rPr>
            </w:pPr>
            <w:r>
              <w:rPr>
                <w:kern w:val="0"/>
                <w:szCs w:val="21"/>
              </w:rPr>
              <w:t>6</w:t>
            </w:r>
            <w:r>
              <w:rPr>
                <w:rFonts w:hint="eastAsia"/>
                <w:kern w:val="0"/>
                <w:szCs w:val="21"/>
              </w:rPr>
              <w:t>~</w:t>
            </w:r>
            <w:r>
              <w:rPr>
                <w:kern w:val="0"/>
                <w:szCs w:val="21"/>
              </w:rPr>
              <w:t>17</w:t>
            </w:r>
          </w:p>
        </w:tc>
        <w:tc>
          <w:tcPr>
            <w:tcW w:w="1701" w:type="dxa"/>
            <w:vAlign w:val="center"/>
          </w:tcPr>
          <w:p>
            <w:pPr>
              <w:autoSpaceDE w:val="0"/>
              <w:autoSpaceDN w:val="0"/>
              <w:adjustRightInd w:val="0"/>
              <w:snapToGrid w:val="0"/>
              <w:jc w:val="center"/>
              <w:rPr>
                <w:szCs w:val="21"/>
              </w:rPr>
            </w:pPr>
            <w:r>
              <w:rPr>
                <w:kern w:val="0"/>
                <w:szCs w:val="21"/>
              </w:rPr>
              <w:t>60</w:t>
            </w:r>
          </w:p>
        </w:tc>
        <w:tc>
          <w:tcPr>
            <w:tcW w:w="1275" w:type="dxa"/>
            <w:vAlign w:val="center"/>
          </w:tcPr>
          <w:p>
            <w:pPr>
              <w:autoSpaceDE w:val="0"/>
              <w:autoSpaceDN w:val="0"/>
              <w:adjustRightInd w:val="0"/>
              <w:snapToGrid w:val="0"/>
              <w:jc w:val="center"/>
              <w:rPr>
                <w:kern w:val="0"/>
                <w:szCs w:val="21"/>
              </w:rPr>
            </w:pPr>
            <w:r>
              <w:rPr>
                <w:kern w:val="0"/>
                <w:szCs w:val="21"/>
              </w:rPr>
              <w:t>10</w:t>
            </w:r>
            <w:r>
              <w:rPr>
                <w:rFonts w:hint="eastAsia"/>
                <w:kern w:val="0"/>
                <w:szCs w:val="21"/>
              </w:rPr>
              <w:t>~</w:t>
            </w:r>
            <w:r>
              <w:rPr>
                <w:kern w:val="0"/>
                <w:szCs w:val="21"/>
              </w:rPr>
              <w:t>28</w:t>
            </w:r>
          </w:p>
        </w:tc>
        <w:tc>
          <w:tcPr>
            <w:tcW w:w="1027" w:type="dxa"/>
            <w:vAlign w:val="center"/>
          </w:tcPr>
          <w:p>
            <w:pPr>
              <w:autoSpaceDE w:val="0"/>
              <w:autoSpaceDN w:val="0"/>
              <w:adjustRightInd w:val="0"/>
              <w:snapToGrid w:val="0"/>
              <w:jc w:val="center"/>
              <w:rPr>
                <w:szCs w:val="21"/>
              </w:rPr>
            </w:pPr>
            <w:r>
              <w:rPr>
                <w:kern w:val="0"/>
                <w:szCs w:val="21"/>
              </w:rPr>
              <w:t>达标</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57" w:type="dxa"/>
            <w:left w:w="85" w:type="dxa"/>
            <w:bottom w:w="57" w:type="dxa"/>
            <w:right w:w="85" w:type="dxa"/>
          </w:tblCellMar>
        </w:tblPrEx>
        <w:trPr>
          <w:cantSplit/>
          <w:trHeight w:val="454" w:hRule="atLeast"/>
        </w:trPr>
        <w:tc>
          <w:tcPr>
            <w:tcW w:w="860" w:type="dxa"/>
            <w:vAlign w:val="center"/>
          </w:tcPr>
          <w:p>
            <w:pPr>
              <w:autoSpaceDE w:val="0"/>
              <w:autoSpaceDN w:val="0"/>
              <w:adjustRightInd w:val="0"/>
              <w:snapToGrid w:val="0"/>
              <w:jc w:val="center"/>
              <w:rPr>
                <w:szCs w:val="21"/>
              </w:rPr>
            </w:pPr>
            <w:r>
              <w:rPr>
                <w:szCs w:val="21"/>
              </w:rPr>
              <w:t>NO</w:t>
            </w:r>
            <w:r>
              <w:rPr>
                <w:szCs w:val="21"/>
                <w:vertAlign w:val="subscript"/>
              </w:rPr>
              <w:t>2</w:t>
            </w:r>
          </w:p>
        </w:tc>
        <w:tc>
          <w:tcPr>
            <w:tcW w:w="1777" w:type="dxa"/>
            <w:vAlign w:val="center"/>
          </w:tcPr>
          <w:p>
            <w:pPr>
              <w:autoSpaceDE w:val="0"/>
              <w:autoSpaceDN w:val="0"/>
              <w:adjustRightInd w:val="0"/>
              <w:snapToGrid w:val="0"/>
              <w:jc w:val="center"/>
              <w:rPr>
                <w:szCs w:val="21"/>
              </w:rPr>
            </w:pPr>
            <w:r>
              <w:rPr>
                <w:rFonts w:hint="eastAsia"/>
                <w:szCs w:val="21"/>
              </w:rPr>
              <w:t>月</w:t>
            </w:r>
            <w:r>
              <w:rPr>
                <w:szCs w:val="21"/>
              </w:rPr>
              <w:t>平均质量浓度</w:t>
            </w:r>
          </w:p>
        </w:tc>
        <w:tc>
          <w:tcPr>
            <w:tcW w:w="1843" w:type="dxa"/>
            <w:vAlign w:val="center"/>
          </w:tcPr>
          <w:p>
            <w:pPr>
              <w:autoSpaceDE w:val="0"/>
              <w:autoSpaceDN w:val="0"/>
              <w:adjustRightInd w:val="0"/>
              <w:snapToGrid w:val="0"/>
              <w:jc w:val="center"/>
              <w:rPr>
                <w:kern w:val="0"/>
                <w:szCs w:val="21"/>
              </w:rPr>
            </w:pPr>
            <w:r>
              <w:rPr>
                <w:kern w:val="0"/>
                <w:szCs w:val="21"/>
              </w:rPr>
              <w:t>15</w:t>
            </w:r>
            <w:r>
              <w:rPr>
                <w:rFonts w:hint="eastAsia"/>
                <w:kern w:val="0"/>
                <w:szCs w:val="21"/>
              </w:rPr>
              <w:t>~</w:t>
            </w:r>
            <w:r>
              <w:rPr>
                <w:kern w:val="0"/>
                <w:szCs w:val="21"/>
              </w:rPr>
              <w:t>36</w:t>
            </w:r>
          </w:p>
        </w:tc>
        <w:tc>
          <w:tcPr>
            <w:tcW w:w="1701" w:type="dxa"/>
            <w:vAlign w:val="center"/>
          </w:tcPr>
          <w:p>
            <w:pPr>
              <w:autoSpaceDE w:val="0"/>
              <w:autoSpaceDN w:val="0"/>
              <w:adjustRightInd w:val="0"/>
              <w:snapToGrid w:val="0"/>
              <w:jc w:val="center"/>
              <w:rPr>
                <w:szCs w:val="21"/>
              </w:rPr>
            </w:pPr>
            <w:r>
              <w:rPr>
                <w:kern w:val="0"/>
                <w:szCs w:val="21"/>
              </w:rPr>
              <w:t>40</w:t>
            </w:r>
          </w:p>
        </w:tc>
        <w:tc>
          <w:tcPr>
            <w:tcW w:w="1275" w:type="dxa"/>
            <w:vAlign w:val="center"/>
          </w:tcPr>
          <w:p>
            <w:pPr>
              <w:autoSpaceDE w:val="0"/>
              <w:autoSpaceDN w:val="0"/>
              <w:adjustRightInd w:val="0"/>
              <w:snapToGrid w:val="0"/>
              <w:jc w:val="center"/>
              <w:rPr>
                <w:kern w:val="0"/>
                <w:szCs w:val="21"/>
              </w:rPr>
            </w:pPr>
            <w:r>
              <w:rPr>
                <w:kern w:val="0"/>
                <w:szCs w:val="21"/>
              </w:rPr>
              <w:t>37.5</w:t>
            </w:r>
            <w:r>
              <w:rPr>
                <w:rFonts w:hint="eastAsia"/>
                <w:kern w:val="0"/>
                <w:szCs w:val="21"/>
              </w:rPr>
              <w:t>~</w:t>
            </w:r>
            <w:r>
              <w:rPr>
                <w:kern w:val="0"/>
                <w:szCs w:val="21"/>
              </w:rPr>
              <w:t>90</w:t>
            </w:r>
          </w:p>
        </w:tc>
        <w:tc>
          <w:tcPr>
            <w:tcW w:w="1027" w:type="dxa"/>
            <w:vAlign w:val="center"/>
          </w:tcPr>
          <w:p>
            <w:pPr>
              <w:autoSpaceDE w:val="0"/>
              <w:autoSpaceDN w:val="0"/>
              <w:adjustRightInd w:val="0"/>
              <w:snapToGrid w:val="0"/>
              <w:jc w:val="center"/>
              <w:rPr>
                <w:szCs w:val="21"/>
              </w:rPr>
            </w:pPr>
            <w:r>
              <w:rPr>
                <w:kern w:val="0"/>
                <w:szCs w:val="21"/>
              </w:rPr>
              <w:t>达标</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57" w:type="dxa"/>
            <w:left w:w="85" w:type="dxa"/>
            <w:bottom w:w="57" w:type="dxa"/>
            <w:right w:w="85" w:type="dxa"/>
          </w:tblCellMar>
        </w:tblPrEx>
        <w:trPr>
          <w:cantSplit/>
          <w:trHeight w:val="454" w:hRule="atLeast"/>
        </w:trPr>
        <w:tc>
          <w:tcPr>
            <w:tcW w:w="860" w:type="dxa"/>
            <w:vAlign w:val="center"/>
          </w:tcPr>
          <w:p>
            <w:pPr>
              <w:autoSpaceDE w:val="0"/>
              <w:autoSpaceDN w:val="0"/>
              <w:adjustRightInd w:val="0"/>
              <w:snapToGrid w:val="0"/>
              <w:jc w:val="center"/>
              <w:rPr>
                <w:szCs w:val="21"/>
              </w:rPr>
            </w:pPr>
            <w:r>
              <w:rPr>
                <w:szCs w:val="21"/>
              </w:rPr>
              <w:t>CO</w:t>
            </w:r>
          </w:p>
        </w:tc>
        <w:tc>
          <w:tcPr>
            <w:tcW w:w="1777" w:type="dxa"/>
            <w:vAlign w:val="center"/>
          </w:tcPr>
          <w:p>
            <w:pPr>
              <w:autoSpaceDE w:val="0"/>
              <w:autoSpaceDN w:val="0"/>
              <w:adjustRightInd w:val="0"/>
              <w:snapToGrid w:val="0"/>
              <w:jc w:val="center"/>
              <w:rPr>
                <w:szCs w:val="21"/>
              </w:rPr>
            </w:pPr>
            <w:r>
              <w:rPr>
                <w:szCs w:val="21"/>
              </w:rPr>
              <w:t>第95百分位浓度</w:t>
            </w:r>
          </w:p>
        </w:tc>
        <w:tc>
          <w:tcPr>
            <w:tcW w:w="1843" w:type="dxa"/>
            <w:vAlign w:val="center"/>
          </w:tcPr>
          <w:p>
            <w:pPr>
              <w:autoSpaceDE w:val="0"/>
              <w:autoSpaceDN w:val="0"/>
              <w:adjustRightInd w:val="0"/>
              <w:snapToGrid w:val="0"/>
              <w:jc w:val="center"/>
              <w:rPr>
                <w:kern w:val="0"/>
                <w:szCs w:val="21"/>
              </w:rPr>
            </w:pPr>
            <w:r>
              <w:rPr>
                <w:kern w:val="0"/>
                <w:szCs w:val="21"/>
              </w:rPr>
              <w:t>0.697</w:t>
            </w:r>
            <w:r>
              <w:rPr>
                <w:rFonts w:hint="eastAsia"/>
                <w:kern w:val="0"/>
                <w:szCs w:val="21"/>
              </w:rPr>
              <w:t>~</w:t>
            </w:r>
            <w:r>
              <w:rPr>
                <w:kern w:val="0"/>
                <w:szCs w:val="21"/>
              </w:rPr>
              <w:t>2.468mg/m</w:t>
            </w:r>
            <w:r>
              <w:rPr>
                <w:kern w:val="0"/>
                <w:szCs w:val="21"/>
                <w:vertAlign w:val="superscript"/>
              </w:rPr>
              <w:t>3</w:t>
            </w:r>
          </w:p>
        </w:tc>
        <w:tc>
          <w:tcPr>
            <w:tcW w:w="1701" w:type="dxa"/>
            <w:vAlign w:val="center"/>
          </w:tcPr>
          <w:p>
            <w:pPr>
              <w:autoSpaceDE w:val="0"/>
              <w:autoSpaceDN w:val="0"/>
              <w:adjustRightInd w:val="0"/>
              <w:snapToGrid w:val="0"/>
              <w:jc w:val="center"/>
              <w:rPr>
                <w:szCs w:val="21"/>
              </w:rPr>
            </w:pPr>
            <w:r>
              <w:rPr>
                <w:kern w:val="0"/>
                <w:szCs w:val="21"/>
              </w:rPr>
              <w:t>4mg/m</w:t>
            </w:r>
            <w:r>
              <w:rPr>
                <w:kern w:val="0"/>
                <w:szCs w:val="21"/>
                <w:vertAlign w:val="superscript"/>
              </w:rPr>
              <w:t>3</w:t>
            </w:r>
          </w:p>
        </w:tc>
        <w:tc>
          <w:tcPr>
            <w:tcW w:w="1275" w:type="dxa"/>
            <w:vAlign w:val="center"/>
          </w:tcPr>
          <w:p>
            <w:pPr>
              <w:autoSpaceDE w:val="0"/>
              <w:autoSpaceDN w:val="0"/>
              <w:adjustRightInd w:val="0"/>
              <w:snapToGrid w:val="0"/>
              <w:jc w:val="center"/>
              <w:rPr>
                <w:kern w:val="0"/>
                <w:szCs w:val="21"/>
              </w:rPr>
            </w:pPr>
            <w:r>
              <w:rPr>
                <w:kern w:val="0"/>
                <w:szCs w:val="21"/>
              </w:rPr>
              <w:t>17.4</w:t>
            </w:r>
            <w:r>
              <w:rPr>
                <w:rFonts w:hint="eastAsia"/>
                <w:kern w:val="0"/>
                <w:szCs w:val="21"/>
              </w:rPr>
              <w:t>~</w:t>
            </w:r>
            <w:r>
              <w:rPr>
                <w:kern w:val="0"/>
                <w:szCs w:val="21"/>
              </w:rPr>
              <w:t>61.7</w:t>
            </w:r>
          </w:p>
        </w:tc>
        <w:tc>
          <w:tcPr>
            <w:tcW w:w="1027" w:type="dxa"/>
            <w:vAlign w:val="center"/>
          </w:tcPr>
          <w:p>
            <w:pPr>
              <w:autoSpaceDE w:val="0"/>
              <w:autoSpaceDN w:val="0"/>
              <w:adjustRightInd w:val="0"/>
              <w:snapToGrid w:val="0"/>
              <w:jc w:val="center"/>
              <w:rPr>
                <w:szCs w:val="21"/>
              </w:rPr>
            </w:pPr>
            <w:r>
              <w:rPr>
                <w:kern w:val="0"/>
                <w:szCs w:val="21"/>
              </w:rPr>
              <w:t>达标</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57" w:type="dxa"/>
            <w:left w:w="85" w:type="dxa"/>
            <w:bottom w:w="57" w:type="dxa"/>
            <w:right w:w="85" w:type="dxa"/>
          </w:tblCellMar>
        </w:tblPrEx>
        <w:trPr>
          <w:cantSplit/>
          <w:trHeight w:val="454" w:hRule="atLeast"/>
        </w:trPr>
        <w:tc>
          <w:tcPr>
            <w:tcW w:w="860" w:type="dxa"/>
            <w:vAlign w:val="center"/>
          </w:tcPr>
          <w:p>
            <w:pPr>
              <w:autoSpaceDE w:val="0"/>
              <w:autoSpaceDN w:val="0"/>
              <w:adjustRightInd w:val="0"/>
              <w:snapToGrid w:val="0"/>
              <w:jc w:val="center"/>
              <w:rPr>
                <w:szCs w:val="21"/>
              </w:rPr>
            </w:pPr>
            <w:r>
              <w:rPr>
                <w:szCs w:val="21"/>
              </w:rPr>
              <w:t>O</w:t>
            </w:r>
            <w:r>
              <w:rPr>
                <w:szCs w:val="21"/>
                <w:vertAlign w:val="subscript"/>
              </w:rPr>
              <w:t>3</w:t>
            </w:r>
          </w:p>
        </w:tc>
        <w:tc>
          <w:tcPr>
            <w:tcW w:w="1777" w:type="dxa"/>
            <w:vAlign w:val="center"/>
          </w:tcPr>
          <w:p>
            <w:pPr>
              <w:autoSpaceDE w:val="0"/>
              <w:autoSpaceDN w:val="0"/>
              <w:adjustRightInd w:val="0"/>
              <w:snapToGrid w:val="0"/>
              <w:jc w:val="center"/>
              <w:rPr>
                <w:szCs w:val="21"/>
              </w:rPr>
            </w:pPr>
            <w:r>
              <w:rPr>
                <w:szCs w:val="21"/>
              </w:rPr>
              <w:t>第90百分位浓度</w:t>
            </w:r>
          </w:p>
        </w:tc>
        <w:tc>
          <w:tcPr>
            <w:tcW w:w="1843" w:type="dxa"/>
            <w:vAlign w:val="center"/>
          </w:tcPr>
          <w:p>
            <w:pPr>
              <w:autoSpaceDE w:val="0"/>
              <w:autoSpaceDN w:val="0"/>
              <w:adjustRightInd w:val="0"/>
              <w:snapToGrid w:val="0"/>
              <w:jc w:val="center"/>
              <w:rPr>
                <w:kern w:val="0"/>
                <w:szCs w:val="21"/>
              </w:rPr>
            </w:pPr>
            <w:r>
              <w:rPr>
                <w:kern w:val="0"/>
                <w:szCs w:val="21"/>
              </w:rPr>
              <w:t>76</w:t>
            </w:r>
            <w:r>
              <w:rPr>
                <w:rFonts w:hint="eastAsia"/>
                <w:kern w:val="0"/>
                <w:szCs w:val="21"/>
              </w:rPr>
              <w:t>~</w:t>
            </w:r>
            <w:r>
              <w:rPr>
                <w:kern w:val="0"/>
                <w:szCs w:val="21"/>
              </w:rPr>
              <w:t>251</w:t>
            </w:r>
          </w:p>
        </w:tc>
        <w:tc>
          <w:tcPr>
            <w:tcW w:w="1701" w:type="dxa"/>
            <w:vAlign w:val="center"/>
          </w:tcPr>
          <w:p>
            <w:pPr>
              <w:autoSpaceDE w:val="0"/>
              <w:autoSpaceDN w:val="0"/>
              <w:adjustRightInd w:val="0"/>
              <w:snapToGrid w:val="0"/>
              <w:jc w:val="center"/>
              <w:rPr>
                <w:szCs w:val="21"/>
              </w:rPr>
            </w:pPr>
            <w:r>
              <w:rPr>
                <w:kern w:val="0"/>
                <w:szCs w:val="21"/>
              </w:rPr>
              <w:t>160</w:t>
            </w:r>
          </w:p>
        </w:tc>
        <w:tc>
          <w:tcPr>
            <w:tcW w:w="1275" w:type="dxa"/>
            <w:vAlign w:val="center"/>
          </w:tcPr>
          <w:p>
            <w:pPr>
              <w:autoSpaceDE w:val="0"/>
              <w:autoSpaceDN w:val="0"/>
              <w:adjustRightInd w:val="0"/>
              <w:snapToGrid w:val="0"/>
              <w:jc w:val="center"/>
              <w:rPr>
                <w:kern w:val="0"/>
                <w:szCs w:val="21"/>
              </w:rPr>
            </w:pPr>
            <w:r>
              <w:rPr>
                <w:kern w:val="0"/>
                <w:szCs w:val="21"/>
              </w:rPr>
              <w:t>47.5</w:t>
            </w:r>
            <w:r>
              <w:rPr>
                <w:rFonts w:hint="eastAsia"/>
                <w:kern w:val="0"/>
                <w:szCs w:val="21"/>
              </w:rPr>
              <w:t>~</w:t>
            </w:r>
            <w:r>
              <w:rPr>
                <w:kern w:val="0"/>
                <w:szCs w:val="21"/>
              </w:rPr>
              <w:t>157</w:t>
            </w:r>
          </w:p>
        </w:tc>
        <w:tc>
          <w:tcPr>
            <w:tcW w:w="1027" w:type="dxa"/>
            <w:vAlign w:val="center"/>
          </w:tcPr>
          <w:p>
            <w:pPr>
              <w:autoSpaceDE w:val="0"/>
              <w:autoSpaceDN w:val="0"/>
              <w:adjustRightInd w:val="0"/>
              <w:snapToGrid w:val="0"/>
              <w:jc w:val="center"/>
              <w:rPr>
                <w:szCs w:val="21"/>
              </w:rPr>
            </w:pPr>
            <w:r>
              <w:rPr>
                <w:kern w:val="0"/>
                <w:szCs w:val="21"/>
              </w:rPr>
              <w:t>超标</w:t>
            </w:r>
          </w:p>
        </w:tc>
      </w:tr>
    </w:tbl>
    <w:p>
      <w:pPr>
        <w:spacing w:line="520" w:lineRule="exact"/>
        <w:ind w:firstLine="480" w:firstLineChars="200"/>
        <w:rPr>
          <w:sz w:val="24"/>
          <w:szCs w:val="24"/>
        </w:rPr>
      </w:pPr>
      <w:r>
        <w:rPr>
          <w:sz w:val="24"/>
          <w:szCs w:val="24"/>
        </w:rPr>
        <w:t>由上表可知，SO</w:t>
      </w:r>
      <w:r>
        <w:rPr>
          <w:sz w:val="24"/>
          <w:szCs w:val="24"/>
          <w:vertAlign w:val="subscript"/>
        </w:rPr>
        <w:t>2</w:t>
      </w:r>
      <w:r>
        <w:rPr>
          <w:sz w:val="24"/>
          <w:szCs w:val="24"/>
        </w:rPr>
        <w:t>、NO</w:t>
      </w:r>
      <w:r>
        <w:rPr>
          <w:sz w:val="24"/>
          <w:szCs w:val="24"/>
          <w:vertAlign w:val="subscript"/>
        </w:rPr>
        <w:t>2</w:t>
      </w:r>
      <w:r>
        <w:rPr>
          <w:sz w:val="24"/>
          <w:szCs w:val="24"/>
        </w:rPr>
        <w:t>、CO能够满足《环境空气质量标准》（GB3095-2012）二级标准；PM</w:t>
      </w:r>
      <w:r>
        <w:rPr>
          <w:sz w:val="24"/>
          <w:szCs w:val="24"/>
          <w:vertAlign w:val="subscript"/>
        </w:rPr>
        <w:t>10</w:t>
      </w:r>
      <w:r>
        <w:rPr>
          <w:sz w:val="24"/>
          <w:szCs w:val="24"/>
        </w:rPr>
        <w:t>、PM</w:t>
      </w:r>
      <w:r>
        <w:rPr>
          <w:sz w:val="24"/>
          <w:szCs w:val="24"/>
          <w:vertAlign w:val="subscript"/>
        </w:rPr>
        <w:t>2.5</w:t>
      </w:r>
      <w:r>
        <w:rPr>
          <w:sz w:val="24"/>
          <w:szCs w:val="24"/>
        </w:rPr>
        <w:t>和O</w:t>
      </w:r>
      <w:r>
        <w:rPr>
          <w:sz w:val="24"/>
          <w:szCs w:val="24"/>
          <w:vertAlign w:val="subscript"/>
        </w:rPr>
        <w:t>3</w:t>
      </w:r>
      <w:r>
        <w:rPr>
          <w:sz w:val="24"/>
          <w:szCs w:val="24"/>
        </w:rPr>
        <w:t>均不能够满足《环境空气质量标准》（GB3095-2012）二级标准要求。根据《环境影响评价技术导则大气环境》(HJ2.2-2018)，本项目所在区域属于未达标区。空气质量超标原因主要为：</w:t>
      </w:r>
      <w:r>
        <w:rPr>
          <w:rFonts w:hint="eastAsia" w:ascii="宋体" w:hAnsi="宋体" w:cs="宋体"/>
          <w:sz w:val="24"/>
          <w:szCs w:val="24"/>
        </w:rPr>
        <w:t>①</w:t>
      </w:r>
      <w:r>
        <w:rPr>
          <w:sz w:val="24"/>
          <w:szCs w:val="24"/>
        </w:rPr>
        <w:t>冬季供暖锅炉以及部分企业燃煤锅炉启动，且冬季大气自净能力下降，污染扩散气象条件差；</w:t>
      </w:r>
      <w:r>
        <w:rPr>
          <w:rFonts w:hint="eastAsia" w:ascii="宋体" w:hAnsi="宋体" w:cs="宋体"/>
          <w:sz w:val="24"/>
          <w:szCs w:val="24"/>
        </w:rPr>
        <w:t>②</w:t>
      </w:r>
      <w:r>
        <w:rPr>
          <w:sz w:val="24"/>
          <w:szCs w:val="24"/>
        </w:rPr>
        <w:t>区域内汽车等交通源增加，污染物排放量增大；</w:t>
      </w:r>
      <w:r>
        <w:rPr>
          <w:rFonts w:hint="eastAsia" w:ascii="宋体" w:hAnsi="宋体" w:cs="宋体"/>
          <w:sz w:val="24"/>
          <w:szCs w:val="24"/>
        </w:rPr>
        <w:t>③</w:t>
      </w:r>
      <w:r>
        <w:rPr>
          <w:sz w:val="24"/>
          <w:szCs w:val="24"/>
        </w:rPr>
        <w:t>天气干燥，尘土较多。因此超标现象属于区域性污染问题。</w:t>
      </w:r>
    </w:p>
    <w:p>
      <w:pPr>
        <w:spacing w:line="520" w:lineRule="exact"/>
        <w:ind w:firstLine="480" w:firstLineChars="200"/>
        <w:rPr>
          <w:sz w:val="24"/>
          <w:szCs w:val="24"/>
        </w:rPr>
      </w:pPr>
      <w:r>
        <w:rPr>
          <w:sz w:val="24"/>
          <w:szCs w:val="24"/>
        </w:rPr>
        <w:t>目前，新乡市正在实施</w:t>
      </w:r>
      <w:r>
        <w:rPr>
          <w:rFonts w:hint="eastAsia"/>
          <w:sz w:val="24"/>
          <w:szCs w:val="24"/>
        </w:rPr>
        <w:t>《新乡市环境污染防治攻坚指挥部办公室关于印发&lt;新乡市深入打好秋冬重污染天气消除、夏季臭氧污染防治和柴油货车污染治理攻坚战实施方案&gt;的通知》（新环攻坚办</w:t>
      </w:r>
      <w:r>
        <w:rPr>
          <w:sz w:val="24"/>
          <w:szCs w:val="24"/>
        </w:rPr>
        <w:t>〔2023〕73号</w:t>
      </w:r>
      <w:r>
        <w:rPr>
          <w:rFonts w:hint="eastAsia"/>
          <w:sz w:val="24"/>
          <w:szCs w:val="24"/>
        </w:rPr>
        <w:t>）、《新乡市环境污染防治攻坚指挥部办公室关于印发&lt;新乡市2</w:t>
      </w:r>
      <w:r>
        <w:rPr>
          <w:sz w:val="24"/>
          <w:szCs w:val="24"/>
        </w:rPr>
        <w:t>023</w:t>
      </w:r>
      <w:r>
        <w:rPr>
          <w:rFonts w:hint="eastAsia"/>
          <w:sz w:val="24"/>
          <w:szCs w:val="24"/>
        </w:rPr>
        <w:t>年蓝天保卫战实施方案&gt;的通知》（新环攻坚办</w:t>
      </w:r>
      <w:r>
        <w:rPr>
          <w:sz w:val="24"/>
          <w:szCs w:val="24"/>
        </w:rPr>
        <w:t>〔2023〕77号</w:t>
      </w:r>
      <w:r>
        <w:rPr>
          <w:rFonts w:hint="eastAsia"/>
          <w:sz w:val="24"/>
          <w:szCs w:val="24"/>
        </w:rPr>
        <w:t>）</w:t>
      </w:r>
      <w:r>
        <w:rPr>
          <w:sz w:val="24"/>
          <w:szCs w:val="24"/>
        </w:rPr>
        <w:t>等一系列措施，实施这些方案将不断改善区域大气环境质量。</w:t>
      </w:r>
    </w:p>
    <w:p>
      <w:pPr>
        <w:spacing w:line="520" w:lineRule="exact"/>
        <w:outlineLvl w:val="3"/>
        <w:rPr>
          <w:sz w:val="24"/>
          <w:szCs w:val="24"/>
        </w:rPr>
      </w:pPr>
      <w:r>
        <w:rPr>
          <w:sz w:val="24"/>
          <w:szCs w:val="24"/>
        </w:rPr>
        <w:t>4.3.2.2 其他污染物环境质量现状评价</w:t>
      </w:r>
    </w:p>
    <w:p>
      <w:pPr>
        <w:spacing w:line="520" w:lineRule="exact"/>
        <w:ind w:firstLine="480" w:firstLineChars="200"/>
        <w:rPr>
          <w:sz w:val="24"/>
          <w:szCs w:val="24"/>
        </w:rPr>
      </w:pPr>
      <w:r>
        <w:rPr>
          <w:sz w:val="24"/>
          <w:szCs w:val="24"/>
        </w:rPr>
        <w:t>本次环境空气质量现状监测共在项目厂址周围布设了2个监测点，各监测点位见表4.3-2。</w:t>
      </w:r>
    </w:p>
    <w:p>
      <w:pPr>
        <w:spacing w:line="360" w:lineRule="auto"/>
        <w:ind w:firstLine="480" w:firstLineChars="200"/>
        <w:rPr>
          <w:rFonts w:eastAsia="黑体"/>
          <w:sz w:val="24"/>
          <w:szCs w:val="24"/>
        </w:rPr>
      </w:pPr>
      <w:r>
        <w:rPr>
          <w:rFonts w:eastAsia="黑体"/>
          <w:sz w:val="24"/>
          <w:szCs w:val="24"/>
        </w:rPr>
        <w:t>表4.3-2                  环境空气监测点位</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702"/>
        <w:gridCol w:w="993"/>
        <w:gridCol w:w="3401"/>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7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kern w:val="0"/>
                <w:szCs w:val="21"/>
              </w:rPr>
            </w:pPr>
            <w:r>
              <w:rPr>
                <w:b/>
                <w:bCs/>
                <w:kern w:val="0"/>
                <w:szCs w:val="21"/>
              </w:rPr>
              <w:t>编号</w:t>
            </w:r>
          </w:p>
        </w:tc>
        <w:tc>
          <w:tcPr>
            <w:tcW w:w="9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kern w:val="0"/>
                <w:szCs w:val="21"/>
              </w:rPr>
            </w:pPr>
            <w:r>
              <w:rPr>
                <w:b/>
                <w:bCs/>
                <w:kern w:val="0"/>
                <w:szCs w:val="21"/>
              </w:rPr>
              <w:t>监测点位</w:t>
            </w:r>
          </w:p>
        </w:tc>
        <w:tc>
          <w:tcPr>
            <w:tcW w:w="555"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kern w:val="0"/>
                <w:szCs w:val="21"/>
              </w:rPr>
            </w:pPr>
            <w:r>
              <w:rPr>
                <w:b/>
                <w:bCs/>
                <w:kern w:val="0"/>
                <w:szCs w:val="21"/>
              </w:rPr>
              <w:t>方位</w:t>
            </w:r>
          </w:p>
        </w:tc>
        <w:tc>
          <w:tcPr>
            <w:tcW w:w="190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kern w:val="0"/>
                <w:szCs w:val="21"/>
              </w:rPr>
            </w:pPr>
            <w:r>
              <w:rPr>
                <w:b/>
                <w:bCs/>
                <w:kern w:val="0"/>
                <w:szCs w:val="21"/>
              </w:rPr>
              <w:t>监测因子</w:t>
            </w:r>
          </w:p>
        </w:tc>
        <w:tc>
          <w:tcPr>
            <w:tcW w:w="1216"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bCs/>
                <w:kern w:val="0"/>
                <w:szCs w:val="21"/>
              </w:rPr>
            </w:pPr>
            <w:r>
              <w:rPr>
                <w:b/>
                <w:bCs/>
                <w:kern w:val="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1#</w:t>
            </w:r>
          </w:p>
        </w:tc>
        <w:tc>
          <w:tcPr>
            <w:tcW w:w="95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kern w:val="0"/>
                <w:szCs w:val="21"/>
              </w:rPr>
            </w:pPr>
            <w:r>
              <w:rPr>
                <w:kern w:val="0"/>
                <w:szCs w:val="21"/>
              </w:rPr>
              <w:t>厂区西南角</w:t>
            </w:r>
          </w:p>
        </w:tc>
        <w:tc>
          <w:tcPr>
            <w:tcW w:w="5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w:t>
            </w:r>
          </w:p>
        </w:tc>
        <w:tc>
          <w:tcPr>
            <w:tcW w:w="1901" w:type="pct"/>
            <w:vMerge w:val="restart"/>
            <w:tcBorders>
              <w:top w:val="single" w:color="auto" w:sz="4" w:space="0"/>
              <w:left w:val="single" w:color="auto" w:sz="4" w:space="0"/>
              <w:right w:val="single" w:color="auto" w:sz="4" w:space="0"/>
            </w:tcBorders>
            <w:vAlign w:val="center"/>
          </w:tcPr>
          <w:p>
            <w:pPr>
              <w:jc w:val="center"/>
              <w:rPr>
                <w:bCs/>
                <w:spacing w:val="8"/>
                <w:szCs w:val="21"/>
              </w:rPr>
            </w:pPr>
            <w:r>
              <w:rPr>
                <w:szCs w:val="21"/>
              </w:rPr>
              <w:t>氨、硫化氢、臭气浓度</w:t>
            </w:r>
          </w:p>
        </w:tc>
        <w:tc>
          <w:tcPr>
            <w:tcW w:w="1216" w:type="pct"/>
            <w:vMerge w:val="restart"/>
            <w:tcBorders>
              <w:top w:val="single" w:color="auto" w:sz="4" w:space="0"/>
              <w:left w:val="single" w:color="auto" w:sz="4" w:space="0"/>
              <w:right w:val="single" w:color="auto" w:sz="4" w:space="0"/>
            </w:tcBorders>
            <w:vAlign w:val="center"/>
          </w:tcPr>
          <w:p>
            <w:pPr>
              <w:jc w:val="center"/>
              <w:rPr>
                <w:szCs w:val="21"/>
              </w:rPr>
            </w:pPr>
            <w:r>
              <w:rPr>
                <w:szCs w:val="21"/>
              </w:rPr>
              <w:t>连续检测7天，每天检测4次。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2#</w:t>
            </w:r>
          </w:p>
        </w:tc>
        <w:tc>
          <w:tcPr>
            <w:tcW w:w="95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kern w:val="0"/>
                <w:szCs w:val="21"/>
              </w:rPr>
            </w:pPr>
            <w:r>
              <w:rPr>
                <w:rFonts w:hint="eastAsia"/>
                <w:kern w:val="0"/>
                <w:szCs w:val="21"/>
              </w:rPr>
              <w:t>尹圪垱村</w:t>
            </w:r>
          </w:p>
        </w:tc>
        <w:tc>
          <w:tcPr>
            <w:tcW w:w="5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kern w:val="0"/>
                <w:szCs w:val="21"/>
              </w:rPr>
            </w:pPr>
            <w:r>
              <w:rPr>
                <w:kern w:val="0"/>
                <w:szCs w:val="21"/>
              </w:rPr>
              <w:t>/</w:t>
            </w:r>
          </w:p>
        </w:tc>
        <w:tc>
          <w:tcPr>
            <w:tcW w:w="1901" w:type="pct"/>
            <w:vMerge w:val="continue"/>
            <w:tcBorders>
              <w:left w:val="single" w:color="auto" w:sz="4" w:space="0"/>
              <w:bottom w:val="single" w:color="auto" w:sz="4" w:space="0"/>
              <w:right w:val="single" w:color="auto" w:sz="4" w:space="0"/>
            </w:tcBorders>
            <w:vAlign w:val="center"/>
          </w:tcPr>
          <w:p>
            <w:pPr>
              <w:jc w:val="center"/>
              <w:rPr>
                <w:bCs/>
                <w:spacing w:val="8"/>
                <w:szCs w:val="21"/>
              </w:rPr>
            </w:pPr>
          </w:p>
        </w:tc>
        <w:tc>
          <w:tcPr>
            <w:tcW w:w="1216" w:type="pct"/>
            <w:vMerge w:val="continue"/>
            <w:tcBorders>
              <w:left w:val="single" w:color="auto" w:sz="4" w:space="0"/>
              <w:bottom w:val="single" w:color="auto" w:sz="4" w:space="0"/>
              <w:right w:val="single" w:color="auto" w:sz="4" w:space="0"/>
            </w:tcBorders>
            <w:vAlign w:val="center"/>
          </w:tcPr>
          <w:p>
            <w:pPr>
              <w:jc w:val="center"/>
              <w:rPr>
                <w:szCs w:val="21"/>
              </w:rPr>
            </w:pPr>
          </w:p>
        </w:tc>
      </w:tr>
    </w:tbl>
    <w:p>
      <w:pPr>
        <w:ind w:firstLine="480" w:firstLineChars="200"/>
        <w:rPr>
          <w:sz w:val="24"/>
          <w:szCs w:val="24"/>
          <w:highlight w:val="yellow"/>
        </w:rPr>
      </w:pPr>
    </w:p>
    <w:p>
      <w:pPr>
        <w:spacing w:line="520" w:lineRule="exact"/>
        <w:outlineLvl w:val="3"/>
        <w:rPr>
          <w:sz w:val="24"/>
          <w:szCs w:val="24"/>
        </w:rPr>
      </w:pPr>
      <w:r>
        <w:rPr>
          <w:sz w:val="24"/>
          <w:szCs w:val="24"/>
        </w:rPr>
        <w:t>4.3.2.3 监测时间和频率</w:t>
      </w:r>
    </w:p>
    <w:p>
      <w:pPr>
        <w:snapToGrid w:val="0"/>
        <w:spacing w:line="520" w:lineRule="exact"/>
        <w:ind w:firstLine="480" w:firstLineChars="200"/>
        <w:rPr>
          <w:sz w:val="24"/>
          <w:szCs w:val="24"/>
        </w:rPr>
      </w:pPr>
      <w:r>
        <w:rPr>
          <w:sz w:val="24"/>
          <w:szCs w:val="24"/>
        </w:rPr>
        <w:t>受建设单位委托，河南永飞检测科技有限公司于2023年04月05日~04月11日对厂区西南角</w:t>
      </w:r>
      <w:r>
        <w:rPr>
          <w:rFonts w:hint="eastAsia"/>
          <w:sz w:val="24"/>
          <w:szCs w:val="24"/>
        </w:rPr>
        <w:t>和尹圪垱村氨、硫化氢、臭气浓度</w:t>
      </w:r>
      <w:r>
        <w:rPr>
          <w:sz w:val="24"/>
          <w:szCs w:val="24"/>
        </w:rPr>
        <w:t>进行了连续7天的环境空气质量现状监测。</w:t>
      </w:r>
    </w:p>
    <w:p>
      <w:pPr>
        <w:snapToGrid w:val="0"/>
        <w:spacing w:line="520" w:lineRule="exact"/>
        <w:ind w:firstLine="480" w:firstLineChars="200"/>
        <w:rPr>
          <w:sz w:val="24"/>
          <w:szCs w:val="24"/>
        </w:rPr>
      </w:pPr>
      <w:r>
        <w:rPr>
          <w:sz w:val="24"/>
          <w:szCs w:val="24"/>
        </w:rPr>
        <w:t>监测因子及频率见表4.3-3。</w:t>
      </w:r>
    </w:p>
    <w:p>
      <w:pPr>
        <w:snapToGrid w:val="0"/>
        <w:spacing w:line="520" w:lineRule="exact"/>
        <w:ind w:firstLine="480" w:firstLineChars="200"/>
        <w:rPr>
          <w:sz w:val="24"/>
          <w:szCs w:val="24"/>
        </w:rPr>
      </w:pPr>
    </w:p>
    <w:p>
      <w:pPr>
        <w:spacing w:line="360" w:lineRule="auto"/>
        <w:ind w:firstLine="480" w:firstLineChars="200"/>
        <w:rPr>
          <w:rFonts w:eastAsia="黑体"/>
          <w:sz w:val="24"/>
          <w:szCs w:val="24"/>
        </w:rPr>
      </w:pPr>
      <w:r>
        <w:rPr>
          <w:rFonts w:eastAsia="黑体"/>
          <w:sz w:val="24"/>
          <w:szCs w:val="24"/>
        </w:rPr>
        <w:t>表4.3-3                监测因子及频率一览表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789"/>
        <w:gridCol w:w="1288"/>
        <w:gridCol w:w="486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59" w:type="pct"/>
            <w:vAlign w:val="center"/>
          </w:tcPr>
          <w:p>
            <w:pPr>
              <w:contextualSpacing/>
              <w:jc w:val="center"/>
              <w:textAlignment w:val="baseline"/>
              <w:rPr>
                <w:b/>
                <w:kern w:val="0"/>
                <w:szCs w:val="21"/>
              </w:rPr>
            </w:pPr>
            <w:r>
              <w:rPr>
                <w:b/>
                <w:kern w:val="0"/>
                <w:szCs w:val="21"/>
              </w:rPr>
              <w:t>监测因子</w:t>
            </w:r>
          </w:p>
        </w:tc>
        <w:tc>
          <w:tcPr>
            <w:tcW w:w="720" w:type="pct"/>
            <w:vAlign w:val="center"/>
          </w:tcPr>
          <w:p>
            <w:pPr>
              <w:contextualSpacing/>
              <w:jc w:val="center"/>
              <w:textAlignment w:val="baseline"/>
              <w:rPr>
                <w:b/>
                <w:kern w:val="0"/>
                <w:szCs w:val="21"/>
              </w:rPr>
            </w:pPr>
            <w:r>
              <w:rPr>
                <w:b/>
                <w:kern w:val="0"/>
                <w:szCs w:val="21"/>
              </w:rPr>
              <w:t>监测项目</w:t>
            </w:r>
          </w:p>
        </w:tc>
        <w:tc>
          <w:tcPr>
            <w:tcW w:w="2721" w:type="pct"/>
            <w:vAlign w:val="center"/>
          </w:tcPr>
          <w:p>
            <w:pPr>
              <w:contextualSpacing/>
              <w:jc w:val="center"/>
              <w:textAlignment w:val="baseline"/>
              <w:rPr>
                <w:b/>
                <w:kern w:val="0"/>
                <w:szCs w:val="21"/>
              </w:rPr>
            </w:pPr>
            <w:r>
              <w:rPr>
                <w:b/>
                <w:kern w:val="0"/>
                <w:szCs w:val="21"/>
              </w:rPr>
              <w:t>监测频率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59" w:type="pct"/>
            <w:vAlign w:val="center"/>
          </w:tcPr>
          <w:p>
            <w:pPr>
              <w:contextualSpacing/>
              <w:jc w:val="center"/>
              <w:textAlignment w:val="baseline"/>
              <w:rPr>
                <w:kern w:val="0"/>
                <w:szCs w:val="21"/>
              </w:rPr>
            </w:pPr>
            <w:r>
              <w:rPr>
                <w:kern w:val="0"/>
                <w:szCs w:val="21"/>
              </w:rPr>
              <w:t>氨、硫化氢</w:t>
            </w:r>
          </w:p>
        </w:tc>
        <w:tc>
          <w:tcPr>
            <w:tcW w:w="720" w:type="pct"/>
            <w:vAlign w:val="center"/>
          </w:tcPr>
          <w:p>
            <w:pPr>
              <w:contextualSpacing/>
              <w:jc w:val="center"/>
              <w:textAlignment w:val="baseline"/>
              <w:rPr>
                <w:kern w:val="0"/>
                <w:szCs w:val="21"/>
              </w:rPr>
            </w:pPr>
            <w:r>
              <w:rPr>
                <w:kern w:val="0"/>
                <w:szCs w:val="21"/>
              </w:rPr>
              <w:t>1小时平均</w:t>
            </w:r>
          </w:p>
        </w:tc>
        <w:tc>
          <w:tcPr>
            <w:tcW w:w="2721" w:type="pct"/>
            <w:vMerge w:val="restart"/>
            <w:vAlign w:val="center"/>
          </w:tcPr>
          <w:p>
            <w:pPr>
              <w:contextualSpacing/>
              <w:jc w:val="center"/>
              <w:textAlignment w:val="baseline"/>
              <w:rPr>
                <w:kern w:val="0"/>
                <w:szCs w:val="21"/>
              </w:rPr>
            </w:pPr>
            <w:r>
              <w:rPr>
                <w:kern w:val="0"/>
                <w:szCs w:val="21"/>
              </w:rPr>
              <w:t>连续检测7天，每天检测4次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59" w:type="pct"/>
            <w:vAlign w:val="center"/>
          </w:tcPr>
          <w:p>
            <w:pPr>
              <w:contextualSpacing/>
              <w:jc w:val="center"/>
              <w:textAlignment w:val="baseline"/>
              <w:rPr>
                <w:kern w:val="0"/>
                <w:szCs w:val="21"/>
              </w:rPr>
            </w:pPr>
            <w:r>
              <w:rPr>
                <w:kern w:val="0"/>
                <w:szCs w:val="21"/>
              </w:rPr>
              <w:t>臭气浓度</w:t>
            </w:r>
          </w:p>
        </w:tc>
        <w:tc>
          <w:tcPr>
            <w:tcW w:w="720" w:type="pct"/>
            <w:vAlign w:val="center"/>
          </w:tcPr>
          <w:p>
            <w:pPr>
              <w:contextualSpacing/>
              <w:jc w:val="center"/>
              <w:textAlignment w:val="baseline"/>
              <w:rPr>
                <w:kern w:val="0"/>
                <w:szCs w:val="21"/>
              </w:rPr>
            </w:pPr>
            <w:r>
              <w:rPr>
                <w:kern w:val="0"/>
                <w:szCs w:val="21"/>
              </w:rPr>
              <w:t>1小时平均</w:t>
            </w:r>
          </w:p>
        </w:tc>
        <w:tc>
          <w:tcPr>
            <w:tcW w:w="2721" w:type="pct"/>
            <w:vMerge w:val="continue"/>
            <w:vAlign w:val="center"/>
          </w:tcPr>
          <w:p>
            <w:pPr>
              <w:contextualSpacing/>
              <w:jc w:val="center"/>
              <w:textAlignment w:val="baseline"/>
              <w:rPr>
                <w:kern w:val="0"/>
                <w:szCs w:val="21"/>
              </w:rPr>
            </w:pPr>
          </w:p>
        </w:tc>
      </w:tr>
    </w:tbl>
    <w:p>
      <w:pPr>
        <w:spacing w:line="520" w:lineRule="exact"/>
        <w:outlineLvl w:val="3"/>
        <w:rPr>
          <w:sz w:val="24"/>
          <w:szCs w:val="24"/>
        </w:rPr>
      </w:pPr>
      <w:r>
        <w:rPr>
          <w:sz w:val="24"/>
          <w:szCs w:val="24"/>
        </w:rPr>
        <w:t>4.3.2.4 监测因子分析方法</w:t>
      </w:r>
    </w:p>
    <w:p>
      <w:pPr>
        <w:snapToGrid w:val="0"/>
        <w:spacing w:line="520" w:lineRule="exact"/>
        <w:ind w:firstLine="480" w:firstLineChars="200"/>
        <w:rPr>
          <w:bCs/>
          <w:spacing w:val="8"/>
          <w:sz w:val="24"/>
          <w:szCs w:val="24"/>
        </w:rPr>
      </w:pPr>
      <w:r>
        <w:rPr>
          <w:sz w:val="24"/>
          <w:szCs w:val="24"/>
        </w:rPr>
        <w:t>环境空气监测中的采样点、采样环境、采样高度及采样频率的要求，按《环境空气质量标准》（GB3095-2012）和《空气和废气监测分析方法》（第四版）执行。各项监测因子分析方法见</w:t>
      </w:r>
      <w:r>
        <w:rPr>
          <w:bCs/>
          <w:spacing w:val="8"/>
          <w:sz w:val="24"/>
          <w:szCs w:val="24"/>
        </w:rPr>
        <w:t>表4.3-4。</w:t>
      </w:r>
    </w:p>
    <w:p>
      <w:pPr>
        <w:spacing w:line="360" w:lineRule="auto"/>
        <w:ind w:firstLine="480" w:firstLineChars="200"/>
        <w:rPr>
          <w:rFonts w:eastAsia="黑体"/>
          <w:sz w:val="24"/>
          <w:szCs w:val="24"/>
        </w:rPr>
      </w:pPr>
      <w:r>
        <w:rPr>
          <w:rFonts w:eastAsia="黑体"/>
          <w:sz w:val="24"/>
          <w:szCs w:val="24"/>
        </w:rPr>
        <w:t>表4.3-4          环境空气质量监测因子分析方法</w:t>
      </w:r>
    </w:p>
    <w:tbl>
      <w:tblPr>
        <w:tblStyle w:val="49"/>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8"/>
        <w:gridCol w:w="860"/>
        <w:gridCol w:w="3496"/>
        <w:gridCol w:w="1940"/>
        <w:gridCol w:w="939"/>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8" w:type="pct"/>
            <w:tcBorders>
              <w:top w:val="single" w:color="auto" w:sz="4" w:space="0"/>
              <w:left w:val="single" w:color="auto" w:sz="4" w:space="0"/>
              <w:bottom w:val="nil"/>
              <w:right w:val="single" w:color="auto" w:sz="4" w:space="0"/>
            </w:tcBorders>
            <w:vAlign w:val="center"/>
          </w:tcPr>
          <w:p>
            <w:pPr>
              <w:spacing w:line="280" w:lineRule="exact"/>
              <w:jc w:val="center"/>
              <w:rPr>
                <w:szCs w:val="21"/>
              </w:rPr>
            </w:pPr>
            <w:r>
              <w:rPr>
                <w:b/>
                <w:bCs/>
                <w:kern w:val="0"/>
                <w:szCs w:val="21"/>
              </w:rPr>
              <w:t>序号</w:t>
            </w:r>
          </w:p>
        </w:tc>
        <w:tc>
          <w:tcPr>
            <w:tcW w:w="492"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b/>
                <w:bCs/>
                <w:kern w:val="0"/>
                <w:szCs w:val="21"/>
              </w:rPr>
              <w:t>检测因子</w:t>
            </w:r>
          </w:p>
        </w:tc>
        <w:tc>
          <w:tcPr>
            <w:tcW w:w="2000"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b/>
                <w:bCs/>
                <w:kern w:val="0"/>
                <w:szCs w:val="21"/>
              </w:rPr>
              <w:t>检测方法及编号</w:t>
            </w:r>
          </w:p>
        </w:tc>
        <w:tc>
          <w:tcPr>
            <w:tcW w:w="1110"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b/>
                <w:bCs/>
                <w:kern w:val="0"/>
                <w:szCs w:val="21"/>
              </w:rPr>
              <w:t>检测仪器型号及编号</w:t>
            </w:r>
          </w:p>
        </w:tc>
        <w:tc>
          <w:tcPr>
            <w:tcW w:w="537"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b/>
                <w:bCs/>
                <w:kern w:val="0"/>
                <w:szCs w:val="21"/>
              </w:rPr>
              <w:t>检出限</w:t>
            </w:r>
          </w:p>
        </w:tc>
        <w:tc>
          <w:tcPr>
            <w:tcW w:w="593" w:type="pct"/>
            <w:tcBorders>
              <w:top w:val="single" w:color="auto" w:sz="4" w:space="0"/>
              <w:left w:val="single" w:color="auto" w:sz="4" w:space="0"/>
              <w:bottom w:val="single" w:color="auto" w:sz="4" w:space="0"/>
              <w:right w:val="single" w:color="auto" w:sz="4" w:space="0"/>
            </w:tcBorders>
            <w:vAlign w:val="center"/>
          </w:tcPr>
          <w:p>
            <w:pPr>
              <w:snapToGrid w:val="0"/>
              <w:jc w:val="center"/>
              <w:rPr>
                <w:b/>
                <w:bCs/>
                <w:szCs w:val="21"/>
              </w:rPr>
            </w:pPr>
            <w:r>
              <w:rPr>
                <w:b/>
                <w:bCs/>
                <w:szCs w:val="21"/>
              </w:rPr>
              <w:t>最低检</w:t>
            </w:r>
          </w:p>
          <w:p>
            <w:pPr>
              <w:spacing w:line="280" w:lineRule="exact"/>
              <w:jc w:val="center"/>
              <w:rPr>
                <w:szCs w:val="21"/>
              </w:rPr>
            </w:pPr>
            <w:r>
              <w:rPr>
                <w:b/>
                <w:bCs/>
                <w:kern w:val="0"/>
                <w:szCs w:val="21"/>
              </w:rPr>
              <w:t>出浓度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8" w:type="pct"/>
            <w:tcBorders>
              <w:left w:val="single" w:color="auto" w:sz="4" w:space="0"/>
              <w:right w:val="single" w:color="auto" w:sz="4" w:space="0"/>
            </w:tcBorders>
            <w:vAlign w:val="center"/>
          </w:tcPr>
          <w:p>
            <w:pPr>
              <w:spacing w:line="280" w:lineRule="exact"/>
              <w:jc w:val="center"/>
              <w:rPr>
                <w:szCs w:val="21"/>
              </w:rPr>
            </w:pPr>
            <w:r>
              <w:rPr>
                <w:szCs w:val="21"/>
              </w:rPr>
              <w:t>1</w:t>
            </w:r>
          </w:p>
        </w:tc>
        <w:tc>
          <w:tcPr>
            <w:tcW w:w="492"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kern w:val="0"/>
                <w:szCs w:val="21"/>
              </w:rPr>
              <w:t>氨</w:t>
            </w:r>
          </w:p>
        </w:tc>
        <w:tc>
          <w:tcPr>
            <w:tcW w:w="2000" w:type="pct"/>
            <w:tcBorders>
              <w:top w:val="single" w:color="auto" w:sz="4" w:space="0"/>
              <w:left w:val="single" w:color="auto" w:sz="4" w:space="0"/>
              <w:bottom w:val="single" w:color="auto" w:sz="4" w:space="0"/>
              <w:right w:val="single" w:color="auto" w:sz="4" w:space="0"/>
            </w:tcBorders>
            <w:vAlign w:val="center"/>
          </w:tcPr>
          <w:p>
            <w:pPr>
              <w:snapToGrid w:val="0"/>
              <w:jc w:val="center"/>
              <w:textAlignment w:val="center"/>
              <w:rPr>
                <w:szCs w:val="21"/>
                <w:lang w:bidi="ar"/>
              </w:rPr>
            </w:pPr>
            <w:r>
              <w:rPr>
                <w:szCs w:val="21"/>
                <w:lang w:bidi="ar"/>
              </w:rPr>
              <w:t>《环境空气和废气 氨的测定 纳氏试剂分光光度法》 HJ 533-2009</w:t>
            </w:r>
          </w:p>
        </w:tc>
        <w:tc>
          <w:tcPr>
            <w:tcW w:w="1110" w:type="pct"/>
            <w:tcBorders>
              <w:top w:val="single" w:color="auto" w:sz="4" w:space="0"/>
              <w:left w:val="single" w:color="auto" w:sz="4" w:space="0"/>
              <w:bottom w:val="single" w:color="auto" w:sz="4" w:space="0"/>
              <w:right w:val="single" w:color="auto" w:sz="4" w:space="0"/>
            </w:tcBorders>
            <w:vAlign w:val="center"/>
          </w:tcPr>
          <w:p>
            <w:pPr>
              <w:snapToGrid w:val="0"/>
              <w:jc w:val="center"/>
              <w:textAlignment w:val="center"/>
              <w:rPr>
                <w:szCs w:val="21"/>
              </w:rPr>
            </w:pPr>
            <w:r>
              <w:rPr>
                <w:rFonts w:hint="eastAsia"/>
                <w:szCs w:val="21"/>
              </w:rPr>
              <w:t>可见分光光度计</w:t>
            </w:r>
          </w:p>
          <w:p>
            <w:pPr>
              <w:snapToGrid w:val="0"/>
              <w:jc w:val="center"/>
              <w:textAlignment w:val="center"/>
              <w:rPr>
                <w:szCs w:val="21"/>
              </w:rPr>
            </w:pPr>
            <w:r>
              <w:rPr>
                <w:rFonts w:hint="eastAsia"/>
                <w:szCs w:val="21"/>
              </w:rPr>
              <w:t>721</w:t>
            </w:r>
          </w:p>
          <w:p>
            <w:pPr>
              <w:spacing w:line="280" w:lineRule="exact"/>
              <w:jc w:val="center"/>
              <w:rPr>
                <w:szCs w:val="21"/>
              </w:rPr>
            </w:pPr>
            <w:r>
              <w:rPr>
                <w:rFonts w:hint="eastAsia"/>
                <w:szCs w:val="21"/>
              </w:rPr>
              <w:t>YFYQ-095-2023</w:t>
            </w:r>
            <w:r>
              <w:rPr>
                <w:kern w:val="0"/>
                <w:szCs w:val="21"/>
              </w:rPr>
              <w:t>）</w:t>
            </w:r>
          </w:p>
        </w:tc>
        <w:tc>
          <w:tcPr>
            <w:tcW w:w="537"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kern w:val="0"/>
                <w:szCs w:val="21"/>
              </w:rPr>
            </w:pPr>
            <w:r>
              <w:rPr>
                <w:kern w:val="0"/>
                <w:szCs w:val="21"/>
              </w:rPr>
              <w:t>0.01mg/m</w:t>
            </w:r>
            <w:r>
              <w:rPr>
                <w:kern w:val="0"/>
                <w:szCs w:val="21"/>
                <w:vertAlign w:val="superscript"/>
              </w:rPr>
              <w:t>3</w:t>
            </w:r>
          </w:p>
        </w:tc>
        <w:tc>
          <w:tcPr>
            <w:tcW w:w="593"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8" w:type="pct"/>
            <w:tcBorders>
              <w:left w:val="single" w:color="auto" w:sz="4" w:space="0"/>
              <w:right w:val="single" w:color="auto" w:sz="4" w:space="0"/>
            </w:tcBorders>
            <w:vAlign w:val="center"/>
          </w:tcPr>
          <w:p>
            <w:pPr>
              <w:spacing w:line="280" w:lineRule="exact"/>
              <w:jc w:val="center"/>
              <w:rPr>
                <w:szCs w:val="21"/>
              </w:rPr>
            </w:pPr>
            <w:r>
              <w:rPr>
                <w:szCs w:val="21"/>
              </w:rPr>
              <w:t>2</w:t>
            </w:r>
          </w:p>
        </w:tc>
        <w:tc>
          <w:tcPr>
            <w:tcW w:w="492"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kern w:val="0"/>
                <w:szCs w:val="21"/>
              </w:rPr>
              <w:t>硫化氢</w:t>
            </w:r>
          </w:p>
        </w:tc>
        <w:tc>
          <w:tcPr>
            <w:tcW w:w="2000"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kern w:val="0"/>
                <w:szCs w:val="21"/>
                <w:lang w:bidi="ar"/>
              </w:rPr>
              <w:t>环境空气 硫化氢 亚甲基蓝分光光度法(B) 《空气和废气监测分析方法》（第四版增补版） 第三篇 第一章 十一（二） 国家环境保护总局（2003年）</w:t>
            </w:r>
          </w:p>
        </w:tc>
        <w:tc>
          <w:tcPr>
            <w:tcW w:w="1110" w:type="pct"/>
            <w:tcBorders>
              <w:top w:val="single" w:color="auto" w:sz="4" w:space="0"/>
              <w:left w:val="single" w:color="auto" w:sz="4" w:space="0"/>
              <w:bottom w:val="single" w:color="auto" w:sz="4" w:space="0"/>
              <w:right w:val="single" w:color="auto" w:sz="4" w:space="0"/>
            </w:tcBorders>
            <w:vAlign w:val="center"/>
          </w:tcPr>
          <w:p>
            <w:pPr>
              <w:snapToGrid w:val="0"/>
              <w:jc w:val="center"/>
              <w:textAlignment w:val="center"/>
              <w:rPr>
                <w:szCs w:val="21"/>
              </w:rPr>
            </w:pPr>
            <w:r>
              <w:rPr>
                <w:szCs w:val="21"/>
              </w:rPr>
              <w:t>紫外可见分光光度计</w:t>
            </w:r>
          </w:p>
          <w:p>
            <w:pPr>
              <w:spacing w:line="280" w:lineRule="exact"/>
              <w:jc w:val="center"/>
              <w:rPr>
                <w:szCs w:val="21"/>
              </w:rPr>
            </w:pPr>
            <w:r>
              <w:rPr>
                <w:kern w:val="0"/>
                <w:szCs w:val="21"/>
              </w:rPr>
              <w:t>T6新世纪（YFYQ-009-2020）</w:t>
            </w:r>
          </w:p>
        </w:tc>
        <w:tc>
          <w:tcPr>
            <w:tcW w:w="537"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kern w:val="0"/>
                <w:szCs w:val="21"/>
              </w:rPr>
              <w:t>/</w:t>
            </w:r>
          </w:p>
        </w:tc>
        <w:tc>
          <w:tcPr>
            <w:tcW w:w="593" w:type="pct"/>
            <w:tcBorders>
              <w:top w:val="single" w:color="auto" w:sz="4" w:space="0"/>
              <w:left w:val="single" w:color="auto" w:sz="4" w:space="0"/>
              <w:bottom w:val="single" w:color="auto" w:sz="4" w:space="0"/>
              <w:right w:val="single" w:color="auto" w:sz="4" w:space="0"/>
            </w:tcBorders>
            <w:vAlign w:val="center"/>
          </w:tcPr>
          <w:p>
            <w:pPr>
              <w:snapToGrid w:val="0"/>
              <w:jc w:val="center"/>
              <w:rPr>
                <w:szCs w:val="21"/>
              </w:rPr>
            </w:pPr>
            <w:r>
              <w:rPr>
                <w:szCs w:val="21"/>
              </w:rPr>
              <w:t>0.001mg/m³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68" w:type="pct"/>
            <w:tcBorders>
              <w:left w:val="single" w:color="auto" w:sz="4" w:space="0"/>
              <w:bottom w:val="single" w:color="auto" w:sz="4" w:space="0"/>
              <w:right w:val="single" w:color="auto" w:sz="4" w:space="0"/>
            </w:tcBorders>
            <w:vAlign w:val="center"/>
          </w:tcPr>
          <w:p>
            <w:pPr>
              <w:widowControl/>
              <w:spacing w:line="280" w:lineRule="exact"/>
              <w:jc w:val="center"/>
              <w:rPr>
                <w:szCs w:val="21"/>
              </w:rPr>
            </w:pPr>
            <w:r>
              <w:rPr>
                <w:szCs w:val="21"/>
              </w:rPr>
              <w:t>3</w:t>
            </w:r>
          </w:p>
        </w:tc>
        <w:tc>
          <w:tcPr>
            <w:tcW w:w="492"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kern w:val="0"/>
                <w:szCs w:val="21"/>
              </w:rPr>
              <w:t>臭气浓度</w:t>
            </w:r>
          </w:p>
        </w:tc>
        <w:tc>
          <w:tcPr>
            <w:tcW w:w="2000" w:type="pct"/>
            <w:tcBorders>
              <w:top w:val="single" w:color="auto" w:sz="4" w:space="0"/>
              <w:left w:val="single" w:color="auto" w:sz="4" w:space="0"/>
              <w:bottom w:val="single" w:color="auto" w:sz="4" w:space="0"/>
              <w:right w:val="single" w:color="auto" w:sz="4" w:space="0"/>
            </w:tcBorders>
            <w:vAlign w:val="center"/>
          </w:tcPr>
          <w:p>
            <w:pPr>
              <w:snapToGrid w:val="0"/>
              <w:jc w:val="center"/>
              <w:rPr>
                <w:szCs w:val="21"/>
                <w:lang w:bidi="ar"/>
              </w:rPr>
            </w:pPr>
            <w:r>
              <w:rPr>
                <w:szCs w:val="21"/>
                <w:lang w:bidi="ar"/>
              </w:rPr>
              <w:t>《空气质量 恶臭的测定 三点比较式臭袋法 》 GB/T 14675-1993</w:t>
            </w:r>
          </w:p>
        </w:tc>
        <w:tc>
          <w:tcPr>
            <w:tcW w:w="1110"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kern w:val="0"/>
                <w:szCs w:val="21"/>
              </w:rPr>
              <w:t>/</w:t>
            </w:r>
          </w:p>
        </w:tc>
        <w:tc>
          <w:tcPr>
            <w:tcW w:w="537"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kern w:val="0"/>
                <w:szCs w:val="21"/>
              </w:rPr>
              <w:t>/</w:t>
            </w:r>
          </w:p>
        </w:tc>
        <w:tc>
          <w:tcPr>
            <w:tcW w:w="593" w:type="pc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rFonts w:hint="eastAsia"/>
                <w:kern w:val="0"/>
                <w:szCs w:val="21"/>
              </w:rPr>
              <w:t>10(无量纲)</w:t>
            </w:r>
          </w:p>
        </w:tc>
      </w:tr>
    </w:tbl>
    <w:p>
      <w:pPr>
        <w:spacing w:line="520" w:lineRule="exact"/>
        <w:outlineLvl w:val="3"/>
        <w:rPr>
          <w:sz w:val="24"/>
          <w:szCs w:val="24"/>
        </w:rPr>
      </w:pPr>
      <w:r>
        <w:rPr>
          <w:sz w:val="24"/>
          <w:szCs w:val="24"/>
        </w:rPr>
        <w:t>4.3.2.5 评价标准</w:t>
      </w:r>
    </w:p>
    <w:p>
      <w:pPr>
        <w:widowControl/>
        <w:spacing w:line="520" w:lineRule="exact"/>
        <w:ind w:right="278" w:firstLine="480" w:firstLineChars="200"/>
        <w:rPr>
          <w:sz w:val="24"/>
          <w:szCs w:val="24"/>
        </w:rPr>
      </w:pPr>
      <w:r>
        <w:rPr>
          <w:sz w:val="24"/>
          <w:szCs w:val="24"/>
        </w:rPr>
        <w:t>本次评价标准执行《环境空气质量标准》（GB3095-2012）二级标准，浓度标准限值见表4.3-5。</w:t>
      </w:r>
    </w:p>
    <w:p>
      <w:pPr>
        <w:spacing w:line="360" w:lineRule="auto"/>
        <w:ind w:firstLine="480" w:firstLineChars="200"/>
        <w:rPr>
          <w:rFonts w:eastAsia="黑体"/>
          <w:sz w:val="24"/>
          <w:szCs w:val="24"/>
        </w:rPr>
      </w:pPr>
      <w:r>
        <w:rPr>
          <w:rFonts w:eastAsia="黑体"/>
          <w:sz w:val="24"/>
          <w:szCs w:val="24"/>
        </w:rPr>
        <w:t>表4.3-5                 环境空气质量评价标准</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5"/>
        <w:gridCol w:w="1492"/>
        <w:gridCol w:w="1845"/>
        <w:gridCol w:w="415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53" w:type="dxa"/>
            <w:vAlign w:val="center"/>
          </w:tcPr>
          <w:p>
            <w:pPr>
              <w:contextualSpacing/>
              <w:jc w:val="center"/>
              <w:textAlignment w:val="baseline"/>
              <w:rPr>
                <w:b/>
                <w:kern w:val="0"/>
                <w:szCs w:val="21"/>
              </w:rPr>
            </w:pPr>
            <w:r>
              <w:rPr>
                <w:b/>
                <w:kern w:val="0"/>
                <w:szCs w:val="21"/>
              </w:rPr>
              <w:t>污染物名称</w:t>
            </w:r>
          </w:p>
        </w:tc>
        <w:tc>
          <w:tcPr>
            <w:tcW w:w="1490" w:type="dxa"/>
            <w:vAlign w:val="center"/>
          </w:tcPr>
          <w:p>
            <w:pPr>
              <w:contextualSpacing/>
              <w:jc w:val="center"/>
              <w:textAlignment w:val="baseline"/>
              <w:rPr>
                <w:b/>
                <w:kern w:val="0"/>
                <w:szCs w:val="21"/>
              </w:rPr>
            </w:pPr>
            <w:r>
              <w:rPr>
                <w:b/>
                <w:kern w:val="0"/>
                <w:szCs w:val="21"/>
              </w:rPr>
              <w:t>取值时间</w:t>
            </w:r>
          </w:p>
        </w:tc>
        <w:tc>
          <w:tcPr>
            <w:tcW w:w="1843" w:type="dxa"/>
            <w:vAlign w:val="center"/>
          </w:tcPr>
          <w:p>
            <w:pPr>
              <w:contextualSpacing/>
              <w:jc w:val="center"/>
              <w:textAlignment w:val="baseline"/>
              <w:rPr>
                <w:b/>
                <w:kern w:val="0"/>
                <w:szCs w:val="21"/>
              </w:rPr>
            </w:pPr>
            <w:r>
              <w:rPr>
                <w:b/>
                <w:kern w:val="0"/>
                <w:szCs w:val="21"/>
              </w:rPr>
              <w:t>标准浓度限值</w:t>
            </w:r>
          </w:p>
        </w:tc>
        <w:tc>
          <w:tcPr>
            <w:tcW w:w="4160" w:type="dxa"/>
            <w:vAlign w:val="center"/>
          </w:tcPr>
          <w:p>
            <w:pPr>
              <w:contextualSpacing/>
              <w:jc w:val="center"/>
              <w:textAlignment w:val="baseline"/>
              <w:rPr>
                <w:b/>
                <w:kern w:val="0"/>
                <w:szCs w:val="21"/>
              </w:rPr>
            </w:pPr>
            <w:r>
              <w:rPr>
                <w:b/>
                <w:kern w:val="0"/>
                <w:szCs w:val="21"/>
              </w:rPr>
              <w:t>标准出处</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53" w:type="dxa"/>
            <w:vAlign w:val="center"/>
          </w:tcPr>
          <w:p>
            <w:pPr>
              <w:contextualSpacing/>
              <w:jc w:val="center"/>
              <w:textAlignment w:val="baseline"/>
              <w:rPr>
                <w:kern w:val="0"/>
                <w:szCs w:val="21"/>
              </w:rPr>
            </w:pPr>
            <w:r>
              <w:rPr>
                <w:kern w:val="0"/>
                <w:szCs w:val="21"/>
              </w:rPr>
              <w:t>NH</w:t>
            </w:r>
            <w:r>
              <w:rPr>
                <w:kern w:val="0"/>
                <w:szCs w:val="21"/>
                <w:vertAlign w:val="subscript"/>
              </w:rPr>
              <w:t>3</w:t>
            </w:r>
          </w:p>
        </w:tc>
        <w:tc>
          <w:tcPr>
            <w:tcW w:w="1490" w:type="dxa"/>
            <w:vAlign w:val="center"/>
          </w:tcPr>
          <w:p>
            <w:pPr>
              <w:contextualSpacing/>
              <w:jc w:val="center"/>
              <w:textAlignment w:val="baseline"/>
              <w:rPr>
                <w:kern w:val="0"/>
                <w:szCs w:val="21"/>
              </w:rPr>
            </w:pPr>
            <w:r>
              <w:rPr>
                <w:kern w:val="0"/>
                <w:szCs w:val="21"/>
              </w:rPr>
              <w:t>1小时平均</w:t>
            </w:r>
          </w:p>
        </w:tc>
        <w:tc>
          <w:tcPr>
            <w:tcW w:w="1843" w:type="dxa"/>
            <w:vAlign w:val="center"/>
          </w:tcPr>
          <w:p>
            <w:pPr>
              <w:contextualSpacing/>
              <w:jc w:val="center"/>
              <w:textAlignment w:val="baseline"/>
              <w:rPr>
                <w:kern w:val="0"/>
                <w:szCs w:val="21"/>
              </w:rPr>
            </w:pPr>
            <w:r>
              <w:rPr>
                <w:kern w:val="0"/>
                <w:szCs w:val="21"/>
              </w:rPr>
              <w:t>0.2mg/m</w:t>
            </w:r>
            <w:r>
              <w:rPr>
                <w:kern w:val="0"/>
                <w:szCs w:val="21"/>
                <w:vertAlign w:val="superscript"/>
              </w:rPr>
              <w:t>3</w:t>
            </w:r>
          </w:p>
        </w:tc>
        <w:tc>
          <w:tcPr>
            <w:tcW w:w="4160" w:type="dxa"/>
            <w:vMerge w:val="restart"/>
            <w:vAlign w:val="center"/>
          </w:tcPr>
          <w:p>
            <w:pPr>
              <w:contextualSpacing/>
              <w:jc w:val="center"/>
              <w:textAlignment w:val="baseline"/>
              <w:rPr>
                <w:kern w:val="0"/>
                <w:szCs w:val="21"/>
              </w:rPr>
            </w:pPr>
            <w:r>
              <w:rPr>
                <w:kern w:val="0"/>
                <w:szCs w:val="21"/>
              </w:rPr>
              <w:t>《环境影响评价技术导则大气环境》（HJ2.2-2018）附录D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53" w:type="dxa"/>
            <w:vAlign w:val="center"/>
          </w:tcPr>
          <w:p>
            <w:pPr>
              <w:contextualSpacing/>
              <w:jc w:val="center"/>
              <w:textAlignment w:val="baseline"/>
              <w:rPr>
                <w:kern w:val="0"/>
                <w:szCs w:val="21"/>
              </w:rPr>
            </w:pPr>
            <w:r>
              <w:rPr>
                <w:kern w:val="0"/>
                <w:szCs w:val="21"/>
              </w:rPr>
              <w:t>H</w:t>
            </w:r>
            <w:r>
              <w:rPr>
                <w:kern w:val="0"/>
                <w:szCs w:val="21"/>
                <w:vertAlign w:val="subscript"/>
              </w:rPr>
              <w:t>2</w:t>
            </w:r>
            <w:r>
              <w:rPr>
                <w:kern w:val="0"/>
                <w:szCs w:val="21"/>
              </w:rPr>
              <w:t>S</w:t>
            </w:r>
          </w:p>
        </w:tc>
        <w:tc>
          <w:tcPr>
            <w:tcW w:w="1490" w:type="dxa"/>
            <w:vAlign w:val="center"/>
          </w:tcPr>
          <w:p>
            <w:pPr>
              <w:contextualSpacing/>
              <w:jc w:val="center"/>
              <w:textAlignment w:val="baseline"/>
              <w:rPr>
                <w:kern w:val="0"/>
                <w:szCs w:val="21"/>
              </w:rPr>
            </w:pPr>
            <w:r>
              <w:rPr>
                <w:kern w:val="0"/>
                <w:szCs w:val="21"/>
              </w:rPr>
              <w:t>1小时平均</w:t>
            </w:r>
          </w:p>
        </w:tc>
        <w:tc>
          <w:tcPr>
            <w:tcW w:w="1843" w:type="dxa"/>
            <w:vAlign w:val="center"/>
          </w:tcPr>
          <w:p>
            <w:pPr>
              <w:contextualSpacing/>
              <w:jc w:val="center"/>
              <w:textAlignment w:val="baseline"/>
              <w:rPr>
                <w:kern w:val="0"/>
                <w:szCs w:val="21"/>
              </w:rPr>
            </w:pPr>
            <w:r>
              <w:rPr>
                <w:kern w:val="0"/>
                <w:szCs w:val="21"/>
              </w:rPr>
              <w:t>0.01mg/m</w:t>
            </w:r>
            <w:r>
              <w:rPr>
                <w:kern w:val="0"/>
                <w:szCs w:val="21"/>
                <w:vertAlign w:val="superscript"/>
              </w:rPr>
              <w:t>3</w:t>
            </w:r>
          </w:p>
        </w:tc>
        <w:tc>
          <w:tcPr>
            <w:tcW w:w="4160" w:type="dxa"/>
            <w:vMerge w:val="continue"/>
            <w:vAlign w:val="center"/>
          </w:tcPr>
          <w:p>
            <w:pPr>
              <w:contextualSpacing/>
              <w:jc w:val="center"/>
              <w:textAlignment w:val="baseline"/>
              <w:rPr>
                <w:kern w:val="0"/>
                <w:szCs w:val="21"/>
                <w:highlight w:val="yellow"/>
              </w:rPr>
            </w:pPr>
          </w:p>
        </w:tc>
      </w:tr>
    </w:tbl>
    <w:p>
      <w:pPr>
        <w:spacing w:line="520" w:lineRule="exact"/>
        <w:outlineLvl w:val="3"/>
        <w:rPr>
          <w:sz w:val="24"/>
          <w:szCs w:val="24"/>
        </w:rPr>
      </w:pPr>
      <w:r>
        <w:rPr>
          <w:sz w:val="24"/>
          <w:szCs w:val="24"/>
        </w:rPr>
        <w:t>4.3.2.6 评价方法</w:t>
      </w:r>
    </w:p>
    <w:p>
      <w:pPr>
        <w:spacing w:line="520" w:lineRule="exact"/>
        <w:ind w:firstLine="480" w:firstLineChars="200"/>
        <w:rPr>
          <w:sz w:val="24"/>
          <w:szCs w:val="24"/>
        </w:rPr>
      </w:pPr>
      <w:r>
        <w:rPr>
          <w:sz w:val="24"/>
          <w:szCs w:val="24"/>
        </w:rPr>
        <w:t>环境空气质量现状评价方法采用统计监测浓度范围，同时计算其超标率及最大值超标倍数。采用单因子污染指数法进行评价，计算公式如下：</w:t>
      </w:r>
    </w:p>
    <w:p>
      <w:pPr>
        <w:spacing w:line="520" w:lineRule="exact"/>
        <w:ind w:firstLine="480" w:firstLineChars="200"/>
        <w:jc w:val="center"/>
        <w:rPr>
          <w:sz w:val="24"/>
          <w:szCs w:val="24"/>
        </w:rPr>
      </w:pPr>
      <w:r>
        <w:rPr>
          <w:sz w:val="24"/>
          <w:szCs w:val="24"/>
        </w:rPr>
        <w:t>Pi=Ci/Si</w:t>
      </w:r>
    </w:p>
    <w:p>
      <w:pPr>
        <w:spacing w:line="520" w:lineRule="exact"/>
        <w:ind w:firstLine="480" w:firstLineChars="200"/>
        <w:rPr>
          <w:sz w:val="24"/>
          <w:szCs w:val="24"/>
        </w:rPr>
      </w:pPr>
      <w:r>
        <w:rPr>
          <w:sz w:val="24"/>
          <w:szCs w:val="24"/>
        </w:rPr>
        <w:t>式中：Pi：i种污染物的单因子污染指数；</w:t>
      </w:r>
    </w:p>
    <w:p>
      <w:pPr>
        <w:spacing w:line="520" w:lineRule="exact"/>
        <w:ind w:firstLine="480" w:firstLineChars="200"/>
        <w:rPr>
          <w:sz w:val="24"/>
          <w:szCs w:val="24"/>
        </w:rPr>
      </w:pPr>
      <w:r>
        <w:rPr>
          <w:sz w:val="24"/>
          <w:szCs w:val="24"/>
        </w:rPr>
        <w:t>Ci：i种污染物的实测浓度（μg/m</w:t>
      </w:r>
      <w:r>
        <w:rPr>
          <w:sz w:val="24"/>
          <w:szCs w:val="24"/>
          <w:vertAlign w:val="superscript"/>
        </w:rPr>
        <w:t>3</w:t>
      </w:r>
      <w:r>
        <w:rPr>
          <w:sz w:val="24"/>
          <w:szCs w:val="24"/>
        </w:rPr>
        <w:t>）；</w:t>
      </w:r>
    </w:p>
    <w:p>
      <w:pPr>
        <w:spacing w:line="520" w:lineRule="exact"/>
        <w:ind w:firstLine="480" w:firstLineChars="200"/>
        <w:rPr>
          <w:b/>
          <w:bCs/>
          <w:sz w:val="24"/>
          <w:szCs w:val="24"/>
        </w:rPr>
      </w:pPr>
      <w:r>
        <w:rPr>
          <w:sz w:val="24"/>
          <w:szCs w:val="24"/>
        </w:rPr>
        <w:t>Si：i种污染物的评价标准（μg/m</w:t>
      </w:r>
      <w:r>
        <w:rPr>
          <w:sz w:val="24"/>
          <w:szCs w:val="24"/>
          <w:vertAlign w:val="superscript"/>
        </w:rPr>
        <w:t>3</w:t>
      </w:r>
      <w:r>
        <w:rPr>
          <w:sz w:val="24"/>
          <w:szCs w:val="24"/>
        </w:rPr>
        <w:t>）。</w:t>
      </w:r>
    </w:p>
    <w:p>
      <w:pPr>
        <w:spacing w:line="520" w:lineRule="exact"/>
        <w:outlineLvl w:val="3"/>
        <w:rPr>
          <w:sz w:val="24"/>
          <w:szCs w:val="24"/>
        </w:rPr>
      </w:pPr>
      <w:r>
        <w:rPr>
          <w:sz w:val="24"/>
          <w:szCs w:val="24"/>
        </w:rPr>
        <w:t>4.3.2.7 监测结果分析</w:t>
      </w:r>
    </w:p>
    <w:p>
      <w:pPr>
        <w:spacing w:line="520" w:lineRule="exact"/>
        <w:ind w:firstLine="480" w:firstLineChars="200"/>
        <w:rPr>
          <w:sz w:val="24"/>
          <w:szCs w:val="24"/>
        </w:rPr>
      </w:pPr>
      <w:r>
        <w:rPr>
          <w:sz w:val="24"/>
          <w:szCs w:val="24"/>
        </w:rPr>
        <w:t>各污染物浓度监测数据统计见下表。</w:t>
      </w:r>
    </w:p>
    <w:p>
      <w:pPr>
        <w:spacing w:line="360" w:lineRule="auto"/>
        <w:ind w:firstLine="480" w:firstLineChars="200"/>
        <w:rPr>
          <w:rFonts w:eastAsia="黑体"/>
          <w:sz w:val="24"/>
          <w:szCs w:val="24"/>
        </w:rPr>
      </w:pPr>
      <w:r>
        <w:rPr>
          <w:rFonts w:eastAsia="黑体"/>
          <w:sz w:val="24"/>
          <w:szCs w:val="24"/>
        </w:rPr>
        <w:t>表4.3-6                各污染物浓度统计结果</w:t>
      </w:r>
    </w:p>
    <w:tbl>
      <w:tblPr>
        <w:tblStyle w:val="49"/>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658"/>
        <w:gridCol w:w="1363"/>
        <w:gridCol w:w="1063"/>
        <w:gridCol w:w="1560"/>
        <w:gridCol w:w="1133"/>
        <w:gridCol w:w="852"/>
        <w:gridCol w:w="1068"/>
        <w:gridCol w:w="124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vAlign w:val="center"/>
          </w:tcPr>
          <w:p>
            <w:pPr>
              <w:jc w:val="center"/>
              <w:rPr>
                <w:b/>
                <w:szCs w:val="20"/>
              </w:rPr>
            </w:pPr>
            <w:r>
              <w:rPr>
                <w:b/>
                <w:szCs w:val="20"/>
              </w:rPr>
              <w:t>监测项目</w:t>
            </w:r>
          </w:p>
        </w:tc>
        <w:tc>
          <w:tcPr>
            <w:tcW w:w="762" w:type="pct"/>
            <w:vAlign w:val="center"/>
          </w:tcPr>
          <w:p>
            <w:pPr>
              <w:jc w:val="center"/>
              <w:rPr>
                <w:b/>
                <w:szCs w:val="20"/>
              </w:rPr>
            </w:pPr>
            <w:r>
              <w:rPr>
                <w:b/>
                <w:szCs w:val="20"/>
              </w:rPr>
              <w:t>点位</w:t>
            </w:r>
          </w:p>
        </w:tc>
        <w:tc>
          <w:tcPr>
            <w:tcW w:w="1466" w:type="pct"/>
            <w:gridSpan w:val="2"/>
            <w:vAlign w:val="center"/>
          </w:tcPr>
          <w:p>
            <w:pPr>
              <w:jc w:val="center"/>
              <w:rPr>
                <w:b/>
                <w:szCs w:val="20"/>
              </w:rPr>
            </w:pPr>
            <w:r>
              <w:rPr>
                <w:b/>
                <w:szCs w:val="20"/>
              </w:rPr>
              <w:t>监测值范围mg/m</w:t>
            </w:r>
            <w:r>
              <w:rPr>
                <w:b/>
                <w:szCs w:val="20"/>
                <w:vertAlign w:val="superscript"/>
              </w:rPr>
              <w:t>3</w:t>
            </w:r>
          </w:p>
        </w:tc>
        <w:tc>
          <w:tcPr>
            <w:tcW w:w="633" w:type="pct"/>
            <w:vAlign w:val="center"/>
          </w:tcPr>
          <w:p>
            <w:pPr>
              <w:jc w:val="center"/>
              <w:rPr>
                <w:b/>
                <w:szCs w:val="20"/>
              </w:rPr>
            </w:pPr>
            <w:r>
              <w:rPr>
                <w:b/>
                <w:szCs w:val="20"/>
              </w:rPr>
              <w:t>标准指数范围</w:t>
            </w:r>
          </w:p>
        </w:tc>
        <w:tc>
          <w:tcPr>
            <w:tcW w:w="476" w:type="pct"/>
            <w:vAlign w:val="center"/>
          </w:tcPr>
          <w:p>
            <w:pPr>
              <w:jc w:val="center"/>
              <w:rPr>
                <w:b/>
                <w:szCs w:val="20"/>
              </w:rPr>
            </w:pPr>
            <w:r>
              <w:rPr>
                <w:b/>
                <w:szCs w:val="20"/>
              </w:rPr>
              <w:t>超标率%</w:t>
            </w:r>
          </w:p>
        </w:tc>
        <w:tc>
          <w:tcPr>
            <w:tcW w:w="597" w:type="pct"/>
            <w:vAlign w:val="center"/>
          </w:tcPr>
          <w:p>
            <w:pPr>
              <w:jc w:val="center"/>
              <w:rPr>
                <w:b/>
                <w:szCs w:val="20"/>
              </w:rPr>
            </w:pPr>
            <w:r>
              <w:rPr>
                <w:b/>
                <w:szCs w:val="20"/>
              </w:rPr>
              <w:t>最大超标倍数</w:t>
            </w:r>
          </w:p>
        </w:tc>
        <w:tc>
          <w:tcPr>
            <w:tcW w:w="698" w:type="pct"/>
            <w:vAlign w:val="center"/>
          </w:tcPr>
          <w:p>
            <w:pPr>
              <w:jc w:val="center"/>
              <w:rPr>
                <w:b/>
                <w:szCs w:val="20"/>
              </w:rPr>
            </w:pPr>
            <w:r>
              <w:rPr>
                <w:b/>
                <w:szCs w:val="20"/>
              </w:rPr>
              <w:t>标准限值mg/m</w:t>
            </w:r>
            <w:r>
              <w:rPr>
                <w:b/>
                <w:szCs w:val="20"/>
                <w:vertAlign w:val="superscript"/>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vMerge w:val="restart"/>
            <w:vAlign w:val="center"/>
          </w:tcPr>
          <w:p>
            <w:pPr>
              <w:contextualSpacing/>
              <w:jc w:val="center"/>
              <w:textAlignment w:val="baseline"/>
              <w:rPr>
                <w:kern w:val="0"/>
                <w:szCs w:val="21"/>
              </w:rPr>
            </w:pPr>
            <w:r>
              <w:rPr>
                <w:kern w:val="0"/>
                <w:szCs w:val="21"/>
              </w:rPr>
              <w:t>氨</w:t>
            </w:r>
          </w:p>
        </w:tc>
        <w:tc>
          <w:tcPr>
            <w:tcW w:w="762" w:type="pct"/>
            <w:vAlign w:val="center"/>
          </w:tcPr>
          <w:p>
            <w:pPr>
              <w:contextualSpacing/>
              <w:jc w:val="center"/>
              <w:textAlignment w:val="baseline"/>
              <w:rPr>
                <w:szCs w:val="21"/>
              </w:rPr>
            </w:pPr>
            <w:r>
              <w:rPr>
                <w:kern w:val="0"/>
                <w:szCs w:val="21"/>
              </w:rPr>
              <w:t>厂区西南角</w:t>
            </w:r>
          </w:p>
        </w:tc>
        <w:tc>
          <w:tcPr>
            <w:tcW w:w="594" w:type="pct"/>
          </w:tcPr>
          <w:p>
            <w:pPr>
              <w:contextualSpacing/>
              <w:jc w:val="center"/>
              <w:textAlignment w:val="baseline"/>
              <w:rPr>
                <w:kern w:val="0"/>
                <w:szCs w:val="21"/>
              </w:rPr>
            </w:pPr>
            <w:r>
              <w:rPr>
                <w:kern w:val="0"/>
                <w:szCs w:val="21"/>
              </w:rPr>
              <w:t>1</w:t>
            </w:r>
            <w:r>
              <w:rPr>
                <w:rFonts w:hint="eastAsia"/>
                <w:kern w:val="0"/>
                <w:szCs w:val="21"/>
              </w:rPr>
              <w:t>h平均</w:t>
            </w:r>
          </w:p>
        </w:tc>
        <w:tc>
          <w:tcPr>
            <w:tcW w:w="872" w:type="pct"/>
            <w:vAlign w:val="center"/>
          </w:tcPr>
          <w:p>
            <w:pPr>
              <w:contextualSpacing/>
              <w:jc w:val="center"/>
              <w:textAlignment w:val="baseline"/>
              <w:rPr>
                <w:kern w:val="0"/>
                <w:szCs w:val="21"/>
                <w:highlight w:val="yellow"/>
              </w:rPr>
            </w:pPr>
            <w:r>
              <w:rPr>
                <w:kern w:val="0"/>
                <w:szCs w:val="21"/>
              </w:rPr>
              <w:t>未检出~0.08</w:t>
            </w:r>
          </w:p>
        </w:tc>
        <w:tc>
          <w:tcPr>
            <w:tcW w:w="633" w:type="pct"/>
            <w:vAlign w:val="center"/>
          </w:tcPr>
          <w:p>
            <w:pPr>
              <w:contextualSpacing/>
              <w:jc w:val="center"/>
              <w:textAlignment w:val="baseline"/>
              <w:rPr>
                <w:kern w:val="0"/>
                <w:szCs w:val="21"/>
              </w:rPr>
            </w:pPr>
            <w:r>
              <w:rPr>
                <w:kern w:val="0"/>
                <w:szCs w:val="21"/>
              </w:rPr>
              <w:t>0~0.4</w:t>
            </w:r>
          </w:p>
        </w:tc>
        <w:tc>
          <w:tcPr>
            <w:tcW w:w="476" w:type="pct"/>
            <w:vAlign w:val="center"/>
          </w:tcPr>
          <w:p>
            <w:pPr>
              <w:contextualSpacing/>
              <w:jc w:val="center"/>
              <w:textAlignment w:val="baseline"/>
              <w:rPr>
                <w:kern w:val="0"/>
                <w:szCs w:val="21"/>
              </w:rPr>
            </w:pPr>
            <w:r>
              <w:rPr>
                <w:kern w:val="0"/>
                <w:szCs w:val="21"/>
              </w:rPr>
              <w:t>0</w:t>
            </w:r>
          </w:p>
        </w:tc>
        <w:tc>
          <w:tcPr>
            <w:tcW w:w="597" w:type="pct"/>
            <w:vAlign w:val="center"/>
          </w:tcPr>
          <w:p>
            <w:pPr>
              <w:contextualSpacing/>
              <w:jc w:val="center"/>
              <w:textAlignment w:val="baseline"/>
              <w:rPr>
                <w:kern w:val="0"/>
                <w:szCs w:val="21"/>
              </w:rPr>
            </w:pPr>
            <w:r>
              <w:rPr>
                <w:rFonts w:hint="eastAsia"/>
                <w:kern w:val="0"/>
                <w:szCs w:val="21"/>
              </w:rPr>
              <w:t>达标</w:t>
            </w:r>
          </w:p>
        </w:tc>
        <w:tc>
          <w:tcPr>
            <w:tcW w:w="698" w:type="pct"/>
            <w:vMerge w:val="restart"/>
            <w:vAlign w:val="center"/>
          </w:tcPr>
          <w:p>
            <w:pPr>
              <w:contextualSpacing/>
              <w:jc w:val="center"/>
              <w:textAlignment w:val="baseline"/>
              <w:rPr>
                <w:kern w:val="0"/>
                <w:szCs w:val="21"/>
              </w:rPr>
            </w:pPr>
            <w:r>
              <w:rPr>
                <w:kern w:val="0"/>
                <w:szCs w:val="21"/>
              </w:rPr>
              <w:t>0.2mg/m</w:t>
            </w:r>
            <w:r>
              <w:rPr>
                <w:kern w:val="0"/>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vMerge w:val="continue"/>
            <w:vAlign w:val="center"/>
          </w:tcPr>
          <w:p>
            <w:pPr>
              <w:contextualSpacing/>
              <w:jc w:val="center"/>
              <w:textAlignment w:val="baseline"/>
              <w:rPr>
                <w:kern w:val="0"/>
                <w:szCs w:val="21"/>
              </w:rPr>
            </w:pPr>
          </w:p>
        </w:tc>
        <w:tc>
          <w:tcPr>
            <w:tcW w:w="762" w:type="pct"/>
            <w:vAlign w:val="center"/>
          </w:tcPr>
          <w:p>
            <w:pPr>
              <w:contextualSpacing/>
              <w:jc w:val="center"/>
              <w:textAlignment w:val="baseline"/>
              <w:rPr>
                <w:szCs w:val="21"/>
              </w:rPr>
            </w:pPr>
            <w:r>
              <w:rPr>
                <w:rFonts w:hint="eastAsia"/>
                <w:kern w:val="0"/>
                <w:szCs w:val="21"/>
              </w:rPr>
              <w:t>尹圪垱村</w:t>
            </w:r>
          </w:p>
        </w:tc>
        <w:tc>
          <w:tcPr>
            <w:tcW w:w="594" w:type="pct"/>
          </w:tcPr>
          <w:p>
            <w:pPr>
              <w:contextualSpacing/>
              <w:jc w:val="center"/>
              <w:textAlignment w:val="baseline"/>
              <w:rPr>
                <w:kern w:val="0"/>
                <w:szCs w:val="21"/>
              </w:rPr>
            </w:pPr>
            <w:r>
              <w:rPr>
                <w:kern w:val="0"/>
                <w:szCs w:val="21"/>
              </w:rPr>
              <w:t>1</w:t>
            </w:r>
            <w:r>
              <w:rPr>
                <w:rFonts w:hint="eastAsia"/>
                <w:kern w:val="0"/>
                <w:szCs w:val="21"/>
              </w:rPr>
              <w:t>h平均</w:t>
            </w:r>
          </w:p>
        </w:tc>
        <w:tc>
          <w:tcPr>
            <w:tcW w:w="872" w:type="pct"/>
            <w:vAlign w:val="center"/>
          </w:tcPr>
          <w:p>
            <w:pPr>
              <w:contextualSpacing/>
              <w:jc w:val="center"/>
              <w:textAlignment w:val="baseline"/>
              <w:rPr>
                <w:kern w:val="0"/>
                <w:szCs w:val="21"/>
                <w:highlight w:val="yellow"/>
              </w:rPr>
            </w:pPr>
            <w:r>
              <w:rPr>
                <w:kern w:val="0"/>
                <w:szCs w:val="21"/>
              </w:rPr>
              <w:t>未检出~0.08</w:t>
            </w:r>
          </w:p>
        </w:tc>
        <w:tc>
          <w:tcPr>
            <w:tcW w:w="633" w:type="pct"/>
            <w:vAlign w:val="center"/>
          </w:tcPr>
          <w:p>
            <w:pPr>
              <w:contextualSpacing/>
              <w:jc w:val="center"/>
              <w:textAlignment w:val="baseline"/>
              <w:rPr>
                <w:kern w:val="0"/>
                <w:szCs w:val="21"/>
              </w:rPr>
            </w:pPr>
            <w:r>
              <w:rPr>
                <w:kern w:val="0"/>
                <w:szCs w:val="21"/>
              </w:rPr>
              <w:t>0~0.4</w:t>
            </w:r>
          </w:p>
        </w:tc>
        <w:tc>
          <w:tcPr>
            <w:tcW w:w="476" w:type="pct"/>
            <w:vAlign w:val="center"/>
          </w:tcPr>
          <w:p>
            <w:pPr>
              <w:contextualSpacing/>
              <w:jc w:val="center"/>
              <w:textAlignment w:val="baseline"/>
              <w:rPr>
                <w:kern w:val="0"/>
                <w:szCs w:val="21"/>
              </w:rPr>
            </w:pPr>
            <w:r>
              <w:rPr>
                <w:kern w:val="0"/>
                <w:szCs w:val="21"/>
              </w:rPr>
              <w:t>0</w:t>
            </w:r>
          </w:p>
        </w:tc>
        <w:tc>
          <w:tcPr>
            <w:tcW w:w="597" w:type="pct"/>
            <w:vAlign w:val="center"/>
          </w:tcPr>
          <w:p>
            <w:pPr>
              <w:contextualSpacing/>
              <w:jc w:val="center"/>
              <w:textAlignment w:val="baseline"/>
              <w:rPr>
                <w:kern w:val="0"/>
                <w:szCs w:val="21"/>
              </w:rPr>
            </w:pPr>
            <w:r>
              <w:rPr>
                <w:rFonts w:hint="eastAsia"/>
                <w:kern w:val="0"/>
                <w:szCs w:val="21"/>
              </w:rPr>
              <w:t>达标</w:t>
            </w:r>
          </w:p>
        </w:tc>
        <w:tc>
          <w:tcPr>
            <w:tcW w:w="698" w:type="pct"/>
            <w:vMerge w:val="continue"/>
            <w:vAlign w:val="center"/>
          </w:tcPr>
          <w:p>
            <w:pPr>
              <w:contextualSpacing/>
              <w:jc w:val="center"/>
              <w:textAlignment w:val="baseline"/>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vMerge w:val="restart"/>
            <w:vAlign w:val="center"/>
          </w:tcPr>
          <w:p>
            <w:pPr>
              <w:contextualSpacing/>
              <w:jc w:val="center"/>
              <w:textAlignment w:val="baseline"/>
              <w:rPr>
                <w:kern w:val="0"/>
                <w:szCs w:val="21"/>
              </w:rPr>
            </w:pPr>
            <w:r>
              <w:rPr>
                <w:kern w:val="0"/>
                <w:szCs w:val="21"/>
              </w:rPr>
              <w:t>硫化氢</w:t>
            </w:r>
          </w:p>
        </w:tc>
        <w:tc>
          <w:tcPr>
            <w:tcW w:w="762" w:type="pct"/>
            <w:vAlign w:val="center"/>
          </w:tcPr>
          <w:p>
            <w:pPr>
              <w:contextualSpacing/>
              <w:jc w:val="center"/>
              <w:textAlignment w:val="baseline"/>
              <w:rPr>
                <w:szCs w:val="21"/>
              </w:rPr>
            </w:pPr>
            <w:r>
              <w:rPr>
                <w:kern w:val="0"/>
                <w:szCs w:val="21"/>
              </w:rPr>
              <w:t>厂区西南角</w:t>
            </w:r>
          </w:p>
        </w:tc>
        <w:tc>
          <w:tcPr>
            <w:tcW w:w="594" w:type="pct"/>
          </w:tcPr>
          <w:p>
            <w:pPr>
              <w:contextualSpacing/>
              <w:jc w:val="center"/>
              <w:textAlignment w:val="baseline"/>
              <w:rPr>
                <w:kern w:val="0"/>
                <w:szCs w:val="21"/>
              </w:rPr>
            </w:pPr>
            <w:r>
              <w:rPr>
                <w:kern w:val="0"/>
                <w:szCs w:val="21"/>
              </w:rPr>
              <w:t>1</w:t>
            </w:r>
            <w:r>
              <w:rPr>
                <w:rFonts w:hint="eastAsia"/>
                <w:kern w:val="0"/>
                <w:szCs w:val="21"/>
              </w:rPr>
              <w:t>h平均</w:t>
            </w:r>
          </w:p>
        </w:tc>
        <w:tc>
          <w:tcPr>
            <w:tcW w:w="872" w:type="pct"/>
            <w:vAlign w:val="center"/>
          </w:tcPr>
          <w:p>
            <w:pPr>
              <w:contextualSpacing/>
              <w:jc w:val="center"/>
              <w:textAlignment w:val="baseline"/>
              <w:rPr>
                <w:kern w:val="0"/>
                <w:szCs w:val="21"/>
                <w:highlight w:val="yellow"/>
              </w:rPr>
            </w:pPr>
            <w:r>
              <w:rPr>
                <w:kern w:val="0"/>
                <w:szCs w:val="21"/>
              </w:rPr>
              <w:t>未检出~0.007</w:t>
            </w:r>
          </w:p>
        </w:tc>
        <w:tc>
          <w:tcPr>
            <w:tcW w:w="633" w:type="pct"/>
            <w:vAlign w:val="center"/>
          </w:tcPr>
          <w:p>
            <w:pPr>
              <w:contextualSpacing/>
              <w:jc w:val="center"/>
              <w:textAlignment w:val="baseline"/>
              <w:rPr>
                <w:kern w:val="0"/>
                <w:szCs w:val="21"/>
              </w:rPr>
            </w:pPr>
            <w:r>
              <w:rPr>
                <w:kern w:val="0"/>
                <w:szCs w:val="21"/>
              </w:rPr>
              <w:t>0~0.7</w:t>
            </w:r>
          </w:p>
        </w:tc>
        <w:tc>
          <w:tcPr>
            <w:tcW w:w="476" w:type="pct"/>
            <w:vAlign w:val="center"/>
          </w:tcPr>
          <w:p>
            <w:pPr>
              <w:contextualSpacing/>
              <w:jc w:val="center"/>
              <w:textAlignment w:val="baseline"/>
              <w:rPr>
                <w:kern w:val="0"/>
                <w:szCs w:val="21"/>
              </w:rPr>
            </w:pPr>
            <w:r>
              <w:rPr>
                <w:kern w:val="0"/>
                <w:szCs w:val="21"/>
              </w:rPr>
              <w:t>0</w:t>
            </w:r>
          </w:p>
        </w:tc>
        <w:tc>
          <w:tcPr>
            <w:tcW w:w="597" w:type="pct"/>
            <w:vAlign w:val="center"/>
          </w:tcPr>
          <w:p>
            <w:pPr>
              <w:contextualSpacing/>
              <w:jc w:val="center"/>
              <w:textAlignment w:val="baseline"/>
              <w:rPr>
                <w:kern w:val="0"/>
                <w:szCs w:val="21"/>
              </w:rPr>
            </w:pPr>
            <w:r>
              <w:rPr>
                <w:rFonts w:hint="eastAsia"/>
                <w:kern w:val="0"/>
                <w:szCs w:val="21"/>
              </w:rPr>
              <w:t>达标</w:t>
            </w:r>
          </w:p>
        </w:tc>
        <w:tc>
          <w:tcPr>
            <w:tcW w:w="698" w:type="pct"/>
            <w:vMerge w:val="restart"/>
            <w:vAlign w:val="center"/>
          </w:tcPr>
          <w:p>
            <w:pPr>
              <w:contextualSpacing/>
              <w:jc w:val="center"/>
              <w:textAlignment w:val="baseline"/>
              <w:rPr>
                <w:kern w:val="0"/>
                <w:szCs w:val="21"/>
              </w:rPr>
            </w:pPr>
            <w:r>
              <w:rPr>
                <w:kern w:val="0"/>
                <w:szCs w:val="21"/>
              </w:rPr>
              <w:t>0.01mg/m</w:t>
            </w:r>
            <w:r>
              <w:rPr>
                <w:kern w:val="0"/>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vMerge w:val="continue"/>
            <w:vAlign w:val="center"/>
          </w:tcPr>
          <w:p>
            <w:pPr>
              <w:contextualSpacing/>
              <w:jc w:val="center"/>
              <w:textAlignment w:val="baseline"/>
              <w:rPr>
                <w:kern w:val="0"/>
                <w:szCs w:val="21"/>
              </w:rPr>
            </w:pPr>
          </w:p>
        </w:tc>
        <w:tc>
          <w:tcPr>
            <w:tcW w:w="762" w:type="pct"/>
            <w:vAlign w:val="center"/>
          </w:tcPr>
          <w:p>
            <w:pPr>
              <w:contextualSpacing/>
              <w:jc w:val="center"/>
              <w:textAlignment w:val="baseline"/>
              <w:rPr>
                <w:szCs w:val="21"/>
              </w:rPr>
            </w:pPr>
            <w:r>
              <w:rPr>
                <w:rFonts w:hint="eastAsia"/>
                <w:kern w:val="0"/>
                <w:szCs w:val="21"/>
              </w:rPr>
              <w:t>尹圪垱村</w:t>
            </w:r>
          </w:p>
        </w:tc>
        <w:tc>
          <w:tcPr>
            <w:tcW w:w="594" w:type="pct"/>
          </w:tcPr>
          <w:p>
            <w:pPr>
              <w:contextualSpacing/>
              <w:jc w:val="center"/>
              <w:textAlignment w:val="baseline"/>
              <w:rPr>
                <w:kern w:val="0"/>
                <w:szCs w:val="21"/>
              </w:rPr>
            </w:pPr>
            <w:r>
              <w:rPr>
                <w:kern w:val="0"/>
                <w:szCs w:val="21"/>
              </w:rPr>
              <w:t>1</w:t>
            </w:r>
            <w:r>
              <w:rPr>
                <w:rFonts w:hint="eastAsia"/>
                <w:kern w:val="0"/>
                <w:szCs w:val="21"/>
              </w:rPr>
              <w:t>h平均</w:t>
            </w:r>
          </w:p>
        </w:tc>
        <w:tc>
          <w:tcPr>
            <w:tcW w:w="872" w:type="pct"/>
            <w:vAlign w:val="center"/>
          </w:tcPr>
          <w:p>
            <w:pPr>
              <w:contextualSpacing/>
              <w:jc w:val="center"/>
              <w:textAlignment w:val="baseline"/>
              <w:rPr>
                <w:kern w:val="0"/>
                <w:szCs w:val="21"/>
                <w:highlight w:val="yellow"/>
              </w:rPr>
            </w:pPr>
            <w:r>
              <w:rPr>
                <w:kern w:val="0"/>
                <w:szCs w:val="21"/>
              </w:rPr>
              <w:t>未检出~0.007</w:t>
            </w:r>
          </w:p>
        </w:tc>
        <w:tc>
          <w:tcPr>
            <w:tcW w:w="633" w:type="pct"/>
            <w:vAlign w:val="center"/>
          </w:tcPr>
          <w:p>
            <w:pPr>
              <w:contextualSpacing/>
              <w:jc w:val="center"/>
              <w:textAlignment w:val="baseline"/>
              <w:rPr>
                <w:kern w:val="0"/>
                <w:szCs w:val="21"/>
              </w:rPr>
            </w:pPr>
            <w:r>
              <w:rPr>
                <w:kern w:val="0"/>
                <w:szCs w:val="21"/>
              </w:rPr>
              <w:t>0~0.7</w:t>
            </w:r>
          </w:p>
        </w:tc>
        <w:tc>
          <w:tcPr>
            <w:tcW w:w="476" w:type="pct"/>
            <w:vAlign w:val="center"/>
          </w:tcPr>
          <w:p>
            <w:pPr>
              <w:contextualSpacing/>
              <w:jc w:val="center"/>
              <w:textAlignment w:val="baseline"/>
              <w:rPr>
                <w:kern w:val="0"/>
                <w:szCs w:val="21"/>
              </w:rPr>
            </w:pPr>
            <w:r>
              <w:rPr>
                <w:kern w:val="0"/>
                <w:szCs w:val="21"/>
              </w:rPr>
              <w:t>0</w:t>
            </w:r>
          </w:p>
        </w:tc>
        <w:tc>
          <w:tcPr>
            <w:tcW w:w="597" w:type="pct"/>
            <w:vAlign w:val="center"/>
          </w:tcPr>
          <w:p>
            <w:pPr>
              <w:contextualSpacing/>
              <w:jc w:val="center"/>
              <w:textAlignment w:val="baseline"/>
              <w:rPr>
                <w:kern w:val="0"/>
                <w:szCs w:val="21"/>
              </w:rPr>
            </w:pPr>
            <w:r>
              <w:rPr>
                <w:rFonts w:hint="eastAsia"/>
                <w:kern w:val="0"/>
                <w:szCs w:val="21"/>
              </w:rPr>
              <w:t>达标</w:t>
            </w:r>
          </w:p>
        </w:tc>
        <w:tc>
          <w:tcPr>
            <w:tcW w:w="698" w:type="pct"/>
            <w:vMerge w:val="continue"/>
            <w:vAlign w:val="center"/>
          </w:tcPr>
          <w:p>
            <w:pPr>
              <w:contextualSpacing/>
              <w:jc w:val="center"/>
              <w:textAlignment w:val="baseline"/>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vMerge w:val="restart"/>
            <w:vAlign w:val="center"/>
          </w:tcPr>
          <w:p>
            <w:pPr>
              <w:contextualSpacing/>
              <w:jc w:val="center"/>
              <w:textAlignment w:val="baseline"/>
              <w:rPr>
                <w:kern w:val="0"/>
                <w:szCs w:val="21"/>
              </w:rPr>
            </w:pPr>
            <w:r>
              <w:rPr>
                <w:kern w:val="0"/>
                <w:szCs w:val="21"/>
              </w:rPr>
              <w:t>臭气浓度</w:t>
            </w:r>
          </w:p>
        </w:tc>
        <w:tc>
          <w:tcPr>
            <w:tcW w:w="762" w:type="pct"/>
            <w:vAlign w:val="center"/>
          </w:tcPr>
          <w:p>
            <w:pPr>
              <w:contextualSpacing/>
              <w:jc w:val="center"/>
              <w:textAlignment w:val="baseline"/>
              <w:rPr>
                <w:szCs w:val="21"/>
              </w:rPr>
            </w:pPr>
            <w:r>
              <w:rPr>
                <w:kern w:val="0"/>
                <w:szCs w:val="21"/>
              </w:rPr>
              <w:t>厂区西南角</w:t>
            </w:r>
          </w:p>
        </w:tc>
        <w:tc>
          <w:tcPr>
            <w:tcW w:w="594" w:type="pct"/>
          </w:tcPr>
          <w:p>
            <w:pPr>
              <w:contextualSpacing/>
              <w:jc w:val="center"/>
              <w:textAlignment w:val="baseline"/>
              <w:rPr>
                <w:kern w:val="0"/>
                <w:szCs w:val="21"/>
              </w:rPr>
            </w:pPr>
            <w:r>
              <w:rPr>
                <w:kern w:val="0"/>
                <w:szCs w:val="21"/>
              </w:rPr>
              <w:t>1</w:t>
            </w:r>
            <w:r>
              <w:rPr>
                <w:rFonts w:hint="eastAsia"/>
                <w:kern w:val="0"/>
                <w:szCs w:val="21"/>
              </w:rPr>
              <w:t>h平均</w:t>
            </w:r>
          </w:p>
        </w:tc>
        <w:tc>
          <w:tcPr>
            <w:tcW w:w="872" w:type="pct"/>
            <w:vAlign w:val="center"/>
          </w:tcPr>
          <w:p>
            <w:pPr>
              <w:contextualSpacing/>
              <w:jc w:val="center"/>
              <w:textAlignment w:val="baseline"/>
              <w:rPr>
                <w:kern w:val="0"/>
                <w:szCs w:val="21"/>
              </w:rPr>
            </w:pPr>
            <w:r>
              <w:rPr>
                <w:kern w:val="0"/>
                <w:szCs w:val="21"/>
              </w:rPr>
              <w:t>&lt;10</w:t>
            </w:r>
          </w:p>
        </w:tc>
        <w:tc>
          <w:tcPr>
            <w:tcW w:w="633" w:type="pct"/>
            <w:vAlign w:val="center"/>
          </w:tcPr>
          <w:p>
            <w:pPr>
              <w:contextualSpacing/>
              <w:jc w:val="center"/>
              <w:textAlignment w:val="baseline"/>
              <w:rPr>
                <w:kern w:val="0"/>
                <w:szCs w:val="21"/>
              </w:rPr>
            </w:pPr>
            <w:r>
              <w:rPr>
                <w:kern w:val="0"/>
                <w:szCs w:val="21"/>
              </w:rPr>
              <w:t>/</w:t>
            </w:r>
          </w:p>
        </w:tc>
        <w:tc>
          <w:tcPr>
            <w:tcW w:w="476" w:type="pct"/>
            <w:vAlign w:val="center"/>
          </w:tcPr>
          <w:p>
            <w:pPr>
              <w:contextualSpacing/>
              <w:jc w:val="center"/>
              <w:textAlignment w:val="baseline"/>
              <w:rPr>
                <w:kern w:val="0"/>
                <w:szCs w:val="21"/>
              </w:rPr>
            </w:pPr>
            <w:r>
              <w:rPr>
                <w:kern w:val="0"/>
                <w:szCs w:val="21"/>
              </w:rPr>
              <w:t>/</w:t>
            </w:r>
          </w:p>
        </w:tc>
        <w:tc>
          <w:tcPr>
            <w:tcW w:w="597" w:type="pct"/>
            <w:vAlign w:val="center"/>
          </w:tcPr>
          <w:p>
            <w:pPr>
              <w:contextualSpacing/>
              <w:jc w:val="center"/>
              <w:textAlignment w:val="baseline"/>
              <w:rPr>
                <w:kern w:val="0"/>
                <w:szCs w:val="21"/>
                <w:highlight w:val="yellow"/>
              </w:rPr>
            </w:pPr>
            <w:r>
              <w:rPr>
                <w:rFonts w:hint="eastAsia"/>
                <w:kern w:val="0"/>
                <w:szCs w:val="21"/>
              </w:rPr>
              <w:t>/</w:t>
            </w:r>
          </w:p>
        </w:tc>
        <w:tc>
          <w:tcPr>
            <w:tcW w:w="698" w:type="pct"/>
            <w:vMerge w:val="restart"/>
            <w:vAlign w:val="center"/>
          </w:tcPr>
          <w:p>
            <w:pPr>
              <w:contextualSpacing/>
              <w:jc w:val="center"/>
              <w:textAlignment w:val="baseline"/>
              <w:rPr>
                <w:kern w:val="0"/>
                <w:szCs w:val="21"/>
              </w:rPr>
            </w:pPr>
            <w:r>
              <w:rPr>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vMerge w:val="continue"/>
            <w:vAlign w:val="center"/>
          </w:tcPr>
          <w:p>
            <w:pPr>
              <w:contextualSpacing/>
              <w:jc w:val="center"/>
              <w:textAlignment w:val="baseline"/>
              <w:rPr>
                <w:kern w:val="0"/>
                <w:szCs w:val="21"/>
                <w:highlight w:val="yellow"/>
              </w:rPr>
            </w:pPr>
          </w:p>
        </w:tc>
        <w:tc>
          <w:tcPr>
            <w:tcW w:w="762" w:type="pct"/>
            <w:vAlign w:val="center"/>
          </w:tcPr>
          <w:p>
            <w:pPr>
              <w:contextualSpacing/>
              <w:jc w:val="center"/>
              <w:textAlignment w:val="baseline"/>
              <w:rPr>
                <w:szCs w:val="21"/>
              </w:rPr>
            </w:pPr>
            <w:r>
              <w:rPr>
                <w:rFonts w:hint="eastAsia"/>
                <w:kern w:val="0"/>
                <w:szCs w:val="21"/>
              </w:rPr>
              <w:t>尹圪垱村</w:t>
            </w:r>
          </w:p>
        </w:tc>
        <w:tc>
          <w:tcPr>
            <w:tcW w:w="594" w:type="pct"/>
          </w:tcPr>
          <w:p>
            <w:pPr>
              <w:contextualSpacing/>
              <w:jc w:val="center"/>
              <w:textAlignment w:val="baseline"/>
              <w:rPr>
                <w:kern w:val="0"/>
                <w:szCs w:val="21"/>
              </w:rPr>
            </w:pPr>
            <w:r>
              <w:rPr>
                <w:kern w:val="0"/>
                <w:szCs w:val="21"/>
              </w:rPr>
              <w:t>1</w:t>
            </w:r>
            <w:r>
              <w:rPr>
                <w:rFonts w:hint="eastAsia"/>
                <w:kern w:val="0"/>
                <w:szCs w:val="21"/>
              </w:rPr>
              <w:t>h平均</w:t>
            </w:r>
          </w:p>
        </w:tc>
        <w:tc>
          <w:tcPr>
            <w:tcW w:w="872" w:type="pct"/>
            <w:vAlign w:val="center"/>
          </w:tcPr>
          <w:p>
            <w:pPr>
              <w:contextualSpacing/>
              <w:jc w:val="center"/>
              <w:textAlignment w:val="baseline"/>
              <w:rPr>
                <w:kern w:val="0"/>
                <w:szCs w:val="21"/>
              </w:rPr>
            </w:pPr>
            <w:r>
              <w:rPr>
                <w:kern w:val="0"/>
                <w:szCs w:val="21"/>
              </w:rPr>
              <w:t>&lt;10</w:t>
            </w:r>
          </w:p>
        </w:tc>
        <w:tc>
          <w:tcPr>
            <w:tcW w:w="633" w:type="pct"/>
            <w:vAlign w:val="center"/>
          </w:tcPr>
          <w:p>
            <w:pPr>
              <w:contextualSpacing/>
              <w:jc w:val="center"/>
              <w:textAlignment w:val="baseline"/>
              <w:rPr>
                <w:kern w:val="0"/>
                <w:szCs w:val="21"/>
              </w:rPr>
            </w:pPr>
            <w:r>
              <w:rPr>
                <w:kern w:val="0"/>
                <w:szCs w:val="21"/>
              </w:rPr>
              <w:t>/</w:t>
            </w:r>
          </w:p>
        </w:tc>
        <w:tc>
          <w:tcPr>
            <w:tcW w:w="476" w:type="pct"/>
            <w:vAlign w:val="center"/>
          </w:tcPr>
          <w:p>
            <w:pPr>
              <w:contextualSpacing/>
              <w:jc w:val="center"/>
              <w:textAlignment w:val="baseline"/>
              <w:rPr>
                <w:kern w:val="0"/>
                <w:szCs w:val="21"/>
              </w:rPr>
            </w:pPr>
            <w:r>
              <w:rPr>
                <w:kern w:val="0"/>
                <w:szCs w:val="21"/>
              </w:rPr>
              <w:t>/</w:t>
            </w:r>
          </w:p>
        </w:tc>
        <w:tc>
          <w:tcPr>
            <w:tcW w:w="597" w:type="pct"/>
            <w:vAlign w:val="center"/>
          </w:tcPr>
          <w:p>
            <w:pPr>
              <w:contextualSpacing/>
              <w:jc w:val="center"/>
              <w:textAlignment w:val="baseline"/>
              <w:rPr>
                <w:kern w:val="0"/>
                <w:szCs w:val="21"/>
                <w:highlight w:val="yellow"/>
              </w:rPr>
            </w:pPr>
            <w:r>
              <w:rPr>
                <w:rFonts w:hint="eastAsia"/>
                <w:kern w:val="0"/>
                <w:szCs w:val="21"/>
              </w:rPr>
              <w:t>/</w:t>
            </w:r>
          </w:p>
        </w:tc>
        <w:tc>
          <w:tcPr>
            <w:tcW w:w="698" w:type="pct"/>
            <w:vMerge w:val="continue"/>
            <w:vAlign w:val="center"/>
          </w:tcPr>
          <w:p>
            <w:pPr>
              <w:contextualSpacing/>
              <w:jc w:val="center"/>
              <w:textAlignment w:val="baseline"/>
              <w:rPr>
                <w:kern w:val="0"/>
                <w:szCs w:val="21"/>
                <w:highlight w:val="yellow"/>
              </w:rPr>
            </w:pPr>
          </w:p>
        </w:tc>
      </w:tr>
    </w:tbl>
    <w:p>
      <w:pPr>
        <w:spacing w:line="520" w:lineRule="exact"/>
        <w:outlineLvl w:val="3"/>
        <w:rPr>
          <w:sz w:val="24"/>
          <w:szCs w:val="24"/>
        </w:rPr>
      </w:pPr>
      <w:r>
        <w:rPr>
          <w:sz w:val="24"/>
          <w:szCs w:val="24"/>
        </w:rPr>
        <w:t>4.3.2.8 监测统计结果分析</w:t>
      </w:r>
    </w:p>
    <w:p>
      <w:pPr>
        <w:spacing w:line="520" w:lineRule="exact"/>
        <w:ind w:firstLine="480" w:firstLineChars="200"/>
        <w:rPr>
          <w:sz w:val="24"/>
          <w:szCs w:val="24"/>
        </w:rPr>
      </w:pPr>
      <w:r>
        <w:rPr>
          <w:sz w:val="24"/>
          <w:szCs w:val="24"/>
        </w:rPr>
        <w:t>根据环境空气现状监测统计结果可知，</w:t>
      </w:r>
    </w:p>
    <w:p>
      <w:pPr>
        <w:spacing w:line="520" w:lineRule="exact"/>
        <w:ind w:firstLine="480" w:firstLineChars="200"/>
        <w:rPr>
          <w:sz w:val="24"/>
          <w:szCs w:val="24"/>
        </w:rPr>
      </w:pPr>
      <w:r>
        <w:rPr>
          <w:sz w:val="24"/>
          <w:szCs w:val="24"/>
        </w:rPr>
        <w:t>氨1小时</w:t>
      </w:r>
      <w:r>
        <w:rPr>
          <w:rFonts w:hint="eastAsia"/>
          <w:sz w:val="24"/>
          <w:szCs w:val="24"/>
        </w:rPr>
        <w:t>平均</w:t>
      </w:r>
      <w:r>
        <w:rPr>
          <w:sz w:val="24"/>
          <w:szCs w:val="24"/>
        </w:rPr>
        <w:t>浓度最大值为0.08mg/m</w:t>
      </w:r>
      <w:r>
        <w:rPr>
          <w:sz w:val="24"/>
          <w:szCs w:val="24"/>
          <w:vertAlign w:val="superscript"/>
        </w:rPr>
        <w:t>3</w:t>
      </w:r>
      <w:r>
        <w:rPr>
          <w:sz w:val="24"/>
          <w:szCs w:val="24"/>
        </w:rPr>
        <w:t>，标准指数最大值为0.4，能够满足《环境影响评价技术导则大气环境》（HJ2.2-2018）附录D的限值要求。</w:t>
      </w:r>
    </w:p>
    <w:p>
      <w:pPr>
        <w:spacing w:line="520" w:lineRule="exact"/>
        <w:ind w:firstLine="480" w:firstLineChars="200"/>
        <w:rPr>
          <w:sz w:val="24"/>
          <w:szCs w:val="24"/>
        </w:rPr>
      </w:pPr>
      <w:r>
        <w:rPr>
          <w:sz w:val="24"/>
          <w:szCs w:val="24"/>
        </w:rPr>
        <w:t>硫化氢1小时</w:t>
      </w:r>
      <w:r>
        <w:rPr>
          <w:rFonts w:hint="eastAsia"/>
          <w:sz w:val="24"/>
          <w:szCs w:val="24"/>
        </w:rPr>
        <w:t>平均</w:t>
      </w:r>
      <w:r>
        <w:rPr>
          <w:sz w:val="24"/>
          <w:szCs w:val="24"/>
        </w:rPr>
        <w:t>浓度最大值为0.007mg/m</w:t>
      </w:r>
      <w:r>
        <w:rPr>
          <w:sz w:val="24"/>
          <w:szCs w:val="24"/>
          <w:vertAlign w:val="superscript"/>
        </w:rPr>
        <w:t>3</w:t>
      </w:r>
      <w:r>
        <w:rPr>
          <w:sz w:val="24"/>
          <w:szCs w:val="24"/>
        </w:rPr>
        <w:t>，标准指数最大值为0.7，能够满足《环境影响评价技术导则大气环境》（HJ2.2-2018）附录D的限值要求。</w:t>
      </w:r>
    </w:p>
    <w:p>
      <w:pPr>
        <w:spacing w:line="520" w:lineRule="exact"/>
        <w:ind w:firstLine="480" w:firstLineChars="200"/>
        <w:rPr>
          <w:b/>
          <w:bCs/>
          <w:sz w:val="24"/>
          <w:szCs w:val="24"/>
          <w:u w:val="single"/>
        </w:rPr>
      </w:pPr>
      <w:r>
        <w:rPr>
          <w:sz w:val="24"/>
          <w:szCs w:val="24"/>
        </w:rPr>
        <w:t>臭气浓度监测结果均&lt;10，说明环境空气现状臭气浓度状况良好。</w:t>
      </w:r>
    </w:p>
    <w:p>
      <w:pPr>
        <w:keepNext/>
        <w:keepLines/>
        <w:spacing w:line="520" w:lineRule="exact"/>
        <w:outlineLvl w:val="2"/>
        <w:rPr>
          <w:rFonts w:eastAsia="黑体"/>
          <w:bCs/>
          <w:sz w:val="28"/>
          <w:szCs w:val="28"/>
        </w:rPr>
      </w:pPr>
      <w:r>
        <w:rPr>
          <w:rFonts w:eastAsia="黑体"/>
          <w:bCs/>
          <w:sz w:val="28"/>
          <w:szCs w:val="28"/>
        </w:rPr>
        <w:t>4.3.3 地表水环境质量现状监测与评价</w:t>
      </w:r>
    </w:p>
    <w:p>
      <w:pPr>
        <w:spacing w:line="520" w:lineRule="exact"/>
        <w:ind w:firstLine="480" w:firstLineChars="200"/>
        <w:rPr>
          <w:bCs/>
          <w:sz w:val="24"/>
          <w:szCs w:val="24"/>
          <w:highlight w:val="yellow"/>
        </w:rPr>
      </w:pPr>
      <w:r>
        <w:rPr>
          <w:sz w:val="24"/>
          <w:szCs w:val="24"/>
        </w:rPr>
        <w:t>本项目废水经厂区污水处理站处理</w:t>
      </w:r>
      <w:r>
        <w:rPr>
          <w:rFonts w:hint="eastAsia"/>
          <w:sz w:val="24"/>
          <w:szCs w:val="24"/>
        </w:rPr>
        <w:t>后</w:t>
      </w:r>
      <w:r>
        <w:rPr>
          <w:sz w:val="24"/>
          <w:szCs w:val="24"/>
        </w:rPr>
        <w:t>通过污水管网排入</w:t>
      </w:r>
      <w:r>
        <w:rPr>
          <w:rFonts w:hint="eastAsia"/>
          <w:sz w:val="24"/>
          <w:szCs w:val="24"/>
        </w:rPr>
        <w:t>原阳县产业集聚区</w:t>
      </w:r>
      <w:r>
        <w:rPr>
          <w:sz w:val="24"/>
          <w:szCs w:val="24"/>
        </w:rPr>
        <w:t>污水处理厂，经污水处理厂进一步处理后排入</w:t>
      </w:r>
      <w:r>
        <w:rPr>
          <w:bCs/>
          <w:sz w:val="24"/>
          <w:szCs w:val="24"/>
        </w:rPr>
        <w:t>东关排渠，汇入文岩干渠。</w:t>
      </w:r>
      <w:r>
        <w:rPr>
          <w:sz w:val="24"/>
          <w:szCs w:val="24"/>
        </w:rPr>
        <w:t>根据《新乡市生态环境局关于下达2023年地表水环境质量暂定目标的函》，</w:t>
      </w:r>
      <w:r>
        <w:rPr>
          <w:rFonts w:hint="eastAsia"/>
          <w:bCs/>
          <w:sz w:val="24"/>
          <w:szCs w:val="24"/>
        </w:rPr>
        <w:t>文岩渠安乐庄</w:t>
      </w:r>
      <w:r>
        <w:rPr>
          <w:bCs/>
          <w:sz w:val="24"/>
          <w:szCs w:val="24"/>
        </w:rPr>
        <w:t>断面</w:t>
      </w:r>
      <w:r>
        <w:rPr>
          <w:rFonts w:hint="eastAsia"/>
          <w:sz w:val="24"/>
          <w:szCs w:val="24"/>
        </w:rPr>
        <w:t>2</w:t>
      </w:r>
      <w:r>
        <w:rPr>
          <w:sz w:val="24"/>
          <w:szCs w:val="24"/>
        </w:rPr>
        <w:t>023年目标为Ⅲ类水环境功能区。</w:t>
      </w:r>
    </w:p>
    <w:p>
      <w:pPr>
        <w:spacing w:line="520" w:lineRule="exact"/>
        <w:outlineLvl w:val="3"/>
        <w:rPr>
          <w:sz w:val="24"/>
          <w:szCs w:val="24"/>
        </w:rPr>
      </w:pPr>
      <w:r>
        <w:rPr>
          <w:sz w:val="24"/>
          <w:szCs w:val="24"/>
        </w:rPr>
        <w:t xml:space="preserve">4.3.3.1 </w:t>
      </w:r>
      <w:r>
        <w:rPr>
          <w:rFonts w:hint="eastAsia"/>
          <w:bCs/>
          <w:sz w:val="24"/>
          <w:szCs w:val="24"/>
        </w:rPr>
        <w:t>文岩渠安乐庄</w:t>
      </w:r>
      <w:r>
        <w:rPr>
          <w:bCs/>
          <w:sz w:val="24"/>
          <w:szCs w:val="24"/>
        </w:rPr>
        <w:t>断面</w:t>
      </w:r>
      <w:r>
        <w:rPr>
          <w:rFonts w:hint="eastAsia"/>
          <w:sz w:val="24"/>
          <w:szCs w:val="24"/>
        </w:rPr>
        <w:t>2</w:t>
      </w:r>
      <w:r>
        <w:rPr>
          <w:sz w:val="24"/>
          <w:szCs w:val="24"/>
        </w:rPr>
        <w:t>023</w:t>
      </w:r>
      <w:r>
        <w:rPr>
          <w:rFonts w:hint="eastAsia"/>
          <w:sz w:val="24"/>
          <w:szCs w:val="24"/>
        </w:rPr>
        <w:t>年1月</w:t>
      </w:r>
      <w:r>
        <w:rPr>
          <w:sz w:val="24"/>
          <w:szCs w:val="24"/>
        </w:rPr>
        <w:t>-2023</w:t>
      </w:r>
      <w:r>
        <w:rPr>
          <w:rFonts w:hint="eastAsia"/>
          <w:sz w:val="24"/>
          <w:szCs w:val="24"/>
        </w:rPr>
        <w:t>年</w:t>
      </w:r>
      <w:r>
        <w:rPr>
          <w:sz w:val="24"/>
          <w:szCs w:val="24"/>
        </w:rPr>
        <w:t>12</w:t>
      </w:r>
      <w:r>
        <w:rPr>
          <w:rFonts w:hint="eastAsia"/>
          <w:sz w:val="24"/>
          <w:szCs w:val="24"/>
        </w:rPr>
        <w:t>月常规监测</w:t>
      </w:r>
    </w:p>
    <w:p>
      <w:pPr>
        <w:spacing w:line="520" w:lineRule="exact"/>
        <w:ind w:firstLine="480" w:firstLineChars="200"/>
        <w:rPr>
          <w:sz w:val="24"/>
          <w:szCs w:val="24"/>
          <w:highlight w:val="yellow"/>
        </w:rPr>
      </w:pPr>
      <w:r>
        <w:rPr>
          <w:sz w:val="24"/>
          <w:szCs w:val="24"/>
        </w:rPr>
        <w:t>为反映本项目纳污水体</w:t>
      </w:r>
      <w:r>
        <w:rPr>
          <w:rFonts w:hint="eastAsia"/>
          <w:sz w:val="24"/>
          <w:szCs w:val="24"/>
        </w:rPr>
        <w:t>文岩渠</w:t>
      </w:r>
      <w:r>
        <w:rPr>
          <w:sz w:val="24"/>
          <w:szCs w:val="24"/>
        </w:rPr>
        <w:t>的环境质量现状，本次评价引用2023年</w:t>
      </w:r>
      <w:r>
        <w:rPr>
          <w:rFonts w:hint="eastAsia"/>
          <w:sz w:val="24"/>
          <w:szCs w:val="24"/>
        </w:rPr>
        <w:t>1月</w:t>
      </w:r>
      <w:r>
        <w:rPr>
          <w:sz w:val="24"/>
          <w:szCs w:val="24"/>
        </w:rPr>
        <w:t>-2023</w:t>
      </w:r>
      <w:r>
        <w:rPr>
          <w:rFonts w:hint="eastAsia"/>
          <w:sz w:val="24"/>
          <w:szCs w:val="24"/>
        </w:rPr>
        <w:t>年</w:t>
      </w:r>
      <w:r>
        <w:rPr>
          <w:sz w:val="24"/>
          <w:szCs w:val="24"/>
        </w:rPr>
        <w:t>12</w:t>
      </w:r>
      <w:r>
        <w:rPr>
          <w:rFonts w:hint="eastAsia"/>
          <w:sz w:val="24"/>
          <w:szCs w:val="24"/>
        </w:rPr>
        <w:t>月</w:t>
      </w:r>
      <w:r>
        <w:rPr>
          <w:rFonts w:hint="eastAsia"/>
          <w:bCs/>
          <w:sz w:val="24"/>
          <w:szCs w:val="24"/>
        </w:rPr>
        <w:t>安乐庄</w:t>
      </w:r>
      <w:r>
        <w:rPr>
          <w:bCs/>
          <w:sz w:val="24"/>
          <w:szCs w:val="24"/>
        </w:rPr>
        <w:t>断面</w:t>
      </w:r>
      <w:r>
        <w:rPr>
          <w:rFonts w:hint="eastAsia"/>
          <w:bCs/>
          <w:sz w:val="24"/>
          <w:szCs w:val="24"/>
        </w:rPr>
        <w:t>的常规监测数据，</w:t>
      </w:r>
      <w:r>
        <w:rPr>
          <w:sz w:val="24"/>
          <w:szCs w:val="24"/>
        </w:rPr>
        <w:t>并对项目区域地表水环境现状进行对比分析。</w:t>
      </w:r>
      <w:r>
        <w:rPr>
          <w:rFonts w:hint="eastAsia"/>
          <w:sz w:val="24"/>
          <w:szCs w:val="24"/>
        </w:rPr>
        <w:t>本项目附近地表水体分布示意图见下图</w:t>
      </w:r>
      <w:r>
        <w:rPr>
          <w:sz w:val="24"/>
          <w:szCs w:val="24"/>
        </w:rPr>
        <w:t>4.3-1。</w:t>
      </w:r>
    </w:p>
    <w:p>
      <w:pPr>
        <w:jc w:val="center"/>
        <w:rPr>
          <w:b/>
          <w:sz w:val="24"/>
          <w:szCs w:val="20"/>
          <w:highlight w:val="yellow"/>
        </w:rPr>
      </w:pPr>
      <w:r>
        <w:rPr>
          <w:b/>
          <w:sz w:val="24"/>
          <w:szCs w:val="20"/>
        </w:rPr>
        <w:drawing>
          <wp:inline distT="0" distB="0" distL="0" distR="0">
            <wp:extent cx="5013960" cy="4210685"/>
            <wp:effectExtent l="0" t="0" r="15240" b="18415"/>
            <wp:docPr id="2023680569" name="图片 25"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80569" name="图片 25" descr="图示, 地图&#10;&#10;描述已自动生成"/>
                    <pic:cNvPicPr>
                      <a:picLocks noChangeAspect="1" noChangeArrowheads="1"/>
                    </pic:cNvPicPr>
                  </pic:nvPicPr>
                  <pic:blipFill>
                    <a:blip r:embed="rId57"/>
                    <a:srcRect/>
                    <a:stretch>
                      <a:fillRect/>
                    </a:stretch>
                  </pic:blipFill>
                  <pic:spPr>
                    <a:xfrm>
                      <a:off x="0" y="0"/>
                      <a:ext cx="5013960" cy="4210685"/>
                    </a:xfrm>
                    <a:prstGeom prst="rect">
                      <a:avLst/>
                    </a:prstGeom>
                    <a:noFill/>
                    <a:ln>
                      <a:noFill/>
                    </a:ln>
                  </pic:spPr>
                </pic:pic>
              </a:graphicData>
            </a:graphic>
          </wp:inline>
        </w:drawing>
      </w:r>
    </w:p>
    <w:p>
      <w:pPr>
        <w:spacing w:line="520" w:lineRule="exact"/>
        <w:jc w:val="center"/>
        <w:rPr>
          <w:rFonts w:eastAsia="黑体"/>
          <w:bCs/>
          <w:sz w:val="24"/>
          <w:szCs w:val="20"/>
        </w:rPr>
      </w:pPr>
      <w:r>
        <w:rPr>
          <w:rFonts w:eastAsia="黑体"/>
          <w:bCs/>
          <w:sz w:val="24"/>
          <w:szCs w:val="20"/>
        </w:rPr>
        <w:t xml:space="preserve">图4.3-1 </w:t>
      </w:r>
      <w:r>
        <w:rPr>
          <w:rFonts w:hint="eastAsia" w:eastAsia="黑体"/>
          <w:bCs/>
          <w:sz w:val="24"/>
          <w:szCs w:val="20"/>
        </w:rPr>
        <w:t>项目附近地表水体分布示意图</w:t>
      </w:r>
    </w:p>
    <w:p>
      <w:pPr>
        <w:spacing w:line="520" w:lineRule="exact"/>
        <w:ind w:firstLine="480" w:firstLineChars="200"/>
        <w:rPr>
          <w:sz w:val="24"/>
          <w:szCs w:val="24"/>
        </w:rPr>
      </w:pPr>
      <w:r>
        <w:rPr>
          <w:sz w:val="24"/>
          <w:szCs w:val="24"/>
        </w:rPr>
        <w:t>新乡市环境监测站编制的例行监测中</w:t>
      </w:r>
      <w:r>
        <w:rPr>
          <w:rFonts w:hint="eastAsia"/>
          <w:bCs/>
          <w:sz w:val="24"/>
          <w:szCs w:val="24"/>
        </w:rPr>
        <w:t>安乐庄</w:t>
      </w:r>
      <w:r>
        <w:rPr>
          <w:bCs/>
          <w:sz w:val="24"/>
          <w:szCs w:val="24"/>
        </w:rPr>
        <w:t>断面</w:t>
      </w:r>
      <w:r>
        <w:rPr>
          <w:sz w:val="24"/>
          <w:szCs w:val="24"/>
        </w:rPr>
        <w:t>2023年1月～2023年12月监测结果</w:t>
      </w:r>
      <w:r>
        <w:rPr>
          <w:rFonts w:hint="eastAsia"/>
          <w:sz w:val="24"/>
          <w:szCs w:val="24"/>
        </w:rPr>
        <w:t>统计</w:t>
      </w:r>
      <w:r>
        <w:rPr>
          <w:sz w:val="24"/>
          <w:szCs w:val="24"/>
        </w:rPr>
        <w:t>详见下表：</w:t>
      </w:r>
    </w:p>
    <w:p>
      <w:pPr>
        <w:spacing w:line="360" w:lineRule="auto"/>
        <w:ind w:firstLine="480" w:firstLineChars="200"/>
        <w:rPr>
          <w:rFonts w:eastAsia="黑体"/>
          <w:sz w:val="24"/>
          <w:szCs w:val="24"/>
        </w:rPr>
      </w:pPr>
      <w:r>
        <w:rPr>
          <w:rFonts w:eastAsia="黑体"/>
          <w:sz w:val="24"/>
          <w:szCs w:val="24"/>
        </w:rPr>
        <w:t xml:space="preserve">表4.3-7      </w:t>
      </w:r>
      <w:r>
        <w:rPr>
          <w:rFonts w:hint="eastAsia" w:eastAsia="黑体"/>
          <w:bCs/>
          <w:sz w:val="24"/>
          <w:szCs w:val="24"/>
        </w:rPr>
        <w:t>安乐庄</w:t>
      </w:r>
      <w:r>
        <w:rPr>
          <w:rFonts w:eastAsia="黑体"/>
          <w:bCs/>
          <w:sz w:val="24"/>
          <w:szCs w:val="24"/>
        </w:rPr>
        <w:t>断面</w:t>
      </w:r>
      <w:r>
        <w:rPr>
          <w:rFonts w:eastAsia="黑体"/>
          <w:sz w:val="24"/>
          <w:szCs w:val="24"/>
        </w:rPr>
        <w:t>水质例行监测结果统计一览表        单位：mg/L</w:t>
      </w:r>
    </w:p>
    <w:tbl>
      <w:tblPr>
        <w:tblStyle w:val="49"/>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1023"/>
        <w:gridCol w:w="1160"/>
        <w:gridCol w:w="1084"/>
        <w:gridCol w:w="951"/>
        <w:gridCol w:w="1116"/>
        <w:gridCol w:w="1276"/>
        <w:gridCol w:w="1060"/>
        <w:gridCol w:w="111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blHeader/>
        </w:trPr>
        <w:tc>
          <w:tcPr>
            <w:tcW w:w="582" w:type="pct"/>
            <w:vMerge w:val="restart"/>
            <w:tcBorders>
              <w:top w:val="single" w:color="auto" w:sz="8" w:space="0"/>
              <w:left w:val="single" w:color="auto" w:sz="8" w:space="0"/>
              <w:bottom w:val="single" w:color="auto" w:sz="6" w:space="0"/>
              <w:right w:val="single" w:color="auto" w:sz="6" w:space="0"/>
            </w:tcBorders>
            <w:vAlign w:val="center"/>
          </w:tcPr>
          <w:p>
            <w:pPr>
              <w:adjustRightInd w:val="0"/>
              <w:snapToGrid w:val="0"/>
              <w:jc w:val="center"/>
              <w:rPr>
                <w:b/>
                <w:szCs w:val="20"/>
              </w:rPr>
            </w:pPr>
            <w:r>
              <w:rPr>
                <w:b/>
                <w:szCs w:val="20"/>
              </w:rPr>
              <w:t>监测项目</w:t>
            </w:r>
          </w:p>
        </w:tc>
        <w:tc>
          <w:tcPr>
            <w:tcW w:w="660" w:type="pct"/>
            <w:vMerge w:val="restart"/>
            <w:tcBorders>
              <w:top w:val="single" w:color="auto" w:sz="8" w:space="0"/>
              <w:left w:val="single" w:color="auto" w:sz="6" w:space="0"/>
              <w:bottom w:val="single" w:color="auto" w:sz="6" w:space="0"/>
              <w:right w:val="single" w:color="auto" w:sz="6" w:space="0"/>
            </w:tcBorders>
            <w:vAlign w:val="center"/>
          </w:tcPr>
          <w:p>
            <w:pPr>
              <w:adjustRightInd w:val="0"/>
              <w:snapToGrid w:val="0"/>
              <w:jc w:val="center"/>
              <w:rPr>
                <w:b/>
                <w:szCs w:val="20"/>
              </w:rPr>
            </w:pPr>
            <w:r>
              <w:rPr>
                <w:b/>
                <w:szCs w:val="20"/>
              </w:rPr>
              <w:t>监测时间</w:t>
            </w:r>
          </w:p>
        </w:tc>
        <w:tc>
          <w:tcPr>
            <w:tcW w:w="1793" w:type="pct"/>
            <w:gridSpan w:val="3"/>
            <w:tcBorders>
              <w:top w:val="single" w:color="auto" w:sz="8" w:space="0"/>
              <w:left w:val="single" w:color="auto" w:sz="6" w:space="0"/>
              <w:bottom w:val="single" w:color="auto" w:sz="6" w:space="0"/>
              <w:right w:val="single" w:color="auto" w:sz="6" w:space="0"/>
            </w:tcBorders>
            <w:vAlign w:val="center"/>
          </w:tcPr>
          <w:p>
            <w:pPr>
              <w:adjustRightInd w:val="0"/>
              <w:snapToGrid w:val="0"/>
              <w:jc w:val="center"/>
              <w:rPr>
                <w:b/>
                <w:szCs w:val="20"/>
              </w:rPr>
            </w:pPr>
            <w:r>
              <w:rPr>
                <w:b/>
                <w:szCs w:val="20"/>
              </w:rPr>
              <w:t>监测结果（mg/L）</w:t>
            </w:r>
          </w:p>
        </w:tc>
        <w:tc>
          <w:tcPr>
            <w:tcW w:w="1964" w:type="pct"/>
            <w:gridSpan w:val="3"/>
            <w:tcBorders>
              <w:top w:val="single" w:color="auto" w:sz="8" w:space="0"/>
              <w:left w:val="single" w:color="auto" w:sz="6" w:space="0"/>
              <w:bottom w:val="single" w:color="auto" w:sz="6" w:space="0"/>
              <w:right w:val="single" w:color="auto" w:sz="8" w:space="0"/>
            </w:tcBorders>
            <w:vAlign w:val="center"/>
          </w:tcPr>
          <w:p>
            <w:pPr>
              <w:adjustRightInd w:val="0"/>
              <w:snapToGrid w:val="0"/>
              <w:jc w:val="center"/>
              <w:rPr>
                <w:b/>
                <w:szCs w:val="20"/>
              </w:rPr>
            </w:pPr>
            <w:r>
              <w:rPr>
                <w:b/>
                <w:szCs w:val="20"/>
              </w:rPr>
              <w:t>污染指数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blHeader/>
        </w:trPr>
        <w:tc>
          <w:tcPr>
            <w:tcW w:w="582" w:type="pct"/>
            <w:vMerge w:val="continue"/>
            <w:tcBorders>
              <w:top w:val="single" w:color="auto" w:sz="8" w:space="0"/>
              <w:left w:val="single" w:color="auto" w:sz="8" w:space="0"/>
              <w:bottom w:val="single" w:color="auto" w:sz="6" w:space="0"/>
              <w:right w:val="single" w:color="auto" w:sz="6" w:space="0"/>
            </w:tcBorders>
            <w:vAlign w:val="center"/>
          </w:tcPr>
          <w:p>
            <w:pPr>
              <w:widowControl/>
              <w:jc w:val="center"/>
              <w:rPr>
                <w:b/>
                <w:szCs w:val="24"/>
              </w:rPr>
            </w:pPr>
          </w:p>
        </w:tc>
        <w:tc>
          <w:tcPr>
            <w:tcW w:w="660" w:type="pct"/>
            <w:vMerge w:val="continue"/>
            <w:tcBorders>
              <w:top w:val="single" w:color="auto" w:sz="8" w:space="0"/>
              <w:left w:val="single" w:color="auto" w:sz="6" w:space="0"/>
              <w:bottom w:val="single" w:color="auto" w:sz="6" w:space="0"/>
              <w:right w:val="single" w:color="auto" w:sz="6" w:space="0"/>
            </w:tcBorders>
            <w:vAlign w:val="center"/>
          </w:tcPr>
          <w:p>
            <w:pPr>
              <w:widowControl/>
              <w:jc w:val="center"/>
              <w:rPr>
                <w:b/>
                <w:szCs w:val="24"/>
              </w:rPr>
            </w:pP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b/>
                <w:szCs w:val="20"/>
              </w:rPr>
            </w:pPr>
            <w:r>
              <w:rPr>
                <w:b/>
                <w:szCs w:val="20"/>
              </w:rPr>
              <w:t>COD</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b/>
                <w:szCs w:val="20"/>
              </w:rPr>
            </w:pPr>
            <w:r>
              <w:rPr>
                <w:b/>
                <w:szCs w:val="20"/>
              </w:rPr>
              <w:t>NH</w:t>
            </w:r>
            <w:r>
              <w:rPr>
                <w:b/>
                <w:szCs w:val="20"/>
                <w:vertAlign w:val="subscript"/>
              </w:rPr>
              <w:t>3</w:t>
            </w:r>
            <w:r>
              <w:rPr>
                <w:b/>
                <w:szCs w:val="20"/>
              </w:rPr>
              <w:t>-N</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b/>
                <w:szCs w:val="20"/>
              </w:rPr>
            </w:pPr>
            <w:r>
              <w:rPr>
                <w:b/>
                <w:szCs w:val="20"/>
              </w:rPr>
              <w:t>TP</w:t>
            </w:r>
          </w:p>
        </w:tc>
        <w:tc>
          <w:tcPr>
            <w:tcW w:w="72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b/>
                <w:szCs w:val="20"/>
              </w:rPr>
            </w:pPr>
            <w:r>
              <w:rPr>
                <w:b/>
                <w:szCs w:val="20"/>
              </w:rPr>
              <w:t>COD</w:t>
            </w:r>
          </w:p>
        </w:tc>
        <w:tc>
          <w:tcPr>
            <w:tcW w:w="60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b/>
                <w:szCs w:val="20"/>
              </w:rPr>
            </w:pPr>
            <w:r>
              <w:rPr>
                <w:b/>
                <w:szCs w:val="20"/>
              </w:rPr>
              <w:t>NH</w:t>
            </w:r>
            <w:r>
              <w:rPr>
                <w:b/>
                <w:szCs w:val="20"/>
                <w:vertAlign w:val="subscript"/>
              </w:rPr>
              <w:t>3</w:t>
            </w:r>
            <w:r>
              <w:rPr>
                <w:b/>
                <w:szCs w:val="20"/>
              </w:rPr>
              <w:t>-N</w:t>
            </w:r>
          </w:p>
        </w:tc>
        <w:tc>
          <w:tcPr>
            <w:tcW w:w="635" w:type="pct"/>
            <w:tcBorders>
              <w:top w:val="single" w:color="auto" w:sz="6" w:space="0"/>
              <w:left w:val="single" w:color="auto" w:sz="6" w:space="0"/>
              <w:bottom w:val="single" w:color="auto" w:sz="6" w:space="0"/>
              <w:right w:val="single" w:color="auto" w:sz="8" w:space="0"/>
            </w:tcBorders>
            <w:vAlign w:val="center"/>
          </w:tcPr>
          <w:p>
            <w:pPr>
              <w:adjustRightInd w:val="0"/>
              <w:snapToGrid w:val="0"/>
              <w:jc w:val="center"/>
              <w:rPr>
                <w:b/>
                <w:szCs w:val="20"/>
              </w:rPr>
            </w:pPr>
            <w:r>
              <w:rPr>
                <w:b/>
                <w:szCs w:val="20"/>
              </w:rPr>
              <w:t>TP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2" w:type="pct"/>
            <w:vMerge w:val="restart"/>
            <w:tcBorders>
              <w:top w:val="single" w:color="auto" w:sz="6" w:space="0"/>
              <w:left w:val="single" w:color="auto" w:sz="8" w:space="0"/>
              <w:right w:val="single" w:color="auto" w:sz="6" w:space="0"/>
            </w:tcBorders>
            <w:vAlign w:val="center"/>
          </w:tcPr>
          <w:p>
            <w:pPr>
              <w:adjustRightInd w:val="0"/>
              <w:snapToGrid w:val="0"/>
              <w:jc w:val="center"/>
              <w:textAlignment w:val="baseline"/>
              <w:rPr>
                <w:szCs w:val="21"/>
              </w:rPr>
            </w:pPr>
            <w:r>
              <w:rPr>
                <w:rFonts w:hint="eastAsia"/>
                <w:bCs/>
                <w:szCs w:val="21"/>
              </w:rPr>
              <w:t>安乐庄</w:t>
            </w:r>
            <w:r>
              <w:rPr>
                <w:bCs/>
                <w:szCs w:val="21"/>
              </w:rPr>
              <w:t>断</w:t>
            </w:r>
            <w:r>
              <w:rPr>
                <w:rFonts w:hint="eastAsia"/>
                <w:bCs/>
                <w:szCs w:val="21"/>
              </w:rPr>
              <w:t>面</w:t>
            </w:r>
          </w:p>
        </w:tc>
        <w:tc>
          <w:tcPr>
            <w:tcW w:w="6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szCs w:val="21"/>
              </w:rPr>
              <w:t>2023.1</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15.71</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0.26</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0.104</w:t>
            </w:r>
          </w:p>
        </w:tc>
        <w:tc>
          <w:tcPr>
            <w:tcW w:w="72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0</w:t>
            </w:r>
            <w:r>
              <w:rPr>
                <w:szCs w:val="21"/>
              </w:rPr>
              <w:t>.7855</w:t>
            </w:r>
          </w:p>
        </w:tc>
        <w:tc>
          <w:tcPr>
            <w:tcW w:w="603" w:type="pct"/>
            <w:tcBorders>
              <w:top w:val="single" w:color="auto" w:sz="6" w:space="0"/>
              <w:left w:val="single" w:color="auto" w:sz="6" w:space="0"/>
              <w:bottom w:val="single" w:color="auto" w:sz="6" w:space="0"/>
              <w:right w:val="single" w:color="auto" w:sz="6" w:space="0"/>
            </w:tcBorders>
            <w:vAlign w:val="center"/>
          </w:tcPr>
          <w:p>
            <w:pPr>
              <w:jc w:val="center"/>
              <w:rPr>
                <w:szCs w:val="20"/>
              </w:rPr>
            </w:pPr>
            <w:r>
              <w:rPr>
                <w:rFonts w:hint="eastAsia"/>
                <w:szCs w:val="21"/>
              </w:rPr>
              <w:t>0.26</w:t>
            </w:r>
          </w:p>
        </w:tc>
        <w:tc>
          <w:tcPr>
            <w:tcW w:w="635" w:type="pct"/>
            <w:tcBorders>
              <w:top w:val="single" w:color="auto" w:sz="6" w:space="0"/>
              <w:left w:val="single" w:color="auto" w:sz="6" w:space="0"/>
              <w:bottom w:val="single" w:color="auto" w:sz="6" w:space="0"/>
              <w:right w:val="single" w:color="auto" w:sz="8" w:space="0"/>
            </w:tcBorders>
            <w:vAlign w:val="center"/>
          </w:tcPr>
          <w:p>
            <w:pPr>
              <w:jc w:val="center"/>
              <w:rPr>
                <w:szCs w:val="21"/>
              </w:rPr>
            </w:pPr>
            <w:r>
              <w:rPr>
                <w:rFonts w:hint="eastAsia"/>
                <w:szCs w:val="21"/>
              </w:rPr>
              <w:t>0</w:t>
            </w:r>
            <w:r>
              <w:rPr>
                <w:szCs w:val="21"/>
              </w:rPr>
              <w:t>.52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2" w:type="pct"/>
            <w:vMerge w:val="continue"/>
            <w:tcBorders>
              <w:left w:val="single" w:color="auto" w:sz="8" w:space="0"/>
              <w:right w:val="single" w:color="auto" w:sz="6" w:space="0"/>
            </w:tcBorders>
            <w:vAlign w:val="center"/>
          </w:tcPr>
          <w:p>
            <w:pPr>
              <w:widowControl/>
              <w:jc w:val="center"/>
              <w:rPr>
                <w:szCs w:val="21"/>
              </w:rPr>
            </w:pPr>
          </w:p>
        </w:tc>
        <w:tc>
          <w:tcPr>
            <w:tcW w:w="6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szCs w:val="21"/>
              </w:rPr>
              <w:t>2023.2</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14.63</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0.32</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0.083</w:t>
            </w:r>
          </w:p>
        </w:tc>
        <w:tc>
          <w:tcPr>
            <w:tcW w:w="72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0</w:t>
            </w:r>
            <w:r>
              <w:rPr>
                <w:szCs w:val="21"/>
              </w:rPr>
              <w:t>.7315</w:t>
            </w:r>
          </w:p>
        </w:tc>
        <w:tc>
          <w:tcPr>
            <w:tcW w:w="603" w:type="pct"/>
            <w:tcBorders>
              <w:top w:val="single" w:color="auto" w:sz="6" w:space="0"/>
              <w:left w:val="single" w:color="auto" w:sz="6" w:space="0"/>
              <w:bottom w:val="single" w:color="auto" w:sz="6" w:space="0"/>
              <w:right w:val="single" w:color="auto" w:sz="6" w:space="0"/>
            </w:tcBorders>
            <w:vAlign w:val="center"/>
          </w:tcPr>
          <w:p>
            <w:pPr>
              <w:jc w:val="center"/>
              <w:rPr>
                <w:szCs w:val="20"/>
              </w:rPr>
            </w:pPr>
            <w:r>
              <w:rPr>
                <w:rFonts w:hint="eastAsia"/>
                <w:szCs w:val="21"/>
              </w:rPr>
              <w:t>0.32</w:t>
            </w:r>
          </w:p>
        </w:tc>
        <w:tc>
          <w:tcPr>
            <w:tcW w:w="635" w:type="pct"/>
            <w:tcBorders>
              <w:top w:val="single" w:color="auto" w:sz="6" w:space="0"/>
              <w:left w:val="single" w:color="auto" w:sz="6" w:space="0"/>
              <w:bottom w:val="single" w:color="auto" w:sz="6" w:space="0"/>
              <w:right w:val="single" w:color="auto" w:sz="8" w:space="0"/>
            </w:tcBorders>
            <w:vAlign w:val="center"/>
          </w:tcPr>
          <w:p>
            <w:pPr>
              <w:jc w:val="center"/>
              <w:rPr>
                <w:szCs w:val="21"/>
              </w:rPr>
            </w:pPr>
            <w:r>
              <w:rPr>
                <w:rFonts w:hint="eastAsia"/>
                <w:szCs w:val="21"/>
              </w:rPr>
              <w:t>0</w:t>
            </w:r>
            <w:r>
              <w:rPr>
                <w:szCs w:val="21"/>
              </w:rPr>
              <w:t>.415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2" w:type="pct"/>
            <w:vMerge w:val="continue"/>
            <w:tcBorders>
              <w:left w:val="single" w:color="auto" w:sz="8" w:space="0"/>
              <w:right w:val="single" w:color="auto" w:sz="6" w:space="0"/>
            </w:tcBorders>
            <w:vAlign w:val="center"/>
          </w:tcPr>
          <w:p>
            <w:pPr>
              <w:widowControl/>
              <w:jc w:val="center"/>
              <w:rPr>
                <w:szCs w:val="21"/>
              </w:rPr>
            </w:pPr>
          </w:p>
        </w:tc>
        <w:tc>
          <w:tcPr>
            <w:tcW w:w="6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szCs w:val="21"/>
              </w:rPr>
              <w:t>2023.3</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14.5</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0.4</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0.10</w:t>
            </w:r>
          </w:p>
        </w:tc>
        <w:tc>
          <w:tcPr>
            <w:tcW w:w="72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0</w:t>
            </w:r>
            <w:r>
              <w:rPr>
                <w:szCs w:val="21"/>
              </w:rPr>
              <w:t>.725</w:t>
            </w:r>
          </w:p>
        </w:tc>
        <w:tc>
          <w:tcPr>
            <w:tcW w:w="603" w:type="pct"/>
            <w:tcBorders>
              <w:top w:val="single" w:color="auto" w:sz="6" w:space="0"/>
              <w:left w:val="single" w:color="auto" w:sz="6" w:space="0"/>
              <w:bottom w:val="single" w:color="auto" w:sz="6" w:space="0"/>
              <w:right w:val="single" w:color="auto" w:sz="6" w:space="0"/>
            </w:tcBorders>
            <w:vAlign w:val="center"/>
          </w:tcPr>
          <w:p>
            <w:pPr>
              <w:jc w:val="center"/>
              <w:rPr>
                <w:szCs w:val="20"/>
              </w:rPr>
            </w:pPr>
            <w:r>
              <w:rPr>
                <w:rFonts w:hint="eastAsia"/>
                <w:szCs w:val="21"/>
              </w:rPr>
              <w:t>0.4</w:t>
            </w:r>
          </w:p>
        </w:tc>
        <w:tc>
          <w:tcPr>
            <w:tcW w:w="635" w:type="pct"/>
            <w:tcBorders>
              <w:top w:val="single" w:color="auto" w:sz="6" w:space="0"/>
              <w:left w:val="single" w:color="auto" w:sz="6" w:space="0"/>
              <w:bottom w:val="single" w:color="auto" w:sz="6" w:space="0"/>
              <w:right w:val="single" w:color="auto" w:sz="8" w:space="0"/>
            </w:tcBorders>
            <w:vAlign w:val="center"/>
          </w:tcPr>
          <w:p>
            <w:pPr>
              <w:jc w:val="center"/>
              <w:rPr>
                <w:szCs w:val="21"/>
              </w:rPr>
            </w:pPr>
            <w:r>
              <w:rPr>
                <w:rFonts w:hint="eastAsia"/>
                <w:szCs w:val="21"/>
              </w:rPr>
              <w:t>0</w:t>
            </w:r>
            <w:r>
              <w:rPr>
                <w:szCs w:val="21"/>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2" w:type="pct"/>
            <w:vMerge w:val="continue"/>
            <w:tcBorders>
              <w:left w:val="single" w:color="auto" w:sz="8" w:space="0"/>
              <w:right w:val="single" w:color="auto" w:sz="6" w:space="0"/>
            </w:tcBorders>
            <w:vAlign w:val="center"/>
          </w:tcPr>
          <w:p>
            <w:pPr>
              <w:widowControl/>
              <w:jc w:val="center"/>
              <w:rPr>
                <w:szCs w:val="21"/>
              </w:rPr>
            </w:pPr>
          </w:p>
        </w:tc>
        <w:tc>
          <w:tcPr>
            <w:tcW w:w="6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szCs w:val="21"/>
              </w:rPr>
              <w:t>2023.4</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13.5</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0.3</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0.05</w:t>
            </w:r>
          </w:p>
        </w:tc>
        <w:tc>
          <w:tcPr>
            <w:tcW w:w="72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0</w:t>
            </w:r>
            <w:r>
              <w:rPr>
                <w:szCs w:val="21"/>
              </w:rPr>
              <w:t>.675</w:t>
            </w:r>
          </w:p>
        </w:tc>
        <w:tc>
          <w:tcPr>
            <w:tcW w:w="603" w:type="pct"/>
            <w:tcBorders>
              <w:top w:val="single" w:color="auto" w:sz="6" w:space="0"/>
              <w:left w:val="single" w:color="auto" w:sz="6" w:space="0"/>
              <w:bottom w:val="single" w:color="auto" w:sz="6" w:space="0"/>
              <w:right w:val="single" w:color="auto" w:sz="6" w:space="0"/>
            </w:tcBorders>
            <w:vAlign w:val="center"/>
          </w:tcPr>
          <w:p>
            <w:pPr>
              <w:jc w:val="center"/>
              <w:rPr>
                <w:szCs w:val="20"/>
              </w:rPr>
            </w:pPr>
            <w:r>
              <w:rPr>
                <w:rFonts w:hint="eastAsia"/>
                <w:szCs w:val="21"/>
              </w:rPr>
              <w:t>0.3</w:t>
            </w:r>
          </w:p>
        </w:tc>
        <w:tc>
          <w:tcPr>
            <w:tcW w:w="635" w:type="pct"/>
            <w:tcBorders>
              <w:top w:val="single" w:color="auto" w:sz="6" w:space="0"/>
              <w:left w:val="single" w:color="auto" w:sz="6" w:space="0"/>
              <w:bottom w:val="single" w:color="auto" w:sz="6" w:space="0"/>
              <w:right w:val="single" w:color="auto" w:sz="8" w:space="0"/>
            </w:tcBorders>
            <w:vAlign w:val="center"/>
          </w:tcPr>
          <w:p>
            <w:pPr>
              <w:jc w:val="center"/>
              <w:rPr>
                <w:szCs w:val="21"/>
              </w:rPr>
            </w:pPr>
            <w:r>
              <w:rPr>
                <w:rFonts w:hint="eastAsia"/>
                <w:szCs w:val="21"/>
              </w:rPr>
              <w:t>0</w:t>
            </w:r>
            <w:r>
              <w:rPr>
                <w:szCs w:val="21"/>
              </w:rPr>
              <w:t>.25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2" w:type="pct"/>
            <w:vMerge w:val="continue"/>
            <w:tcBorders>
              <w:left w:val="single" w:color="auto" w:sz="8" w:space="0"/>
              <w:right w:val="single" w:color="auto" w:sz="6" w:space="0"/>
            </w:tcBorders>
            <w:vAlign w:val="center"/>
          </w:tcPr>
          <w:p>
            <w:pPr>
              <w:widowControl/>
              <w:jc w:val="center"/>
              <w:rPr>
                <w:szCs w:val="21"/>
              </w:rPr>
            </w:pPr>
          </w:p>
        </w:tc>
        <w:tc>
          <w:tcPr>
            <w:tcW w:w="6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szCs w:val="21"/>
              </w:rPr>
              <w:t>2</w:t>
            </w:r>
            <w:r>
              <w:rPr>
                <w:szCs w:val="21"/>
              </w:rPr>
              <w:t>023.5</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18.5</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0.7</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0.11</w:t>
            </w:r>
          </w:p>
        </w:tc>
        <w:tc>
          <w:tcPr>
            <w:tcW w:w="72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0</w:t>
            </w:r>
            <w:r>
              <w:rPr>
                <w:szCs w:val="21"/>
              </w:rPr>
              <w:t>.925</w:t>
            </w:r>
          </w:p>
        </w:tc>
        <w:tc>
          <w:tcPr>
            <w:tcW w:w="603" w:type="pct"/>
            <w:tcBorders>
              <w:top w:val="single" w:color="auto" w:sz="6" w:space="0"/>
              <w:left w:val="single" w:color="auto" w:sz="6" w:space="0"/>
              <w:bottom w:val="single" w:color="auto" w:sz="6" w:space="0"/>
              <w:right w:val="single" w:color="auto" w:sz="6" w:space="0"/>
            </w:tcBorders>
            <w:vAlign w:val="center"/>
          </w:tcPr>
          <w:p>
            <w:pPr>
              <w:jc w:val="center"/>
              <w:rPr>
                <w:szCs w:val="20"/>
              </w:rPr>
            </w:pPr>
            <w:r>
              <w:rPr>
                <w:rFonts w:hint="eastAsia"/>
                <w:szCs w:val="21"/>
              </w:rPr>
              <w:t>0.7</w:t>
            </w:r>
          </w:p>
        </w:tc>
        <w:tc>
          <w:tcPr>
            <w:tcW w:w="635" w:type="pct"/>
            <w:tcBorders>
              <w:top w:val="single" w:color="auto" w:sz="6" w:space="0"/>
              <w:left w:val="single" w:color="auto" w:sz="6" w:space="0"/>
              <w:bottom w:val="single" w:color="auto" w:sz="6" w:space="0"/>
              <w:right w:val="single" w:color="auto" w:sz="8" w:space="0"/>
            </w:tcBorders>
            <w:vAlign w:val="center"/>
          </w:tcPr>
          <w:p>
            <w:pPr>
              <w:jc w:val="center"/>
              <w:rPr>
                <w:szCs w:val="21"/>
              </w:rPr>
            </w:pPr>
            <w:r>
              <w:rPr>
                <w:rFonts w:hint="eastAsia"/>
                <w:szCs w:val="21"/>
              </w:rPr>
              <w:t>0</w:t>
            </w:r>
            <w:r>
              <w:rPr>
                <w:szCs w:val="21"/>
              </w:rPr>
              <w:t>.55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2" w:type="pct"/>
            <w:vMerge w:val="continue"/>
            <w:tcBorders>
              <w:left w:val="single" w:color="auto" w:sz="8" w:space="0"/>
              <w:right w:val="single" w:color="auto" w:sz="6" w:space="0"/>
            </w:tcBorders>
            <w:vAlign w:val="center"/>
          </w:tcPr>
          <w:p>
            <w:pPr>
              <w:widowControl/>
              <w:jc w:val="center"/>
              <w:rPr>
                <w:szCs w:val="21"/>
              </w:rPr>
            </w:pPr>
          </w:p>
        </w:tc>
        <w:tc>
          <w:tcPr>
            <w:tcW w:w="6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szCs w:val="21"/>
              </w:rPr>
              <w:t>2</w:t>
            </w:r>
            <w:r>
              <w:rPr>
                <w:szCs w:val="21"/>
              </w:rPr>
              <w:t>023.6</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15.7</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0.6</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0.12</w:t>
            </w:r>
          </w:p>
        </w:tc>
        <w:tc>
          <w:tcPr>
            <w:tcW w:w="72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0</w:t>
            </w:r>
            <w:r>
              <w:rPr>
                <w:szCs w:val="21"/>
              </w:rPr>
              <w:t>.785</w:t>
            </w:r>
          </w:p>
        </w:tc>
        <w:tc>
          <w:tcPr>
            <w:tcW w:w="603" w:type="pct"/>
            <w:tcBorders>
              <w:top w:val="single" w:color="auto" w:sz="6" w:space="0"/>
              <w:left w:val="single" w:color="auto" w:sz="6" w:space="0"/>
              <w:bottom w:val="single" w:color="auto" w:sz="6" w:space="0"/>
              <w:right w:val="single" w:color="auto" w:sz="6" w:space="0"/>
            </w:tcBorders>
            <w:vAlign w:val="center"/>
          </w:tcPr>
          <w:p>
            <w:pPr>
              <w:jc w:val="center"/>
              <w:rPr>
                <w:szCs w:val="20"/>
              </w:rPr>
            </w:pPr>
            <w:r>
              <w:rPr>
                <w:rFonts w:hint="eastAsia"/>
                <w:szCs w:val="21"/>
              </w:rPr>
              <w:t>0.6</w:t>
            </w:r>
          </w:p>
        </w:tc>
        <w:tc>
          <w:tcPr>
            <w:tcW w:w="635" w:type="pct"/>
            <w:tcBorders>
              <w:top w:val="single" w:color="auto" w:sz="6" w:space="0"/>
              <w:left w:val="single" w:color="auto" w:sz="6" w:space="0"/>
              <w:bottom w:val="single" w:color="auto" w:sz="6" w:space="0"/>
              <w:right w:val="single" w:color="auto" w:sz="8" w:space="0"/>
            </w:tcBorders>
            <w:vAlign w:val="center"/>
          </w:tcPr>
          <w:p>
            <w:pPr>
              <w:jc w:val="center"/>
              <w:rPr>
                <w:szCs w:val="21"/>
              </w:rPr>
            </w:pPr>
            <w:r>
              <w:rPr>
                <w:rFonts w:hint="eastAsia"/>
                <w:szCs w:val="21"/>
              </w:rPr>
              <w:t>0</w:t>
            </w:r>
            <w:r>
              <w:rPr>
                <w:szCs w:val="21"/>
              </w:rPr>
              <w:t>.6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2" w:type="pct"/>
            <w:vMerge w:val="continue"/>
            <w:tcBorders>
              <w:left w:val="single" w:color="auto" w:sz="8" w:space="0"/>
              <w:right w:val="single" w:color="auto" w:sz="6" w:space="0"/>
            </w:tcBorders>
            <w:vAlign w:val="center"/>
          </w:tcPr>
          <w:p>
            <w:pPr>
              <w:widowControl/>
              <w:jc w:val="center"/>
              <w:rPr>
                <w:szCs w:val="21"/>
              </w:rPr>
            </w:pPr>
          </w:p>
        </w:tc>
        <w:tc>
          <w:tcPr>
            <w:tcW w:w="6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szCs w:val="21"/>
              </w:rPr>
              <w:t>2</w:t>
            </w:r>
            <w:r>
              <w:rPr>
                <w:szCs w:val="21"/>
              </w:rPr>
              <w:t>023.7</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22.7</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1.3</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0.24</w:t>
            </w:r>
          </w:p>
        </w:tc>
        <w:tc>
          <w:tcPr>
            <w:tcW w:w="72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1</w:t>
            </w:r>
            <w:r>
              <w:rPr>
                <w:szCs w:val="21"/>
              </w:rPr>
              <w:t>.135</w:t>
            </w:r>
          </w:p>
        </w:tc>
        <w:tc>
          <w:tcPr>
            <w:tcW w:w="603" w:type="pct"/>
            <w:tcBorders>
              <w:top w:val="single" w:color="auto" w:sz="6" w:space="0"/>
              <w:left w:val="single" w:color="auto" w:sz="6" w:space="0"/>
              <w:bottom w:val="single" w:color="auto" w:sz="6" w:space="0"/>
              <w:right w:val="single" w:color="auto" w:sz="6" w:space="0"/>
            </w:tcBorders>
            <w:vAlign w:val="center"/>
          </w:tcPr>
          <w:p>
            <w:pPr>
              <w:jc w:val="center"/>
              <w:rPr>
                <w:szCs w:val="20"/>
              </w:rPr>
            </w:pPr>
            <w:r>
              <w:rPr>
                <w:rFonts w:hint="eastAsia"/>
                <w:szCs w:val="21"/>
              </w:rPr>
              <w:t>1.3</w:t>
            </w:r>
          </w:p>
        </w:tc>
        <w:tc>
          <w:tcPr>
            <w:tcW w:w="635" w:type="pct"/>
            <w:tcBorders>
              <w:top w:val="single" w:color="auto" w:sz="6" w:space="0"/>
              <w:left w:val="single" w:color="auto" w:sz="6" w:space="0"/>
              <w:bottom w:val="single" w:color="auto" w:sz="6" w:space="0"/>
              <w:right w:val="single" w:color="auto" w:sz="8" w:space="0"/>
            </w:tcBorders>
            <w:vAlign w:val="center"/>
          </w:tcPr>
          <w:p>
            <w:pPr>
              <w:jc w:val="center"/>
              <w:rPr>
                <w:szCs w:val="21"/>
              </w:rPr>
            </w:pPr>
            <w:r>
              <w:rPr>
                <w:rFonts w:hint="eastAsia"/>
                <w:szCs w:val="21"/>
              </w:rPr>
              <w:t>1</w:t>
            </w:r>
            <w:r>
              <w:rPr>
                <w:szCs w:val="21"/>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2" w:type="pct"/>
            <w:vMerge w:val="continue"/>
            <w:tcBorders>
              <w:left w:val="single" w:color="auto" w:sz="8" w:space="0"/>
              <w:right w:val="single" w:color="auto" w:sz="6" w:space="0"/>
            </w:tcBorders>
            <w:vAlign w:val="center"/>
          </w:tcPr>
          <w:p>
            <w:pPr>
              <w:widowControl/>
              <w:jc w:val="center"/>
              <w:rPr>
                <w:szCs w:val="21"/>
              </w:rPr>
            </w:pPr>
          </w:p>
        </w:tc>
        <w:tc>
          <w:tcPr>
            <w:tcW w:w="6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szCs w:val="21"/>
              </w:rPr>
              <w:t>2</w:t>
            </w:r>
            <w:r>
              <w:rPr>
                <w:szCs w:val="21"/>
              </w:rPr>
              <w:t>023.8</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20.9</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1.2</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0.20</w:t>
            </w:r>
          </w:p>
        </w:tc>
        <w:tc>
          <w:tcPr>
            <w:tcW w:w="72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1</w:t>
            </w:r>
            <w:r>
              <w:rPr>
                <w:szCs w:val="21"/>
              </w:rPr>
              <w:t>.045</w:t>
            </w:r>
          </w:p>
        </w:tc>
        <w:tc>
          <w:tcPr>
            <w:tcW w:w="603" w:type="pct"/>
            <w:tcBorders>
              <w:top w:val="single" w:color="auto" w:sz="6" w:space="0"/>
              <w:left w:val="single" w:color="auto" w:sz="6" w:space="0"/>
              <w:bottom w:val="single" w:color="auto" w:sz="6" w:space="0"/>
              <w:right w:val="single" w:color="auto" w:sz="6" w:space="0"/>
            </w:tcBorders>
            <w:vAlign w:val="center"/>
          </w:tcPr>
          <w:p>
            <w:pPr>
              <w:jc w:val="center"/>
              <w:rPr>
                <w:szCs w:val="20"/>
              </w:rPr>
            </w:pPr>
            <w:r>
              <w:rPr>
                <w:rFonts w:hint="eastAsia"/>
                <w:szCs w:val="21"/>
              </w:rPr>
              <w:t>1.2</w:t>
            </w:r>
          </w:p>
        </w:tc>
        <w:tc>
          <w:tcPr>
            <w:tcW w:w="635" w:type="pct"/>
            <w:tcBorders>
              <w:top w:val="single" w:color="auto" w:sz="6" w:space="0"/>
              <w:left w:val="single" w:color="auto" w:sz="6" w:space="0"/>
              <w:bottom w:val="single" w:color="auto" w:sz="6" w:space="0"/>
              <w:right w:val="single" w:color="auto" w:sz="8" w:space="0"/>
            </w:tcBorders>
            <w:vAlign w:val="center"/>
          </w:tcPr>
          <w:p>
            <w:pPr>
              <w:jc w:val="center"/>
              <w:rPr>
                <w:szCs w:val="21"/>
              </w:rPr>
            </w:pPr>
            <w:r>
              <w:rPr>
                <w:rFonts w:hint="eastAsia"/>
                <w:szCs w:val="21"/>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2" w:type="pct"/>
            <w:vMerge w:val="continue"/>
            <w:tcBorders>
              <w:left w:val="single" w:color="auto" w:sz="8" w:space="0"/>
              <w:right w:val="single" w:color="auto" w:sz="6" w:space="0"/>
            </w:tcBorders>
            <w:vAlign w:val="center"/>
          </w:tcPr>
          <w:p>
            <w:pPr>
              <w:widowControl/>
              <w:jc w:val="center"/>
              <w:rPr>
                <w:szCs w:val="21"/>
              </w:rPr>
            </w:pPr>
          </w:p>
        </w:tc>
        <w:tc>
          <w:tcPr>
            <w:tcW w:w="6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szCs w:val="21"/>
              </w:rPr>
              <w:t>2</w:t>
            </w:r>
            <w:r>
              <w:rPr>
                <w:szCs w:val="21"/>
              </w:rPr>
              <w:t>023.9</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19.9</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1.1</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0.20</w:t>
            </w:r>
          </w:p>
        </w:tc>
        <w:tc>
          <w:tcPr>
            <w:tcW w:w="72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0</w:t>
            </w:r>
            <w:r>
              <w:rPr>
                <w:szCs w:val="21"/>
              </w:rPr>
              <w:t>.995</w:t>
            </w:r>
          </w:p>
        </w:tc>
        <w:tc>
          <w:tcPr>
            <w:tcW w:w="603" w:type="pct"/>
            <w:tcBorders>
              <w:top w:val="single" w:color="auto" w:sz="6" w:space="0"/>
              <w:left w:val="single" w:color="auto" w:sz="6" w:space="0"/>
              <w:bottom w:val="single" w:color="auto" w:sz="6" w:space="0"/>
              <w:right w:val="single" w:color="auto" w:sz="6" w:space="0"/>
            </w:tcBorders>
            <w:vAlign w:val="center"/>
          </w:tcPr>
          <w:p>
            <w:pPr>
              <w:jc w:val="center"/>
              <w:rPr>
                <w:szCs w:val="20"/>
              </w:rPr>
            </w:pPr>
            <w:r>
              <w:rPr>
                <w:rFonts w:hint="eastAsia"/>
                <w:szCs w:val="21"/>
              </w:rPr>
              <w:t>1.1</w:t>
            </w:r>
          </w:p>
        </w:tc>
        <w:tc>
          <w:tcPr>
            <w:tcW w:w="635" w:type="pct"/>
            <w:tcBorders>
              <w:top w:val="single" w:color="auto" w:sz="6" w:space="0"/>
              <w:left w:val="single" w:color="auto" w:sz="6" w:space="0"/>
              <w:bottom w:val="single" w:color="auto" w:sz="6" w:space="0"/>
              <w:right w:val="single" w:color="auto" w:sz="8" w:space="0"/>
            </w:tcBorders>
            <w:vAlign w:val="center"/>
          </w:tcPr>
          <w:p>
            <w:pPr>
              <w:jc w:val="center"/>
              <w:rPr>
                <w:szCs w:val="21"/>
              </w:rPr>
            </w:pPr>
            <w:r>
              <w:rPr>
                <w:rFonts w:hint="eastAsia"/>
                <w:szCs w:val="21"/>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2" w:type="pct"/>
            <w:vMerge w:val="continue"/>
            <w:tcBorders>
              <w:left w:val="single" w:color="auto" w:sz="8" w:space="0"/>
              <w:right w:val="single" w:color="auto" w:sz="6" w:space="0"/>
            </w:tcBorders>
            <w:vAlign w:val="center"/>
          </w:tcPr>
          <w:p>
            <w:pPr>
              <w:widowControl/>
              <w:jc w:val="center"/>
              <w:rPr>
                <w:szCs w:val="21"/>
              </w:rPr>
            </w:pPr>
          </w:p>
        </w:tc>
        <w:tc>
          <w:tcPr>
            <w:tcW w:w="6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szCs w:val="21"/>
              </w:rPr>
              <w:t>2</w:t>
            </w:r>
            <w:r>
              <w:rPr>
                <w:szCs w:val="21"/>
              </w:rPr>
              <w:t>023.10</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16.4</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0.3</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0.08</w:t>
            </w:r>
          </w:p>
        </w:tc>
        <w:tc>
          <w:tcPr>
            <w:tcW w:w="72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0</w:t>
            </w:r>
            <w:r>
              <w:rPr>
                <w:szCs w:val="21"/>
              </w:rPr>
              <w:t>.82</w:t>
            </w:r>
          </w:p>
        </w:tc>
        <w:tc>
          <w:tcPr>
            <w:tcW w:w="603" w:type="pct"/>
            <w:tcBorders>
              <w:top w:val="single" w:color="auto" w:sz="6" w:space="0"/>
              <w:left w:val="single" w:color="auto" w:sz="6" w:space="0"/>
              <w:bottom w:val="single" w:color="auto" w:sz="6" w:space="0"/>
              <w:right w:val="single" w:color="auto" w:sz="6" w:space="0"/>
            </w:tcBorders>
            <w:vAlign w:val="center"/>
          </w:tcPr>
          <w:p>
            <w:pPr>
              <w:jc w:val="center"/>
              <w:rPr>
                <w:szCs w:val="20"/>
              </w:rPr>
            </w:pPr>
            <w:r>
              <w:rPr>
                <w:rFonts w:hint="eastAsia"/>
                <w:szCs w:val="21"/>
              </w:rPr>
              <w:t>0.3</w:t>
            </w:r>
          </w:p>
        </w:tc>
        <w:tc>
          <w:tcPr>
            <w:tcW w:w="635" w:type="pct"/>
            <w:tcBorders>
              <w:top w:val="single" w:color="auto" w:sz="6" w:space="0"/>
              <w:left w:val="single" w:color="auto" w:sz="6" w:space="0"/>
              <w:bottom w:val="single" w:color="auto" w:sz="6" w:space="0"/>
              <w:right w:val="single" w:color="auto" w:sz="8" w:space="0"/>
            </w:tcBorders>
            <w:vAlign w:val="center"/>
          </w:tcPr>
          <w:p>
            <w:pPr>
              <w:jc w:val="center"/>
              <w:rPr>
                <w:szCs w:val="21"/>
              </w:rPr>
            </w:pPr>
            <w:r>
              <w:rPr>
                <w:rFonts w:hint="eastAsia"/>
                <w:szCs w:val="21"/>
              </w:rPr>
              <w:t>0</w:t>
            </w:r>
            <w:r>
              <w:rPr>
                <w:szCs w:val="21"/>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2" w:type="pct"/>
            <w:vMerge w:val="continue"/>
            <w:tcBorders>
              <w:left w:val="single" w:color="auto" w:sz="8" w:space="0"/>
              <w:right w:val="single" w:color="auto" w:sz="6" w:space="0"/>
            </w:tcBorders>
            <w:vAlign w:val="center"/>
          </w:tcPr>
          <w:p>
            <w:pPr>
              <w:widowControl/>
              <w:jc w:val="center"/>
              <w:rPr>
                <w:szCs w:val="21"/>
              </w:rPr>
            </w:pPr>
          </w:p>
        </w:tc>
        <w:tc>
          <w:tcPr>
            <w:tcW w:w="6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szCs w:val="21"/>
              </w:rPr>
              <w:t>2</w:t>
            </w:r>
            <w:r>
              <w:rPr>
                <w:szCs w:val="21"/>
              </w:rPr>
              <w:t>023.11</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16.0</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0.6</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0.12</w:t>
            </w:r>
          </w:p>
        </w:tc>
        <w:tc>
          <w:tcPr>
            <w:tcW w:w="72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0</w:t>
            </w:r>
            <w:r>
              <w:rPr>
                <w:szCs w:val="21"/>
              </w:rPr>
              <w:t>.8</w:t>
            </w:r>
          </w:p>
        </w:tc>
        <w:tc>
          <w:tcPr>
            <w:tcW w:w="603" w:type="pct"/>
            <w:tcBorders>
              <w:top w:val="single" w:color="auto" w:sz="6" w:space="0"/>
              <w:left w:val="single" w:color="auto" w:sz="6" w:space="0"/>
              <w:bottom w:val="single" w:color="auto" w:sz="6" w:space="0"/>
              <w:right w:val="single" w:color="auto" w:sz="6" w:space="0"/>
            </w:tcBorders>
            <w:vAlign w:val="center"/>
          </w:tcPr>
          <w:p>
            <w:pPr>
              <w:jc w:val="center"/>
              <w:rPr>
                <w:szCs w:val="20"/>
              </w:rPr>
            </w:pPr>
            <w:r>
              <w:rPr>
                <w:rFonts w:hint="eastAsia"/>
                <w:szCs w:val="21"/>
              </w:rPr>
              <w:t>0.6</w:t>
            </w:r>
          </w:p>
        </w:tc>
        <w:tc>
          <w:tcPr>
            <w:tcW w:w="635" w:type="pct"/>
            <w:tcBorders>
              <w:top w:val="single" w:color="auto" w:sz="6" w:space="0"/>
              <w:left w:val="single" w:color="auto" w:sz="6" w:space="0"/>
              <w:bottom w:val="single" w:color="auto" w:sz="6" w:space="0"/>
              <w:right w:val="single" w:color="auto" w:sz="8" w:space="0"/>
            </w:tcBorders>
            <w:vAlign w:val="center"/>
          </w:tcPr>
          <w:p>
            <w:pPr>
              <w:jc w:val="center"/>
              <w:rPr>
                <w:szCs w:val="21"/>
              </w:rPr>
            </w:pPr>
            <w:r>
              <w:rPr>
                <w:rFonts w:hint="eastAsia"/>
                <w:szCs w:val="21"/>
              </w:rPr>
              <w:t>0</w:t>
            </w:r>
            <w:r>
              <w:rPr>
                <w:szCs w:val="21"/>
              </w:rPr>
              <w:t>.6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2" w:type="pct"/>
            <w:vMerge w:val="continue"/>
            <w:tcBorders>
              <w:left w:val="single" w:color="auto" w:sz="8" w:space="0"/>
              <w:right w:val="single" w:color="auto" w:sz="6" w:space="0"/>
            </w:tcBorders>
            <w:vAlign w:val="center"/>
          </w:tcPr>
          <w:p>
            <w:pPr>
              <w:widowControl/>
              <w:jc w:val="center"/>
              <w:rPr>
                <w:szCs w:val="21"/>
              </w:rPr>
            </w:pPr>
          </w:p>
        </w:tc>
        <w:tc>
          <w:tcPr>
            <w:tcW w:w="6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szCs w:val="21"/>
              </w:rPr>
              <w:t>2</w:t>
            </w:r>
            <w:r>
              <w:rPr>
                <w:szCs w:val="21"/>
              </w:rPr>
              <w:t>023.12</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13.7</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0.5</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rFonts w:hint="eastAsia"/>
                <w:kern w:val="0"/>
                <w:szCs w:val="21"/>
              </w:rPr>
              <w:t>0.10</w:t>
            </w:r>
          </w:p>
        </w:tc>
        <w:tc>
          <w:tcPr>
            <w:tcW w:w="726"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0</w:t>
            </w:r>
            <w:r>
              <w:rPr>
                <w:szCs w:val="21"/>
              </w:rPr>
              <w:t>.685</w:t>
            </w:r>
          </w:p>
        </w:tc>
        <w:tc>
          <w:tcPr>
            <w:tcW w:w="603" w:type="pct"/>
            <w:tcBorders>
              <w:top w:val="single" w:color="auto" w:sz="6" w:space="0"/>
              <w:left w:val="single" w:color="auto" w:sz="6" w:space="0"/>
              <w:bottom w:val="single" w:color="auto" w:sz="6" w:space="0"/>
              <w:right w:val="single" w:color="auto" w:sz="6" w:space="0"/>
            </w:tcBorders>
            <w:vAlign w:val="center"/>
          </w:tcPr>
          <w:p>
            <w:pPr>
              <w:jc w:val="center"/>
              <w:rPr>
                <w:szCs w:val="20"/>
              </w:rPr>
            </w:pPr>
            <w:r>
              <w:rPr>
                <w:rFonts w:hint="eastAsia"/>
                <w:szCs w:val="21"/>
              </w:rPr>
              <w:t>0.5</w:t>
            </w:r>
          </w:p>
        </w:tc>
        <w:tc>
          <w:tcPr>
            <w:tcW w:w="635" w:type="pct"/>
            <w:tcBorders>
              <w:top w:val="single" w:color="auto" w:sz="6" w:space="0"/>
              <w:left w:val="single" w:color="auto" w:sz="6" w:space="0"/>
              <w:bottom w:val="single" w:color="auto" w:sz="6" w:space="0"/>
              <w:right w:val="single" w:color="auto" w:sz="8" w:space="0"/>
            </w:tcBorders>
            <w:vAlign w:val="center"/>
          </w:tcPr>
          <w:p>
            <w:pPr>
              <w:jc w:val="center"/>
              <w:rPr>
                <w:szCs w:val="21"/>
              </w:rPr>
            </w:pPr>
            <w:r>
              <w:rPr>
                <w:rFonts w:hint="eastAsia"/>
                <w:szCs w:val="21"/>
              </w:rPr>
              <w:t>0</w:t>
            </w:r>
            <w:r>
              <w:rPr>
                <w:szCs w:val="21"/>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82" w:type="pct"/>
            <w:vMerge w:val="continue"/>
            <w:tcBorders>
              <w:left w:val="single" w:color="auto" w:sz="8" w:space="0"/>
              <w:right w:val="single" w:color="auto" w:sz="6" w:space="0"/>
            </w:tcBorders>
            <w:vAlign w:val="center"/>
          </w:tcPr>
          <w:p>
            <w:pPr>
              <w:widowControl/>
              <w:jc w:val="center"/>
              <w:rPr>
                <w:szCs w:val="21"/>
              </w:rPr>
            </w:pPr>
          </w:p>
        </w:tc>
        <w:tc>
          <w:tcPr>
            <w:tcW w:w="660"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b/>
                <w:bCs/>
                <w:szCs w:val="21"/>
              </w:rPr>
            </w:pPr>
            <w:r>
              <w:rPr>
                <w:rFonts w:hint="eastAsia"/>
                <w:b/>
                <w:bCs/>
                <w:szCs w:val="21"/>
              </w:rPr>
              <w:t>年均值</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b/>
                <w:bCs/>
                <w:kern w:val="0"/>
                <w:szCs w:val="21"/>
              </w:rPr>
            </w:pPr>
            <w:r>
              <w:rPr>
                <w:rFonts w:hint="eastAsia"/>
                <w:b/>
                <w:bCs/>
                <w:kern w:val="0"/>
                <w:szCs w:val="21"/>
              </w:rPr>
              <w:t>1</w:t>
            </w:r>
            <w:r>
              <w:rPr>
                <w:b/>
                <w:bCs/>
                <w:kern w:val="0"/>
                <w:szCs w:val="21"/>
              </w:rPr>
              <w:t>6.8</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b/>
                <w:bCs/>
                <w:kern w:val="0"/>
                <w:szCs w:val="21"/>
              </w:rPr>
            </w:pPr>
            <w:r>
              <w:rPr>
                <w:rFonts w:hint="eastAsia"/>
                <w:b/>
                <w:bCs/>
                <w:kern w:val="0"/>
                <w:szCs w:val="21"/>
              </w:rPr>
              <w:t>0</w:t>
            </w:r>
            <w:r>
              <w:rPr>
                <w:b/>
                <w:bCs/>
                <w:kern w:val="0"/>
                <w:szCs w:val="21"/>
              </w:rPr>
              <w:t>.6</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b/>
                <w:bCs/>
                <w:kern w:val="0"/>
                <w:szCs w:val="21"/>
              </w:rPr>
            </w:pPr>
            <w:r>
              <w:rPr>
                <w:rFonts w:hint="eastAsia"/>
                <w:b/>
                <w:bCs/>
                <w:kern w:val="0"/>
                <w:szCs w:val="21"/>
              </w:rPr>
              <w:t>0</w:t>
            </w:r>
            <w:r>
              <w:rPr>
                <w:b/>
                <w:bCs/>
                <w:kern w:val="0"/>
                <w:szCs w:val="21"/>
              </w:rPr>
              <w:t>.12</w:t>
            </w:r>
          </w:p>
        </w:tc>
        <w:tc>
          <w:tcPr>
            <w:tcW w:w="726" w:type="pct"/>
            <w:tcBorders>
              <w:top w:val="single" w:color="auto" w:sz="6" w:space="0"/>
              <w:left w:val="single" w:color="auto" w:sz="6" w:space="0"/>
              <w:bottom w:val="single" w:color="auto" w:sz="6" w:space="0"/>
              <w:right w:val="single" w:color="auto" w:sz="6" w:space="0"/>
            </w:tcBorders>
            <w:vAlign w:val="center"/>
          </w:tcPr>
          <w:p>
            <w:pPr>
              <w:jc w:val="center"/>
              <w:rPr>
                <w:b/>
                <w:bCs/>
                <w:szCs w:val="21"/>
              </w:rPr>
            </w:pPr>
            <w:r>
              <w:rPr>
                <w:rFonts w:hint="eastAsia"/>
                <w:b/>
                <w:bCs/>
                <w:szCs w:val="21"/>
              </w:rPr>
              <w:t>0</w:t>
            </w:r>
            <w:r>
              <w:rPr>
                <w:b/>
                <w:bCs/>
                <w:szCs w:val="21"/>
              </w:rPr>
              <w:t>.84</w:t>
            </w:r>
          </w:p>
        </w:tc>
        <w:tc>
          <w:tcPr>
            <w:tcW w:w="603" w:type="pct"/>
            <w:tcBorders>
              <w:top w:val="single" w:color="auto" w:sz="6" w:space="0"/>
              <w:left w:val="single" w:color="auto" w:sz="6" w:space="0"/>
              <w:bottom w:val="single" w:color="auto" w:sz="6" w:space="0"/>
              <w:right w:val="single" w:color="auto" w:sz="6" w:space="0"/>
            </w:tcBorders>
            <w:vAlign w:val="center"/>
          </w:tcPr>
          <w:p>
            <w:pPr>
              <w:jc w:val="center"/>
              <w:rPr>
                <w:b/>
                <w:bCs/>
                <w:szCs w:val="21"/>
              </w:rPr>
            </w:pPr>
            <w:r>
              <w:rPr>
                <w:rFonts w:hint="eastAsia"/>
                <w:b/>
                <w:bCs/>
                <w:szCs w:val="21"/>
              </w:rPr>
              <w:t>0</w:t>
            </w:r>
            <w:r>
              <w:rPr>
                <w:b/>
                <w:bCs/>
                <w:szCs w:val="21"/>
              </w:rPr>
              <w:t>.6</w:t>
            </w:r>
          </w:p>
        </w:tc>
        <w:tc>
          <w:tcPr>
            <w:tcW w:w="635" w:type="pct"/>
            <w:tcBorders>
              <w:top w:val="single" w:color="auto" w:sz="6" w:space="0"/>
              <w:left w:val="single" w:color="auto" w:sz="6" w:space="0"/>
              <w:bottom w:val="single" w:color="auto" w:sz="6" w:space="0"/>
              <w:right w:val="single" w:color="auto" w:sz="8" w:space="0"/>
            </w:tcBorders>
            <w:vAlign w:val="center"/>
          </w:tcPr>
          <w:p>
            <w:pPr>
              <w:jc w:val="center"/>
              <w:rPr>
                <w:b/>
                <w:bCs/>
                <w:szCs w:val="21"/>
              </w:rPr>
            </w:pPr>
            <w:r>
              <w:rPr>
                <w:rFonts w:hint="eastAsia"/>
                <w:b/>
                <w:bCs/>
                <w:szCs w:val="21"/>
              </w:rPr>
              <w:t>0</w:t>
            </w:r>
            <w:r>
              <w:rPr>
                <w:b/>
                <w:bCs/>
                <w:szCs w:val="21"/>
              </w:rPr>
              <w:t>.6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1242" w:type="pct"/>
            <w:gridSpan w:val="2"/>
            <w:tcBorders>
              <w:top w:val="single" w:color="auto" w:sz="6" w:space="0"/>
              <w:left w:val="single" w:color="auto" w:sz="8" w:space="0"/>
              <w:bottom w:val="single" w:color="auto" w:sz="6" w:space="0"/>
              <w:right w:val="single" w:color="auto" w:sz="6" w:space="0"/>
            </w:tcBorders>
            <w:vAlign w:val="center"/>
          </w:tcPr>
          <w:p>
            <w:pPr>
              <w:adjustRightInd w:val="0"/>
              <w:snapToGrid w:val="0"/>
              <w:jc w:val="center"/>
              <w:textAlignment w:val="baseline"/>
              <w:rPr>
                <w:szCs w:val="21"/>
              </w:rPr>
            </w:pPr>
            <w:r>
              <w:rPr>
                <w:szCs w:val="21"/>
              </w:rPr>
              <w:t>《地表水环境质量标准》（GB3838-2002）Ⅲ类</w:t>
            </w:r>
          </w:p>
        </w:tc>
        <w:tc>
          <w:tcPr>
            <w:tcW w:w="617"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szCs w:val="21"/>
              </w:rPr>
              <w:t>≤20</w:t>
            </w:r>
          </w:p>
        </w:tc>
        <w:tc>
          <w:tcPr>
            <w:tcW w:w="541"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szCs w:val="21"/>
              </w:rPr>
              <w:t>≤1.0</w:t>
            </w:r>
          </w:p>
        </w:tc>
        <w:tc>
          <w:tcPr>
            <w:tcW w:w="635"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szCs w:val="21"/>
              </w:rPr>
              <w:t>≤0.2</w:t>
            </w:r>
          </w:p>
        </w:tc>
        <w:tc>
          <w:tcPr>
            <w:tcW w:w="726"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szCs w:val="21"/>
              </w:rPr>
              <w:t>/</w:t>
            </w:r>
          </w:p>
        </w:tc>
        <w:tc>
          <w:tcPr>
            <w:tcW w:w="603" w:type="pct"/>
            <w:tcBorders>
              <w:top w:val="single" w:color="auto" w:sz="6" w:space="0"/>
              <w:left w:val="single" w:color="auto" w:sz="6" w:space="0"/>
              <w:bottom w:val="single" w:color="auto" w:sz="6" w:space="0"/>
              <w:right w:val="single" w:color="auto" w:sz="6" w:space="0"/>
            </w:tcBorders>
            <w:vAlign w:val="center"/>
          </w:tcPr>
          <w:p>
            <w:pPr>
              <w:adjustRightInd w:val="0"/>
              <w:snapToGrid w:val="0"/>
              <w:jc w:val="center"/>
              <w:textAlignment w:val="baseline"/>
              <w:rPr>
                <w:szCs w:val="21"/>
              </w:rPr>
            </w:pPr>
            <w:r>
              <w:rPr>
                <w:szCs w:val="21"/>
              </w:rPr>
              <w:t>/</w:t>
            </w:r>
          </w:p>
        </w:tc>
        <w:tc>
          <w:tcPr>
            <w:tcW w:w="635" w:type="pct"/>
            <w:tcBorders>
              <w:top w:val="single" w:color="auto" w:sz="6" w:space="0"/>
              <w:left w:val="single" w:color="auto" w:sz="6" w:space="0"/>
              <w:bottom w:val="single" w:color="auto" w:sz="6" w:space="0"/>
              <w:right w:val="single" w:color="auto" w:sz="8" w:space="0"/>
            </w:tcBorders>
            <w:vAlign w:val="center"/>
          </w:tcPr>
          <w:p>
            <w:pPr>
              <w:adjustRightInd w:val="0"/>
              <w:snapToGrid w:val="0"/>
              <w:jc w:val="center"/>
              <w:textAlignment w:val="baseline"/>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1242" w:type="pct"/>
            <w:gridSpan w:val="2"/>
            <w:tcBorders>
              <w:top w:val="single" w:color="auto" w:sz="6" w:space="0"/>
              <w:left w:val="single" w:color="auto" w:sz="8" w:space="0"/>
              <w:bottom w:val="single" w:color="auto" w:sz="8" w:space="0"/>
              <w:right w:val="single" w:color="auto" w:sz="6" w:space="0"/>
            </w:tcBorders>
            <w:vAlign w:val="center"/>
          </w:tcPr>
          <w:p>
            <w:pPr>
              <w:adjustRightInd w:val="0"/>
              <w:snapToGrid w:val="0"/>
              <w:jc w:val="center"/>
              <w:textAlignment w:val="baseline"/>
              <w:rPr>
                <w:szCs w:val="21"/>
              </w:rPr>
            </w:pPr>
            <w:r>
              <w:rPr>
                <w:b/>
                <w:bCs/>
                <w:kern w:val="0"/>
                <w:szCs w:val="21"/>
              </w:rPr>
              <w:t>是否达标</w:t>
            </w:r>
          </w:p>
        </w:tc>
        <w:tc>
          <w:tcPr>
            <w:tcW w:w="617" w:type="pct"/>
            <w:tcBorders>
              <w:top w:val="single" w:color="auto" w:sz="6" w:space="0"/>
              <w:left w:val="single" w:color="auto" w:sz="6" w:space="0"/>
              <w:bottom w:val="single" w:color="auto" w:sz="8" w:space="0"/>
              <w:right w:val="single" w:color="auto" w:sz="6" w:space="0"/>
            </w:tcBorders>
            <w:vAlign w:val="center"/>
          </w:tcPr>
          <w:p>
            <w:pPr>
              <w:adjustRightInd w:val="0"/>
              <w:snapToGrid w:val="0"/>
              <w:jc w:val="center"/>
              <w:textAlignment w:val="baseline"/>
              <w:rPr>
                <w:szCs w:val="21"/>
              </w:rPr>
            </w:pPr>
            <w:r>
              <w:rPr>
                <w:b/>
                <w:bCs/>
                <w:kern w:val="0"/>
                <w:szCs w:val="21"/>
              </w:rPr>
              <w:t>是</w:t>
            </w:r>
          </w:p>
        </w:tc>
        <w:tc>
          <w:tcPr>
            <w:tcW w:w="541" w:type="pct"/>
            <w:tcBorders>
              <w:top w:val="single" w:color="auto" w:sz="6" w:space="0"/>
              <w:left w:val="single" w:color="auto" w:sz="6" w:space="0"/>
              <w:bottom w:val="single" w:color="auto" w:sz="8" w:space="0"/>
              <w:right w:val="single" w:color="auto" w:sz="6" w:space="0"/>
            </w:tcBorders>
            <w:vAlign w:val="center"/>
          </w:tcPr>
          <w:p>
            <w:pPr>
              <w:adjustRightInd w:val="0"/>
              <w:snapToGrid w:val="0"/>
              <w:jc w:val="center"/>
              <w:textAlignment w:val="baseline"/>
              <w:rPr>
                <w:szCs w:val="21"/>
              </w:rPr>
            </w:pPr>
            <w:r>
              <w:rPr>
                <w:b/>
                <w:bCs/>
                <w:kern w:val="0"/>
                <w:szCs w:val="21"/>
              </w:rPr>
              <w:t>是</w:t>
            </w:r>
          </w:p>
        </w:tc>
        <w:tc>
          <w:tcPr>
            <w:tcW w:w="635" w:type="pct"/>
            <w:tcBorders>
              <w:top w:val="single" w:color="auto" w:sz="6" w:space="0"/>
              <w:left w:val="single" w:color="auto" w:sz="6" w:space="0"/>
              <w:bottom w:val="single" w:color="auto" w:sz="8" w:space="0"/>
              <w:right w:val="single" w:color="auto" w:sz="6" w:space="0"/>
            </w:tcBorders>
            <w:vAlign w:val="center"/>
          </w:tcPr>
          <w:p>
            <w:pPr>
              <w:adjustRightInd w:val="0"/>
              <w:snapToGrid w:val="0"/>
              <w:jc w:val="center"/>
              <w:textAlignment w:val="baseline"/>
              <w:rPr>
                <w:szCs w:val="21"/>
              </w:rPr>
            </w:pPr>
            <w:r>
              <w:rPr>
                <w:b/>
                <w:bCs/>
                <w:kern w:val="0"/>
                <w:szCs w:val="21"/>
              </w:rPr>
              <w:t>是</w:t>
            </w:r>
          </w:p>
        </w:tc>
        <w:tc>
          <w:tcPr>
            <w:tcW w:w="726" w:type="pct"/>
            <w:tcBorders>
              <w:top w:val="single" w:color="auto" w:sz="6" w:space="0"/>
              <w:left w:val="single" w:color="auto" w:sz="6" w:space="0"/>
              <w:bottom w:val="single" w:color="auto" w:sz="8" w:space="0"/>
              <w:right w:val="single" w:color="auto" w:sz="6" w:space="0"/>
            </w:tcBorders>
            <w:vAlign w:val="center"/>
          </w:tcPr>
          <w:p>
            <w:pPr>
              <w:adjustRightInd w:val="0"/>
              <w:snapToGrid w:val="0"/>
              <w:jc w:val="center"/>
              <w:textAlignment w:val="baseline"/>
              <w:rPr>
                <w:szCs w:val="21"/>
              </w:rPr>
            </w:pPr>
            <w:r>
              <w:rPr>
                <w:rFonts w:hint="eastAsia"/>
                <w:szCs w:val="21"/>
              </w:rPr>
              <w:t>/</w:t>
            </w:r>
          </w:p>
        </w:tc>
        <w:tc>
          <w:tcPr>
            <w:tcW w:w="603" w:type="pct"/>
            <w:tcBorders>
              <w:top w:val="single" w:color="auto" w:sz="6" w:space="0"/>
              <w:left w:val="single" w:color="auto" w:sz="6" w:space="0"/>
              <w:bottom w:val="single" w:color="auto" w:sz="8" w:space="0"/>
              <w:right w:val="single" w:color="auto" w:sz="6" w:space="0"/>
            </w:tcBorders>
            <w:vAlign w:val="center"/>
          </w:tcPr>
          <w:p>
            <w:pPr>
              <w:adjustRightInd w:val="0"/>
              <w:snapToGrid w:val="0"/>
              <w:jc w:val="center"/>
              <w:textAlignment w:val="baseline"/>
              <w:rPr>
                <w:szCs w:val="21"/>
              </w:rPr>
            </w:pPr>
            <w:r>
              <w:rPr>
                <w:rFonts w:hint="eastAsia"/>
                <w:szCs w:val="21"/>
              </w:rPr>
              <w:t>/</w:t>
            </w:r>
          </w:p>
        </w:tc>
        <w:tc>
          <w:tcPr>
            <w:tcW w:w="635" w:type="pct"/>
            <w:tcBorders>
              <w:top w:val="single" w:color="auto" w:sz="6" w:space="0"/>
              <w:left w:val="single" w:color="auto" w:sz="6" w:space="0"/>
              <w:bottom w:val="single" w:color="auto" w:sz="8" w:space="0"/>
              <w:right w:val="single" w:color="auto" w:sz="8" w:space="0"/>
            </w:tcBorders>
            <w:vAlign w:val="center"/>
          </w:tcPr>
          <w:p>
            <w:pPr>
              <w:adjustRightInd w:val="0"/>
              <w:snapToGrid w:val="0"/>
              <w:jc w:val="center"/>
              <w:textAlignment w:val="baseline"/>
              <w:rPr>
                <w:szCs w:val="21"/>
              </w:rPr>
            </w:pPr>
            <w:r>
              <w:rPr>
                <w:rFonts w:hint="eastAsia"/>
                <w:szCs w:val="21"/>
              </w:rPr>
              <w:t>/</w:t>
            </w:r>
          </w:p>
        </w:tc>
      </w:tr>
    </w:tbl>
    <w:p>
      <w:pPr>
        <w:spacing w:line="520" w:lineRule="exact"/>
        <w:ind w:firstLine="480" w:firstLineChars="200"/>
        <w:rPr>
          <w:sz w:val="24"/>
          <w:szCs w:val="24"/>
        </w:rPr>
      </w:pPr>
      <w:r>
        <w:rPr>
          <w:sz w:val="24"/>
          <w:szCs w:val="24"/>
        </w:rPr>
        <w:t>由上表可知，</w:t>
      </w:r>
      <w:r>
        <w:rPr>
          <w:rFonts w:hint="eastAsia"/>
          <w:sz w:val="24"/>
          <w:szCs w:val="24"/>
        </w:rPr>
        <w:t>安乐庄</w:t>
      </w:r>
      <w:r>
        <w:rPr>
          <w:sz w:val="24"/>
          <w:szCs w:val="24"/>
        </w:rPr>
        <w:t>断面2023年水质年均值为：COD 16.8mg/L</w:t>
      </w:r>
      <w:r>
        <w:rPr>
          <w:rFonts w:hint="eastAsia"/>
          <w:sz w:val="24"/>
          <w:szCs w:val="24"/>
        </w:rPr>
        <w:t>、</w:t>
      </w:r>
      <w:r>
        <w:rPr>
          <w:sz w:val="24"/>
          <w:szCs w:val="24"/>
        </w:rPr>
        <w:t>NH</w:t>
      </w:r>
      <w:r>
        <w:rPr>
          <w:sz w:val="24"/>
          <w:szCs w:val="24"/>
          <w:vertAlign w:val="subscript"/>
        </w:rPr>
        <w:t>3</w:t>
      </w:r>
      <w:r>
        <w:rPr>
          <w:sz w:val="24"/>
          <w:szCs w:val="24"/>
        </w:rPr>
        <w:t xml:space="preserve">-N </w:t>
      </w:r>
      <w:r>
        <w:rPr>
          <w:rFonts w:hint="eastAsia"/>
          <w:sz w:val="24"/>
          <w:szCs w:val="24"/>
        </w:rPr>
        <w:t>0</w:t>
      </w:r>
      <w:r>
        <w:rPr>
          <w:sz w:val="24"/>
          <w:szCs w:val="24"/>
        </w:rPr>
        <w:t>.6mg/L</w:t>
      </w:r>
      <w:r>
        <w:rPr>
          <w:rFonts w:hint="eastAsia"/>
          <w:sz w:val="24"/>
          <w:szCs w:val="24"/>
        </w:rPr>
        <w:t>、</w:t>
      </w:r>
      <w:r>
        <w:rPr>
          <w:sz w:val="24"/>
          <w:szCs w:val="24"/>
        </w:rPr>
        <w:t xml:space="preserve">TP </w:t>
      </w:r>
      <w:r>
        <w:rPr>
          <w:rFonts w:hint="eastAsia"/>
          <w:sz w:val="24"/>
          <w:szCs w:val="24"/>
        </w:rPr>
        <w:t>0</w:t>
      </w:r>
      <w:r>
        <w:rPr>
          <w:sz w:val="24"/>
          <w:szCs w:val="24"/>
        </w:rPr>
        <w:t>.12mg/L</w:t>
      </w:r>
      <w:r>
        <w:rPr>
          <w:rFonts w:hint="eastAsia"/>
          <w:sz w:val="24"/>
          <w:szCs w:val="24"/>
        </w:rPr>
        <w:t>，能够满足《地表水环境质量标准》（GB3838-2002</w:t>
      </w:r>
      <w:r>
        <w:rPr>
          <w:sz w:val="24"/>
          <w:szCs w:val="24"/>
        </w:rPr>
        <w:t>）Ⅲ类标准</w:t>
      </w:r>
      <w:r>
        <w:rPr>
          <w:rFonts w:hint="eastAsia"/>
          <w:sz w:val="24"/>
          <w:szCs w:val="24"/>
        </w:rPr>
        <w:t>（</w:t>
      </w:r>
      <w:r>
        <w:rPr>
          <w:sz w:val="24"/>
          <w:szCs w:val="24"/>
        </w:rPr>
        <w:t>COD 20mg/L、NH</w:t>
      </w:r>
      <w:r>
        <w:rPr>
          <w:sz w:val="24"/>
          <w:szCs w:val="24"/>
          <w:vertAlign w:val="subscript"/>
        </w:rPr>
        <w:t>3</w:t>
      </w:r>
      <w:r>
        <w:rPr>
          <w:sz w:val="24"/>
          <w:szCs w:val="24"/>
        </w:rPr>
        <w:t>-N 1.0mg/L、TP 0.2mg/L</w:t>
      </w:r>
      <w:r>
        <w:rPr>
          <w:rFonts w:hint="eastAsia"/>
          <w:sz w:val="24"/>
          <w:szCs w:val="24"/>
        </w:rPr>
        <w:t>）。</w:t>
      </w:r>
    </w:p>
    <w:p>
      <w:pPr>
        <w:spacing w:line="520" w:lineRule="exact"/>
        <w:outlineLvl w:val="3"/>
        <w:rPr>
          <w:sz w:val="24"/>
          <w:szCs w:val="24"/>
        </w:rPr>
      </w:pPr>
      <w:r>
        <w:rPr>
          <w:sz w:val="24"/>
          <w:szCs w:val="24"/>
        </w:rPr>
        <w:t>4.3.3.2 依托污水处理设施稳定达标排放分析</w:t>
      </w:r>
    </w:p>
    <w:p>
      <w:pPr>
        <w:spacing w:line="520" w:lineRule="exact"/>
        <w:ind w:firstLine="480" w:firstLineChars="200"/>
        <w:rPr>
          <w:sz w:val="28"/>
          <w:szCs w:val="24"/>
        </w:rPr>
      </w:pPr>
      <w:r>
        <w:rPr>
          <w:rFonts w:hint="eastAsia"/>
          <w:sz w:val="24"/>
          <w:szCs w:val="24"/>
        </w:rPr>
        <w:t>原阳县产业集聚区</w:t>
      </w:r>
      <w:r>
        <w:rPr>
          <w:sz w:val="24"/>
          <w:szCs w:val="24"/>
        </w:rPr>
        <w:t>污水处理厂处理后废水排入</w:t>
      </w:r>
      <w:r>
        <w:rPr>
          <w:bCs/>
          <w:sz w:val="24"/>
          <w:szCs w:val="24"/>
        </w:rPr>
        <w:t>东关排渠，</w:t>
      </w:r>
      <w:r>
        <w:rPr>
          <w:rFonts w:hint="eastAsia"/>
          <w:bCs/>
          <w:sz w:val="24"/>
          <w:szCs w:val="24"/>
        </w:rPr>
        <w:t>最终</w:t>
      </w:r>
      <w:r>
        <w:rPr>
          <w:bCs/>
          <w:sz w:val="24"/>
          <w:szCs w:val="24"/>
        </w:rPr>
        <w:t>汇入文岩干渠</w:t>
      </w:r>
      <w:r>
        <w:rPr>
          <w:sz w:val="24"/>
          <w:szCs w:val="24"/>
        </w:rPr>
        <w:t>。根据</w:t>
      </w:r>
      <w:r>
        <w:rPr>
          <w:rFonts w:hint="eastAsia"/>
          <w:sz w:val="24"/>
          <w:szCs w:val="24"/>
        </w:rPr>
        <w:t>原阳县产业集聚区</w:t>
      </w:r>
      <w:r>
        <w:rPr>
          <w:sz w:val="24"/>
          <w:szCs w:val="24"/>
        </w:rPr>
        <w:t>污水处理厂2023</w:t>
      </w:r>
      <w:r>
        <w:rPr>
          <w:rFonts w:hint="eastAsia"/>
          <w:sz w:val="24"/>
          <w:szCs w:val="24"/>
        </w:rPr>
        <w:t>年</w:t>
      </w:r>
      <w:r>
        <w:rPr>
          <w:sz w:val="24"/>
          <w:szCs w:val="24"/>
        </w:rPr>
        <w:t>7</w:t>
      </w:r>
      <w:r>
        <w:rPr>
          <w:rFonts w:hint="eastAsia"/>
          <w:sz w:val="24"/>
          <w:szCs w:val="24"/>
        </w:rPr>
        <w:t>月-</w:t>
      </w:r>
      <w:r>
        <w:rPr>
          <w:sz w:val="24"/>
          <w:szCs w:val="24"/>
        </w:rPr>
        <w:t>12排污许可证执行</w:t>
      </w:r>
      <w:r>
        <w:rPr>
          <w:rFonts w:hint="eastAsia"/>
          <w:sz w:val="24"/>
          <w:szCs w:val="24"/>
        </w:rPr>
        <w:t>月</w:t>
      </w:r>
      <w:r>
        <w:rPr>
          <w:sz w:val="24"/>
          <w:szCs w:val="24"/>
        </w:rPr>
        <w:t>报</w:t>
      </w:r>
      <w:r>
        <w:rPr>
          <w:rFonts w:hint="eastAsia"/>
          <w:sz w:val="24"/>
          <w:szCs w:val="24"/>
        </w:rPr>
        <w:t>可知</w:t>
      </w:r>
      <w:r>
        <w:rPr>
          <w:sz w:val="24"/>
          <w:szCs w:val="24"/>
        </w:rPr>
        <w:t>，</w:t>
      </w:r>
      <w:r>
        <w:rPr>
          <w:rFonts w:hint="eastAsia"/>
          <w:sz w:val="24"/>
          <w:szCs w:val="24"/>
        </w:rPr>
        <w:t>2</w:t>
      </w:r>
      <w:r>
        <w:rPr>
          <w:sz w:val="24"/>
          <w:szCs w:val="24"/>
        </w:rPr>
        <w:t>023</w:t>
      </w:r>
      <w:r>
        <w:rPr>
          <w:rFonts w:hint="eastAsia"/>
          <w:sz w:val="24"/>
          <w:szCs w:val="24"/>
        </w:rPr>
        <w:t>年</w:t>
      </w:r>
      <w:r>
        <w:rPr>
          <w:sz w:val="24"/>
          <w:szCs w:val="24"/>
        </w:rPr>
        <w:t>7</w:t>
      </w:r>
      <w:r>
        <w:rPr>
          <w:rFonts w:hint="eastAsia"/>
          <w:sz w:val="24"/>
          <w:szCs w:val="24"/>
        </w:rPr>
        <w:t>月-</w:t>
      </w:r>
      <w:r>
        <w:rPr>
          <w:sz w:val="24"/>
          <w:szCs w:val="24"/>
        </w:rPr>
        <w:t>12</w:t>
      </w:r>
      <w:r>
        <w:rPr>
          <w:rFonts w:hint="eastAsia"/>
          <w:sz w:val="24"/>
          <w:szCs w:val="24"/>
        </w:rPr>
        <w:t>月</w:t>
      </w:r>
      <w:r>
        <w:rPr>
          <w:sz w:val="24"/>
          <w:szCs w:val="24"/>
        </w:rPr>
        <w:t>出水数量及水质见下表。</w:t>
      </w:r>
    </w:p>
    <w:p>
      <w:pPr>
        <w:spacing w:line="520" w:lineRule="exact"/>
        <w:ind w:firstLine="482"/>
        <w:rPr>
          <w:rFonts w:eastAsia="黑体"/>
          <w:bCs/>
          <w:sz w:val="24"/>
          <w:szCs w:val="24"/>
        </w:rPr>
      </w:pPr>
      <w:r>
        <w:rPr>
          <w:rFonts w:eastAsia="黑体"/>
          <w:bCs/>
          <w:sz w:val="24"/>
          <w:szCs w:val="24"/>
        </w:rPr>
        <w:t xml:space="preserve">表4.3-8      </w:t>
      </w:r>
      <w:r>
        <w:rPr>
          <w:rFonts w:hint="eastAsia" w:eastAsia="黑体"/>
          <w:bCs/>
          <w:sz w:val="24"/>
          <w:szCs w:val="24"/>
        </w:rPr>
        <w:t>原阳县产业集聚区</w:t>
      </w:r>
      <w:r>
        <w:rPr>
          <w:rFonts w:eastAsia="黑体"/>
          <w:bCs/>
          <w:sz w:val="24"/>
          <w:szCs w:val="24"/>
        </w:rPr>
        <w:t>污水处理厂</w:t>
      </w:r>
      <w:r>
        <w:rPr>
          <w:rFonts w:hint="eastAsia" w:eastAsia="黑体"/>
          <w:bCs/>
          <w:sz w:val="24"/>
          <w:szCs w:val="24"/>
        </w:rPr>
        <w:t>进</w:t>
      </w:r>
      <w:r>
        <w:rPr>
          <w:rFonts w:eastAsia="黑体"/>
          <w:bCs/>
          <w:sz w:val="24"/>
          <w:szCs w:val="24"/>
        </w:rPr>
        <w:t>出水</w:t>
      </w:r>
      <w:r>
        <w:rPr>
          <w:rFonts w:hint="eastAsia" w:eastAsia="黑体"/>
          <w:bCs/>
          <w:sz w:val="24"/>
          <w:szCs w:val="24"/>
        </w:rPr>
        <w:t>运行情况</w:t>
      </w:r>
      <w:r>
        <w:rPr>
          <w:rFonts w:eastAsia="黑体"/>
          <w:bCs/>
          <w:sz w:val="24"/>
          <w:szCs w:val="24"/>
        </w:rPr>
        <w:t>一览表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744"/>
        <w:gridCol w:w="1744"/>
        <w:gridCol w:w="1576"/>
        <w:gridCol w:w="1358"/>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pct"/>
            <w:vMerge w:val="restart"/>
            <w:tcBorders>
              <w:top w:val="single" w:color="auto" w:sz="4" w:space="0"/>
              <w:left w:val="single" w:color="auto" w:sz="4" w:space="0"/>
              <w:right w:val="single" w:color="auto" w:sz="4" w:space="0"/>
            </w:tcBorders>
            <w:noWrap/>
            <w:vAlign w:val="center"/>
          </w:tcPr>
          <w:p>
            <w:pPr>
              <w:jc w:val="center"/>
              <w:rPr>
                <w:b/>
                <w:bCs/>
                <w:szCs w:val="21"/>
              </w:rPr>
            </w:pPr>
            <w:r>
              <w:rPr>
                <w:b/>
                <w:bCs/>
                <w:szCs w:val="21"/>
              </w:rPr>
              <w:t>时间</w:t>
            </w:r>
          </w:p>
        </w:tc>
        <w:tc>
          <w:tcPr>
            <w:tcW w:w="975" w:type="pct"/>
            <w:vMerge w:val="restart"/>
            <w:tcBorders>
              <w:top w:val="single" w:color="auto" w:sz="4" w:space="0"/>
              <w:left w:val="single" w:color="auto" w:sz="4" w:space="0"/>
              <w:right w:val="single" w:color="auto" w:sz="4" w:space="0"/>
            </w:tcBorders>
            <w:vAlign w:val="center"/>
          </w:tcPr>
          <w:p>
            <w:pPr>
              <w:jc w:val="center"/>
              <w:rPr>
                <w:b/>
                <w:bCs/>
                <w:szCs w:val="21"/>
              </w:rPr>
            </w:pPr>
            <w:r>
              <w:rPr>
                <w:b/>
                <w:bCs/>
                <w:szCs w:val="21"/>
              </w:rPr>
              <w:t>水量均值m</w:t>
            </w:r>
            <w:r>
              <w:rPr>
                <w:b/>
                <w:bCs/>
                <w:szCs w:val="21"/>
                <w:vertAlign w:val="superscript"/>
              </w:rPr>
              <w:t>3</w:t>
            </w:r>
            <w:r>
              <w:rPr>
                <w:b/>
                <w:bCs/>
                <w:szCs w:val="21"/>
              </w:rPr>
              <w:t>/d</w:t>
            </w:r>
          </w:p>
        </w:tc>
        <w:tc>
          <w:tcPr>
            <w:tcW w:w="3376" w:type="pct"/>
            <w:gridSpan w:val="4"/>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污水处理厂2023年7-12月出水运行情况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pct"/>
            <w:vMerge w:val="continue"/>
            <w:tcBorders>
              <w:left w:val="single" w:color="auto" w:sz="4" w:space="0"/>
              <w:bottom w:val="single" w:color="auto" w:sz="4" w:space="0"/>
              <w:right w:val="single" w:color="auto" w:sz="4" w:space="0"/>
            </w:tcBorders>
            <w:vAlign w:val="center"/>
          </w:tcPr>
          <w:p>
            <w:pPr>
              <w:widowControl/>
              <w:jc w:val="center"/>
              <w:rPr>
                <w:b/>
                <w:bCs/>
                <w:szCs w:val="21"/>
                <w:highlight w:val="yellow"/>
              </w:rPr>
            </w:pPr>
          </w:p>
        </w:tc>
        <w:tc>
          <w:tcPr>
            <w:tcW w:w="975" w:type="pct"/>
            <w:vMerge w:val="continue"/>
            <w:tcBorders>
              <w:left w:val="single" w:color="auto" w:sz="4" w:space="0"/>
              <w:bottom w:val="single" w:color="auto" w:sz="4" w:space="0"/>
              <w:right w:val="single" w:color="auto" w:sz="4" w:space="0"/>
            </w:tcBorders>
            <w:vAlign w:val="center"/>
          </w:tcPr>
          <w:p>
            <w:pPr>
              <w:widowControl/>
              <w:jc w:val="center"/>
              <w:rPr>
                <w:b/>
                <w:bCs/>
                <w:szCs w:val="21"/>
                <w:highlight w:val="yellow"/>
              </w:rPr>
            </w:pP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szCs w:val="21"/>
              </w:rPr>
            </w:pPr>
            <w:r>
              <w:rPr>
                <w:b/>
                <w:bCs/>
                <w:szCs w:val="21"/>
              </w:rPr>
              <w:t>COD均值</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szCs w:val="21"/>
              </w:rPr>
            </w:pPr>
            <w:r>
              <w:rPr>
                <w:b/>
                <w:bCs/>
                <w:szCs w:val="21"/>
              </w:rPr>
              <w:t>氨氮均值</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szCs w:val="21"/>
              </w:rPr>
            </w:pPr>
            <w:r>
              <w:rPr>
                <w:b/>
                <w:bCs/>
                <w:szCs w:val="21"/>
              </w:rPr>
              <w:t>总氮均值</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szCs w:val="21"/>
              </w:rPr>
            </w:pPr>
            <w:r>
              <w:rPr>
                <w:b/>
                <w:bCs/>
                <w:szCs w:val="21"/>
              </w:rPr>
              <w:t>总磷均值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2023-07</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2</w:t>
            </w:r>
            <w:r>
              <w:rPr>
                <w:szCs w:val="21"/>
              </w:rPr>
              <w:t>1654.36</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7</w:t>
            </w:r>
            <w:r>
              <w:rPr>
                <w:szCs w:val="21"/>
              </w:rPr>
              <w:t>.02</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0</w:t>
            </w:r>
            <w:r>
              <w:rPr>
                <w:szCs w:val="21"/>
              </w:rPr>
              <w:t>.07681</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5</w:t>
            </w:r>
            <w:r>
              <w:rPr>
                <w:szCs w:val="21"/>
              </w:rPr>
              <w:t>.442</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0</w:t>
            </w:r>
            <w:r>
              <w:rPr>
                <w:szCs w:val="21"/>
              </w:rPr>
              <w:t>.1766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2023-08</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szCs w:val="21"/>
              </w:rPr>
              <w:t>18709.95</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szCs w:val="21"/>
              </w:rPr>
              <w:t>4.968</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szCs w:val="21"/>
              </w:rPr>
              <w:t>0.03352</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szCs w:val="21"/>
              </w:rPr>
              <w:t>4.147</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szCs w:val="21"/>
              </w:rPr>
              <w:t>0.11567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2023-09</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1</w:t>
            </w:r>
            <w:r>
              <w:rPr>
                <w:szCs w:val="21"/>
              </w:rPr>
              <w:t>9414.13</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7</w:t>
            </w:r>
            <w:r>
              <w:rPr>
                <w:szCs w:val="21"/>
              </w:rPr>
              <w:t>.384</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0</w:t>
            </w:r>
            <w:r>
              <w:rPr>
                <w:szCs w:val="21"/>
              </w:rPr>
              <w:t>.09735</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5</w:t>
            </w:r>
            <w:r>
              <w:rPr>
                <w:szCs w:val="21"/>
              </w:rPr>
              <w:t>.831</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0</w:t>
            </w:r>
            <w:r>
              <w:rPr>
                <w:szCs w:val="21"/>
              </w:rPr>
              <w:t>.09744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2023-10</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1</w:t>
            </w:r>
            <w:r>
              <w:rPr>
                <w:szCs w:val="21"/>
              </w:rPr>
              <w:t>6732.07</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6</w:t>
            </w:r>
            <w:r>
              <w:rPr>
                <w:szCs w:val="21"/>
              </w:rPr>
              <w:t>.189</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0</w:t>
            </w:r>
            <w:r>
              <w:rPr>
                <w:szCs w:val="21"/>
              </w:rPr>
              <w:t>.08338</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5</w:t>
            </w:r>
            <w:r>
              <w:rPr>
                <w:szCs w:val="21"/>
              </w:rPr>
              <w:t>.641</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0</w:t>
            </w:r>
            <w:r>
              <w:rPr>
                <w:szCs w:val="21"/>
              </w:rPr>
              <w:t>.08772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2023-11</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1</w:t>
            </w:r>
            <w:r>
              <w:rPr>
                <w:szCs w:val="21"/>
              </w:rPr>
              <w:t>9564.48</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6</w:t>
            </w:r>
            <w:r>
              <w:rPr>
                <w:szCs w:val="21"/>
              </w:rPr>
              <w:t>.4</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0</w:t>
            </w:r>
            <w:r>
              <w:rPr>
                <w:szCs w:val="21"/>
              </w:rPr>
              <w:t>.079</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6</w:t>
            </w:r>
            <w:r>
              <w:rPr>
                <w:szCs w:val="21"/>
              </w:rPr>
              <w:t>.03</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0</w:t>
            </w:r>
            <w:r>
              <w:rPr>
                <w:szCs w:val="21"/>
              </w:rPr>
              <w:t>.09904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pct"/>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r>
              <w:rPr>
                <w:szCs w:val="21"/>
              </w:rPr>
              <w:t>2023-12</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2</w:t>
            </w:r>
            <w:r>
              <w:rPr>
                <w:szCs w:val="21"/>
              </w:rPr>
              <w:t>5620.15</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1</w:t>
            </w:r>
            <w:r>
              <w:rPr>
                <w:szCs w:val="21"/>
              </w:rPr>
              <w:t>2.17</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0</w:t>
            </w:r>
            <w:r>
              <w:rPr>
                <w:szCs w:val="21"/>
              </w:rPr>
              <w:t>.07309</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8</w:t>
            </w:r>
            <w:r>
              <w:rPr>
                <w:szCs w:val="21"/>
              </w:rPr>
              <w:t>.026</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0</w:t>
            </w:r>
            <w:r>
              <w:rPr>
                <w:szCs w:val="21"/>
              </w:rPr>
              <w:t>.11866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szCs w:val="21"/>
              </w:rPr>
              <w:t>平均值</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2</w:t>
            </w:r>
            <w:r>
              <w:rPr>
                <w:szCs w:val="21"/>
              </w:rPr>
              <w:t>0282.523</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7</w:t>
            </w:r>
            <w:r>
              <w:rPr>
                <w:szCs w:val="21"/>
              </w:rPr>
              <w:t>.355</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0</w:t>
            </w:r>
            <w:r>
              <w:rPr>
                <w:szCs w:val="21"/>
              </w:rPr>
              <w:t>.07386</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5</w:t>
            </w:r>
            <w:r>
              <w:rPr>
                <w:szCs w:val="21"/>
              </w:rPr>
              <w:t>.853</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rFonts w:hint="eastAsia"/>
                <w:szCs w:val="21"/>
              </w:rPr>
              <w:t>0</w:t>
            </w:r>
            <w:r>
              <w:rPr>
                <w:szCs w:val="21"/>
              </w:rPr>
              <w:t>.11586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8"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szCs w:val="21"/>
              </w:rPr>
              <w:t>标准值</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szCs w:val="21"/>
              </w:rPr>
              <w:t>/</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szCs w:val="21"/>
              </w:rPr>
              <w:t>40</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szCs w:val="21"/>
              </w:rPr>
              <w:t>2</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szCs w:val="21"/>
              </w:rPr>
              <w:t>15</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szCs w:val="21"/>
              </w:rPr>
            </w:pPr>
            <w:r>
              <w:rPr>
                <w:szCs w:val="21"/>
              </w:rPr>
              <w:t>0.4</w:t>
            </w:r>
          </w:p>
        </w:tc>
      </w:tr>
    </w:tbl>
    <w:p>
      <w:pPr>
        <w:spacing w:line="360" w:lineRule="auto"/>
        <w:ind w:firstLine="480" w:firstLineChars="200"/>
        <w:rPr>
          <w:sz w:val="24"/>
          <w:szCs w:val="24"/>
        </w:rPr>
      </w:pPr>
      <w:r>
        <w:rPr>
          <w:sz w:val="24"/>
          <w:szCs w:val="24"/>
        </w:rPr>
        <w:t>根据上表数据，</w:t>
      </w:r>
      <w:r>
        <w:rPr>
          <w:rFonts w:hint="eastAsia"/>
          <w:sz w:val="24"/>
          <w:szCs w:val="24"/>
        </w:rPr>
        <w:t>原阳县产业集聚区</w:t>
      </w:r>
      <w:r>
        <w:rPr>
          <w:sz w:val="24"/>
          <w:szCs w:val="24"/>
        </w:rPr>
        <w:t>污水处理厂出水水质能够满足《地表水环境质量标准》（GB3838-2002）V类标准和《城镇污水处理厂污染物排放标准》（GB18918-2002）一级A的要求：COD 40mg/L、NH</w:t>
      </w:r>
      <w:r>
        <w:rPr>
          <w:sz w:val="24"/>
          <w:szCs w:val="24"/>
          <w:vertAlign w:val="subscript"/>
        </w:rPr>
        <w:t>3</w:t>
      </w:r>
      <w:r>
        <w:rPr>
          <w:sz w:val="24"/>
          <w:szCs w:val="24"/>
        </w:rPr>
        <w:t>-N 2.0mg/L、TN 15mg/L、TP 0.4mg/L</w:t>
      </w:r>
      <w:r>
        <w:rPr>
          <w:rFonts w:hint="eastAsia"/>
          <w:sz w:val="24"/>
          <w:szCs w:val="24"/>
        </w:rPr>
        <w:t>，</w:t>
      </w:r>
      <w:r>
        <w:rPr>
          <w:sz w:val="24"/>
          <w:szCs w:val="24"/>
        </w:rPr>
        <w:t>因此依托污水处理设施可以实现稳定达标排放。</w:t>
      </w:r>
    </w:p>
    <w:p>
      <w:pPr>
        <w:keepNext/>
        <w:keepLines/>
        <w:spacing w:line="520" w:lineRule="exact"/>
        <w:outlineLvl w:val="2"/>
        <w:rPr>
          <w:rFonts w:eastAsia="黑体"/>
          <w:bCs/>
          <w:sz w:val="28"/>
          <w:szCs w:val="28"/>
        </w:rPr>
      </w:pPr>
      <w:r>
        <w:rPr>
          <w:rFonts w:eastAsia="黑体"/>
          <w:bCs/>
          <w:sz w:val="28"/>
          <w:szCs w:val="28"/>
        </w:rPr>
        <w:t>4.3.4 地下水质量现状监测与评价</w:t>
      </w:r>
    </w:p>
    <w:p>
      <w:pPr>
        <w:spacing w:line="520" w:lineRule="exact"/>
        <w:outlineLvl w:val="3"/>
        <w:rPr>
          <w:sz w:val="24"/>
          <w:szCs w:val="24"/>
        </w:rPr>
      </w:pPr>
      <w:r>
        <w:rPr>
          <w:sz w:val="24"/>
          <w:szCs w:val="24"/>
        </w:rPr>
        <w:t>4.3.4.1 地下水调查范围</w:t>
      </w:r>
    </w:p>
    <w:p>
      <w:pPr>
        <w:spacing w:line="520" w:lineRule="exact"/>
        <w:ind w:firstLine="480" w:firstLineChars="200"/>
        <w:rPr>
          <w:sz w:val="24"/>
          <w:szCs w:val="24"/>
        </w:rPr>
      </w:pPr>
      <w:r>
        <w:rPr>
          <w:sz w:val="24"/>
          <w:szCs w:val="24"/>
        </w:rPr>
        <w:t>项目地下水环境影响工作等级为</w:t>
      </w:r>
      <w:r>
        <w:rPr>
          <w:rFonts w:hint="eastAsia"/>
          <w:sz w:val="24"/>
          <w:szCs w:val="24"/>
        </w:rPr>
        <w:t>一</w:t>
      </w:r>
      <w:r>
        <w:rPr>
          <w:sz w:val="24"/>
          <w:szCs w:val="24"/>
        </w:rPr>
        <w:t>级评价，根据《环境影响评价技术导则（地下水环境）》（HJ610-2016）规定：“8.2.2.1.b”查表法，确定本项目的地下水环境现状调查评价范围，详见下表。</w:t>
      </w:r>
    </w:p>
    <w:p>
      <w:pPr>
        <w:spacing w:line="360" w:lineRule="auto"/>
        <w:ind w:firstLine="480" w:firstLineChars="200"/>
        <w:rPr>
          <w:rFonts w:eastAsia="黑体"/>
          <w:sz w:val="24"/>
          <w:szCs w:val="24"/>
        </w:rPr>
      </w:pPr>
      <w:r>
        <w:rPr>
          <w:rFonts w:eastAsia="黑体"/>
          <w:sz w:val="24"/>
          <w:szCs w:val="24"/>
        </w:rPr>
        <w:t>表4.3-9        地下水环境现状调查评价范围参照表</w:t>
      </w:r>
    </w:p>
    <w:tbl>
      <w:tblPr>
        <w:tblStyle w:val="49"/>
        <w:tblpPr w:leftFromText="180" w:rightFromText="180" w:vertAnchor="text" w:tblpXSpec="center" w:tblpY="1"/>
        <w:tblOverlap w:val="never"/>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927"/>
        <w:gridCol w:w="2929"/>
        <w:gridCol w:w="292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40" w:type="dxa"/>
            <w:tcBorders>
              <w:top w:val="single" w:color="auto" w:sz="8" w:space="0"/>
              <w:left w:val="single" w:color="auto" w:sz="8" w:space="0"/>
              <w:bottom w:val="single" w:color="auto" w:sz="6" w:space="0"/>
              <w:right w:val="single" w:color="auto" w:sz="6" w:space="0"/>
            </w:tcBorders>
            <w:tcMar>
              <w:top w:w="0" w:type="dxa"/>
              <w:left w:w="28" w:type="dxa"/>
              <w:bottom w:w="0" w:type="dxa"/>
              <w:right w:w="28" w:type="dxa"/>
            </w:tcMar>
            <w:vAlign w:val="center"/>
          </w:tcPr>
          <w:p>
            <w:pPr>
              <w:jc w:val="center"/>
              <w:rPr>
                <w:b/>
                <w:bCs/>
                <w:szCs w:val="21"/>
              </w:rPr>
            </w:pPr>
            <w:r>
              <w:rPr>
                <w:b/>
                <w:bCs/>
                <w:szCs w:val="21"/>
              </w:rPr>
              <w:t>评价等级</w:t>
            </w:r>
          </w:p>
        </w:tc>
        <w:tc>
          <w:tcPr>
            <w:tcW w:w="2841" w:type="dxa"/>
            <w:tcBorders>
              <w:top w:val="single" w:color="auto" w:sz="8" w:space="0"/>
              <w:left w:val="single" w:color="auto" w:sz="6" w:space="0"/>
              <w:bottom w:val="single" w:color="auto" w:sz="6" w:space="0"/>
              <w:right w:val="single" w:color="auto" w:sz="6" w:space="0"/>
            </w:tcBorders>
            <w:tcMar>
              <w:top w:w="0" w:type="dxa"/>
              <w:left w:w="28" w:type="dxa"/>
              <w:bottom w:w="0" w:type="dxa"/>
              <w:right w:w="28" w:type="dxa"/>
            </w:tcMar>
            <w:vAlign w:val="center"/>
          </w:tcPr>
          <w:p>
            <w:pPr>
              <w:jc w:val="center"/>
              <w:rPr>
                <w:b/>
                <w:bCs/>
                <w:szCs w:val="21"/>
              </w:rPr>
            </w:pPr>
            <w:r>
              <w:rPr>
                <w:b/>
                <w:bCs/>
                <w:szCs w:val="21"/>
              </w:rPr>
              <w:t>调查评价面积（km</w:t>
            </w:r>
            <w:r>
              <w:rPr>
                <w:b/>
                <w:bCs/>
                <w:szCs w:val="21"/>
                <w:vertAlign w:val="superscript"/>
              </w:rPr>
              <w:t>2</w:t>
            </w:r>
            <w:r>
              <w:rPr>
                <w:b/>
                <w:bCs/>
                <w:szCs w:val="21"/>
              </w:rPr>
              <w:t>）</w:t>
            </w:r>
          </w:p>
        </w:tc>
        <w:tc>
          <w:tcPr>
            <w:tcW w:w="2841" w:type="dxa"/>
            <w:tcBorders>
              <w:top w:val="single" w:color="auto" w:sz="8" w:space="0"/>
              <w:left w:val="single" w:color="auto" w:sz="6" w:space="0"/>
              <w:bottom w:val="single" w:color="auto" w:sz="6" w:space="0"/>
              <w:right w:val="single" w:color="auto" w:sz="8" w:space="0"/>
            </w:tcBorders>
            <w:tcMar>
              <w:top w:w="0" w:type="dxa"/>
              <w:left w:w="28" w:type="dxa"/>
              <w:bottom w:w="0" w:type="dxa"/>
              <w:right w:w="28" w:type="dxa"/>
            </w:tcMar>
            <w:vAlign w:val="center"/>
          </w:tcPr>
          <w:p>
            <w:pPr>
              <w:jc w:val="center"/>
              <w:rPr>
                <w:b/>
                <w:bCs/>
                <w:szCs w:val="21"/>
              </w:rPr>
            </w:pPr>
            <w:r>
              <w:rPr>
                <w:b/>
                <w:bCs/>
                <w:szCs w:val="21"/>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40" w:type="dxa"/>
            <w:tcBorders>
              <w:top w:val="single" w:color="auto" w:sz="6" w:space="0"/>
              <w:left w:val="single" w:color="auto" w:sz="8" w:space="0"/>
              <w:bottom w:val="single" w:color="auto" w:sz="6" w:space="0"/>
              <w:right w:val="single" w:color="auto" w:sz="6" w:space="0"/>
            </w:tcBorders>
            <w:tcMar>
              <w:top w:w="0" w:type="dxa"/>
              <w:left w:w="28" w:type="dxa"/>
              <w:bottom w:w="0" w:type="dxa"/>
              <w:right w:w="28" w:type="dxa"/>
            </w:tcMar>
            <w:vAlign w:val="center"/>
          </w:tcPr>
          <w:p>
            <w:pPr>
              <w:jc w:val="center"/>
              <w:rPr>
                <w:szCs w:val="21"/>
              </w:rPr>
            </w:pPr>
            <w:r>
              <w:rPr>
                <w:szCs w:val="21"/>
              </w:rPr>
              <w:t>一级</w:t>
            </w:r>
          </w:p>
        </w:tc>
        <w:tc>
          <w:tcPr>
            <w:tcW w:w="2841"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jc w:val="center"/>
              <w:rPr>
                <w:szCs w:val="21"/>
              </w:rPr>
            </w:pPr>
            <w:r>
              <w:rPr>
                <w:szCs w:val="21"/>
              </w:rPr>
              <w:t>≥20</w:t>
            </w:r>
          </w:p>
        </w:tc>
        <w:tc>
          <w:tcPr>
            <w:tcW w:w="2841" w:type="dxa"/>
            <w:vMerge w:val="restart"/>
            <w:tcBorders>
              <w:top w:val="single" w:color="auto" w:sz="6" w:space="0"/>
              <w:left w:val="single" w:color="auto" w:sz="6" w:space="0"/>
              <w:bottom w:val="single" w:color="auto" w:sz="8" w:space="0"/>
              <w:right w:val="single" w:color="auto" w:sz="8" w:space="0"/>
            </w:tcBorders>
            <w:tcMar>
              <w:top w:w="0" w:type="dxa"/>
              <w:left w:w="28" w:type="dxa"/>
              <w:bottom w:w="0" w:type="dxa"/>
              <w:right w:w="28" w:type="dxa"/>
            </w:tcMar>
            <w:vAlign w:val="center"/>
          </w:tcPr>
          <w:p>
            <w:pPr>
              <w:jc w:val="center"/>
              <w:rPr>
                <w:szCs w:val="21"/>
                <w:highlight w:val="yellow"/>
              </w:rPr>
            </w:pPr>
            <w:r>
              <w:rPr>
                <w:szCs w:val="21"/>
              </w:rPr>
              <w:t>应包括重要的地下水环境保护目标，必要时适当扩大范围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40" w:type="dxa"/>
            <w:tcBorders>
              <w:top w:val="single" w:color="auto" w:sz="6" w:space="0"/>
              <w:left w:val="single" w:color="auto" w:sz="8" w:space="0"/>
              <w:bottom w:val="single" w:color="auto" w:sz="6" w:space="0"/>
              <w:right w:val="single" w:color="auto" w:sz="6" w:space="0"/>
            </w:tcBorders>
            <w:tcMar>
              <w:top w:w="0" w:type="dxa"/>
              <w:left w:w="28" w:type="dxa"/>
              <w:bottom w:w="0" w:type="dxa"/>
              <w:right w:w="28" w:type="dxa"/>
            </w:tcMar>
            <w:vAlign w:val="center"/>
          </w:tcPr>
          <w:p>
            <w:pPr>
              <w:jc w:val="center"/>
              <w:rPr>
                <w:szCs w:val="21"/>
              </w:rPr>
            </w:pPr>
            <w:r>
              <w:rPr>
                <w:szCs w:val="21"/>
              </w:rPr>
              <w:t>二级</w:t>
            </w:r>
          </w:p>
        </w:tc>
        <w:tc>
          <w:tcPr>
            <w:tcW w:w="2841" w:type="dxa"/>
            <w:tcBorders>
              <w:top w:val="single" w:color="auto" w:sz="6" w:space="0"/>
              <w:left w:val="single" w:color="auto" w:sz="6" w:space="0"/>
              <w:bottom w:val="single" w:color="auto" w:sz="6" w:space="0"/>
              <w:right w:val="single" w:color="auto" w:sz="6" w:space="0"/>
            </w:tcBorders>
            <w:tcMar>
              <w:top w:w="0" w:type="dxa"/>
              <w:left w:w="28" w:type="dxa"/>
              <w:bottom w:w="0" w:type="dxa"/>
              <w:right w:w="28" w:type="dxa"/>
            </w:tcMar>
            <w:vAlign w:val="center"/>
          </w:tcPr>
          <w:p>
            <w:pPr>
              <w:jc w:val="center"/>
              <w:rPr>
                <w:szCs w:val="21"/>
              </w:rPr>
            </w:pPr>
            <w:r>
              <w:rPr>
                <w:szCs w:val="21"/>
              </w:rPr>
              <w:t>6~20</w:t>
            </w:r>
          </w:p>
        </w:tc>
        <w:tc>
          <w:tcPr>
            <w:tcW w:w="2841" w:type="dxa"/>
            <w:vMerge w:val="continue"/>
            <w:tcBorders>
              <w:top w:val="single" w:color="auto" w:sz="6" w:space="0"/>
              <w:left w:val="single" w:color="auto" w:sz="6" w:space="0"/>
              <w:bottom w:val="single" w:color="auto" w:sz="8" w:space="0"/>
              <w:right w:val="single" w:color="auto" w:sz="8" w:space="0"/>
            </w:tcBorders>
            <w:vAlign w:val="center"/>
          </w:tcPr>
          <w:p>
            <w:pPr>
              <w:widowControl/>
              <w:jc w:val="left"/>
              <w:rPr>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40" w:type="dxa"/>
            <w:tcBorders>
              <w:top w:val="single" w:color="auto" w:sz="6" w:space="0"/>
              <w:left w:val="single" w:color="auto" w:sz="8" w:space="0"/>
              <w:bottom w:val="single" w:color="auto" w:sz="8" w:space="0"/>
              <w:right w:val="single" w:color="auto" w:sz="6" w:space="0"/>
            </w:tcBorders>
            <w:tcMar>
              <w:top w:w="0" w:type="dxa"/>
              <w:left w:w="28" w:type="dxa"/>
              <w:bottom w:w="0" w:type="dxa"/>
              <w:right w:w="28" w:type="dxa"/>
            </w:tcMar>
            <w:vAlign w:val="center"/>
          </w:tcPr>
          <w:p>
            <w:pPr>
              <w:jc w:val="center"/>
              <w:rPr>
                <w:szCs w:val="21"/>
              </w:rPr>
            </w:pPr>
            <w:r>
              <w:rPr>
                <w:szCs w:val="21"/>
              </w:rPr>
              <w:t>三级</w:t>
            </w:r>
          </w:p>
        </w:tc>
        <w:tc>
          <w:tcPr>
            <w:tcW w:w="2841" w:type="dxa"/>
            <w:tcBorders>
              <w:top w:val="single" w:color="auto" w:sz="6" w:space="0"/>
              <w:left w:val="single" w:color="auto" w:sz="6" w:space="0"/>
              <w:bottom w:val="single" w:color="auto" w:sz="8" w:space="0"/>
              <w:right w:val="single" w:color="auto" w:sz="6" w:space="0"/>
            </w:tcBorders>
            <w:tcMar>
              <w:top w:w="0" w:type="dxa"/>
              <w:left w:w="28" w:type="dxa"/>
              <w:bottom w:w="0" w:type="dxa"/>
              <w:right w:w="28" w:type="dxa"/>
            </w:tcMar>
            <w:vAlign w:val="center"/>
          </w:tcPr>
          <w:p>
            <w:pPr>
              <w:jc w:val="center"/>
              <w:rPr>
                <w:szCs w:val="21"/>
              </w:rPr>
            </w:pPr>
            <w:r>
              <w:rPr>
                <w:szCs w:val="21"/>
              </w:rPr>
              <w:t>≤6</w:t>
            </w:r>
          </w:p>
        </w:tc>
        <w:tc>
          <w:tcPr>
            <w:tcW w:w="2841" w:type="dxa"/>
            <w:vMerge w:val="continue"/>
            <w:tcBorders>
              <w:top w:val="single" w:color="auto" w:sz="6" w:space="0"/>
              <w:left w:val="single" w:color="auto" w:sz="6" w:space="0"/>
              <w:bottom w:val="single" w:color="auto" w:sz="8" w:space="0"/>
              <w:right w:val="single" w:color="auto" w:sz="8" w:space="0"/>
            </w:tcBorders>
            <w:vAlign w:val="center"/>
          </w:tcPr>
          <w:p>
            <w:pPr>
              <w:widowControl/>
              <w:jc w:val="left"/>
              <w:rPr>
                <w:szCs w:val="21"/>
                <w:highlight w:val="yellow"/>
              </w:rPr>
            </w:pPr>
          </w:p>
        </w:tc>
      </w:tr>
    </w:tbl>
    <w:p>
      <w:pPr>
        <w:spacing w:line="520" w:lineRule="exact"/>
        <w:ind w:firstLine="480" w:firstLineChars="200"/>
        <w:rPr>
          <w:sz w:val="24"/>
          <w:szCs w:val="24"/>
        </w:rPr>
      </w:pPr>
      <w:r>
        <w:rPr>
          <w:sz w:val="24"/>
          <w:szCs w:val="24"/>
        </w:rPr>
        <w:t>考虑建设项目</w:t>
      </w:r>
      <w:r>
        <w:rPr>
          <w:bCs/>
          <w:sz w:val="24"/>
          <w:szCs w:val="24"/>
        </w:rPr>
        <w:t>工程场地平面布置、地形地貌特征、区域水文地质条件和地下水保护目标等</w:t>
      </w:r>
      <w:r>
        <w:rPr>
          <w:sz w:val="24"/>
          <w:szCs w:val="24"/>
        </w:rPr>
        <w:t>，确定本次调查、评价区范围为</w:t>
      </w:r>
      <w:r>
        <w:rPr>
          <w:rFonts w:hint="eastAsia"/>
          <w:sz w:val="24"/>
          <w:szCs w:val="24"/>
        </w:rPr>
        <w:t>多边</w:t>
      </w:r>
      <w:r>
        <w:rPr>
          <w:sz w:val="24"/>
          <w:szCs w:val="24"/>
        </w:rPr>
        <w:t>形，</w:t>
      </w:r>
      <w:r>
        <w:rPr>
          <w:rFonts w:hint="eastAsia"/>
          <w:sz w:val="24"/>
          <w:szCs w:val="24"/>
        </w:rPr>
        <w:t>即</w:t>
      </w:r>
    </w:p>
    <w:p>
      <w:pPr>
        <w:spacing w:line="520" w:lineRule="exact"/>
        <w:ind w:firstLine="480" w:firstLineChars="200"/>
        <w:rPr>
          <w:sz w:val="24"/>
          <w:szCs w:val="24"/>
        </w:rPr>
      </w:pPr>
      <w:r>
        <w:rPr>
          <w:rFonts w:hint="eastAsia"/>
          <w:sz w:val="24"/>
          <w:szCs w:val="24"/>
        </w:rPr>
        <w:t>北边界：厂界下游东北侧</w:t>
      </w:r>
      <w:r>
        <w:rPr>
          <w:sz w:val="24"/>
          <w:szCs w:val="24"/>
        </w:rPr>
        <w:t>2.73</w:t>
      </w:r>
      <w:r>
        <w:rPr>
          <w:rFonts w:hint="eastAsia"/>
          <w:sz w:val="24"/>
          <w:szCs w:val="24"/>
        </w:rPr>
        <w:t>km西南文岩渠至刘秀王庄村西关排一线为评价区北部边界，为下游排泄边界；</w:t>
      </w:r>
    </w:p>
    <w:p>
      <w:pPr>
        <w:spacing w:line="520" w:lineRule="exact"/>
        <w:ind w:firstLine="480" w:firstLineChars="200"/>
        <w:rPr>
          <w:sz w:val="24"/>
          <w:szCs w:val="24"/>
        </w:rPr>
      </w:pPr>
      <w:r>
        <w:rPr>
          <w:rFonts w:hint="eastAsia"/>
          <w:sz w:val="24"/>
          <w:szCs w:val="24"/>
        </w:rPr>
        <w:t>南边界：厂界上游西南侧的天然二支渠一线为评价区南部边界，为上游补给边界；</w:t>
      </w:r>
    </w:p>
    <w:p>
      <w:pPr>
        <w:spacing w:line="520" w:lineRule="exact"/>
        <w:ind w:firstLine="480" w:firstLineChars="200"/>
        <w:rPr>
          <w:sz w:val="24"/>
          <w:szCs w:val="24"/>
        </w:rPr>
      </w:pPr>
      <w:r>
        <w:rPr>
          <w:rFonts w:hint="eastAsia"/>
          <w:sz w:val="24"/>
          <w:szCs w:val="24"/>
        </w:rPr>
        <w:t>西边界：厂界西侧新一干灌渠和西北侧文岩渠一线为评价区西部边界，为侧向边界；</w:t>
      </w:r>
    </w:p>
    <w:p>
      <w:pPr>
        <w:spacing w:line="520" w:lineRule="exact"/>
        <w:ind w:firstLine="480" w:firstLineChars="200"/>
        <w:rPr>
          <w:sz w:val="24"/>
          <w:szCs w:val="24"/>
        </w:rPr>
      </w:pPr>
      <w:r>
        <w:rPr>
          <w:rFonts w:hint="eastAsia"/>
          <w:sz w:val="24"/>
          <w:szCs w:val="24"/>
        </w:rPr>
        <w:t>东边界：厂界东南侧西关排一线为评价区东部边界，为侧向边界。</w:t>
      </w:r>
    </w:p>
    <w:p>
      <w:pPr>
        <w:spacing w:line="520" w:lineRule="exact"/>
        <w:ind w:firstLine="480" w:firstLineChars="200"/>
        <w:rPr>
          <w:sz w:val="24"/>
          <w:szCs w:val="24"/>
        </w:rPr>
      </w:pPr>
      <w:r>
        <w:rPr>
          <w:rFonts w:hint="eastAsia"/>
          <w:sz w:val="24"/>
          <w:szCs w:val="24"/>
        </w:rPr>
        <w:t>调查评价面积约为</w:t>
      </w:r>
      <w:r>
        <w:rPr>
          <w:sz w:val="24"/>
          <w:szCs w:val="24"/>
        </w:rPr>
        <w:t>34.2</w:t>
      </w:r>
      <w:r>
        <w:rPr>
          <w:rFonts w:hint="eastAsia"/>
          <w:sz w:val="24"/>
          <w:szCs w:val="24"/>
        </w:rPr>
        <w:t>km</w:t>
      </w:r>
      <w:r>
        <w:rPr>
          <w:rFonts w:hint="eastAsia"/>
          <w:sz w:val="24"/>
          <w:szCs w:val="24"/>
          <w:vertAlign w:val="superscript"/>
        </w:rPr>
        <w:t>2</w:t>
      </w:r>
      <w:r>
        <w:rPr>
          <w:sz w:val="24"/>
          <w:szCs w:val="24"/>
        </w:rPr>
        <w:t>。</w:t>
      </w:r>
      <w:r>
        <w:rPr>
          <w:rFonts w:hint="eastAsia"/>
          <w:sz w:val="24"/>
          <w:szCs w:val="24"/>
        </w:rPr>
        <w:t>项目地下水评价调查范围见下图：</w:t>
      </w:r>
    </w:p>
    <w:p>
      <w:pPr>
        <w:spacing w:line="360" w:lineRule="auto"/>
        <w:rPr>
          <w:sz w:val="24"/>
          <w:szCs w:val="24"/>
          <w:highlight w:val="yellow"/>
        </w:rPr>
      </w:pPr>
      <w:r>
        <w:rPr>
          <w:sz w:val="28"/>
          <w:szCs w:val="24"/>
        </w:rPr>
        <w:drawing>
          <wp:inline distT="0" distB="0" distL="0" distR="0">
            <wp:extent cx="5525770" cy="4688840"/>
            <wp:effectExtent l="0" t="0" r="17780" b="16510"/>
            <wp:docPr id="223669493" name="图片 2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69493" name="图片 24" descr="地图&#10;&#10;描述已自动生成"/>
                    <pic:cNvPicPr>
                      <a:picLocks noChangeAspect="1" noChangeArrowheads="1"/>
                    </pic:cNvPicPr>
                  </pic:nvPicPr>
                  <pic:blipFill>
                    <a:blip r:embed="rId58"/>
                    <a:srcRect/>
                    <a:stretch>
                      <a:fillRect/>
                    </a:stretch>
                  </pic:blipFill>
                  <pic:spPr>
                    <a:xfrm>
                      <a:off x="0" y="0"/>
                      <a:ext cx="5525770" cy="4688840"/>
                    </a:xfrm>
                    <a:prstGeom prst="rect">
                      <a:avLst/>
                    </a:prstGeom>
                    <a:noFill/>
                    <a:ln>
                      <a:noFill/>
                    </a:ln>
                  </pic:spPr>
                </pic:pic>
              </a:graphicData>
            </a:graphic>
          </wp:inline>
        </w:drawing>
      </w:r>
    </w:p>
    <w:p>
      <w:pPr>
        <w:spacing w:line="520" w:lineRule="exact"/>
        <w:jc w:val="center"/>
        <w:rPr>
          <w:rFonts w:eastAsia="黑体"/>
          <w:sz w:val="24"/>
          <w:szCs w:val="24"/>
        </w:rPr>
      </w:pPr>
      <w:bookmarkStart w:id="84" w:name="_Hlk106964166"/>
      <w:bookmarkEnd w:id="84"/>
      <w:r>
        <w:rPr>
          <w:rFonts w:eastAsia="黑体"/>
          <w:sz w:val="24"/>
          <w:szCs w:val="24"/>
        </w:rPr>
        <w:t>图4.3-5    项目地下水评价调查范围</w:t>
      </w:r>
    </w:p>
    <w:p>
      <w:pPr>
        <w:spacing w:line="520" w:lineRule="exact"/>
        <w:outlineLvl w:val="3"/>
        <w:rPr>
          <w:sz w:val="24"/>
          <w:szCs w:val="24"/>
        </w:rPr>
      </w:pPr>
      <w:r>
        <w:rPr>
          <w:sz w:val="24"/>
          <w:szCs w:val="24"/>
        </w:rPr>
        <w:t>4.3.4.2 监测因子及分析方法</w:t>
      </w:r>
    </w:p>
    <w:p>
      <w:pPr>
        <w:spacing w:line="520" w:lineRule="exact"/>
        <w:ind w:firstLine="480" w:firstLineChars="200"/>
        <w:rPr>
          <w:sz w:val="24"/>
          <w:szCs w:val="24"/>
        </w:rPr>
      </w:pPr>
      <w:r>
        <w:rPr>
          <w:sz w:val="24"/>
          <w:szCs w:val="24"/>
        </w:rPr>
        <w:t>根据当地环境状况及工程特点，本次地下水环境质量现状监测因子包括：pH值、K</w:t>
      </w:r>
      <w:r>
        <w:rPr>
          <w:sz w:val="24"/>
          <w:szCs w:val="24"/>
          <w:vertAlign w:val="superscript"/>
        </w:rPr>
        <w:t>+</w:t>
      </w:r>
      <w:r>
        <w:rPr>
          <w:sz w:val="24"/>
          <w:szCs w:val="24"/>
        </w:rPr>
        <w:t>、Na</w:t>
      </w:r>
      <w:r>
        <w:rPr>
          <w:sz w:val="24"/>
          <w:szCs w:val="24"/>
          <w:vertAlign w:val="superscript"/>
        </w:rPr>
        <w:t>+</w:t>
      </w:r>
      <w:r>
        <w:rPr>
          <w:sz w:val="24"/>
          <w:szCs w:val="24"/>
        </w:rPr>
        <w:t>、Ca</w:t>
      </w:r>
      <w:r>
        <w:rPr>
          <w:sz w:val="24"/>
          <w:szCs w:val="24"/>
          <w:vertAlign w:val="superscript"/>
        </w:rPr>
        <w:t>2+</w:t>
      </w:r>
      <w:r>
        <w:rPr>
          <w:sz w:val="24"/>
          <w:szCs w:val="24"/>
        </w:rPr>
        <w:t>、Mg</w:t>
      </w:r>
      <w:r>
        <w:rPr>
          <w:sz w:val="24"/>
          <w:szCs w:val="24"/>
          <w:vertAlign w:val="superscript"/>
        </w:rPr>
        <w:t>2+</w:t>
      </w:r>
      <w:r>
        <w:rPr>
          <w:sz w:val="24"/>
          <w:szCs w:val="24"/>
        </w:rPr>
        <w:t>、CO</w:t>
      </w:r>
      <w:r>
        <w:rPr>
          <w:sz w:val="24"/>
          <w:szCs w:val="24"/>
          <w:vertAlign w:val="subscript"/>
        </w:rPr>
        <w:t>3</w:t>
      </w:r>
      <w:r>
        <w:rPr>
          <w:sz w:val="24"/>
          <w:szCs w:val="24"/>
          <w:vertAlign w:val="superscript"/>
        </w:rPr>
        <w:t>2-</w:t>
      </w:r>
      <w:r>
        <w:rPr>
          <w:sz w:val="24"/>
          <w:szCs w:val="24"/>
        </w:rPr>
        <w:t>、HCO</w:t>
      </w:r>
      <w:r>
        <w:rPr>
          <w:sz w:val="24"/>
          <w:szCs w:val="24"/>
          <w:vertAlign w:val="subscript"/>
        </w:rPr>
        <w:t>3</w:t>
      </w:r>
      <w:r>
        <w:rPr>
          <w:sz w:val="24"/>
          <w:szCs w:val="24"/>
          <w:vertAlign w:val="superscript"/>
        </w:rPr>
        <w:t>-</w:t>
      </w:r>
      <w:r>
        <w:rPr>
          <w:sz w:val="24"/>
          <w:szCs w:val="24"/>
        </w:rPr>
        <w:t>、Cl</w:t>
      </w:r>
      <w:r>
        <w:rPr>
          <w:sz w:val="24"/>
          <w:szCs w:val="24"/>
          <w:vertAlign w:val="superscript"/>
        </w:rPr>
        <w:t>-</w:t>
      </w:r>
      <w:r>
        <w:rPr>
          <w:sz w:val="24"/>
          <w:szCs w:val="24"/>
        </w:rPr>
        <w:t>、SO</w:t>
      </w:r>
      <w:r>
        <w:rPr>
          <w:sz w:val="24"/>
          <w:szCs w:val="24"/>
          <w:vertAlign w:val="subscript"/>
        </w:rPr>
        <w:t>4</w:t>
      </w:r>
      <w:r>
        <w:rPr>
          <w:sz w:val="24"/>
          <w:szCs w:val="24"/>
          <w:vertAlign w:val="superscript"/>
        </w:rPr>
        <w:t>2-</w:t>
      </w:r>
      <w:r>
        <w:rPr>
          <w:sz w:val="24"/>
          <w:szCs w:val="24"/>
        </w:rPr>
        <w:t>、氨氮、硝酸盐、亚硝酸盐、挥发性酚类、</w:t>
      </w:r>
      <w:r>
        <w:rPr>
          <w:bCs/>
          <w:sz w:val="24"/>
          <w:szCs w:val="24"/>
        </w:rPr>
        <w:t>氰化物、砷、汞、六价铬、总硬度、铅、氟</w:t>
      </w:r>
      <w:r>
        <w:rPr>
          <w:rFonts w:hint="eastAsia"/>
          <w:bCs/>
          <w:sz w:val="24"/>
          <w:szCs w:val="24"/>
        </w:rPr>
        <w:t>化物</w:t>
      </w:r>
      <w:r>
        <w:rPr>
          <w:bCs/>
          <w:sz w:val="24"/>
          <w:szCs w:val="24"/>
        </w:rPr>
        <w:t>、镉、铁、锰、溶解性总固体、耗氧量、总大肠菌群、菌落总数、</w:t>
      </w:r>
      <w:r>
        <w:rPr>
          <w:rFonts w:hint="eastAsia"/>
          <w:bCs/>
          <w:sz w:val="24"/>
          <w:szCs w:val="24"/>
        </w:rPr>
        <w:t>硫化物、可萃取石油烃</w:t>
      </w:r>
      <w:r>
        <w:rPr>
          <w:sz w:val="24"/>
          <w:szCs w:val="24"/>
        </w:rPr>
        <w:t>。各监测因子分析方法见下表。</w:t>
      </w:r>
    </w:p>
    <w:p>
      <w:pPr>
        <w:spacing w:line="520" w:lineRule="exact"/>
        <w:ind w:firstLine="480" w:firstLineChars="200"/>
        <w:rPr>
          <w:sz w:val="24"/>
          <w:szCs w:val="24"/>
        </w:rPr>
      </w:pPr>
    </w:p>
    <w:p>
      <w:pPr>
        <w:spacing w:line="520" w:lineRule="exact"/>
        <w:ind w:firstLine="480" w:firstLineChars="200"/>
        <w:rPr>
          <w:sz w:val="24"/>
          <w:szCs w:val="24"/>
        </w:rPr>
      </w:pPr>
    </w:p>
    <w:p>
      <w:pPr>
        <w:spacing w:line="520" w:lineRule="exact"/>
        <w:ind w:firstLine="480" w:firstLineChars="200"/>
        <w:rPr>
          <w:rFonts w:eastAsia="黑体"/>
          <w:sz w:val="24"/>
          <w:szCs w:val="24"/>
        </w:rPr>
      </w:pPr>
      <w:r>
        <w:rPr>
          <w:rFonts w:eastAsia="黑体"/>
          <w:sz w:val="24"/>
          <w:szCs w:val="24"/>
        </w:rPr>
        <w:t>表4.3-10        地下水水质监测因子及分析方法一览表</w:t>
      </w:r>
    </w:p>
    <w:tbl>
      <w:tblPr>
        <w:tblStyle w:val="49"/>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6"/>
        <w:gridCol w:w="1061"/>
        <w:gridCol w:w="2655"/>
        <w:gridCol w:w="2388"/>
        <w:gridCol w:w="1137"/>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trPr>
        <w:tc>
          <w:tcPr>
            <w:tcW w:w="219" w:type="pct"/>
            <w:tcMar>
              <w:left w:w="28" w:type="dxa"/>
              <w:right w:w="28" w:type="dxa"/>
            </w:tcMar>
            <w:vAlign w:val="center"/>
          </w:tcPr>
          <w:p>
            <w:pPr>
              <w:jc w:val="center"/>
              <w:rPr>
                <w:b/>
                <w:bCs/>
                <w:szCs w:val="21"/>
              </w:rPr>
            </w:pPr>
            <w:r>
              <w:rPr>
                <w:b/>
                <w:bCs/>
                <w:szCs w:val="21"/>
              </w:rPr>
              <w:t>序号</w:t>
            </w:r>
          </w:p>
        </w:tc>
        <w:tc>
          <w:tcPr>
            <w:tcW w:w="604" w:type="pct"/>
            <w:vAlign w:val="center"/>
          </w:tcPr>
          <w:p>
            <w:pPr>
              <w:jc w:val="center"/>
              <w:rPr>
                <w:b/>
                <w:bCs/>
                <w:szCs w:val="21"/>
              </w:rPr>
            </w:pPr>
            <w:r>
              <w:rPr>
                <w:b/>
                <w:bCs/>
                <w:szCs w:val="21"/>
              </w:rPr>
              <w:t>检测</w:t>
            </w:r>
          </w:p>
          <w:p>
            <w:pPr>
              <w:jc w:val="center"/>
              <w:rPr>
                <w:b/>
                <w:bCs/>
                <w:szCs w:val="21"/>
              </w:rPr>
            </w:pPr>
            <w:r>
              <w:rPr>
                <w:b/>
                <w:bCs/>
                <w:szCs w:val="21"/>
              </w:rPr>
              <w:t>因子</w:t>
            </w:r>
          </w:p>
        </w:tc>
        <w:tc>
          <w:tcPr>
            <w:tcW w:w="1511" w:type="pct"/>
            <w:vAlign w:val="center"/>
          </w:tcPr>
          <w:p>
            <w:pPr>
              <w:jc w:val="center"/>
              <w:rPr>
                <w:b/>
                <w:bCs/>
                <w:szCs w:val="21"/>
              </w:rPr>
            </w:pPr>
            <w:r>
              <w:rPr>
                <w:b/>
                <w:bCs/>
                <w:szCs w:val="21"/>
              </w:rPr>
              <w:t>检测方法及编号</w:t>
            </w:r>
          </w:p>
        </w:tc>
        <w:tc>
          <w:tcPr>
            <w:tcW w:w="1359" w:type="pct"/>
            <w:vAlign w:val="center"/>
          </w:tcPr>
          <w:p>
            <w:pPr>
              <w:jc w:val="center"/>
              <w:rPr>
                <w:b/>
                <w:bCs/>
                <w:szCs w:val="21"/>
              </w:rPr>
            </w:pPr>
            <w:r>
              <w:rPr>
                <w:b/>
                <w:bCs/>
                <w:szCs w:val="21"/>
              </w:rPr>
              <w:t>检测仪器型号及编号</w:t>
            </w:r>
          </w:p>
        </w:tc>
        <w:tc>
          <w:tcPr>
            <w:tcW w:w="647" w:type="pct"/>
            <w:vAlign w:val="center"/>
          </w:tcPr>
          <w:p>
            <w:pPr>
              <w:jc w:val="center"/>
              <w:rPr>
                <w:b/>
                <w:bCs/>
                <w:szCs w:val="21"/>
              </w:rPr>
            </w:pPr>
            <w:r>
              <w:rPr>
                <w:b/>
                <w:bCs/>
                <w:szCs w:val="21"/>
              </w:rPr>
              <w:t>检出限</w:t>
            </w:r>
          </w:p>
        </w:tc>
        <w:tc>
          <w:tcPr>
            <w:tcW w:w="660" w:type="pct"/>
            <w:vAlign w:val="center"/>
          </w:tcPr>
          <w:p>
            <w:pPr>
              <w:widowControl/>
              <w:jc w:val="center"/>
              <w:rPr>
                <w:b/>
                <w:bCs/>
                <w:szCs w:val="21"/>
              </w:rPr>
            </w:pPr>
            <w:r>
              <w:rPr>
                <w:b/>
                <w:bCs/>
                <w:szCs w:val="21"/>
              </w:rPr>
              <w:t>最低检出浓度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lang w:bidi="ar"/>
              </w:rPr>
            </w:pPr>
            <w:r>
              <w:rPr>
                <w:szCs w:val="21"/>
                <w:lang w:bidi="ar"/>
              </w:rPr>
              <w:t>1</w:t>
            </w:r>
          </w:p>
        </w:tc>
        <w:tc>
          <w:tcPr>
            <w:tcW w:w="604" w:type="pct"/>
            <w:vAlign w:val="center"/>
          </w:tcPr>
          <w:p>
            <w:pPr>
              <w:jc w:val="center"/>
              <w:textAlignment w:val="center"/>
              <w:rPr>
                <w:szCs w:val="21"/>
              </w:rPr>
            </w:pPr>
            <w:r>
              <w:rPr>
                <w:szCs w:val="21"/>
                <w:lang w:bidi="ar"/>
              </w:rPr>
              <w:t>K</w:t>
            </w:r>
            <w:r>
              <w:rPr>
                <w:szCs w:val="21"/>
                <w:vertAlign w:val="superscript"/>
                <w:lang w:bidi="ar"/>
              </w:rPr>
              <w:t>+</w:t>
            </w:r>
          </w:p>
        </w:tc>
        <w:tc>
          <w:tcPr>
            <w:tcW w:w="1511" w:type="pct"/>
            <w:vMerge w:val="restart"/>
            <w:vAlign w:val="center"/>
          </w:tcPr>
          <w:p>
            <w:pPr>
              <w:snapToGrid w:val="0"/>
              <w:jc w:val="center"/>
              <w:textAlignment w:val="center"/>
              <w:rPr>
                <w:szCs w:val="21"/>
                <w:lang w:bidi="ar"/>
              </w:rPr>
            </w:pPr>
            <w:r>
              <w:rPr>
                <w:szCs w:val="21"/>
                <w:lang w:bidi="ar"/>
              </w:rPr>
              <w:t>《水质 钾和钠的测定 火焰原子吸收分光光度法》GB/T 11904-1989</w:t>
            </w:r>
          </w:p>
        </w:tc>
        <w:tc>
          <w:tcPr>
            <w:tcW w:w="1359" w:type="pct"/>
            <w:vMerge w:val="restart"/>
            <w:vAlign w:val="center"/>
          </w:tcPr>
          <w:p>
            <w:pPr>
              <w:snapToGrid w:val="0"/>
              <w:jc w:val="center"/>
              <w:textAlignment w:val="center"/>
              <w:rPr>
                <w:szCs w:val="21"/>
                <w:lang w:bidi="ar"/>
              </w:rPr>
            </w:pPr>
            <w:r>
              <w:rPr>
                <w:szCs w:val="21"/>
                <w:lang w:bidi="ar"/>
              </w:rPr>
              <w:t>原子吸收分光光度TAS-990AFG</w:t>
            </w:r>
          </w:p>
          <w:p>
            <w:pPr>
              <w:snapToGrid w:val="0"/>
              <w:jc w:val="center"/>
              <w:textAlignment w:val="center"/>
              <w:rPr>
                <w:szCs w:val="21"/>
                <w:lang w:bidi="ar"/>
              </w:rPr>
            </w:pPr>
            <w:r>
              <w:rPr>
                <w:szCs w:val="21"/>
                <w:lang w:bidi="ar"/>
              </w:rPr>
              <w:t>YFYQ-001-2020</w:t>
            </w:r>
          </w:p>
        </w:tc>
        <w:tc>
          <w:tcPr>
            <w:tcW w:w="647" w:type="pct"/>
            <w:vAlign w:val="center"/>
          </w:tcPr>
          <w:p>
            <w:pPr>
              <w:jc w:val="center"/>
              <w:rPr>
                <w:szCs w:val="21"/>
              </w:rPr>
            </w:pPr>
            <w:r>
              <w:rPr>
                <w:szCs w:val="21"/>
              </w:rPr>
              <w:t>/</w:t>
            </w:r>
          </w:p>
        </w:tc>
        <w:tc>
          <w:tcPr>
            <w:tcW w:w="660" w:type="pct"/>
            <w:vAlign w:val="center"/>
          </w:tcPr>
          <w:p>
            <w:pPr>
              <w:snapToGrid w:val="0"/>
              <w:jc w:val="center"/>
              <w:textAlignment w:val="center"/>
              <w:rPr>
                <w:szCs w:val="21"/>
              </w:rPr>
            </w:pPr>
            <w:r>
              <w:rPr>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widowControl/>
              <w:jc w:val="center"/>
              <w:rPr>
                <w:szCs w:val="21"/>
                <w:lang w:bidi="ar"/>
              </w:rPr>
            </w:pPr>
            <w:r>
              <w:rPr>
                <w:szCs w:val="21"/>
                <w:lang w:bidi="ar"/>
              </w:rPr>
              <w:t>2</w:t>
            </w:r>
          </w:p>
        </w:tc>
        <w:tc>
          <w:tcPr>
            <w:tcW w:w="604" w:type="pct"/>
            <w:vAlign w:val="center"/>
          </w:tcPr>
          <w:p>
            <w:pPr>
              <w:widowControl/>
              <w:jc w:val="center"/>
              <w:rPr>
                <w:szCs w:val="21"/>
              </w:rPr>
            </w:pPr>
            <w:r>
              <w:rPr>
                <w:szCs w:val="21"/>
                <w:lang w:bidi="ar"/>
              </w:rPr>
              <w:t>Na</w:t>
            </w:r>
            <w:r>
              <w:rPr>
                <w:szCs w:val="21"/>
                <w:vertAlign w:val="superscript"/>
                <w:lang w:bidi="ar"/>
              </w:rPr>
              <w:t>+</w:t>
            </w:r>
          </w:p>
        </w:tc>
        <w:tc>
          <w:tcPr>
            <w:tcW w:w="1511" w:type="pct"/>
            <w:vMerge w:val="continue"/>
            <w:vAlign w:val="center"/>
          </w:tcPr>
          <w:p>
            <w:pPr>
              <w:widowControl/>
              <w:jc w:val="center"/>
              <w:rPr>
                <w:szCs w:val="21"/>
              </w:rPr>
            </w:pPr>
          </w:p>
        </w:tc>
        <w:tc>
          <w:tcPr>
            <w:tcW w:w="1359" w:type="pct"/>
            <w:vMerge w:val="continue"/>
            <w:vAlign w:val="center"/>
          </w:tcPr>
          <w:p>
            <w:pPr>
              <w:jc w:val="center"/>
              <w:textAlignment w:val="center"/>
              <w:rPr>
                <w:szCs w:val="21"/>
              </w:rPr>
            </w:pPr>
          </w:p>
        </w:tc>
        <w:tc>
          <w:tcPr>
            <w:tcW w:w="647" w:type="pct"/>
            <w:vAlign w:val="center"/>
          </w:tcPr>
          <w:p>
            <w:pPr>
              <w:widowControl/>
              <w:jc w:val="center"/>
              <w:rPr>
                <w:szCs w:val="21"/>
              </w:rPr>
            </w:pPr>
            <w:r>
              <w:rPr>
                <w:szCs w:val="21"/>
              </w:rPr>
              <w:t>/</w:t>
            </w:r>
          </w:p>
        </w:tc>
        <w:tc>
          <w:tcPr>
            <w:tcW w:w="660" w:type="pct"/>
            <w:vAlign w:val="center"/>
          </w:tcPr>
          <w:p>
            <w:pPr>
              <w:snapToGrid w:val="0"/>
              <w:jc w:val="center"/>
              <w:textAlignment w:val="center"/>
              <w:rPr>
                <w:szCs w:val="21"/>
              </w:rPr>
            </w:pPr>
            <w:r>
              <w:rPr>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lang w:bidi="ar"/>
              </w:rPr>
            </w:pPr>
            <w:r>
              <w:rPr>
                <w:szCs w:val="21"/>
                <w:lang w:bidi="ar"/>
              </w:rPr>
              <w:t>3</w:t>
            </w:r>
          </w:p>
        </w:tc>
        <w:tc>
          <w:tcPr>
            <w:tcW w:w="604" w:type="pct"/>
            <w:vAlign w:val="center"/>
          </w:tcPr>
          <w:p>
            <w:pPr>
              <w:jc w:val="center"/>
              <w:textAlignment w:val="center"/>
              <w:rPr>
                <w:szCs w:val="21"/>
              </w:rPr>
            </w:pPr>
            <w:r>
              <w:rPr>
                <w:szCs w:val="21"/>
                <w:lang w:bidi="ar"/>
              </w:rPr>
              <w:t>Ca</w:t>
            </w:r>
            <w:r>
              <w:rPr>
                <w:szCs w:val="21"/>
                <w:vertAlign w:val="superscript"/>
                <w:lang w:bidi="ar"/>
              </w:rPr>
              <w:t>2+</w:t>
            </w:r>
          </w:p>
        </w:tc>
        <w:tc>
          <w:tcPr>
            <w:tcW w:w="1511" w:type="pct"/>
            <w:vMerge w:val="restart"/>
            <w:vAlign w:val="center"/>
          </w:tcPr>
          <w:p>
            <w:pPr>
              <w:snapToGrid w:val="0"/>
              <w:jc w:val="center"/>
              <w:textAlignment w:val="center"/>
              <w:rPr>
                <w:szCs w:val="21"/>
                <w:lang w:bidi="ar"/>
              </w:rPr>
            </w:pPr>
            <w:r>
              <w:rPr>
                <w:szCs w:val="21"/>
                <w:lang w:bidi="ar"/>
              </w:rPr>
              <w:t>《水质 钙和镁的测定 原子吸收分光光度法 》</w:t>
            </w:r>
          </w:p>
          <w:p>
            <w:pPr>
              <w:snapToGrid w:val="0"/>
              <w:jc w:val="center"/>
              <w:textAlignment w:val="center"/>
              <w:rPr>
                <w:szCs w:val="21"/>
                <w:lang w:bidi="ar"/>
              </w:rPr>
            </w:pPr>
            <w:r>
              <w:rPr>
                <w:szCs w:val="21"/>
                <w:lang w:bidi="ar"/>
              </w:rPr>
              <w:t>GB/T 11905-1989</w:t>
            </w:r>
          </w:p>
        </w:tc>
        <w:tc>
          <w:tcPr>
            <w:tcW w:w="1359" w:type="pct"/>
            <w:vMerge w:val="restart"/>
            <w:vAlign w:val="center"/>
          </w:tcPr>
          <w:p>
            <w:pPr>
              <w:snapToGrid w:val="0"/>
              <w:jc w:val="center"/>
              <w:textAlignment w:val="center"/>
              <w:rPr>
                <w:szCs w:val="21"/>
                <w:lang w:bidi="ar"/>
              </w:rPr>
            </w:pPr>
            <w:r>
              <w:rPr>
                <w:szCs w:val="21"/>
                <w:lang w:bidi="ar"/>
              </w:rPr>
              <w:t>原子吸收分光光度TAS-990AFG</w:t>
            </w:r>
          </w:p>
          <w:p>
            <w:pPr>
              <w:snapToGrid w:val="0"/>
              <w:jc w:val="center"/>
              <w:textAlignment w:val="center"/>
              <w:rPr>
                <w:szCs w:val="21"/>
                <w:lang w:bidi="ar"/>
              </w:rPr>
            </w:pPr>
            <w:r>
              <w:rPr>
                <w:szCs w:val="21"/>
                <w:lang w:bidi="ar"/>
              </w:rPr>
              <w:t>YFYQ-001-2020</w:t>
            </w:r>
          </w:p>
        </w:tc>
        <w:tc>
          <w:tcPr>
            <w:tcW w:w="647" w:type="pct"/>
            <w:vAlign w:val="center"/>
          </w:tcPr>
          <w:p>
            <w:pPr>
              <w:jc w:val="center"/>
              <w:textAlignment w:val="center"/>
              <w:rPr>
                <w:szCs w:val="21"/>
              </w:rPr>
            </w:pPr>
            <w:r>
              <w:rPr>
                <w:szCs w:val="21"/>
              </w:rPr>
              <w:t>/</w:t>
            </w:r>
          </w:p>
        </w:tc>
        <w:tc>
          <w:tcPr>
            <w:tcW w:w="660" w:type="pct"/>
            <w:vAlign w:val="center"/>
          </w:tcPr>
          <w:p>
            <w:pPr>
              <w:snapToGrid w:val="0"/>
              <w:jc w:val="center"/>
              <w:textAlignment w:val="center"/>
              <w:rPr>
                <w:szCs w:val="21"/>
              </w:rPr>
            </w:pPr>
            <w:r>
              <w:rPr>
                <w:szCs w:val="21"/>
              </w:rPr>
              <w:t>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lang w:bidi="ar"/>
              </w:rPr>
            </w:pPr>
            <w:r>
              <w:rPr>
                <w:szCs w:val="21"/>
                <w:lang w:bidi="ar"/>
              </w:rPr>
              <w:t>4</w:t>
            </w:r>
          </w:p>
        </w:tc>
        <w:tc>
          <w:tcPr>
            <w:tcW w:w="604" w:type="pct"/>
            <w:vAlign w:val="center"/>
          </w:tcPr>
          <w:p>
            <w:pPr>
              <w:jc w:val="center"/>
              <w:textAlignment w:val="center"/>
              <w:rPr>
                <w:szCs w:val="21"/>
              </w:rPr>
            </w:pPr>
            <w:r>
              <w:rPr>
                <w:szCs w:val="21"/>
                <w:lang w:bidi="ar"/>
              </w:rPr>
              <w:t>Mg</w:t>
            </w:r>
            <w:r>
              <w:rPr>
                <w:szCs w:val="21"/>
                <w:vertAlign w:val="superscript"/>
                <w:lang w:bidi="ar"/>
              </w:rPr>
              <w:t>2+</w:t>
            </w:r>
          </w:p>
        </w:tc>
        <w:tc>
          <w:tcPr>
            <w:tcW w:w="1511" w:type="pct"/>
            <w:vMerge w:val="continue"/>
            <w:vAlign w:val="center"/>
          </w:tcPr>
          <w:p>
            <w:pPr>
              <w:widowControl/>
              <w:jc w:val="center"/>
              <w:rPr>
                <w:szCs w:val="21"/>
              </w:rPr>
            </w:pPr>
          </w:p>
        </w:tc>
        <w:tc>
          <w:tcPr>
            <w:tcW w:w="1359" w:type="pct"/>
            <w:vMerge w:val="continue"/>
            <w:vAlign w:val="center"/>
          </w:tcPr>
          <w:p>
            <w:pPr>
              <w:jc w:val="center"/>
              <w:textAlignment w:val="center"/>
              <w:rPr>
                <w:szCs w:val="21"/>
              </w:rPr>
            </w:pPr>
          </w:p>
        </w:tc>
        <w:tc>
          <w:tcPr>
            <w:tcW w:w="647" w:type="pct"/>
            <w:vAlign w:val="center"/>
          </w:tcPr>
          <w:p>
            <w:pPr>
              <w:jc w:val="center"/>
              <w:textAlignment w:val="center"/>
              <w:rPr>
                <w:szCs w:val="21"/>
              </w:rPr>
            </w:pPr>
            <w:r>
              <w:rPr>
                <w:szCs w:val="21"/>
              </w:rPr>
              <w:t>/</w:t>
            </w:r>
          </w:p>
        </w:tc>
        <w:tc>
          <w:tcPr>
            <w:tcW w:w="660" w:type="pct"/>
            <w:vAlign w:val="center"/>
          </w:tcPr>
          <w:p>
            <w:pPr>
              <w:snapToGrid w:val="0"/>
              <w:jc w:val="center"/>
              <w:textAlignment w:val="center"/>
              <w:rPr>
                <w:szCs w:val="21"/>
              </w:rPr>
            </w:pPr>
            <w:r>
              <w:rPr>
                <w:szCs w:val="21"/>
              </w:rPr>
              <w:t>0.002mg/L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5</w:t>
            </w:r>
          </w:p>
        </w:tc>
        <w:tc>
          <w:tcPr>
            <w:tcW w:w="604" w:type="pct"/>
            <w:vAlign w:val="center"/>
          </w:tcPr>
          <w:p>
            <w:pPr>
              <w:jc w:val="center"/>
              <w:textAlignment w:val="center"/>
              <w:rPr>
                <w:szCs w:val="21"/>
              </w:rPr>
            </w:pPr>
            <w:r>
              <w:rPr>
                <w:szCs w:val="21"/>
                <w:lang w:bidi="ar"/>
              </w:rPr>
              <w:t>CO</w:t>
            </w:r>
            <w:r>
              <w:rPr>
                <w:szCs w:val="21"/>
                <w:vertAlign w:val="subscript"/>
                <w:lang w:bidi="ar"/>
              </w:rPr>
              <w:t>3</w:t>
            </w:r>
            <w:r>
              <w:rPr>
                <w:szCs w:val="21"/>
                <w:vertAlign w:val="superscript"/>
                <w:lang w:bidi="ar"/>
              </w:rPr>
              <w:t>2-</w:t>
            </w:r>
          </w:p>
        </w:tc>
        <w:tc>
          <w:tcPr>
            <w:tcW w:w="1511" w:type="pct"/>
            <w:vMerge w:val="restart"/>
            <w:vAlign w:val="center"/>
          </w:tcPr>
          <w:p>
            <w:pPr>
              <w:snapToGrid w:val="0"/>
              <w:jc w:val="center"/>
              <w:textAlignment w:val="center"/>
              <w:rPr>
                <w:szCs w:val="21"/>
                <w:lang w:bidi="ar"/>
              </w:rPr>
            </w:pPr>
            <w:r>
              <w:rPr>
                <w:szCs w:val="21"/>
                <w:lang w:bidi="ar"/>
              </w:rPr>
              <w:t>碱度 酸碱指示剂滴定法（B）《水和废水监测分析方法》 （第四版 增补版）国家环境保护总局 （2002年）第三篇第一章十二（一）</w:t>
            </w:r>
          </w:p>
        </w:tc>
        <w:tc>
          <w:tcPr>
            <w:tcW w:w="1359" w:type="pct"/>
            <w:vMerge w:val="restart"/>
            <w:vAlign w:val="center"/>
          </w:tcPr>
          <w:p>
            <w:pPr>
              <w:snapToGrid w:val="0"/>
              <w:jc w:val="center"/>
              <w:textAlignment w:val="center"/>
              <w:rPr>
                <w:szCs w:val="21"/>
                <w:lang w:bidi="ar"/>
              </w:rPr>
            </w:pPr>
            <w:r>
              <w:rPr>
                <w:szCs w:val="21"/>
                <w:lang w:bidi="ar"/>
              </w:rPr>
              <w:t>酸式滴定管</w:t>
            </w:r>
          </w:p>
        </w:tc>
        <w:tc>
          <w:tcPr>
            <w:tcW w:w="647" w:type="pct"/>
            <w:vAlign w:val="center"/>
          </w:tcPr>
          <w:p>
            <w:pPr>
              <w:jc w:val="center"/>
              <w:textAlignment w:val="center"/>
              <w:rPr>
                <w:szCs w:val="21"/>
              </w:rPr>
            </w:pPr>
            <w:r>
              <w:rPr>
                <w:szCs w:val="21"/>
              </w:rPr>
              <w:t>/</w:t>
            </w:r>
          </w:p>
        </w:tc>
        <w:tc>
          <w:tcPr>
            <w:tcW w:w="660" w:type="pct"/>
            <w:vAlign w:val="center"/>
          </w:tcPr>
          <w:p>
            <w:pPr>
              <w:jc w:val="center"/>
              <w:textAlignment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6</w:t>
            </w:r>
          </w:p>
        </w:tc>
        <w:tc>
          <w:tcPr>
            <w:tcW w:w="604" w:type="pct"/>
            <w:vAlign w:val="center"/>
          </w:tcPr>
          <w:p>
            <w:pPr>
              <w:jc w:val="center"/>
              <w:textAlignment w:val="center"/>
              <w:rPr>
                <w:szCs w:val="21"/>
              </w:rPr>
            </w:pPr>
            <w:r>
              <w:rPr>
                <w:szCs w:val="21"/>
                <w:lang w:bidi="ar"/>
              </w:rPr>
              <w:t>HCO</w:t>
            </w:r>
            <w:r>
              <w:rPr>
                <w:szCs w:val="21"/>
                <w:vertAlign w:val="subscript"/>
                <w:lang w:bidi="ar"/>
              </w:rPr>
              <w:t>3</w:t>
            </w:r>
            <w:r>
              <w:rPr>
                <w:szCs w:val="21"/>
                <w:vertAlign w:val="superscript"/>
                <w:lang w:bidi="ar"/>
              </w:rPr>
              <w:t>-</w:t>
            </w:r>
          </w:p>
        </w:tc>
        <w:tc>
          <w:tcPr>
            <w:tcW w:w="1511" w:type="pct"/>
            <w:vMerge w:val="continue"/>
            <w:vAlign w:val="center"/>
          </w:tcPr>
          <w:p>
            <w:pPr>
              <w:widowControl/>
              <w:jc w:val="center"/>
              <w:rPr>
                <w:szCs w:val="21"/>
              </w:rPr>
            </w:pPr>
          </w:p>
        </w:tc>
        <w:tc>
          <w:tcPr>
            <w:tcW w:w="1359" w:type="pct"/>
            <w:vMerge w:val="continue"/>
            <w:vAlign w:val="center"/>
          </w:tcPr>
          <w:p>
            <w:pPr>
              <w:jc w:val="center"/>
              <w:textAlignment w:val="center"/>
              <w:rPr>
                <w:szCs w:val="21"/>
              </w:rPr>
            </w:pPr>
          </w:p>
        </w:tc>
        <w:tc>
          <w:tcPr>
            <w:tcW w:w="647" w:type="pct"/>
            <w:vAlign w:val="center"/>
          </w:tcPr>
          <w:p>
            <w:pPr>
              <w:jc w:val="center"/>
              <w:textAlignment w:val="center"/>
              <w:rPr>
                <w:szCs w:val="21"/>
              </w:rPr>
            </w:pPr>
            <w:r>
              <w:rPr>
                <w:szCs w:val="21"/>
              </w:rPr>
              <w:t>/</w:t>
            </w:r>
          </w:p>
        </w:tc>
        <w:tc>
          <w:tcPr>
            <w:tcW w:w="660" w:type="pct"/>
            <w:vAlign w:val="center"/>
          </w:tcPr>
          <w:p>
            <w:pPr>
              <w:jc w:val="center"/>
              <w:textAlignment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7</w:t>
            </w:r>
          </w:p>
        </w:tc>
        <w:tc>
          <w:tcPr>
            <w:tcW w:w="604" w:type="pct"/>
            <w:vAlign w:val="center"/>
          </w:tcPr>
          <w:p>
            <w:pPr>
              <w:jc w:val="center"/>
              <w:textAlignment w:val="center"/>
              <w:rPr>
                <w:szCs w:val="21"/>
              </w:rPr>
            </w:pPr>
            <w:r>
              <w:t>Cl</w:t>
            </w:r>
            <w:r>
              <w:rPr>
                <w:vertAlign w:val="superscript"/>
              </w:rPr>
              <w:t>-</w:t>
            </w:r>
          </w:p>
        </w:tc>
        <w:tc>
          <w:tcPr>
            <w:tcW w:w="1511" w:type="pct"/>
            <w:vMerge w:val="restart"/>
            <w:vAlign w:val="center"/>
          </w:tcPr>
          <w:p>
            <w:pPr>
              <w:jc w:val="center"/>
              <w:textAlignment w:val="center"/>
              <w:rPr>
                <w:szCs w:val="21"/>
              </w:rPr>
            </w:pPr>
            <w:r>
              <w:rPr>
                <w:szCs w:val="21"/>
                <w:lang w:bidi="ar"/>
              </w:rPr>
              <w:t>《水质 无机阴离子（F</w:t>
            </w:r>
            <w:r>
              <w:rPr>
                <w:szCs w:val="21"/>
                <w:vertAlign w:val="superscript"/>
                <w:lang w:bidi="ar"/>
              </w:rPr>
              <w:t>-</w:t>
            </w:r>
            <w:r>
              <w:rPr>
                <w:szCs w:val="21"/>
                <w:lang w:bidi="ar"/>
              </w:rPr>
              <w:t>、Cl</w:t>
            </w:r>
            <w:r>
              <w:rPr>
                <w:szCs w:val="21"/>
                <w:vertAlign w:val="superscript"/>
                <w:lang w:bidi="ar"/>
              </w:rPr>
              <w:t>-</w:t>
            </w:r>
            <w:r>
              <w:rPr>
                <w:szCs w:val="21"/>
                <w:lang w:bidi="ar"/>
              </w:rPr>
              <w:t>、NO</w:t>
            </w:r>
            <w:r>
              <w:rPr>
                <w:szCs w:val="21"/>
                <w:vertAlign w:val="subscript"/>
                <w:lang w:bidi="ar"/>
              </w:rPr>
              <w:t>2</w:t>
            </w:r>
            <w:r>
              <w:rPr>
                <w:szCs w:val="21"/>
                <w:vertAlign w:val="superscript"/>
                <w:lang w:bidi="ar"/>
              </w:rPr>
              <w:t>-</w:t>
            </w:r>
            <w:r>
              <w:rPr>
                <w:szCs w:val="21"/>
                <w:lang w:bidi="ar"/>
              </w:rPr>
              <w:t>、Br</w:t>
            </w:r>
            <w:r>
              <w:rPr>
                <w:szCs w:val="21"/>
                <w:vertAlign w:val="superscript"/>
                <w:lang w:bidi="ar"/>
              </w:rPr>
              <w:t>-</w:t>
            </w:r>
            <w:r>
              <w:rPr>
                <w:szCs w:val="21"/>
                <w:lang w:bidi="ar"/>
              </w:rPr>
              <w:t>、NO</w:t>
            </w:r>
            <w:r>
              <w:rPr>
                <w:szCs w:val="21"/>
                <w:vertAlign w:val="subscript"/>
                <w:lang w:bidi="ar"/>
              </w:rPr>
              <w:t>3</w:t>
            </w:r>
            <w:r>
              <w:rPr>
                <w:szCs w:val="21"/>
                <w:vertAlign w:val="superscript"/>
                <w:lang w:bidi="ar"/>
              </w:rPr>
              <w:t>-</w:t>
            </w:r>
            <w:r>
              <w:rPr>
                <w:szCs w:val="21"/>
                <w:lang w:bidi="ar"/>
              </w:rPr>
              <w:t>、PO</w:t>
            </w:r>
            <w:r>
              <w:rPr>
                <w:szCs w:val="21"/>
                <w:vertAlign w:val="subscript"/>
                <w:lang w:bidi="ar"/>
              </w:rPr>
              <w:t>4</w:t>
            </w:r>
            <w:r>
              <w:rPr>
                <w:szCs w:val="21"/>
                <w:vertAlign w:val="superscript"/>
                <w:lang w:bidi="ar"/>
              </w:rPr>
              <w:t>3-</w:t>
            </w:r>
            <w:r>
              <w:rPr>
                <w:szCs w:val="21"/>
                <w:lang w:bidi="ar"/>
              </w:rPr>
              <w:t>、SO</w:t>
            </w:r>
            <w:r>
              <w:rPr>
                <w:szCs w:val="21"/>
                <w:vertAlign w:val="subscript"/>
                <w:lang w:bidi="ar"/>
              </w:rPr>
              <w:t>3</w:t>
            </w:r>
            <w:r>
              <w:rPr>
                <w:szCs w:val="21"/>
                <w:vertAlign w:val="superscript"/>
                <w:lang w:bidi="ar"/>
              </w:rPr>
              <w:t>2-</w:t>
            </w:r>
            <w:r>
              <w:rPr>
                <w:szCs w:val="21"/>
                <w:lang w:bidi="ar"/>
              </w:rPr>
              <w:t>、SO</w:t>
            </w:r>
            <w:r>
              <w:rPr>
                <w:szCs w:val="21"/>
                <w:vertAlign w:val="subscript"/>
                <w:lang w:bidi="ar"/>
              </w:rPr>
              <w:t>4</w:t>
            </w:r>
            <w:r>
              <w:rPr>
                <w:szCs w:val="21"/>
                <w:vertAlign w:val="superscript"/>
                <w:lang w:bidi="ar"/>
              </w:rPr>
              <w:t>2-</w:t>
            </w:r>
            <w:r>
              <w:rPr>
                <w:szCs w:val="21"/>
                <w:lang w:bidi="ar"/>
              </w:rPr>
              <w:t>）的测定 离子色谱法》 HJ 84-2016</w:t>
            </w:r>
          </w:p>
        </w:tc>
        <w:tc>
          <w:tcPr>
            <w:tcW w:w="1359" w:type="pct"/>
            <w:vMerge w:val="restart"/>
            <w:vAlign w:val="center"/>
          </w:tcPr>
          <w:p>
            <w:pPr>
              <w:jc w:val="center"/>
              <w:textAlignment w:val="center"/>
              <w:rPr>
                <w:color w:val="000000"/>
                <w:szCs w:val="21"/>
                <w:vertAlign w:val="superscript"/>
                <w:lang w:bidi="ar"/>
              </w:rPr>
            </w:pPr>
            <w:r>
              <w:rPr>
                <w:color w:val="000000"/>
                <w:szCs w:val="21"/>
                <w:vertAlign w:val="superscript"/>
                <w:lang w:bidi="ar"/>
              </w:rPr>
              <w:t>离子色谱仪</w:t>
            </w:r>
          </w:p>
          <w:p>
            <w:pPr>
              <w:jc w:val="center"/>
              <w:textAlignment w:val="center"/>
              <w:rPr>
                <w:color w:val="000000"/>
                <w:szCs w:val="21"/>
                <w:vertAlign w:val="superscript"/>
                <w:lang w:bidi="ar"/>
              </w:rPr>
            </w:pPr>
            <w:r>
              <w:rPr>
                <w:color w:val="000000"/>
                <w:szCs w:val="21"/>
                <w:vertAlign w:val="superscript"/>
                <w:lang w:bidi="ar"/>
              </w:rPr>
              <w:t>CIC-D100</w:t>
            </w:r>
          </w:p>
          <w:p>
            <w:pPr>
              <w:jc w:val="center"/>
              <w:textAlignment w:val="center"/>
              <w:rPr>
                <w:szCs w:val="21"/>
              </w:rPr>
            </w:pPr>
            <w:r>
              <w:rPr>
                <w:color w:val="000000"/>
                <w:szCs w:val="21"/>
                <w:vertAlign w:val="superscript"/>
                <w:lang w:bidi="ar"/>
              </w:rPr>
              <w:t>YFYQ-007-2020</w:t>
            </w:r>
          </w:p>
        </w:tc>
        <w:tc>
          <w:tcPr>
            <w:tcW w:w="647" w:type="pct"/>
            <w:vAlign w:val="center"/>
          </w:tcPr>
          <w:p>
            <w:pPr>
              <w:snapToGrid w:val="0"/>
              <w:jc w:val="center"/>
              <w:rPr>
                <w:szCs w:val="21"/>
              </w:rPr>
            </w:pPr>
            <w:r>
              <w:rPr>
                <w:szCs w:val="21"/>
              </w:rPr>
              <w:t>0.007mg/L</w:t>
            </w:r>
          </w:p>
        </w:tc>
        <w:tc>
          <w:tcPr>
            <w:tcW w:w="660" w:type="pct"/>
            <w:vAlign w:val="center"/>
          </w:tcPr>
          <w:p>
            <w:pPr>
              <w:jc w:val="center"/>
              <w:textAlignment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8</w:t>
            </w:r>
          </w:p>
        </w:tc>
        <w:tc>
          <w:tcPr>
            <w:tcW w:w="604" w:type="pct"/>
            <w:vAlign w:val="center"/>
          </w:tcPr>
          <w:p>
            <w:pPr>
              <w:jc w:val="center"/>
              <w:textAlignment w:val="center"/>
              <w:rPr>
                <w:szCs w:val="21"/>
              </w:rPr>
            </w:pPr>
            <w:r>
              <w:rPr>
                <w:szCs w:val="21"/>
              </w:rPr>
              <w:t>SO</w:t>
            </w:r>
            <w:r>
              <w:rPr>
                <w:szCs w:val="21"/>
                <w:vertAlign w:val="subscript"/>
              </w:rPr>
              <w:t>4</w:t>
            </w:r>
            <w:r>
              <w:rPr>
                <w:szCs w:val="21"/>
                <w:vertAlign w:val="superscript"/>
              </w:rPr>
              <w:t>2-</w:t>
            </w:r>
          </w:p>
        </w:tc>
        <w:tc>
          <w:tcPr>
            <w:tcW w:w="1511" w:type="pct"/>
            <w:vMerge w:val="continue"/>
            <w:vAlign w:val="center"/>
          </w:tcPr>
          <w:p>
            <w:pPr>
              <w:widowControl/>
              <w:jc w:val="center"/>
              <w:rPr>
                <w:szCs w:val="21"/>
              </w:rPr>
            </w:pPr>
          </w:p>
        </w:tc>
        <w:tc>
          <w:tcPr>
            <w:tcW w:w="1359" w:type="pct"/>
            <w:vMerge w:val="continue"/>
            <w:vAlign w:val="center"/>
          </w:tcPr>
          <w:p>
            <w:pPr>
              <w:jc w:val="center"/>
              <w:textAlignment w:val="center"/>
              <w:rPr>
                <w:szCs w:val="21"/>
              </w:rPr>
            </w:pPr>
          </w:p>
        </w:tc>
        <w:tc>
          <w:tcPr>
            <w:tcW w:w="647" w:type="pct"/>
            <w:vAlign w:val="center"/>
          </w:tcPr>
          <w:p>
            <w:pPr>
              <w:snapToGrid w:val="0"/>
              <w:jc w:val="center"/>
              <w:rPr>
                <w:szCs w:val="21"/>
              </w:rPr>
            </w:pPr>
            <w:r>
              <w:rPr>
                <w:szCs w:val="21"/>
              </w:rPr>
              <w:t>0.018mg/L</w:t>
            </w:r>
          </w:p>
        </w:tc>
        <w:tc>
          <w:tcPr>
            <w:tcW w:w="660" w:type="pct"/>
            <w:vAlign w:val="center"/>
          </w:tcPr>
          <w:p>
            <w:pPr>
              <w:jc w:val="center"/>
              <w:textAlignment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widowControl/>
              <w:jc w:val="center"/>
              <w:rPr>
                <w:szCs w:val="21"/>
              </w:rPr>
            </w:pPr>
            <w:r>
              <w:rPr>
                <w:szCs w:val="21"/>
              </w:rPr>
              <w:t>9</w:t>
            </w:r>
          </w:p>
        </w:tc>
        <w:tc>
          <w:tcPr>
            <w:tcW w:w="604" w:type="pct"/>
            <w:vAlign w:val="center"/>
          </w:tcPr>
          <w:p>
            <w:pPr>
              <w:widowControl/>
              <w:jc w:val="center"/>
              <w:rPr>
                <w:szCs w:val="21"/>
              </w:rPr>
            </w:pPr>
            <w:r>
              <w:rPr>
                <w:szCs w:val="21"/>
              </w:rPr>
              <w:t>pH值</w:t>
            </w:r>
          </w:p>
        </w:tc>
        <w:tc>
          <w:tcPr>
            <w:tcW w:w="1511" w:type="pct"/>
            <w:vAlign w:val="center"/>
          </w:tcPr>
          <w:p>
            <w:pPr>
              <w:widowControl/>
              <w:jc w:val="center"/>
              <w:textAlignment w:val="center"/>
              <w:rPr>
                <w:szCs w:val="21"/>
              </w:rPr>
            </w:pPr>
            <w:r>
              <w:rPr>
                <w:szCs w:val="21"/>
              </w:rPr>
              <w:t>《</w:t>
            </w:r>
            <w:r>
              <w:rPr>
                <w:szCs w:val="21"/>
                <w:lang w:bidi="ar"/>
              </w:rPr>
              <w:t>水质 pH</w:t>
            </w:r>
            <w:r>
              <w:rPr>
                <w:color w:val="000000"/>
                <w:szCs w:val="21"/>
                <w:vertAlign w:val="superscript"/>
                <w:lang w:bidi="ar"/>
              </w:rPr>
              <w:t>值的测定</w:t>
            </w:r>
            <w:r>
              <w:rPr>
                <w:szCs w:val="21"/>
                <w:lang w:bidi="ar"/>
              </w:rPr>
              <w:t xml:space="preserve"> </w:t>
            </w:r>
            <w:r>
              <w:rPr>
                <w:color w:val="000000"/>
                <w:szCs w:val="21"/>
                <w:vertAlign w:val="superscript"/>
                <w:lang w:bidi="ar"/>
              </w:rPr>
              <w:t>电极法</w:t>
            </w:r>
            <w:r>
              <w:rPr>
                <w:szCs w:val="21"/>
              </w:rPr>
              <w:t>》</w:t>
            </w:r>
            <w:r>
              <w:rPr>
                <w:szCs w:val="21"/>
                <w:lang w:bidi="ar"/>
              </w:rPr>
              <w:t>HJ 1147-2020</w:t>
            </w:r>
          </w:p>
        </w:tc>
        <w:tc>
          <w:tcPr>
            <w:tcW w:w="1359" w:type="pct"/>
            <w:vAlign w:val="center"/>
          </w:tcPr>
          <w:p>
            <w:pPr>
              <w:jc w:val="center"/>
              <w:textAlignment w:val="center"/>
              <w:rPr>
                <w:color w:val="000000"/>
                <w:szCs w:val="21"/>
                <w:vertAlign w:val="superscript"/>
                <w:lang w:bidi="ar"/>
              </w:rPr>
            </w:pPr>
            <w:r>
              <w:rPr>
                <w:color w:val="000000"/>
                <w:szCs w:val="21"/>
                <w:vertAlign w:val="superscript"/>
                <w:lang w:bidi="ar"/>
              </w:rPr>
              <w:t>便携式pH计</w:t>
            </w:r>
          </w:p>
          <w:p>
            <w:pPr>
              <w:snapToGrid w:val="0"/>
              <w:ind w:left="-105" w:leftChars="-50" w:right="-105" w:rightChars="-50"/>
              <w:jc w:val="center"/>
              <w:textAlignment w:val="center"/>
              <w:rPr>
                <w:color w:val="000000"/>
                <w:szCs w:val="21"/>
                <w:vertAlign w:val="superscript"/>
                <w:lang w:bidi="ar"/>
              </w:rPr>
            </w:pPr>
            <w:r>
              <w:rPr>
                <w:color w:val="000000"/>
                <w:szCs w:val="21"/>
                <w:vertAlign w:val="superscript"/>
                <w:lang w:bidi="ar"/>
              </w:rPr>
              <w:t>PHB-4</w:t>
            </w:r>
          </w:p>
          <w:p>
            <w:pPr>
              <w:widowControl/>
              <w:jc w:val="center"/>
              <w:textAlignment w:val="center"/>
              <w:rPr>
                <w:szCs w:val="21"/>
              </w:rPr>
            </w:pPr>
            <w:r>
              <w:rPr>
                <w:color w:val="000000"/>
                <w:szCs w:val="21"/>
                <w:vertAlign w:val="superscript"/>
                <w:lang w:bidi="ar"/>
              </w:rPr>
              <w:t>YFYQ-023-05-2021</w:t>
            </w:r>
          </w:p>
        </w:tc>
        <w:tc>
          <w:tcPr>
            <w:tcW w:w="647" w:type="pct"/>
            <w:vAlign w:val="center"/>
          </w:tcPr>
          <w:p>
            <w:pPr>
              <w:jc w:val="center"/>
              <w:textAlignment w:val="center"/>
              <w:rPr>
                <w:szCs w:val="21"/>
              </w:rPr>
            </w:pPr>
            <w:r>
              <w:rPr>
                <w:szCs w:val="21"/>
              </w:rPr>
              <w:t>/</w:t>
            </w:r>
          </w:p>
        </w:tc>
        <w:tc>
          <w:tcPr>
            <w:tcW w:w="660" w:type="pct"/>
            <w:vAlign w:val="center"/>
          </w:tcPr>
          <w:p>
            <w:pPr>
              <w:jc w:val="center"/>
              <w:textAlignment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10</w:t>
            </w:r>
          </w:p>
        </w:tc>
        <w:tc>
          <w:tcPr>
            <w:tcW w:w="604" w:type="pct"/>
            <w:vAlign w:val="center"/>
          </w:tcPr>
          <w:p>
            <w:pPr>
              <w:jc w:val="center"/>
              <w:textAlignment w:val="center"/>
              <w:rPr>
                <w:szCs w:val="21"/>
              </w:rPr>
            </w:pPr>
            <w:r>
              <w:rPr>
                <w:szCs w:val="21"/>
                <w:lang w:bidi="ar"/>
              </w:rPr>
              <w:t>氨氮</w:t>
            </w:r>
          </w:p>
        </w:tc>
        <w:tc>
          <w:tcPr>
            <w:tcW w:w="1511" w:type="pct"/>
            <w:vAlign w:val="center"/>
          </w:tcPr>
          <w:p>
            <w:pPr>
              <w:snapToGrid w:val="0"/>
              <w:jc w:val="center"/>
              <w:textAlignment w:val="center"/>
              <w:rPr>
                <w:szCs w:val="21"/>
                <w:lang w:bidi="ar"/>
              </w:rPr>
            </w:pPr>
            <w:r>
              <w:rPr>
                <w:szCs w:val="21"/>
                <w:lang w:bidi="ar"/>
              </w:rPr>
              <w:t>《水质 氨氮的测定纳氏试剂分光光度法》HJ 535-2009</w:t>
            </w:r>
          </w:p>
        </w:tc>
        <w:tc>
          <w:tcPr>
            <w:tcW w:w="1359" w:type="pct"/>
            <w:vAlign w:val="center"/>
          </w:tcPr>
          <w:p>
            <w:pPr>
              <w:jc w:val="center"/>
              <w:textAlignment w:val="center"/>
              <w:rPr>
                <w:szCs w:val="21"/>
              </w:rPr>
            </w:pPr>
            <w:r>
              <w:rPr>
                <w:szCs w:val="21"/>
                <w:lang w:bidi="ar"/>
              </w:rPr>
              <w:t>紫外可见分光光度计T6新世纪YFYQ-009-2020</w:t>
            </w:r>
          </w:p>
        </w:tc>
        <w:tc>
          <w:tcPr>
            <w:tcW w:w="647" w:type="pct"/>
            <w:vAlign w:val="center"/>
          </w:tcPr>
          <w:p>
            <w:pPr>
              <w:snapToGrid w:val="0"/>
              <w:jc w:val="center"/>
              <w:textAlignment w:val="center"/>
              <w:rPr>
                <w:szCs w:val="21"/>
              </w:rPr>
            </w:pPr>
            <w:r>
              <w:rPr>
                <w:szCs w:val="21"/>
              </w:rPr>
              <w:t>0.025</w:t>
            </w:r>
          </w:p>
          <w:p>
            <w:pPr>
              <w:jc w:val="center"/>
              <w:textAlignment w:val="center"/>
              <w:rPr>
                <w:szCs w:val="21"/>
              </w:rPr>
            </w:pPr>
            <w:r>
              <w:rPr>
                <w:szCs w:val="21"/>
              </w:rPr>
              <w:t>mg/L</w:t>
            </w:r>
          </w:p>
        </w:tc>
        <w:tc>
          <w:tcPr>
            <w:tcW w:w="660" w:type="pct"/>
            <w:vAlign w:val="center"/>
          </w:tcPr>
          <w:p>
            <w:pPr>
              <w:jc w:val="center"/>
              <w:textAlignment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11</w:t>
            </w:r>
          </w:p>
        </w:tc>
        <w:tc>
          <w:tcPr>
            <w:tcW w:w="604" w:type="pct"/>
            <w:vAlign w:val="center"/>
          </w:tcPr>
          <w:p>
            <w:pPr>
              <w:jc w:val="center"/>
              <w:textAlignment w:val="center"/>
              <w:rPr>
                <w:szCs w:val="21"/>
              </w:rPr>
            </w:pPr>
            <w:r>
              <w:rPr>
                <w:szCs w:val="21"/>
                <w:lang w:bidi="ar"/>
              </w:rPr>
              <w:t>总硬度</w:t>
            </w:r>
          </w:p>
        </w:tc>
        <w:tc>
          <w:tcPr>
            <w:tcW w:w="1511" w:type="pct"/>
            <w:vAlign w:val="center"/>
          </w:tcPr>
          <w:p>
            <w:pPr>
              <w:snapToGrid w:val="0"/>
              <w:jc w:val="center"/>
              <w:textAlignment w:val="center"/>
              <w:rPr>
                <w:szCs w:val="21"/>
                <w:lang w:bidi="ar"/>
              </w:rPr>
            </w:pPr>
            <w:r>
              <w:rPr>
                <w:szCs w:val="21"/>
                <w:lang w:bidi="ar"/>
              </w:rPr>
              <w:t>《生活饮用水标准检验方法感官性状和物理指标》（7.1 总硬度乙二胺四乙酸二钠滴定法）GB/T 5750.4-2006</w:t>
            </w:r>
          </w:p>
        </w:tc>
        <w:tc>
          <w:tcPr>
            <w:tcW w:w="1359" w:type="pct"/>
            <w:vAlign w:val="center"/>
          </w:tcPr>
          <w:p>
            <w:pPr>
              <w:jc w:val="center"/>
              <w:textAlignment w:val="center"/>
              <w:rPr>
                <w:szCs w:val="21"/>
              </w:rPr>
            </w:pPr>
            <w:r>
              <w:rPr>
                <w:szCs w:val="21"/>
                <w:lang w:bidi="ar"/>
              </w:rPr>
              <w:t>酸式滴定管</w:t>
            </w:r>
          </w:p>
        </w:tc>
        <w:tc>
          <w:tcPr>
            <w:tcW w:w="647" w:type="pct"/>
            <w:vAlign w:val="center"/>
          </w:tcPr>
          <w:p>
            <w:pPr>
              <w:jc w:val="center"/>
              <w:textAlignment w:val="center"/>
              <w:rPr>
                <w:szCs w:val="21"/>
              </w:rPr>
            </w:pPr>
            <w:r>
              <w:rPr>
                <w:szCs w:val="21"/>
              </w:rPr>
              <w:t>/</w:t>
            </w:r>
          </w:p>
        </w:tc>
        <w:tc>
          <w:tcPr>
            <w:tcW w:w="660" w:type="pct"/>
            <w:vAlign w:val="center"/>
          </w:tcPr>
          <w:p>
            <w:pPr>
              <w:snapToGrid w:val="0"/>
              <w:jc w:val="center"/>
              <w:textAlignment w:val="center"/>
              <w:rPr>
                <w:szCs w:val="21"/>
              </w:rPr>
            </w:pPr>
            <w:r>
              <w:rPr>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12</w:t>
            </w:r>
          </w:p>
        </w:tc>
        <w:tc>
          <w:tcPr>
            <w:tcW w:w="604" w:type="pct"/>
            <w:vAlign w:val="center"/>
          </w:tcPr>
          <w:p>
            <w:pPr>
              <w:snapToGrid w:val="0"/>
              <w:jc w:val="center"/>
              <w:textAlignment w:val="center"/>
              <w:rPr>
                <w:szCs w:val="21"/>
              </w:rPr>
            </w:pPr>
            <w:r>
              <w:rPr>
                <w:szCs w:val="21"/>
                <w:lang w:bidi="ar"/>
              </w:rPr>
              <w:t>溶解性总固体</w:t>
            </w:r>
          </w:p>
        </w:tc>
        <w:tc>
          <w:tcPr>
            <w:tcW w:w="1511" w:type="pct"/>
            <w:vAlign w:val="center"/>
          </w:tcPr>
          <w:p>
            <w:pPr>
              <w:snapToGrid w:val="0"/>
              <w:jc w:val="center"/>
              <w:textAlignment w:val="center"/>
              <w:rPr>
                <w:szCs w:val="21"/>
                <w:lang w:bidi="ar"/>
              </w:rPr>
            </w:pPr>
            <w:r>
              <w:rPr>
                <w:szCs w:val="21"/>
                <w:lang w:bidi="ar"/>
              </w:rPr>
              <w:t>《生活饮用水标准检验方法感官性状和物理指标》（8.1 溶解性总固体 称重法）</w:t>
            </w:r>
          </w:p>
          <w:p>
            <w:pPr>
              <w:jc w:val="center"/>
              <w:textAlignment w:val="center"/>
              <w:rPr>
                <w:szCs w:val="21"/>
              </w:rPr>
            </w:pPr>
            <w:r>
              <w:rPr>
                <w:szCs w:val="21"/>
                <w:lang w:bidi="ar"/>
              </w:rPr>
              <w:t>GB/T 5750.4-2006</w:t>
            </w:r>
          </w:p>
        </w:tc>
        <w:tc>
          <w:tcPr>
            <w:tcW w:w="1359" w:type="pct"/>
            <w:vAlign w:val="center"/>
          </w:tcPr>
          <w:p>
            <w:pPr>
              <w:snapToGrid w:val="0"/>
              <w:jc w:val="center"/>
              <w:textAlignment w:val="center"/>
              <w:rPr>
                <w:szCs w:val="21"/>
                <w:lang w:bidi="ar"/>
              </w:rPr>
            </w:pPr>
            <w:r>
              <w:rPr>
                <w:szCs w:val="21"/>
                <w:lang w:bidi="ar"/>
              </w:rPr>
              <w:t>电子分析天平</w:t>
            </w:r>
          </w:p>
          <w:p>
            <w:pPr>
              <w:snapToGrid w:val="0"/>
              <w:jc w:val="center"/>
              <w:textAlignment w:val="center"/>
              <w:rPr>
                <w:szCs w:val="21"/>
                <w:lang w:bidi="ar"/>
              </w:rPr>
            </w:pPr>
            <w:r>
              <w:rPr>
                <w:szCs w:val="21"/>
                <w:lang w:bidi="ar"/>
              </w:rPr>
              <w:t>FA224</w:t>
            </w:r>
          </w:p>
          <w:p>
            <w:pPr>
              <w:jc w:val="center"/>
              <w:textAlignment w:val="center"/>
              <w:rPr>
                <w:szCs w:val="21"/>
              </w:rPr>
            </w:pPr>
            <w:r>
              <w:rPr>
                <w:szCs w:val="21"/>
                <w:lang w:bidi="ar"/>
              </w:rPr>
              <w:t>YFYQ-012-2020</w:t>
            </w:r>
          </w:p>
        </w:tc>
        <w:tc>
          <w:tcPr>
            <w:tcW w:w="647" w:type="pct"/>
            <w:vAlign w:val="center"/>
          </w:tcPr>
          <w:p>
            <w:pPr>
              <w:jc w:val="center"/>
              <w:textAlignment w:val="center"/>
              <w:rPr>
                <w:szCs w:val="21"/>
              </w:rPr>
            </w:pPr>
            <w:r>
              <w:rPr>
                <w:szCs w:val="21"/>
              </w:rPr>
              <w:t>/</w:t>
            </w:r>
          </w:p>
        </w:tc>
        <w:tc>
          <w:tcPr>
            <w:tcW w:w="660" w:type="pct"/>
            <w:vAlign w:val="center"/>
          </w:tcPr>
          <w:p>
            <w:pPr>
              <w:jc w:val="center"/>
              <w:textAlignment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13</w:t>
            </w:r>
          </w:p>
        </w:tc>
        <w:tc>
          <w:tcPr>
            <w:tcW w:w="604" w:type="pct"/>
            <w:vAlign w:val="center"/>
          </w:tcPr>
          <w:p>
            <w:pPr>
              <w:jc w:val="center"/>
              <w:textAlignment w:val="center"/>
              <w:rPr>
                <w:szCs w:val="21"/>
              </w:rPr>
            </w:pPr>
            <w:r>
              <w:rPr>
                <w:szCs w:val="21"/>
              </w:rPr>
              <w:t>耗氧量</w:t>
            </w:r>
          </w:p>
        </w:tc>
        <w:tc>
          <w:tcPr>
            <w:tcW w:w="1511" w:type="pct"/>
            <w:vAlign w:val="center"/>
          </w:tcPr>
          <w:p>
            <w:pPr>
              <w:snapToGrid w:val="0"/>
              <w:jc w:val="center"/>
              <w:rPr>
                <w:szCs w:val="21"/>
              </w:rPr>
            </w:pPr>
            <w:r>
              <w:rPr>
                <w:szCs w:val="21"/>
              </w:rPr>
              <w:t>《生活饮用水标准检验方法 有机物综合指标 （1.1 耗氧量 酸性高锰酸钾滴定法）》</w:t>
            </w:r>
          </w:p>
          <w:p>
            <w:pPr>
              <w:jc w:val="center"/>
              <w:textAlignment w:val="center"/>
              <w:rPr>
                <w:szCs w:val="21"/>
              </w:rPr>
            </w:pPr>
            <w:r>
              <w:rPr>
                <w:szCs w:val="21"/>
              </w:rPr>
              <w:t>GB/T 5750.7-2006</w:t>
            </w:r>
          </w:p>
        </w:tc>
        <w:tc>
          <w:tcPr>
            <w:tcW w:w="1359" w:type="pct"/>
            <w:vAlign w:val="center"/>
          </w:tcPr>
          <w:p>
            <w:pPr>
              <w:jc w:val="center"/>
              <w:textAlignment w:val="center"/>
              <w:rPr>
                <w:szCs w:val="21"/>
              </w:rPr>
            </w:pPr>
            <w:r>
              <w:rPr>
                <w:szCs w:val="21"/>
              </w:rPr>
              <w:t>酸式滴定管</w:t>
            </w:r>
          </w:p>
        </w:tc>
        <w:tc>
          <w:tcPr>
            <w:tcW w:w="647" w:type="pct"/>
            <w:vAlign w:val="center"/>
          </w:tcPr>
          <w:p>
            <w:pPr>
              <w:jc w:val="center"/>
              <w:textAlignment w:val="center"/>
              <w:rPr>
                <w:szCs w:val="21"/>
              </w:rPr>
            </w:pPr>
            <w:r>
              <w:rPr>
                <w:szCs w:val="21"/>
              </w:rPr>
              <w:t>/</w:t>
            </w:r>
          </w:p>
        </w:tc>
        <w:tc>
          <w:tcPr>
            <w:tcW w:w="660" w:type="pct"/>
            <w:vAlign w:val="center"/>
          </w:tcPr>
          <w:p>
            <w:pPr>
              <w:snapToGrid w:val="0"/>
              <w:jc w:val="center"/>
              <w:rPr>
                <w:szCs w:val="21"/>
              </w:rPr>
            </w:pPr>
            <w:r>
              <w:rPr>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rPr>
                <w:szCs w:val="21"/>
              </w:rPr>
            </w:pPr>
            <w:r>
              <w:rPr>
                <w:szCs w:val="21"/>
              </w:rPr>
              <w:t>14</w:t>
            </w:r>
          </w:p>
        </w:tc>
        <w:tc>
          <w:tcPr>
            <w:tcW w:w="604" w:type="pct"/>
            <w:vAlign w:val="center"/>
          </w:tcPr>
          <w:p>
            <w:pPr>
              <w:jc w:val="center"/>
              <w:rPr>
                <w:szCs w:val="21"/>
              </w:rPr>
            </w:pPr>
            <w:r>
              <w:rPr>
                <w:szCs w:val="21"/>
              </w:rPr>
              <w:t>硫</w:t>
            </w:r>
            <w:r>
              <w:rPr>
                <w:rFonts w:hint="eastAsia"/>
                <w:szCs w:val="21"/>
              </w:rPr>
              <w:t>化物</w:t>
            </w:r>
          </w:p>
        </w:tc>
        <w:tc>
          <w:tcPr>
            <w:tcW w:w="1511" w:type="pct"/>
            <w:vAlign w:val="center"/>
          </w:tcPr>
          <w:p>
            <w:pPr>
              <w:jc w:val="center"/>
              <w:rPr>
                <w:szCs w:val="21"/>
              </w:rPr>
            </w:pPr>
            <w:r>
              <w:rPr>
                <w:rFonts w:hint="eastAsia"/>
                <w:szCs w:val="21"/>
              </w:rPr>
              <w:t>《水质 硫化物的测定 亚甲基蓝分光光度法》HJ 1226-2021</w:t>
            </w:r>
          </w:p>
        </w:tc>
        <w:tc>
          <w:tcPr>
            <w:tcW w:w="1359" w:type="pct"/>
            <w:vAlign w:val="center"/>
          </w:tcPr>
          <w:p>
            <w:pPr>
              <w:jc w:val="center"/>
              <w:textAlignment w:val="center"/>
              <w:rPr>
                <w:szCs w:val="21"/>
              </w:rPr>
            </w:pPr>
            <w:r>
              <w:rPr>
                <w:szCs w:val="21"/>
              </w:rPr>
              <w:t>紫外可见分光光度计T6新世纪YFYQ-009-2020</w:t>
            </w:r>
          </w:p>
        </w:tc>
        <w:tc>
          <w:tcPr>
            <w:tcW w:w="647" w:type="pct"/>
            <w:vAlign w:val="center"/>
          </w:tcPr>
          <w:p>
            <w:pPr>
              <w:jc w:val="center"/>
              <w:rPr>
                <w:szCs w:val="21"/>
                <w:highlight w:val="yellow"/>
              </w:rPr>
            </w:pPr>
            <w:r>
              <w:rPr>
                <w:rFonts w:hint="eastAsia"/>
                <w:szCs w:val="21"/>
              </w:rPr>
              <w:t>0.003mg/L</w:t>
            </w:r>
          </w:p>
        </w:tc>
        <w:tc>
          <w:tcPr>
            <w:tcW w:w="660" w:type="pct"/>
            <w:vAlign w:val="center"/>
          </w:tcPr>
          <w:p>
            <w:pPr>
              <w:snapToGrid w:val="0"/>
              <w:jc w:val="center"/>
              <w:rPr>
                <w:szCs w:val="21"/>
                <w:highlight w:val="yellow"/>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15</w:t>
            </w:r>
          </w:p>
        </w:tc>
        <w:tc>
          <w:tcPr>
            <w:tcW w:w="604" w:type="pct"/>
            <w:vAlign w:val="center"/>
          </w:tcPr>
          <w:p>
            <w:pPr>
              <w:jc w:val="center"/>
              <w:textAlignment w:val="center"/>
              <w:rPr>
                <w:szCs w:val="21"/>
              </w:rPr>
            </w:pPr>
            <w:r>
              <w:rPr>
                <w:szCs w:val="21"/>
                <w:lang w:bidi="ar"/>
              </w:rPr>
              <w:t>亚硝酸盐</w:t>
            </w:r>
          </w:p>
        </w:tc>
        <w:tc>
          <w:tcPr>
            <w:tcW w:w="1511" w:type="pct"/>
            <w:vAlign w:val="center"/>
          </w:tcPr>
          <w:p>
            <w:pPr>
              <w:snapToGrid w:val="0"/>
              <w:jc w:val="center"/>
              <w:textAlignment w:val="center"/>
              <w:rPr>
                <w:szCs w:val="21"/>
                <w:lang w:bidi="ar"/>
              </w:rPr>
            </w:pPr>
            <w:r>
              <w:rPr>
                <w:szCs w:val="21"/>
                <w:lang w:bidi="ar"/>
              </w:rPr>
              <w:t>《水质 亚硝酸盐氮的测定 分光光度法》</w:t>
            </w:r>
          </w:p>
          <w:p>
            <w:pPr>
              <w:widowControl/>
              <w:jc w:val="center"/>
              <w:rPr>
                <w:szCs w:val="21"/>
              </w:rPr>
            </w:pPr>
            <w:r>
              <w:rPr>
                <w:szCs w:val="21"/>
                <w:lang w:bidi="ar"/>
              </w:rPr>
              <w:t>GB/T 7493-1987</w:t>
            </w:r>
          </w:p>
        </w:tc>
        <w:tc>
          <w:tcPr>
            <w:tcW w:w="1359" w:type="pct"/>
            <w:vAlign w:val="center"/>
          </w:tcPr>
          <w:p>
            <w:pPr>
              <w:jc w:val="center"/>
              <w:textAlignment w:val="center"/>
              <w:rPr>
                <w:szCs w:val="21"/>
              </w:rPr>
            </w:pPr>
            <w:r>
              <w:rPr>
                <w:szCs w:val="21"/>
                <w:lang w:bidi="ar"/>
              </w:rPr>
              <w:t>紫外可见分光光度计T6新世纪YFYQ-009-2020</w:t>
            </w:r>
          </w:p>
        </w:tc>
        <w:tc>
          <w:tcPr>
            <w:tcW w:w="647" w:type="pct"/>
            <w:vAlign w:val="center"/>
          </w:tcPr>
          <w:p>
            <w:pPr>
              <w:jc w:val="center"/>
              <w:textAlignment w:val="center"/>
              <w:rPr>
                <w:szCs w:val="21"/>
              </w:rPr>
            </w:pPr>
            <w:r>
              <w:rPr>
                <w:szCs w:val="21"/>
              </w:rPr>
              <w:t>/</w:t>
            </w:r>
          </w:p>
        </w:tc>
        <w:tc>
          <w:tcPr>
            <w:tcW w:w="660" w:type="pct"/>
            <w:vAlign w:val="center"/>
          </w:tcPr>
          <w:p>
            <w:pPr>
              <w:snapToGrid w:val="0"/>
              <w:jc w:val="center"/>
              <w:textAlignment w:val="center"/>
              <w:rPr>
                <w:szCs w:val="21"/>
              </w:rPr>
            </w:pPr>
            <w:r>
              <w:rPr>
                <w:szCs w:val="21"/>
              </w:rPr>
              <w:t>0.003mg/L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16</w:t>
            </w:r>
          </w:p>
        </w:tc>
        <w:tc>
          <w:tcPr>
            <w:tcW w:w="604" w:type="pct"/>
            <w:vAlign w:val="center"/>
          </w:tcPr>
          <w:p>
            <w:pPr>
              <w:jc w:val="center"/>
              <w:textAlignment w:val="center"/>
              <w:rPr>
                <w:szCs w:val="21"/>
              </w:rPr>
            </w:pPr>
            <w:r>
              <w:rPr>
                <w:szCs w:val="21"/>
                <w:lang w:bidi="ar"/>
              </w:rPr>
              <w:t>硝酸盐</w:t>
            </w:r>
          </w:p>
        </w:tc>
        <w:tc>
          <w:tcPr>
            <w:tcW w:w="1511" w:type="pct"/>
            <w:vAlign w:val="center"/>
          </w:tcPr>
          <w:p>
            <w:pPr>
              <w:snapToGrid w:val="0"/>
              <w:jc w:val="center"/>
              <w:textAlignment w:val="center"/>
              <w:rPr>
                <w:szCs w:val="21"/>
                <w:lang w:bidi="ar"/>
              </w:rPr>
            </w:pPr>
            <w:r>
              <w:rPr>
                <w:szCs w:val="21"/>
                <w:lang w:bidi="ar"/>
              </w:rPr>
              <w:t>《水质 硝酸盐氮的测定 酚二磺酸分光光度法》</w:t>
            </w:r>
          </w:p>
          <w:p>
            <w:pPr>
              <w:widowControl/>
              <w:jc w:val="center"/>
              <w:rPr>
                <w:szCs w:val="21"/>
              </w:rPr>
            </w:pPr>
            <w:r>
              <w:rPr>
                <w:szCs w:val="21"/>
                <w:lang w:bidi="ar"/>
              </w:rPr>
              <w:t>GB/T 7480-1987</w:t>
            </w:r>
          </w:p>
        </w:tc>
        <w:tc>
          <w:tcPr>
            <w:tcW w:w="1359" w:type="pct"/>
            <w:vAlign w:val="center"/>
          </w:tcPr>
          <w:p>
            <w:pPr>
              <w:jc w:val="center"/>
              <w:textAlignment w:val="center"/>
              <w:rPr>
                <w:szCs w:val="21"/>
              </w:rPr>
            </w:pPr>
            <w:r>
              <w:rPr>
                <w:szCs w:val="21"/>
                <w:lang w:bidi="ar"/>
              </w:rPr>
              <w:t>紫外可见分光光度计T6新世纪YFYQ-009-2020</w:t>
            </w:r>
          </w:p>
        </w:tc>
        <w:tc>
          <w:tcPr>
            <w:tcW w:w="647" w:type="pct"/>
            <w:vAlign w:val="center"/>
          </w:tcPr>
          <w:p>
            <w:pPr>
              <w:jc w:val="center"/>
              <w:textAlignment w:val="center"/>
              <w:rPr>
                <w:szCs w:val="21"/>
              </w:rPr>
            </w:pPr>
            <w:r>
              <w:rPr>
                <w:szCs w:val="21"/>
              </w:rPr>
              <w:t>/</w:t>
            </w:r>
          </w:p>
        </w:tc>
        <w:tc>
          <w:tcPr>
            <w:tcW w:w="660" w:type="pct"/>
            <w:vAlign w:val="center"/>
          </w:tcPr>
          <w:p>
            <w:pPr>
              <w:snapToGrid w:val="0"/>
              <w:jc w:val="center"/>
              <w:textAlignment w:val="center"/>
              <w:rPr>
                <w:szCs w:val="21"/>
              </w:rPr>
            </w:pPr>
            <w:r>
              <w:rPr>
                <w:szCs w:val="21"/>
              </w:rPr>
              <w:t>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17</w:t>
            </w:r>
          </w:p>
        </w:tc>
        <w:tc>
          <w:tcPr>
            <w:tcW w:w="604" w:type="pct"/>
            <w:vAlign w:val="center"/>
          </w:tcPr>
          <w:p>
            <w:pPr>
              <w:jc w:val="center"/>
              <w:textAlignment w:val="center"/>
              <w:rPr>
                <w:szCs w:val="21"/>
              </w:rPr>
            </w:pPr>
            <w:r>
              <w:rPr>
                <w:szCs w:val="21"/>
                <w:lang w:bidi="ar"/>
              </w:rPr>
              <w:t>挥发酚</w:t>
            </w:r>
          </w:p>
        </w:tc>
        <w:tc>
          <w:tcPr>
            <w:tcW w:w="1511" w:type="pct"/>
            <w:vAlign w:val="center"/>
          </w:tcPr>
          <w:p>
            <w:pPr>
              <w:jc w:val="center"/>
              <w:textAlignment w:val="center"/>
              <w:rPr>
                <w:szCs w:val="21"/>
              </w:rPr>
            </w:pPr>
            <w:r>
              <w:rPr>
                <w:szCs w:val="21"/>
                <w:lang w:bidi="ar"/>
              </w:rPr>
              <w:t>《水质 挥发酚的测定   4-氨基安替比林分光光度法》 HJ 503-2009</w:t>
            </w:r>
          </w:p>
        </w:tc>
        <w:tc>
          <w:tcPr>
            <w:tcW w:w="1359" w:type="pct"/>
            <w:vAlign w:val="center"/>
          </w:tcPr>
          <w:p>
            <w:pPr>
              <w:jc w:val="center"/>
              <w:textAlignment w:val="center"/>
              <w:rPr>
                <w:szCs w:val="21"/>
              </w:rPr>
            </w:pPr>
            <w:r>
              <w:rPr>
                <w:szCs w:val="21"/>
                <w:lang w:bidi="ar"/>
              </w:rPr>
              <w:t>紫外可见分光光度计T6新世纪YFYQ-009-2020</w:t>
            </w:r>
          </w:p>
        </w:tc>
        <w:tc>
          <w:tcPr>
            <w:tcW w:w="647" w:type="pct"/>
            <w:vAlign w:val="center"/>
          </w:tcPr>
          <w:p>
            <w:pPr>
              <w:snapToGrid w:val="0"/>
              <w:jc w:val="center"/>
              <w:textAlignment w:val="center"/>
              <w:rPr>
                <w:szCs w:val="21"/>
              </w:rPr>
            </w:pPr>
            <w:r>
              <w:rPr>
                <w:szCs w:val="21"/>
              </w:rPr>
              <w:t>0.0003mg/L</w:t>
            </w:r>
          </w:p>
        </w:tc>
        <w:tc>
          <w:tcPr>
            <w:tcW w:w="660" w:type="pct"/>
            <w:vAlign w:val="center"/>
          </w:tcPr>
          <w:p>
            <w:pPr>
              <w:jc w:val="center"/>
              <w:textAlignment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18</w:t>
            </w:r>
          </w:p>
        </w:tc>
        <w:tc>
          <w:tcPr>
            <w:tcW w:w="604" w:type="pct"/>
            <w:vAlign w:val="center"/>
          </w:tcPr>
          <w:p>
            <w:pPr>
              <w:jc w:val="center"/>
              <w:textAlignment w:val="center"/>
              <w:rPr>
                <w:szCs w:val="21"/>
                <w:highlight w:val="yellow"/>
              </w:rPr>
            </w:pPr>
            <w:r>
              <w:rPr>
                <w:szCs w:val="21"/>
              </w:rPr>
              <w:t>氰化物</w:t>
            </w:r>
          </w:p>
        </w:tc>
        <w:tc>
          <w:tcPr>
            <w:tcW w:w="1511" w:type="pct"/>
            <w:vAlign w:val="center"/>
          </w:tcPr>
          <w:p>
            <w:pPr>
              <w:jc w:val="center"/>
              <w:textAlignment w:val="center"/>
              <w:rPr>
                <w:szCs w:val="21"/>
                <w:highlight w:val="yellow"/>
              </w:rPr>
            </w:pPr>
            <w:r>
              <w:rPr>
                <w:rFonts w:hint="eastAsia"/>
                <w:szCs w:val="21"/>
                <w:lang w:bidi="ar"/>
              </w:rPr>
              <w:t>生活饮用水标准检验方法 无机非金属指标 （4.1 氰化物 异烟酸-吡唑酮分光光度法）GB/T 5750.5-2006</w:t>
            </w:r>
          </w:p>
        </w:tc>
        <w:tc>
          <w:tcPr>
            <w:tcW w:w="1359" w:type="pct"/>
            <w:vAlign w:val="center"/>
          </w:tcPr>
          <w:p>
            <w:pPr>
              <w:snapToGrid w:val="0"/>
              <w:jc w:val="center"/>
              <w:textAlignment w:val="center"/>
              <w:rPr>
                <w:szCs w:val="21"/>
              </w:rPr>
            </w:pPr>
            <w:r>
              <w:rPr>
                <w:szCs w:val="21"/>
              </w:rPr>
              <w:t>紫外可见分光光度</w:t>
            </w:r>
          </w:p>
          <w:p>
            <w:pPr>
              <w:jc w:val="center"/>
              <w:textAlignment w:val="center"/>
              <w:rPr>
                <w:szCs w:val="21"/>
              </w:rPr>
            </w:pPr>
            <w:r>
              <w:rPr>
                <w:szCs w:val="21"/>
              </w:rPr>
              <w:t>T6新世纪YFYQ-009-2020</w:t>
            </w:r>
          </w:p>
        </w:tc>
        <w:tc>
          <w:tcPr>
            <w:tcW w:w="647" w:type="pct"/>
            <w:vAlign w:val="center"/>
          </w:tcPr>
          <w:p>
            <w:pPr>
              <w:jc w:val="center"/>
              <w:textAlignment w:val="center"/>
              <w:rPr>
                <w:szCs w:val="21"/>
              </w:rPr>
            </w:pPr>
            <w:r>
              <w:rPr>
                <w:szCs w:val="21"/>
              </w:rPr>
              <w:t>/</w:t>
            </w:r>
          </w:p>
        </w:tc>
        <w:tc>
          <w:tcPr>
            <w:tcW w:w="660" w:type="pct"/>
            <w:vAlign w:val="center"/>
          </w:tcPr>
          <w:p>
            <w:pPr>
              <w:snapToGrid w:val="0"/>
              <w:jc w:val="center"/>
              <w:rPr>
                <w:szCs w:val="21"/>
                <w:lang w:bidi="ar"/>
              </w:rPr>
            </w:pPr>
            <w:r>
              <w:rPr>
                <w:szCs w:val="21"/>
                <w:lang w:bidi="ar"/>
              </w:rPr>
              <w:t>0.002mg/L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19</w:t>
            </w:r>
          </w:p>
        </w:tc>
        <w:tc>
          <w:tcPr>
            <w:tcW w:w="604" w:type="pct"/>
            <w:vAlign w:val="center"/>
          </w:tcPr>
          <w:p>
            <w:pPr>
              <w:jc w:val="center"/>
              <w:textAlignment w:val="center"/>
              <w:rPr>
                <w:szCs w:val="21"/>
              </w:rPr>
            </w:pPr>
            <w:r>
              <w:rPr>
                <w:szCs w:val="21"/>
                <w:lang w:bidi="ar"/>
              </w:rPr>
              <w:t>砷</w:t>
            </w:r>
          </w:p>
        </w:tc>
        <w:tc>
          <w:tcPr>
            <w:tcW w:w="1511" w:type="pct"/>
            <w:vMerge w:val="restart"/>
            <w:vAlign w:val="center"/>
          </w:tcPr>
          <w:p>
            <w:pPr>
              <w:snapToGrid w:val="0"/>
              <w:jc w:val="center"/>
              <w:textAlignment w:val="center"/>
              <w:rPr>
                <w:szCs w:val="21"/>
                <w:lang w:bidi="ar"/>
              </w:rPr>
            </w:pPr>
            <w:r>
              <w:rPr>
                <w:szCs w:val="21"/>
                <w:lang w:bidi="ar"/>
              </w:rPr>
              <w:t>《水质 汞、砷、硒、铋、锑的测定 原子荧光法》</w:t>
            </w:r>
          </w:p>
          <w:p>
            <w:pPr>
              <w:snapToGrid w:val="0"/>
              <w:jc w:val="center"/>
              <w:textAlignment w:val="center"/>
              <w:rPr>
                <w:szCs w:val="21"/>
                <w:lang w:bidi="ar"/>
              </w:rPr>
            </w:pPr>
            <w:r>
              <w:rPr>
                <w:szCs w:val="21"/>
                <w:lang w:bidi="ar"/>
              </w:rPr>
              <w:t>HJ 694-2014</w:t>
            </w:r>
          </w:p>
        </w:tc>
        <w:tc>
          <w:tcPr>
            <w:tcW w:w="1359" w:type="pct"/>
            <w:vMerge w:val="restart"/>
            <w:vAlign w:val="center"/>
          </w:tcPr>
          <w:p>
            <w:pPr>
              <w:snapToGrid w:val="0"/>
              <w:jc w:val="center"/>
              <w:textAlignment w:val="center"/>
              <w:rPr>
                <w:szCs w:val="21"/>
                <w:lang w:bidi="ar"/>
              </w:rPr>
            </w:pPr>
            <w:r>
              <w:rPr>
                <w:szCs w:val="21"/>
                <w:lang w:bidi="ar"/>
              </w:rPr>
              <w:t>原子荧光光度计AFS-8220</w:t>
            </w:r>
          </w:p>
          <w:p>
            <w:pPr>
              <w:snapToGrid w:val="0"/>
              <w:jc w:val="center"/>
              <w:textAlignment w:val="center"/>
              <w:rPr>
                <w:szCs w:val="21"/>
                <w:lang w:bidi="ar"/>
              </w:rPr>
            </w:pPr>
            <w:r>
              <w:rPr>
                <w:szCs w:val="21"/>
                <w:lang w:bidi="ar"/>
              </w:rPr>
              <w:t>YFYQ-003-2020</w:t>
            </w:r>
          </w:p>
        </w:tc>
        <w:tc>
          <w:tcPr>
            <w:tcW w:w="647" w:type="pct"/>
            <w:vAlign w:val="center"/>
          </w:tcPr>
          <w:p>
            <w:pPr>
              <w:snapToGrid w:val="0"/>
              <w:jc w:val="center"/>
              <w:textAlignment w:val="center"/>
              <w:rPr>
                <w:szCs w:val="21"/>
              </w:rPr>
            </w:pPr>
            <w:r>
              <w:rPr>
                <w:szCs w:val="21"/>
              </w:rPr>
              <w:t>0.3μg/L</w:t>
            </w:r>
          </w:p>
        </w:tc>
        <w:tc>
          <w:tcPr>
            <w:tcW w:w="660" w:type="pct"/>
            <w:vAlign w:val="center"/>
          </w:tcPr>
          <w:p>
            <w:pPr>
              <w:widowControl/>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20</w:t>
            </w:r>
          </w:p>
        </w:tc>
        <w:tc>
          <w:tcPr>
            <w:tcW w:w="604" w:type="pct"/>
            <w:vAlign w:val="center"/>
          </w:tcPr>
          <w:p>
            <w:pPr>
              <w:jc w:val="center"/>
              <w:textAlignment w:val="center"/>
              <w:rPr>
                <w:szCs w:val="21"/>
              </w:rPr>
            </w:pPr>
            <w:r>
              <w:rPr>
                <w:szCs w:val="21"/>
                <w:lang w:bidi="ar"/>
              </w:rPr>
              <w:t>汞</w:t>
            </w:r>
          </w:p>
        </w:tc>
        <w:tc>
          <w:tcPr>
            <w:tcW w:w="1511" w:type="pct"/>
            <w:vMerge w:val="continue"/>
            <w:vAlign w:val="center"/>
          </w:tcPr>
          <w:p>
            <w:pPr>
              <w:jc w:val="center"/>
              <w:textAlignment w:val="center"/>
              <w:rPr>
                <w:szCs w:val="21"/>
              </w:rPr>
            </w:pPr>
          </w:p>
        </w:tc>
        <w:tc>
          <w:tcPr>
            <w:tcW w:w="1359" w:type="pct"/>
            <w:vMerge w:val="continue"/>
            <w:vAlign w:val="center"/>
          </w:tcPr>
          <w:p>
            <w:pPr>
              <w:jc w:val="center"/>
              <w:textAlignment w:val="center"/>
              <w:rPr>
                <w:szCs w:val="21"/>
              </w:rPr>
            </w:pPr>
          </w:p>
        </w:tc>
        <w:tc>
          <w:tcPr>
            <w:tcW w:w="647" w:type="pct"/>
            <w:vAlign w:val="center"/>
          </w:tcPr>
          <w:p>
            <w:pPr>
              <w:snapToGrid w:val="0"/>
              <w:jc w:val="center"/>
              <w:textAlignment w:val="center"/>
              <w:rPr>
                <w:szCs w:val="21"/>
              </w:rPr>
            </w:pPr>
            <w:r>
              <w:rPr>
                <w:szCs w:val="21"/>
              </w:rPr>
              <w:t>0.04μg/L</w:t>
            </w:r>
          </w:p>
        </w:tc>
        <w:tc>
          <w:tcPr>
            <w:tcW w:w="660"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21</w:t>
            </w:r>
          </w:p>
        </w:tc>
        <w:tc>
          <w:tcPr>
            <w:tcW w:w="604" w:type="pct"/>
            <w:vAlign w:val="center"/>
          </w:tcPr>
          <w:p>
            <w:pPr>
              <w:jc w:val="center"/>
              <w:textAlignment w:val="center"/>
              <w:rPr>
                <w:szCs w:val="21"/>
              </w:rPr>
            </w:pPr>
            <w:r>
              <w:rPr>
                <w:szCs w:val="21"/>
                <w:lang w:bidi="ar"/>
              </w:rPr>
              <w:t>铅</w:t>
            </w:r>
          </w:p>
        </w:tc>
        <w:tc>
          <w:tcPr>
            <w:tcW w:w="1511" w:type="pct"/>
            <w:vAlign w:val="center"/>
          </w:tcPr>
          <w:p>
            <w:pPr>
              <w:snapToGrid w:val="0"/>
              <w:jc w:val="center"/>
              <w:textAlignment w:val="center"/>
              <w:rPr>
                <w:szCs w:val="21"/>
                <w:lang w:bidi="ar"/>
              </w:rPr>
            </w:pPr>
            <w:r>
              <w:rPr>
                <w:szCs w:val="21"/>
                <w:lang w:bidi="ar"/>
              </w:rPr>
              <w:t>《生活饮用水标准检验方法 金属指标》（11.1 铅 无火焰原子吸收分光光度法</w:t>
            </w:r>
          </w:p>
          <w:p>
            <w:pPr>
              <w:jc w:val="center"/>
              <w:textAlignment w:val="center"/>
              <w:rPr>
                <w:szCs w:val="21"/>
              </w:rPr>
            </w:pPr>
            <w:r>
              <w:rPr>
                <w:szCs w:val="21"/>
                <w:lang w:bidi="ar"/>
              </w:rPr>
              <w:t>GB/T 5750.6-2006</w:t>
            </w:r>
          </w:p>
        </w:tc>
        <w:tc>
          <w:tcPr>
            <w:tcW w:w="1359" w:type="pct"/>
            <w:vAlign w:val="center"/>
          </w:tcPr>
          <w:p>
            <w:pPr>
              <w:snapToGrid w:val="0"/>
              <w:jc w:val="center"/>
              <w:textAlignment w:val="center"/>
              <w:rPr>
                <w:szCs w:val="21"/>
                <w:lang w:bidi="ar"/>
              </w:rPr>
            </w:pPr>
            <w:r>
              <w:rPr>
                <w:szCs w:val="21"/>
                <w:lang w:bidi="ar"/>
              </w:rPr>
              <w:t>原子吸收分光光度TAS-990AFG</w:t>
            </w:r>
          </w:p>
          <w:p>
            <w:pPr>
              <w:jc w:val="center"/>
              <w:textAlignment w:val="center"/>
              <w:rPr>
                <w:szCs w:val="21"/>
              </w:rPr>
            </w:pPr>
            <w:r>
              <w:rPr>
                <w:szCs w:val="21"/>
                <w:lang w:bidi="ar"/>
              </w:rPr>
              <w:t>YFYQ-001-2020</w:t>
            </w:r>
          </w:p>
        </w:tc>
        <w:tc>
          <w:tcPr>
            <w:tcW w:w="647" w:type="pct"/>
            <w:vAlign w:val="center"/>
          </w:tcPr>
          <w:p>
            <w:pPr>
              <w:jc w:val="center"/>
              <w:textAlignment w:val="center"/>
              <w:rPr>
                <w:szCs w:val="21"/>
              </w:rPr>
            </w:pPr>
            <w:r>
              <w:rPr>
                <w:szCs w:val="21"/>
              </w:rPr>
              <w:t>/</w:t>
            </w:r>
          </w:p>
        </w:tc>
        <w:tc>
          <w:tcPr>
            <w:tcW w:w="660" w:type="pct"/>
            <w:vAlign w:val="center"/>
          </w:tcPr>
          <w:p>
            <w:pPr>
              <w:snapToGrid w:val="0"/>
              <w:jc w:val="center"/>
              <w:textAlignment w:val="center"/>
              <w:rPr>
                <w:szCs w:val="21"/>
              </w:rPr>
            </w:pPr>
            <w:r>
              <w:rPr>
                <w:szCs w:val="21"/>
              </w:rPr>
              <w:t>2.5μg/L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22</w:t>
            </w:r>
          </w:p>
        </w:tc>
        <w:tc>
          <w:tcPr>
            <w:tcW w:w="604" w:type="pct"/>
            <w:vAlign w:val="center"/>
          </w:tcPr>
          <w:p>
            <w:pPr>
              <w:jc w:val="center"/>
              <w:textAlignment w:val="center"/>
              <w:rPr>
                <w:szCs w:val="21"/>
              </w:rPr>
            </w:pPr>
            <w:r>
              <w:rPr>
                <w:szCs w:val="21"/>
              </w:rPr>
              <w:t>氟化物</w:t>
            </w:r>
          </w:p>
        </w:tc>
        <w:tc>
          <w:tcPr>
            <w:tcW w:w="1511" w:type="pct"/>
            <w:vAlign w:val="center"/>
          </w:tcPr>
          <w:p>
            <w:pPr>
              <w:snapToGrid w:val="0"/>
              <w:jc w:val="center"/>
              <w:rPr>
                <w:szCs w:val="21"/>
              </w:rPr>
            </w:pPr>
            <w:r>
              <w:rPr>
                <w:szCs w:val="21"/>
              </w:rPr>
              <w:t>《水质 氟化物的测定 离子选择电极法》</w:t>
            </w:r>
          </w:p>
          <w:p>
            <w:pPr>
              <w:jc w:val="center"/>
              <w:textAlignment w:val="center"/>
              <w:rPr>
                <w:szCs w:val="21"/>
              </w:rPr>
            </w:pPr>
            <w:r>
              <w:rPr>
                <w:szCs w:val="21"/>
              </w:rPr>
              <w:t>GB/T 7484-1987</w:t>
            </w:r>
          </w:p>
        </w:tc>
        <w:tc>
          <w:tcPr>
            <w:tcW w:w="1359" w:type="pct"/>
            <w:vAlign w:val="center"/>
          </w:tcPr>
          <w:p>
            <w:pPr>
              <w:jc w:val="center"/>
              <w:textAlignment w:val="center"/>
              <w:rPr>
                <w:szCs w:val="21"/>
                <w:lang w:bidi="ar"/>
              </w:rPr>
            </w:pPr>
            <w:r>
              <w:rPr>
                <w:szCs w:val="21"/>
                <w:lang w:bidi="ar"/>
              </w:rPr>
              <w:t>PH计</w:t>
            </w:r>
          </w:p>
          <w:p>
            <w:pPr>
              <w:snapToGrid w:val="0"/>
              <w:jc w:val="center"/>
              <w:textAlignment w:val="center"/>
              <w:rPr>
                <w:szCs w:val="21"/>
                <w:lang w:bidi="ar"/>
              </w:rPr>
            </w:pPr>
            <w:r>
              <w:rPr>
                <w:szCs w:val="21"/>
                <w:lang w:bidi="ar"/>
              </w:rPr>
              <w:t>PHS-25</w:t>
            </w:r>
          </w:p>
          <w:p>
            <w:pPr>
              <w:jc w:val="center"/>
              <w:textAlignment w:val="center"/>
              <w:rPr>
                <w:szCs w:val="21"/>
              </w:rPr>
            </w:pPr>
            <w:r>
              <w:rPr>
                <w:szCs w:val="21"/>
                <w:lang w:bidi="ar"/>
              </w:rPr>
              <w:t>YFYQ-022-2020</w:t>
            </w:r>
          </w:p>
        </w:tc>
        <w:tc>
          <w:tcPr>
            <w:tcW w:w="647" w:type="pct"/>
            <w:vAlign w:val="center"/>
          </w:tcPr>
          <w:p>
            <w:pPr>
              <w:jc w:val="center"/>
              <w:textAlignment w:val="center"/>
              <w:rPr>
                <w:szCs w:val="21"/>
              </w:rPr>
            </w:pPr>
            <w:r>
              <w:rPr>
                <w:szCs w:val="21"/>
              </w:rPr>
              <w:t>/</w:t>
            </w:r>
          </w:p>
        </w:tc>
        <w:tc>
          <w:tcPr>
            <w:tcW w:w="660" w:type="pct"/>
            <w:vAlign w:val="center"/>
          </w:tcPr>
          <w:p>
            <w:pPr>
              <w:snapToGrid w:val="0"/>
              <w:jc w:val="center"/>
              <w:rPr>
                <w:szCs w:val="21"/>
              </w:rPr>
            </w:pPr>
            <w:r>
              <w:rPr>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rPr>
                <w:szCs w:val="21"/>
              </w:rPr>
            </w:pPr>
            <w:r>
              <w:rPr>
                <w:szCs w:val="21"/>
              </w:rPr>
              <w:t>23</w:t>
            </w:r>
          </w:p>
        </w:tc>
        <w:tc>
          <w:tcPr>
            <w:tcW w:w="604" w:type="pct"/>
            <w:vAlign w:val="center"/>
          </w:tcPr>
          <w:p>
            <w:pPr>
              <w:jc w:val="center"/>
              <w:rPr>
                <w:szCs w:val="21"/>
              </w:rPr>
            </w:pPr>
            <w:r>
              <w:rPr>
                <w:szCs w:val="21"/>
                <w:lang w:bidi="ar"/>
              </w:rPr>
              <w:t>铁</w:t>
            </w:r>
          </w:p>
        </w:tc>
        <w:tc>
          <w:tcPr>
            <w:tcW w:w="1511" w:type="pct"/>
            <w:vMerge w:val="restart"/>
            <w:vAlign w:val="center"/>
          </w:tcPr>
          <w:p>
            <w:pPr>
              <w:snapToGrid w:val="0"/>
              <w:jc w:val="center"/>
              <w:textAlignment w:val="center"/>
              <w:rPr>
                <w:szCs w:val="21"/>
                <w:lang w:bidi="ar"/>
              </w:rPr>
            </w:pPr>
            <w:r>
              <w:rPr>
                <w:szCs w:val="21"/>
                <w:lang w:bidi="ar"/>
              </w:rPr>
              <w:t>《水质 铁、锰的测定 火焰原子吸收分光光度法》</w:t>
            </w:r>
          </w:p>
          <w:p>
            <w:pPr>
              <w:jc w:val="center"/>
              <w:rPr>
                <w:szCs w:val="21"/>
              </w:rPr>
            </w:pPr>
            <w:r>
              <w:rPr>
                <w:szCs w:val="21"/>
                <w:lang w:bidi="ar"/>
              </w:rPr>
              <w:t>GB/T 11911-1989</w:t>
            </w:r>
          </w:p>
        </w:tc>
        <w:tc>
          <w:tcPr>
            <w:tcW w:w="1359" w:type="pct"/>
            <w:vMerge w:val="restart"/>
            <w:vAlign w:val="center"/>
          </w:tcPr>
          <w:p>
            <w:pPr>
              <w:snapToGrid w:val="0"/>
              <w:jc w:val="center"/>
              <w:textAlignment w:val="center"/>
              <w:rPr>
                <w:szCs w:val="21"/>
                <w:lang w:bidi="ar"/>
              </w:rPr>
            </w:pPr>
            <w:r>
              <w:rPr>
                <w:szCs w:val="21"/>
                <w:lang w:bidi="ar"/>
              </w:rPr>
              <w:t>原子吸收分光光度计TAS-990AFG</w:t>
            </w:r>
          </w:p>
          <w:p>
            <w:pPr>
              <w:jc w:val="center"/>
              <w:textAlignment w:val="center"/>
              <w:rPr>
                <w:szCs w:val="21"/>
              </w:rPr>
            </w:pPr>
            <w:r>
              <w:rPr>
                <w:szCs w:val="21"/>
                <w:lang w:bidi="ar"/>
              </w:rPr>
              <w:t>YFYQ-001-2020</w:t>
            </w:r>
          </w:p>
        </w:tc>
        <w:tc>
          <w:tcPr>
            <w:tcW w:w="647" w:type="pct"/>
            <w:vAlign w:val="center"/>
          </w:tcPr>
          <w:p>
            <w:pPr>
              <w:snapToGrid w:val="0"/>
              <w:jc w:val="center"/>
              <w:textAlignment w:val="center"/>
              <w:rPr>
                <w:szCs w:val="21"/>
              </w:rPr>
            </w:pPr>
            <w:r>
              <w:rPr>
                <w:szCs w:val="21"/>
              </w:rPr>
              <w:t>0.03</w:t>
            </w:r>
          </w:p>
          <w:p>
            <w:pPr>
              <w:jc w:val="center"/>
              <w:rPr>
                <w:szCs w:val="21"/>
              </w:rPr>
            </w:pPr>
            <w:r>
              <w:rPr>
                <w:szCs w:val="21"/>
              </w:rPr>
              <w:t>mg/L</w:t>
            </w:r>
          </w:p>
        </w:tc>
        <w:tc>
          <w:tcPr>
            <w:tcW w:w="660"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rPr>
                <w:szCs w:val="21"/>
              </w:rPr>
            </w:pPr>
            <w:r>
              <w:rPr>
                <w:szCs w:val="21"/>
              </w:rPr>
              <w:t>24</w:t>
            </w:r>
          </w:p>
        </w:tc>
        <w:tc>
          <w:tcPr>
            <w:tcW w:w="604" w:type="pct"/>
            <w:vAlign w:val="center"/>
          </w:tcPr>
          <w:p>
            <w:pPr>
              <w:jc w:val="center"/>
              <w:rPr>
                <w:szCs w:val="21"/>
              </w:rPr>
            </w:pPr>
            <w:r>
              <w:rPr>
                <w:szCs w:val="21"/>
                <w:lang w:bidi="ar"/>
              </w:rPr>
              <w:t>锰</w:t>
            </w:r>
          </w:p>
        </w:tc>
        <w:tc>
          <w:tcPr>
            <w:tcW w:w="1511" w:type="pct"/>
            <w:vMerge w:val="continue"/>
            <w:vAlign w:val="center"/>
          </w:tcPr>
          <w:p>
            <w:pPr>
              <w:jc w:val="center"/>
              <w:rPr>
                <w:szCs w:val="21"/>
              </w:rPr>
            </w:pPr>
          </w:p>
        </w:tc>
        <w:tc>
          <w:tcPr>
            <w:tcW w:w="1359" w:type="pct"/>
            <w:vMerge w:val="continue"/>
            <w:vAlign w:val="center"/>
          </w:tcPr>
          <w:p>
            <w:pPr>
              <w:jc w:val="center"/>
              <w:textAlignment w:val="center"/>
              <w:rPr>
                <w:szCs w:val="21"/>
              </w:rPr>
            </w:pPr>
          </w:p>
        </w:tc>
        <w:tc>
          <w:tcPr>
            <w:tcW w:w="647" w:type="pct"/>
            <w:vAlign w:val="center"/>
          </w:tcPr>
          <w:p>
            <w:pPr>
              <w:snapToGrid w:val="0"/>
              <w:jc w:val="center"/>
              <w:rPr>
                <w:szCs w:val="21"/>
              </w:rPr>
            </w:pPr>
            <w:r>
              <w:rPr>
                <w:szCs w:val="21"/>
              </w:rPr>
              <w:t>0.01</w:t>
            </w:r>
          </w:p>
          <w:p>
            <w:pPr>
              <w:jc w:val="center"/>
              <w:rPr>
                <w:szCs w:val="21"/>
              </w:rPr>
            </w:pPr>
            <w:r>
              <w:rPr>
                <w:szCs w:val="21"/>
              </w:rPr>
              <w:t>mg/L</w:t>
            </w:r>
          </w:p>
        </w:tc>
        <w:tc>
          <w:tcPr>
            <w:tcW w:w="660"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rPr>
                <w:szCs w:val="21"/>
              </w:rPr>
            </w:pPr>
            <w:r>
              <w:rPr>
                <w:szCs w:val="21"/>
              </w:rPr>
              <w:t>25</w:t>
            </w:r>
          </w:p>
        </w:tc>
        <w:tc>
          <w:tcPr>
            <w:tcW w:w="604" w:type="pct"/>
            <w:vAlign w:val="center"/>
          </w:tcPr>
          <w:p>
            <w:pPr>
              <w:jc w:val="center"/>
              <w:rPr>
                <w:szCs w:val="21"/>
              </w:rPr>
            </w:pPr>
            <w:r>
              <w:rPr>
                <w:szCs w:val="21"/>
                <w:lang w:bidi="ar"/>
              </w:rPr>
              <w:t>镉</w:t>
            </w:r>
          </w:p>
        </w:tc>
        <w:tc>
          <w:tcPr>
            <w:tcW w:w="1511" w:type="pct"/>
            <w:vAlign w:val="center"/>
          </w:tcPr>
          <w:p>
            <w:pPr>
              <w:jc w:val="center"/>
              <w:rPr>
                <w:szCs w:val="21"/>
              </w:rPr>
            </w:pPr>
            <w:r>
              <w:rPr>
                <w:szCs w:val="21"/>
                <w:lang w:bidi="ar"/>
              </w:rPr>
              <w:t>《生活饮用水标准检验方法 金属指标》（9.1 镉 无火焰原子吸收分光光度法）GB/T 5750.6-2006</w:t>
            </w:r>
          </w:p>
        </w:tc>
        <w:tc>
          <w:tcPr>
            <w:tcW w:w="1359" w:type="pct"/>
            <w:vAlign w:val="center"/>
          </w:tcPr>
          <w:p>
            <w:pPr>
              <w:snapToGrid w:val="0"/>
              <w:jc w:val="center"/>
              <w:textAlignment w:val="center"/>
              <w:rPr>
                <w:szCs w:val="21"/>
                <w:lang w:bidi="ar"/>
              </w:rPr>
            </w:pPr>
            <w:r>
              <w:rPr>
                <w:szCs w:val="21"/>
                <w:lang w:bidi="ar"/>
              </w:rPr>
              <w:t>原子吸收分光光度TAS-990AFG</w:t>
            </w:r>
          </w:p>
          <w:p>
            <w:pPr>
              <w:jc w:val="center"/>
              <w:textAlignment w:val="center"/>
              <w:rPr>
                <w:szCs w:val="21"/>
              </w:rPr>
            </w:pPr>
            <w:r>
              <w:rPr>
                <w:szCs w:val="21"/>
                <w:lang w:bidi="ar"/>
              </w:rPr>
              <w:t>YFYQ-001-2020</w:t>
            </w:r>
          </w:p>
        </w:tc>
        <w:tc>
          <w:tcPr>
            <w:tcW w:w="647" w:type="pct"/>
            <w:vAlign w:val="center"/>
          </w:tcPr>
          <w:p>
            <w:pPr>
              <w:jc w:val="center"/>
              <w:rPr>
                <w:szCs w:val="21"/>
              </w:rPr>
            </w:pPr>
            <w:r>
              <w:rPr>
                <w:szCs w:val="21"/>
              </w:rPr>
              <w:t>/</w:t>
            </w:r>
          </w:p>
        </w:tc>
        <w:tc>
          <w:tcPr>
            <w:tcW w:w="660" w:type="pct"/>
            <w:vAlign w:val="center"/>
          </w:tcPr>
          <w:p>
            <w:pPr>
              <w:snapToGrid w:val="0"/>
              <w:jc w:val="center"/>
              <w:textAlignment w:val="center"/>
              <w:rPr>
                <w:szCs w:val="21"/>
              </w:rPr>
            </w:pPr>
            <w:r>
              <w:rPr>
                <w:szCs w:val="21"/>
              </w:rPr>
              <w:t>0.5μg/L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textAlignment w:val="center"/>
              <w:rPr>
                <w:szCs w:val="21"/>
              </w:rPr>
            </w:pPr>
            <w:r>
              <w:rPr>
                <w:szCs w:val="21"/>
              </w:rPr>
              <w:t>26</w:t>
            </w:r>
          </w:p>
        </w:tc>
        <w:tc>
          <w:tcPr>
            <w:tcW w:w="604" w:type="pct"/>
            <w:vAlign w:val="center"/>
          </w:tcPr>
          <w:p>
            <w:pPr>
              <w:jc w:val="center"/>
              <w:textAlignment w:val="center"/>
              <w:rPr>
                <w:szCs w:val="21"/>
              </w:rPr>
            </w:pPr>
            <w:r>
              <w:rPr>
                <w:szCs w:val="21"/>
              </w:rPr>
              <w:t>六价铬</w:t>
            </w:r>
          </w:p>
        </w:tc>
        <w:tc>
          <w:tcPr>
            <w:tcW w:w="1511" w:type="pct"/>
            <w:vAlign w:val="center"/>
          </w:tcPr>
          <w:p>
            <w:pPr>
              <w:jc w:val="center"/>
              <w:textAlignment w:val="center"/>
              <w:rPr>
                <w:szCs w:val="21"/>
              </w:rPr>
            </w:pPr>
            <w:r>
              <w:rPr>
                <w:szCs w:val="21"/>
              </w:rPr>
              <w:t>《水质 六价铬的测定 二苯碳酰二肼分光光度法》GB/T 7467-1987</w:t>
            </w:r>
          </w:p>
        </w:tc>
        <w:tc>
          <w:tcPr>
            <w:tcW w:w="1359" w:type="pct"/>
            <w:vAlign w:val="center"/>
          </w:tcPr>
          <w:p>
            <w:pPr>
              <w:jc w:val="center"/>
              <w:textAlignment w:val="center"/>
              <w:rPr>
                <w:szCs w:val="21"/>
              </w:rPr>
            </w:pPr>
            <w:r>
              <w:rPr>
                <w:szCs w:val="21"/>
              </w:rPr>
              <w:t>紫外可见分光光度计T6新世纪YFYQ-009-2020</w:t>
            </w:r>
          </w:p>
        </w:tc>
        <w:tc>
          <w:tcPr>
            <w:tcW w:w="647" w:type="pct"/>
            <w:vAlign w:val="center"/>
          </w:tcPr>
          <w:p>
            <w:pPr>
              <w:jc w:val="center"/>
              <w:textAlignment w:val="center"/>
              <w:rPr>
                <w:szCs w:val="21"/>
              </w:rPr>
            </w:pPr>
            <w:r>
              <w:rPr>
                <w:szCs w:val="21"/>
              </w:rPr>
              <w:t>/</w:t>
            </w:r>
          </w:p>
        </w:tc>
        <w:tc>
          <w:tcPr>
            <w:tcW w:w="660" w:type="pct"/>
            <w:vAlign w:val="center"/>
          </w:tcPr>
          <w:p>
            <w:pPr>
              <w:snapToGrid w:val="0"/>
              <w:jc w:val="center"/>
              <w:rPr>
                <w:szCs w:val="21"/>
              </w:rPr>
            </w:pPr>
            <w:r>
              <w:rPr>
                <w:szCs w:val="21"/>
              </w:rPr>
              <w:t>0.004mg/L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19" w:type="pct"/>
            <w:tcMar>
              <w:left w:w="28" w:type="dxa"/>
              <w:right w:w="28" w:type="dxa"/>
            </w:tcMar>
            <w:vAlign w:val="center"/>
          </w:tcPr>
          <w:p>
            <w:pPr>
              <w:jc w:val="center"/>
              <w:textAlignment w:val="center"/>
              <w:rPr>
                <w:szCs w:val="21"/>
              </w:rPr>
            </w:pPr>
            <w:r>
              <w:rPr>
                <w:szCs w:val="21"/>
              </w:rPr>
              <w:t>27</w:t>
            </w:r>
          </w:p>
        </w:tc>
        <w:tc>
          <w:tcPr>
            <w:tcW w:w="604" w:type="pct"/>
            <w:vAlign w:val="center"/>
          </w:tcPr>
          <w:p>
            <w:pPr>
              <w:jc w:val="center"/>
              <w:textAlignment w:val="center"/>
              <w:rPr>
                <w:szCs w:val="21"/>
              </w:rPr>
            </w:pPr>
            <w:r>
              <w:rPr>
                <w:szCs w:val="21"/>
              </w:rPr>
              <w:t>氯化物</w:t>
            </w:r>
          </w:p>
        </w:tc>
        <w:tc>
          <w:tcPr>
            <w:tcW w:w="1511" w:type="pct"/>
            <w:vAlign w:val="center"/>
          </w:tcPr>
          <w:p>
            <w:pPr>
              <w:snapToGrid w:val="0"/>
              <w:jc w:val="center"/>
              <w:textAlignment w:val="center"/>
              <w:rPr>
                <w:szCs w:val="21"/>
                <w:lang w:bidi="ar"/>
              </w:rPr>
            </w:pPr>
            <w:r>
              <w:rPr>
                <w:szCs w:val="21"/>
              </w:rPr>
              <w:t>《水质 氯化物的测定 硝酸银滴定法》 GB/T 11896-1989</w:t>
            </w:r>
          </w:p>
        </w:tc>
        <w:tc>
          <w:tcPr>
            <w:tcW w:w="1359" w:type="pct"/>
            <w:vAlign w:val="center"/>
          </w:tcPr>
          <w:p>
            <w:pPr>
              <w:jc w:val="center"/>
              <w:textAlignment w:val="center"/>
              <w:rPr>
                <w:szCs w:val="21"/>
              </w:rPr>
            </w:pPr>
            <w:r>
              <w:rPr>
                <w:szCs w:val="21"/>
              </w:rPr>
              <w:t>酸式滴定管</w:t>
            </w:r>
          </w:p>
        </w:tc>
        <w:tc>
          <w:tcPr>
            <w:tcW w:w="647" w:type="pct"/>
            <w:vAlign w:val="center"/>
          </w:tcPr>
          <w:p>
            <w:pPr>
              <w:jc w:val="center"/>
              <w:textAlignment w:val="center"/>
              <w:rPr>
                <w:szCs w:val="21"/>
              </w:rPr>
            </w:pPr>
            <w:r>
              <w:rPr>
                <w:szCs w:val="21"/>
              </w:rPr>
              <w:t>/</w:t>
            </w:r>
          </w:p>
        </w:tc>
        <w:tc>
          <w:tcPr>
            <w:tcW w:w="660" w:type="pct"/>
            <w:vAlign w:val="center"/>
          </w:tcPr>
          <w:p>
            <w:pPr>
              <w:jc w:val="center"/>
              <w:textAlignment w:val="center"/>
              <w:rPr>
                <w:szCs w:val="21"/>
              </w:rPr>
            </w:pPr>
            <w:r>
              <w:rPr>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rPr>
                <w:szCs w:val="21"/>
              </w:rPr>
            </w:pPr>
            <w:r>
              <w:rPr>
                <w:szCs w:val="21"/>
              </w:rPr>
              <w:t>28</w:t>
            </w:r>
          </w:p>
        </w:tc>
        <w:tc>
          <w:tcPr>
            <w:tcW w:w="604" w:type="pct"/>
            <w:vAlign w:val="center"/>
          </w:tcPr>
          <w:p>
            <w:pPr>
              <w:jc w:val="center"/>
              <w:rPr>
                <w:szCs w:val="21"/>
              </w:rPr>
            </w:pPr>
            <w:r>
              <w:rPr>
                <w:szCs w:val="21"/>
              </w:rPr>
              <w:t>总大肠菌群</w:t>
            </w:r>
          </w:p>
        </w:tc>
        <w:tc>
          <w:tcPr>
            <w:tcW w:w="1511" w:type="pct"/>
            <w:vAlign w:val="center"/>
          </w:tcPr>
          <w:p>
            <w:pPr>
              <w:snapToGrid w:val="0"/>
              <w:jc w:val="center"/>
              <w:rPr>
                <w:szCs w:val="21"/>
              </w:rPr>
            </w:pPr>
            <w:r>
              <w:rPr>
                <w:szCs w:val="21"/>
              </w:rPr>
              <w:t>《生活饮用水标准检验方法 微生物指标》（2.1 总大肠菌群 多管发酵法）GB/T 5750.12-2006</w:t>
            </w:r>
          </w:p>
        </w:tc>
        <w:tc>
          <w:tcPr>
            <w:tcW w:w="1359" w:type="pct"/>
            <w:vAlign w:val="center"/>
          </w:tcPr>
          <w:p>
            <w:pPr>
              <w:snapToGrid w:val="0"/>
              <w:jc w:val="center"/>
              <w:textAlignment w:val="center"/>
              <w:rPr>
                <w:szCs w:val="21"/>
                <w:lang w:bidi="ar"/>
              </w:rPr>
            </w:pPr>
            <w:r>
              <w:rPr>
                <w:szCs w:val="21"/>
                <w:lang w:bidi="ar"/>
              </w:rPr>
              <w:t>生化培养箱SPX-150B</w:t>
            </w:r>
          </w:p>
          <w:p>
            <w:pPr>
              <w:snapToGrid w:val="0"/>
              <w:jc w:val="center"/>
              <w:textAlignment w:val="center"/>
              <w:rPr>
                <w:szCs w:val="21"/>
              </w:rPr>
            </w:pPr>
            <w:r>
              <w:rPr>
                <w:szCs w:val="21"/>
                <w:lang w:bidi="ar"/>
              </w:rPr>
              <w:t>YFYQ-013-2020</w:t>
            </w:r>
          </w:p>
        </w:tc>
        <w:tc>
          <w:tcPr>
            <w:tcW w:w="647" w:type="pct"/>
            <w:vAlign w:val="center"/>
          </w:tcPr>
          <w:p>
            <w:pPr>
              <w:jc w:val="center"/>
              <w:rPr>
                <w:szCs w:val="21"/>
              </w:rPr>
            </w:pPr>
            <w:r>
              <w:rPr>
                <w:szCs w:val="21"/>
              </w:rPr>
              <w:t>/</w:t>
            </w:r>
          </w:p>
        </w:tc>
        <w:tc>
          <w:tcPr>
            <w:tcW w:w="660" w:type="pct"/>
            <w:vAlign w:val="center"/>
          </w:tcPr>
          <w:p>
            <w:pPr>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rPr>
                <w:szCs w:val="21"/>
              </w:rPr>
            </w:pPr>
            <w:r>
              <w:rPr>
                <w:szCs w:val="21"/>
              </w:rPr>
              <w:t>29</w:t>
            </w:r>
          </w:p>
        </w:tc>
        <w:tc>
          <w:tcPr>
            <w:tcW w:w="604" w:type="pct"/>
            <w:vAlign w:val="center"/>
          </w:tcPr>
          <w:p>
            <w:pPr>
              <w:jc w:val="center"/>
              <w:rPr>
                <w:szCs w:val="21"/>
              </w:rPr>
            </w:pPr>
            <w:r>
              <w:rPr>
                <w:rFonts w:hint="eastAsia"/>
                <w:szCs w:val="21"/>
              </w:rPr>
              <w:t>细菌</w:t>
            </w:r>
            <w:r>
              <w:rPr>
                <w:szCs w:val="21"/>
              </w:rPr>
              <w:t>总数</w:t>
            </w:r>
          </w:p>
        </w:tc>
        <w:tc>
          <w:tcPr>
            <w:tcW w:w="1511" w:type="pct"/>
            <w:vAlign w:val="center"/>
          </w:tcPr>
          <w:p>
            <w:pPr>
              <w:snapToGrid w:val="0"/>
              <w:jc w:val="center"/>
              <w:rPr>
                <w:szCs w:val="21"/>
              </w:rPr>
            </w:pPr>
            <w:r>
              <w:rPr>
                <w:szCs w:val="21"/>
              </w:rPr>
              <w:t>《水质 细菌总数的测定 平皿计数法》HJ 1000-2018</w:t>
            </w:r>
          </w:p>
        </w:tc>
        <w:tc>
          <w:tcPr>
            <w:tcW w:w="1359" w:type="pct"/>
            <w:vAlign w:val="center"/>
          </w:tcPr>
          <w:p>
            <w:pPr>
              <w:snapToGrid w:val="0"/>
              <w:jc w:val="center"/>
              <w:textAlignment w:val="center"/>
              <w:rPr>
                <w:szCs w:val="21"/>
                <w:lang w:bidi="ar"/>
              </w:rPr>
            </w:pPr>
            <w:r>
              <w:rPr>
                <w:szCs w:val="21"/>
                <w:lang w:bidi="ar"/>
              </w:rPr>
              <w:t>生化培养箱SPX-150B</w:t>
            </w:r>
          </w:p>
          <w:p>
            <w:pPr>
              <w:jc w:val="center"/>
              <w:textAlignment w:val="center"/>
              <w:rPr>
                <w:szCs w:val="21"/>
              </w:rPr>
            </w:pPr>
            <w:r>
              <w:rPr>
                <w:szCs w:val="21"/>
                <w:lang w:bidi="ar"/>
              </w:rPr>
              <w:t>YFYQ-013-2020</w:t>
            </w:r>
          </w:p>
        </w:tc>
        <w:tc>
          <w:tcPr>
            <w:tcW w:w="647" w:type="pct"/>
            <w:vAlign w:val="center"/>
          </w:tcPr>
          <w:p>
            <w:pPr>
              <w:jc w:val="center"/>
              <w:rPr>
                <w:szCs w:val="21"/>
              </w:rPr>
            </w:pPr>
            <w:r>
              <w:rPr>
                <w:szCs w:val="21"/>
              </w:rPr>
              <w:t>/</w:t>
            </w:r>
          </w:p>
        </w:tc>
        <w:tc>
          <w:tcPr>
            <w:tcW w:w="660" w:type="pct"/>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19" w:type="pct"/>
            <w:tcMar>
              <w:left w:w="28" w:type="dxa"/>
              <w:right w:w="28" w:type="dxa"/>
            </w:tcMar>
            <w:vAlign w:val="center"/>
          </w:tcPr>
          <w:p>
            <w:pPr>
              <w:jc w:val="center"/>
              <w:rPr>
                <w:szCs w:val="21"/>
              </w:rPr>
            </w:pPr>
            <w:r>
              <w:rPr>
                <w:rFonts w:hint="eastAsia"/>
                <w:szCs w:val="21"/>
              </w:rPr>
              <w:t>3</w:t>
            </w:r>
            <w:r>
              <w:rPr>
                <w:szCs w:val="21"/>
              </w:rPr>
              <w:t>0</w:t>
            </w:r>
          </w:p>
        </w:tc>
        <w:tc>
          <w:tcPr>
            <w:tcW w:w="604" w:type="pct"/>
            <w:vAlign w:val="center"/>
          </w:tcPr>
          <w:p>
            <w:pPr>
              <w:jc w:val="center"/>
              <w:rPr>
                <w:szCs w:val="21"/>
              </w:rPr>
            </w:pPr>
            <w:r>
              <w:rPr>
                <w:rFonts w:hint="eastAsia"/>
                <w:szCs w:val="21"/>
              </w:rPr>
              <w:t>可萃取石油烃（C</w:t>
            </w:r>
            <w:r>
              <w:rPr>
                <w:rFonts w:hint="eastAsia"/>
                <w:szCs w:val="21"/>
                <w:vertAlign w:val="subscript"/>
              </w:rPr>
              <w:t>10</w:t>
            </w:r>
            <w:r>
              <w:rPr>
                <w:rFonts w:hint="eastAsia"/>
                <w:szCs w:val="21"/>
              </w:rPr>
              <w:t>-C</w:t>
            </w:r>
            <w:r>
              <w:rPr>
                <w:rFonts w:hint="eastAsia"/>
                <w:szCs w:val="21"/>
                <w:vertAlign w:val="subscript"/>
              </w:rPr>
              <w:t>40</w:t>
            </w:r>
            <w:r>
              <w:rPr>
                <w:rFonts w:hint="eastAsia"/>
                <w:szCs w:val="21"/>
              </w:rPr>
              <w:t>）</w:t>
            </w:r>
          </w:p>
        </w:tc>
        <w:tc>
          <w:tcPr>
            <w:tcW w:w="1511" w:type="pct"/>
            <w:vAlign w:val="center"/>
          </w:tcPr>
          <w:p>
            <w:pPr>
              <w:snapToGrid w:val="0"/>
              <w:jc w:val="center"/>
              <w:rPr>
                <w:szCs w:val="21"/>
              </w:rPr>
            </w:pPr>
            <w:r>
              <w:rPr>
                <w:rFonts w:hint="eastAsia"/>
                <w:szCs w:val="21"/>
              </w:rPr>
              <w:t>《水质 可萃取石油烃（C</w:t>
            </w:r>
            <w:r>
              <w:rPr>
                <w:rFonts w:hint="eastAsia"/>
                <w:szCs w:val="21"/>
                <w:vertAlign w:val="subscript"/>
              </w:rPr>
              <w:t>10</w:t>
            </w:r>
            <w:r>
              <w:rPr>
                <w:rFonts w:hint="eastAsia"/>
                <w:szCs w:val="21"/>
              </w:rPr>
              <w:t>-C</w:t>
            </w:r>
            <w:r>
              <w:rPr>
                <w:rFonts w:hint="eastAsia"/>
                <w:szCs w:val="21"/>
                <w:vertAlign w:val="subscript"/>
              </w:rPr>
              <w:t>40</w:t>
            </w:r>
            <w:r>
              <w:rPr>
                <w:rFonts w:hint="eastAsia"/>
                <w:szCs w:val="21"/>
              </w:rPr>
              <w:t>）的测定 气相色谱法》 HJ 894-2017</w:t>
            </w:r>
          </w:p>
        </w:tc>
        <w:tc>
          <w:tcPr>
            <w:tcW w:w="1359" w:type="pct"/>
            <w:vAlign w:val="center"/>
          </w:tcPr>
          <w:p>
            <w:pPr>
              <w:snapToGrid w:val="0"/>
              <w:jc w:val="center"/>
              <w:textAlignment w:val="center"/>
              <w:rPr>
                <w:szCs w:val="21"/>
              </w:rPr>
            </w:pPr>
            <w:r>
              <w:rPr>
                <w:rFonts w:hint="eastAsia"/>
                <w:szCs w:val="21"/>
              </w:rPr>
              <w:t>气相色谱仪</w:t>
            </w:r>
          </w:p>
          <w:p>
            <w:pPr>
              <w:snapToGrid w:val="0"/>
              <w:jc w:val="center"/>
              <w:textAlignment w:val="center"/>
              <w:rPr>
                <w:szCs w:val="21"/>
              </w:rPr>
            </w:pPr>
            <w:r>
              <w:rPr>
                <w:rFonts w:hint="eastAsia"/>
                <w:szCs w:val="21"/>
              </w:rPr>
              <w:t>PANNA A60</w:t>
            </w:r>
          </w:p>
          <w:p>
            <w:pPr>
              <w:snapToGrid w:val="0"/>
              <w:jc w:val="center"/>
              <w:textAlignment w:val="center"/>
              <w:rPr>
                <w:szCs w:val="21"/>
                <w:lang w:bidi="ar"/>
              </w:rPr>
            </w:pPr>
            <w:r>
              <w:rPr>
                <w:rFonts w:hint="eastAsia"/>
                <w:szCs w:val="21"/>
              </w:rPr>
              <w:t>YFYQ-004-01-2020</w:t>
            </w:r>
          </w:p>
        </w:tc>
        <w:tc>
          <w:tcPr>
            <w:tcW w:w="647" w:type="pct"/>
            <w:vAlign w:val="center"/>
          </w:tcPr>
          <w:p>
            <w:pPr>
              <w:snapToGrid w:val="0"/>
              <w:jc w:val="center"/>
              <w:rPr>
                <w:szCs w:val="21"/>
              </w:rPr>
            </w:pPr>
            <w:r>
              <w:rPr>
                <w:rFonts w:hint="eastAsia"/>
                <w:szCs w:val="21"/>
              </w:rPr>
              <w:t>0.01mg/L</w:t>
            </w:r>
          </w:p>
        </w:tc>
        <w:tc>
          <w:tcPr>
            <w:tcW w:w="660" w:type="pct"/>
            <w:vAlign w:val="center"/>
          </w:tcPr>
          <w:p>
            <w:pPr>
              <w:jc w:val="center"/>
              <w:rPr>
                <w:szCs w:val="21"/>
              </w:rPr>
            </w:pPr>
            <w:r>
              <w:rPr>
                <w:szCs w:val="21"/>
              </w:rPr>
              <w:t>/</w:t>
            </w:r>
          </w:p>
        </w:tc>
      </w:tr>
    </w:tbl>
    <w:p>
      <w:pPr>
        <w:spacing w:line="520" w:lineRule="exact"/>
        <w:outlineLvl w:val="3"/>
        <w:rPr>
          <w:sz w:val="24"/>
          <w:szCs w:val="24"/>
        </w:rPr>
      </w:pPr>
      <w:r>
        <w:rPr>
          <w:sz w:val="24"/>
          <w:szCs w:val="24"/>
        </w:rPr>
        <w:t>4.3.4.3 评价标准</w:t>
      </w:r>
    </w:p>
    <w:p>
      <w:pPr>
        <w:spacing w:line="520" w:lineRule="exact"/>
        <w:ind w:firstLine="480" w:firstLineChars="200"/>
        <w:rPr>
          <w:sz w:val="24"/>
          <w:szCs w:val="24"/>
        </w:rPr>
      </w:pPr>
      <w:r>
        <w:rPr>
          <w:sz w:val="24"/>
          <w:szCs w:val="24"/>
        </w:rPr>
        <w:t>地下水环境质量现状评价标准执行《地下水质量标准》（GB/T14848-2017）III类标准，采用标准中的III类水标准进行评价。</w:t>
      </w:r>
    </w:p>
    <w:p>
      <w:pPr>
        <w:spacing w:line="520" w:lineRule="exact"/>
        <w:ind w:firstLine="480" w:firstLineChars="200"/>
        <w:rPr>
          <w:rFonts w:eastAsia="黑体"/>
          <w:sz w:val="24"/>
          <w:szCs w:val="24"/>
        </w:rPr>
      </w:pPr>
      <w:r>
        <w:rPr>
          <w:rFonts w:eastAsia="黑体"/>
          <w:sz w:val="24"/>
          <w:szCs w:val="24"/>
        </w:rPr>
        <w:t>表4.3-11          地下水环境质量现状评价执行标准</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13"/>
        <w:gridCol w:w="3206"/>
        <w:gridCol w:w="1830"/>
        <w:gridCol w:w="2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b/>
                <w:szCs w:val="21"/>
              </w:rPr>
            </w:pPr>
            <w:r>
              <w:rPr>
                <w:b/>
                <w:szCs w:val="21"/>
              </w:rPr>
              <w:t>序号</w:t>
            </w:r>
          </w:p>
        </w:tc>
        <w:tc>
          <w:tcPr>
            <w:tcW w:w="1792" w:type="pct"/>
            <w:vAlign w:val="center"/>
          </w:tcPr>
          <w:p>
            <w:pPr>
              <w:jc w:val="center"/>
              <w:rPr>
                <w:b/>
                <w:szCs w:val="21"/>
              </w:rPr>
            </w:pPr>
            <w:r>
              <w:rPr>
                <w:b/>
                <w:szCs w:val="21"/>
              </w:rPr>
              <w:t>评价因子</w:t>
            </w:r>
          </w:p>
        </w:tc>
        <w:tc>
          <w:tcPr>
            <w:tcW w:w="1023" w:type="pct"/>
            <w:vAlign w:val="center"/>
          </w:tcPr>
          <w:p>
            <w:pPr>
              <w:jc w:val="center"/>
              <w:rPr>
                <w:b/>
                <w:szCs w:val="21"/>
              </w:rPr>
            </w:pPr>
            <w:r>
              <w:rPr>
                <w:b/>
                <w:szCs w:val="21"/>
              </w:rPr>
              <w:t>浓度限值</w:t>
            </w:r>
          </w:p>
        </w:tc>
        <w:tc>
          <w:tcPr>
            <w:tcW w:w="1619" w:type="pct"/>
            <w:vAlign w:val="center"/>
          </w:tcPr>
          <w:p>
            <w:pPr>
              <w:jc w:val="center"/>
              <w:rPr>
                <w:b/>
                <w:szCs w:val="21"/>
              </w:rPr>
            </w:pPr>
            <w:r>
              <w:rPr>
                <w:b/>
                <w:szCs w:val="21"/>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1</w:t>
            </w:r>
          </w:p>
        </w:tc>
        <w:tc>
          <w:tcPr>
            <w:tcW w:w="1792" w:type="pct"/>
            <w:vAlign w:val="center"/>
          </w:tcPr>
          <w:p>
            <w:pPr>
              <w:adjustRightInd w:val="0"/>
              <w:snapToGrid w:val="0"/>
              <w:jc w:val="center"/>
              <w:textAlignment w:val="baseline"/>
              <w:rPr>
                <w:szCs w:val="21"/>
              </w:rPr>
            </w:pPr>
            <w:r>
              <w:rPr>
                <w:szCs w:val="21"/>
              </w:rPr>
              <w:t>pH</w:t>
            </w:r>
          </w:p>
        </w:tc>
        <w:tc>
          <w:tcPr>
            <w:tcW w:w="1023" w:type="pct"/>
            <w:vAlign w:val="center"/>
          </w:tcPr>
          <w:p>
            <w:pPr>
              <w:adjustRightInd w:val="0"/>
              <w:snapToGrid w:val="0"/>
              <w:jc w:val="center"/>
              <w:textAlignment w:val="baseline"/>
              <w:rPr>
                <w:szCs w:val="21"/>
              </w:rPr>
            </w:pPr>
            <w:r>
              <w:rPr>
                <w:szCs w:val="21"/>
              </w:rPr>
              <w:t>6.5-8.5</w:t>
            </w:r>
          </w:p>
        </w:tc>
        <w:tc>
          <w:tcPr>
            <w:tcW w:w="1619" w:type="pct"/>
            <w:vMerge w:val="restart"/>
            <w:vAlign w:val="center"/>
          </w:tcPr>
          <w:p>
            <w:pPr>
              <w:jc w:val="center"/>
              <w:rPr>
                <w:szCs w:val="21"/>
              </w:rPr>
            </w:pPr>
            <w:r>
              <w:rPr>
                <w:szCs w:val="21"/>
              </w:rPr>
              <w:t>《地下水质量标准》（GB/T14848-2017）III类标准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2</w:t>
            </w:r>
          </w:p>
        </w:tc>
        <w:tc>
          <w:tcPr>
            <w:tcW w:w="1792" w:type="pct"/>
            <w:vAlign w:val="center"/>
          </w:tcPr>
          <w:p>
            <w:pPr>
              <w:adjustRightInd w:val="0"/>
              <w:snapToGrid w:val="0"/>
              <w:jc w:val="center"/>
              <w:textAlignment w:val="baseline"/>
              <w:rPr>
                <w:szCs w:val="21"/>
              </w:rPr>
            </w:pPr>
            <w:r>
              <w:rPr>
                <w:szCs w:val="21"/>
              </w:rPr>
              <w:t>氨氮</w:t>
            </w:r>
          </w:p>
        </w:tc>
        <w:tc>
          <w:tcPr>
            <w:tcW w:w="1023" w:type="pct"/>
            <w:vAlign w:val="center"/>
          </w:tcPr>
          <w:p>
            <w:pPr>
              <w:adjustRightInd w:val="0"/>
              <w:snapToGrid w:val="0"/>
              <w:jc w:val="center"/>
              <w:textAlignment w:val="baseline"/>
              <w:rPr>
                <w:szCs w:val="21"/>
              </w:rPr>
            </w:pPr>
            <w:r>
              <w:rPr>
                <w:szCs w:val="21"/>
              </w:rPr>
              <w:t>0.5mg/L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3</w:t>
            </w:r>
          </w:p>
        </w:tc>
        <w:tc>
          <w:tcPr>
            <w:tcW w:w="1792" w:type="pct"/>
            <w:vAlign w:val="center"/>
          </w:tcPr>
          <w:p>
            <w:pPr>
              <w:adjustRightInd w:val="0"/>
              <w:snapToGrid w:val="0"/>
              <w:jc w:val="center"/>
              <w:textAlignment w:val="baseline"/>
              <w:rPr>
                <w:szCs w:val="21"/>
              </w:rPr>
            </w:pPr>
            <w:r>
              <w:rPr>
                <w:szCs w:val="21"/>
              </w:rPr>
              <w:t>硝酸盐（以N计）</w:t>
            </w:r>
          </w:p>
        </w:tc>
        <w:tc>
          <w:tcPr>
            <w:tcW w:w="1023" w:type="pct"/>
            <w:vAlign w:val="center"/>
          </w:tcPr>
          <w:p>
            <w:pPr>
              <w:adjustRightInd w:val="0"/>
              <w:snapToGrid w:val="0"/>
              <w:jc w:val="center"/>
              <w:textAlignment w:val="baseline"/>
              <w:rPr>
                <w:szCs w:val="21"/>
              </w:rPr>
            </w:pPr>
            <w:r>
              <w:rPr>
                <w:szCs w:val="21"/>
              </w:rPr>
              <w:t>20.0mg/L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4</w:t>
            </w:r>
          </w:p>
        </w:tc>
        <w:tc>
          <w:tcPr>
            <w:tcW w:w="1792" w:type="pct"/>
            <w:vAlign w:val="center"/>
          </w:tcPr>
          <w:p>
            <w:pPr>
              <w:adjustRightInd w:val="0"/>
              <w:snapToGrid w:val="0"/>
              <w:jc w:val="center"/>
              <w:textAlignment w:val="baseline"/>
              <w:rPr>
                <w:szCs w:val="21"/>
              </w:rPr>
            </w:pPr>
            <w:r>
              <w:rPr>
                <w:szCs w:val="21"/>
              </w:rPr>
              <w:t>亚硝酸盐</w:t>
            </w:r>
          </w:p>
        </w:tc>
        <w:tc>
          <w:tcPr>
            <w:tcW w:w="1023" w:type="pct"/>
            <w:vAlign w:val="center"/>
          </w:tcPr>
          <w:p>
            <w:pPr>
              <w:adjustRightInd w:val="0"/>
              <w:snapToGrid w:val="0"/>
              <w:jc w:val="center"/>
              <w:textAlignment w:val="baseline"/>
              <w:rPr>
                <w:szCs w:val="21"/>
              </w:rPr>
            </w:pPr>
            <w:r>
              <w:rPr>
                <w:szCs w:val="21"/>
              </w:rPr>
              <w:t>1.00mg/L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5</w:t>
            </w:r>
          </w:p>
        </w:tc>
        <w:tc>
          <w:tcPr>
            <w:tcW w:w="1792" w:type="pct"/>
            <w:vAlign w:val="center"/>
          </w:tcPr>
          <w:p>
            <w:pPr>
              <w:adjustRightInd w:val="0"/>
              <w:snapToGrid w:val="0"/>
              <w:jc w:val="center"/>
              <w:textAlignment w:val="baseline"/>
              <w:rPr>
                <w:szCs w:val="21"/>
              </w:rPr>
            </w:pPr>
            <w:r>
              <w:rPr>
                <w:szCs w:val="21"/>
              </w:rPr>
              <w:t>挥发性酚类（以苯酚计）</w:t>
            </w:r>
          </w:p>
        </w:tc>
        <w:tc>
          <w:tcPr>
            <w:tcW w:w="1023" w:type="pct"/>
            <w:vAlign w:val="center"/>
          </w:tcPr>
          <w:p>
            <w:pPr>
              <w:adjustRightInd w:val="0"/>
              <w:snapToGrid w:val="0"/>
              <w:jc w:val="center"/>
              <w:textAlignment w:val="baseline"/>
              <w:rPr>
                <w:szCs w:val="21"/>
              </w:rPr>
            </w:pPr>
            <w:r>
              <w:rPr>
                <w:szCs w:val="21"/>
              </w:rPr>
              <w:t>0.002mg/L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6</w:t>
            </w:r>
          </w:p>
        </w:tc>
        <w:tc>
          <w:tcPr>
            <w:tcW w:w="1792" w:type="pct"/>
            <w:vAlign w:val="center"/>
          </w:tcPr>
          <w:p>
            <w:pPr>
              <w:adjustRightInd w:val="0"/>
              <w:snapToGrid w:val="0"/>
              <w:jc w:val="center"/>
              <w:textAlignment w:val="baseline"/>
              <w:rPr>
                <w:szCs w:val="21"/>
              </w:rPr>
            </w:pPr>
            <w:r>
              <w:rPr>
                <w:szCs w:val="21"/>
              </w:rPr>
              <w:t>氰化物</w:t>
            </w:r>
          </w:p>
        </w:tc>
        <w:tc>
          <w:tcPr>
            <w:tcW w:w="1023" w:type="pct"/>
            <w:vAlign w:val="center"/>
          </w:tcPr>
          <w:p>
            <w:pPr>
              <w:adjustRightInd w:val="0"/>
              <w:snapToGrid w:val="0"/>
              <w:jc w:val="center"/>
              <w:textAlignment w:val="baseline"/>
              <w:rPr>
                <w:szCs w:val="21"/>
              </w:rPr>
            </w:pPr>
            <w:r>
              <w:rPr>
                <w:szCs w:val="21"/>
              </w:rPr>
              <w:t>0.05mg/L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7</w:t>
            </w:r>
          </w:p>
        </w:tc>
        <w:tc>
          <w:tcPr>
            <w:tcW w:w="1792" w:type="pct"/>
            <w:vAlign w:val="center"/>
          </w:tcPr>
          <w:p>
            <w:pPr>
              <w:adjustRightInd w:val="0"/>
              <w:snapToGrid w:val="0"/>
              <w:jc w:val="center"/>
              <w:textAlignment w:val="baseline"/>
              <w:rPr>
                <w:szCs w:val="21"/>
              </w:rPr>
            </w:pPr>
            <w:r>
              <w:rPr>
                <w:szCs w:val="21"/>
              </w:rPr>
              <w:t>总硬度</w:t>
            </w:r>
          </w:p>
        </w:tc>
        <w:tc>
          <w:tcPr>
            <w:tcW w:w="1023" w:type="pct"/>
            <w:vAlign w:val="center"/>
          </w:tcPr>
          <w:p>
            <w:pPr>
              <w:adjustRightInd w:val="0"/>
              <w:snapToGrid w:val="0"/>
              <w:jc w:val="center"/>
              <w:textAlignment w:val="baseline"/>
              <w:rPr>
                <w:szCs w:val="21"/>
              </w:rPr>
            </w:pPr>
            <w:r>
              <w:rPr>
                <w:szCs w:val="21"/>
              </w:rPr>
              <w:t>450mg/L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8</w:t>
            </w:r>
          </w:p>
        </w:tc>
        <w:tc>
          <w:tcPr>
            <w:tcW w:w="1792" w:type="pct"/>
            <w:vAlign w:val="center"/>
          </w:tcPr>
          <w:p>
            <w:pPr>
              <w:adjustRightInd w:val="0"/>
              <w:snapToGrid w:val="0"/>
              <w:jc w:val="center"/>
              <w:textAlignment w:val="baseline"/>
              <w:rPr>
                <w:szCs w:val="21"/>
              </w:rPr>
            </w:pPr>
            <w:r>
              <w:rPr>
                <w:szCs w:val="21"/>
              </w:rPr>
              <w:t>耗氧量（COD</w:t>
            </w:r>
            <w:r>
              <w:rPr>
                <w:szCs w:val="21"/>
                <w:vertAlign w:val="subscript"/>
              </w:rPr>
              <w:t>Mn</w:t>
            </w:r>
            <w:r>
              <w:rPr>
                <w:szCs w:val="21"/>
              </w:rPr>
              <w:t>法，以O</w:t>
            </w:r>
            <w:r>
              <w:rPr>
                <w:szCs w:val="21"/>
                <w:vertAlign w:val="subscript"/>
              </w:rPr>
              <w:t>2</w:t>
            </w:r>
            <w:r>
              <w:rPr>
                <w:szCs w:val="21"/>
              </w:rPr>
              <w:t>计）</w:t>
            </w:r>
          </w:p>
        </w:tc>
        <w:tc>
          <w:tcPr>
            <w:tcW w:w="1023" w:type="pct"/>
            <w:vAlign w:val="center"/>
          </w:tcPr>
          <w:p>
            <w:pPr>
              <w:adjustRightInd w:val="0"/>
              <w:snapToGrid w:val="0"/>
              <w:jc w:val="center"/>
              <w:textAlignment w:val="baseline"/>
              <w:rPr>
                <w:szCs w:val="21"/>
              </w:rPr>
            </w:pPr>
            <w:r>
              <w:rPr>
                <w:szCs w:val="21"/>
              </w:rPr>
              <w:t>3.0mg/L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9</w:t>
            </w:r>
          </w:p>
        </w:tc>
        <w:tc>
          <w:tcPr>
            <w:tcW w:w="1792" w:type="pct"/>
            <w:vAlign w:val="center"/>
          </w:tcPr>
          <w:p>
            <w:pPr>
              <w:adjustRightInd w:val="0"/>
              <w:snapToGrid w:val="0"/>
              <w:jc w:val="center"/>
              <w:textAlignment w:val="baseline"/>
              <w:rPr>
                <w:szCs w:val="21"/>
              </w:rPr>
            </w:pPr>
            <w:r>
              <w:rPr>
                <w:szCs w:val="21"/>
              </w:rPr>
              <w:t>溶解性总固体</w:t>
            </w:r>
          </w:p>
        </w:tc>
        <w:tc>
          <w:tcPr>
            <w:tcW w:w="1023" w:type="pct"/>
            <w:vAlign w:val="center"/>
          </w:tcPr>
          <w:p>
            <w:pPr>
              <w:adjustRightInd w:val="0"/>
              <w:snapToGrid w:val="0"/>
              <w:jc w:val="center"/>
              <w:textAlignment w:val="baseline"/>
              <w:rPr>
                <w:szCs w:val="21"/>
              </w:rPr>
            </w:pPr>
            <w:r>
              <w:rPr>
                <w:szCs w:val="21"/>
              </w:rPr>
              <w:t>1000mg/L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10</w:t>
            </w:r>
          </w:p>
        </w:tc>
        <w:tc>
          <w:tcPr>
            <w:tcW w:w="1792" w:type="pct"/>
            <w:vAlign w:val="center"/>
          </w:tcPr>
          <w:p>
            <w:pPr>
              <w:adjustRightInd w:val="0"/>
              <w:snapToGrid w:val="0"/>
              <w:jc w:val="center"/>
              <w:textAlignment w:val="baseline"/>
              <w:rPr>
                <w:szCs w:val="21"/>
              </w:rPr>
            </w:pPr>
            <w:r>
              <w:rPr>
                <w:szCs w:val="21"/>
              </w:rPr>
              <w:t>总大肠菌群</w:t>
            </w:r>
          </w:p>
        </w:tc>
        <w:tc>
          <w:tcPr>
            <w:tcW w:w="1023" w:type="pct"/>
            <w:vAlign w:val="center"/>
          </w:tcPr>
          <w:p>
            <w:pPr>
              <w:adjustRightInd w:val="0"/>
              <w:snapToGrid w:val="0"/>
              <w:jc w:val="center"/>
              <w:textAlignment w:val="baseline"/>
              <w:rPr>
                <w:szCs w:val="21"/>
              </w:rPr>
            </w:pPr>
            <w:r>
              <w:rPr>
                <w:szCs w:val="21"/>
              </w:rPr>
              <w:t>3.0MPN</w:t>
            </w:r>
            <w:r>
              <w:rPr>
                <w:szCs w:val="21"/>
                <w:vertAlign w:val="superscript"/>
              </w:rPr>
              <w:t>b</w:t>
            </w:r>
            <w:r>
              <w:rPr>
                <w:szCs w:val="21"/>
              </w:rPr>
              <w:t>/100mL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11</w:t>
            </w:r>
          </w:p>
        </w:tc>
        <w:tc>
          <w:tcPr>
            <w:tcW w:w="1792" w:type="pct"/>
            <w:vAlign w:val="center"/>
          </w:tcPr>
          <w:p>
            <w:pPr>
              <w:adjustRightInd w:val="0"/>
              <w:snapToGrid w:val="0"/>
              <w:jc w:val="center"/>
              <w:textAlignment w:val="baseline"/>
              <w:rPr>
                <w:szCs w:val="21"/>
              </w:rPr>
            </w:pPr>
            <w:r>
              <w:rPr>
                <w:rFonts w:hint="eastAsia"/>
                <w:szCs w:val="21"/>
              </w:rPr>
              <w:t>菌落</w:t>
            </w:r>
            <w:r>
              <w:rPr>
                <w:szCs w:val="21"/>
              </w:rPr>
              <w:t>总数</w:t>
            </w:r>
          </w:p>
        </w:tc>
        <w:tc>
          <w:tcPr>
            <w:tcW w:w="1023" w:type="pct"/>
            <w:vAlign w:val="center"/>
          </w:tcPr>
          <w:p>
            <w:pPr>
              <w:adjustRightInd w:val="0"/>
              <w:snapToGrid w:val="0"/>
              <w:jc w:val="center"/>
              <w:textAlignment w:val="baseline"/>
              <w:rPr>
                <w:szCs w:val="21"/>
              </w:rPr>
            </w:pPr>
            <w:r>
              <w:rPr>
                <w:szCs w:val="21"/>
              </w:rPr>
              <w:t>100CFU/mL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12</w:t>
            </w:r>
          </w:p>
        </w:tc>
        <w:tc>
          <w:tcPr>
            <w:tcW w:w="1792" w:type="pct"/>
            <w:vAlign w:val="center"/>
          </w:tcPr>
          <w:p>
            <w:pPr>
              <w:adjustRightInd w:val="0"/>
              <w:snapToGrid w:val="0"/>
              <w:jc w:val="center"/>
              <w:textAlignment w:val="baseline"/>
              <w:rPr>
                <w:szCs w:val="21"/>
              </w:rPr>
            </w:pPr>
            <w:r>
              <w:rPr>
                <w:szCs w:val="21"/>
              </w:rPr>
              <w:t>铬（六价）</w:t>
            </w:r>
          </w:p>
        </w:tc>
        <w:tc>
          <w:tcPr>
            <w:tcW w:w="1023" w:type="pct"/>
            <w:vAlign w:val="center"/>
          </w:tcPr>
          <w:p>
            <w:pPr>
              <w:adjustRightInd w:val="0"/>
              <w:snapToGrid w:val="0"/>
              <w:jc w:val="center"/>
              <w:textAlignment w:val="baseline"/>
              <w:rPr>
                <w:szCs w:val="21"/>
              </w:rPr>
            </w:pPr>
            <w:r>
              <w:rPr>
                <w:szCs w:val="21"/>
              </w:rPr>
              <w:t>0.05mg/L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13</w:t>
            </w:r>
          </w:p>
        </w:tc>
        <w:tc>
          <w:tcPr>
            <w:tcW w:w="1792" w:type="pct"/>
            <w:vAlign w:val="center"/>
          </w:tcPr>
          <w:p>
            <w:pPr>
              <w:adjustRightInd w:val="0"/>
              <w:snapToGrid w:val="0"/>
              <w:jc w:val="center"/>
              <w:textAlignment w:val="baseline"/>
              <w:rPr>
                <w:szCs w:val="21"/>
              </w:rPr>
            </w:pPr>
            <w:r>
              <w:rPr>
                <w:szCs w:val="21"/>
              </w:rPr>
              <w:t>铅</w:t>
            </w:r>
          </w:p>
        </w:tc>
        <w:tc>
          <w:tcPr>
            <w:tcW w:w="1023" w:type="pct"/>
            <w:vAlign w:val="center"/>
          </w:tcPr>
          <w:p>
            <w:pPr>
              <w:adjustRightInd w:val="0"/>
              <w:snapToGrid w:val="0"/>
              <w:jc w:val="center"/>
              <w:textAlignment w:val="baseline"/>
              <w:rPr>
                <w:szCs w:val="21"/>
              </w:rPr>
            </w:pPr>
            <w:r>
              <w:rPr>
                <w:szCs w:val="21"/>
              </w:rPr>
              <w:t>0.01mg/L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14</w:t>
            </w:r>
          </w:p>
        </w:tc>
        <w:tc>
          <w:tcPr>
            <w:tcW w:w="1792" w:type="pct"/>
            <w:vAlign w:val="center"/>
          </w:tcPr>
          <w:p>
            <w:pPr>
              <w:adjustRightInd w:val="0"/>
              <w:snapToGrid w:val="0"/>
              <w:jc w:val="center"/>
              <w:textAlignment w:val="baseline"/>
              <w:rPr>
                <w:kern w:val="0"/>
                <w:szCs w:val="21"/>
              </w:rPr>
            </w:pPr>
            <w:r>
              <w:rPr>
                <w:szCs w:val="21"/>
              </w:rPr>
              <w:t>镉</w:t>
            </w:r>
          </w:p>
        </w:tc>
        <w:tc>
          <w:tcPr>
            <w:tcW w:w="1023" w:type="pct"/>
            <w:vAlign w:val="center"/>
          </w:tcPr>
          <w:p>
            <w:pPr>
              <w:adjustRightInd w:val="0"/>
              <w:snapToGrid w:val="0"/>
              <w:jc w:val="center"/>
              <w:textAlignment w:val="baseline"/>
              <w:rPr>
                <w:kern w:val="0"/>
                <w:szCs w:val="21"/>
              </w:rPr>
            </w:pPr>
            <w:r>
              <w:rPr>
                <w:szCs w:val="21"/>
              </w:rPr>
              <w:t>0.005mg/L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15</w:t>
            </w:r>
          </w:p>
        </w:tc>
        <w:tc>
          <w:tcPr>
            <w:tcW w:w="1792" w:type="pct"/>
            <w:vAlign w:val="center"/>
          </w:tcPr>
          <w:p>
            <w:pPr>
              <w:adjustRightInd w:val="0"/>
              <w:snapToGrid w:val="0"/>
              <w:jc w:val="center"/>
              <w:textAlignment w:val="baseline"/>
              <w:rPr>
                <w:szCs w:val="21"/>
              </w:rPr>
            </w:pPr>
            <w:r>
              <w:rPr>
                <w:szCs w:val="21"/>
              </w:rPr>
              <w:t>砷</w:t>
            </w:r>
          </w:p>
        </w:tc>
        <w:tc>
          <w:tcPr>
            <w:tcW w:w="1023" w:type="pct"/>
            <w:vAlign w:val="center"/>
          </w:tcPr>
          <w:p>
            <w:pPr>
              <w:adjustRightInd w:val="0"/>
              <w:snapToGrid w:val="0"/>
              <w:jc w:val="center"/>
              <w:textAlignment w:val="baseline"/>
              <w:rPr>
                <w:szCs w:val="21"/>
              </w:rPr>
            </w:pPr>
            <w:r>
              <w:rPr>
                <w:szCs w:val="21"/>
              </w:rPr>
              <w:t>0.01mg/L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16</w:t>
            </w:r>
          </w:p>
        </w:tc>
        <w:tc>
          <w:tcPr>
            <w:tcW w:w="1792" w:type="pct"/>
            <w:vAlign w:val="center"/>
          </w:tcPr>
          <w:p>
            <w:pPr>
              <w:adjustRightInd w:val="0"/>
              <w:snapToGrid w:val="0"/>
              <w:jc w:val="center"/>
              <w:textAlignment w:val="baseline"/>
              <w:rPr>
                <w:szCs w:val="21"/>
              </w:rPr>
            </w:pPr>
            <w:r>
              <w:rPr>
                <w:szCs w:val="21"/>
              </w:rPr>
              <w:t>汞</w:t>
            </w:r>
          </w:p>
        </w:tc>
        <w:tc>
          <w:tcPr>
            <w:tcW w:w="1023" w:type="pct"/>
            <w:vAlign w:val="center"/>
          </w:tcPr>
          <w:p>
            <w:pPr>
              <w:adjustRightInd w:val="0"/>
              <w:snapToGrid w:val="0"/>
              <w:jc w:val="center"/>
              <w:textAlignment w:val="baseline"/>
              <w:rPr>
                <w:szCs w:val="21"/>
              </w:rPr>
            </w:pPr>
            <w:r>
              <w:rPr>
                <w:szCs w:val="21"/>
              </w:rPr>
              <w:t>0.001mg/L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17</w:t>
            </w:r>
          </w:p>
        </w:tc>
        <w:tc>
          <w:tcPr>
            <w:tcW w:w="1792" w:type="pct"/>
            <w:vAlign w:val="center"/>
          </w:tcPr>
          <w:p>
            <w:pPr>
              <w:adjustRightInd w:val="0"/>
              <w:snapToGrid w:val="0"/>
              <w:jc w:val="center"/>
              <w:textAlignment w:val="baseline"/>
              <w:rPr>
                <w:szCs w:val="21"/>
              </w:rPr>
            </w:pPr>
            <w:r>
              <w:rPr>
                <w:szCs w:val="21"/>
              </w:rPr>
              <w:t>铁</w:t>
            </w:r>
          </w:p>
        </w:tc>
        <w:tc>
          <w:tcPr>
            <w:tcW w:w="1023" w:type="pct"/>
            <w:vAlign w:val="center"/>
          </w:tcPr>
          <w:p>
            <w:pPr>
              <w:adjustRightInd w:val="0"/>
              <w:snapToGrid w:val="0"/>
              <w:jc w:val="center"/>
              <w:textAlignment w:val="baseline"/>
              <w:rPr>
                <w:szCs w:val="21"/>
              </w:rPr>
            </w:pPr>
            <w:r>
              <w:rPr>
                <w:szCs w:val="21"/>
              </w:rPr>
              <w:t>0.3mg/L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18</w:t>
            </w:r>
          </w:p>
        </w:tc>
        <w:tc>
          <w:tcPr>
            <w:tcW w:w="1792" w:type="pct"/>
            <w:vAlign w:val="center"/>
          </w:tcPr>
          <w:p>
            <w:pPr>
              <w:adjustRightInd w:val="0"/>
              <w:snapToGrid w:val="0"/>
              <w:jc w:val="center"/>
              <w:textAlignment w:val="baseline"/>
              <w:rPr>
                <w:szCs w:val="21"/>
              </w:rPr>
            </w:pPr>
            <w:r>
              <w:rPr>
                <w:szCs w:val="21"/>
              </w:rPr>
              <w:t>锰</w:t>
            </w:r>
          </w:p>
        </w:tc>
        <w:tc>
          <w:tcPr>
            <w:tcW w:w="1023" w:type="pct"/>
            <w:vAlign w:val="center"/>
          </w:tcPr>
          <w:p>
            <w:pPr>
              <w:adjustRightInd w:val="0"/>
              <w:snapToGrid w:val="0"/>
              <w:jc w:val="center"/>
              <w:textAlignment w:val="baseline"/>
              <w:rPr>
                <w:szCs w:val="21"/>
              </w:rPr>
            </w:pPr>
            <w:r>
              <w:rPr>
                <w:szCs w:val="21"/>
              </w:rPr>
              <w:t>0.10mg/L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19</w:t>
            </w:r>
          </w:p>
        </w:tc>
        <w:tc>
          <w:tcPr>
            <w:tcW w:w="1792" w:type="pct"/>
            <w:vAlign w:val="center"/>
          </w:tcPr>
          <w:p>
            <w:pPr>
              <w:adjustRightInd w:val="0"/>
              <w:snapToGrid w:val="0"/>
              <w:jc w:val="center"/>
              <w:textAlignment w:val="baseline"/>
              <w:rPr>
                <w:szCs w:val="21"/>
              </w:rPr>
            </w:pPr>
            <w:r>
              <w:rPr>
                <w:szCs w:val="21"/>
              </w:rPr>
              <w:t>色度</w:t>
            </w:r>
          </w:p>
        </w:tc>
        <w:tc>
          <w:tcPr>
            <w:tcW w:w="1023" w:type="pct"/>
            <w:vAlign w:val="center"/>
          </w:tcPr>
          <w:p>
            <w:pPr>
              <w:adjustRightInd w:val="0"/>
              <w:snapToGrid w:val="0"/>
              <w:jc w:val="center"/>
              <w:textAlignment w:val="baseline"/>
              <w:rPr>
                <w:szCs w:val="21"/>
              </w:rPr>
            </w:pPr>
            <w:r>
              <w:rPr>
                <w:szCs w:val="21"/>
              </w:rPr>
              <w:t>15</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20</w:t>
            </w:r>
          </w:p>
        </w:tc>
        <w:tc>
          <w:tcPr>
            <w:tcW w:w="1792" w:type="pct"/>
            <w:vAlign w:val="center"/>
          </w:tcPr>
          <w:p>
            <w:pPr>
              <w:adjustRightInd w:val="0"/>
              <w:snapToGrid w:val="0"/>
              <w:jc w:val="center"/>
              <w:textAlignment w:val="baseline"/>
              <w:rPr>
                <w:kern w:val="0"/>
                <w:szCs w:val="21"/>
              </w:rPr>
            </w:pPr>
            <w:r>
              <w:rPr>
                <w:szCs w:val="21"/>
              </w:rPr>
              <w:t>氟化物</w:t>
            </w:r>
          </w:p>
        </w:tc>
        <w:tc>
          <w:tcPr>
            <w:tcW w:w="1023" w:type="pct"/>
            <w:vAlign w:val="center"/>
          </w:tcPr>
          <w:p>
            <w:pPr>
              <w:adjustRightInd w:val="0"/>
              <w:snapToGrid w:val="0"/>
              <w:jc w:val="center"/>
              <w:textAlignment w:val="baseline"/>
              <w:rPr>
                <w:kern w:val="0"/>
                <w:szCs w:val="21"/>
              </w:rPr>
            </w:pPr>
            <w:r>
              <w:rPr>
                <w:szCs w:val="21"/>
              </w:rPr>
              <w:t>1.0mg/L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21</w:t>
            </w:r>
          </w:p>
        </w:tc>
        <w:tc>
          <w:tcPr>
            <w:tcW w:w="1792" w:type="pct"/>
            <w:vAlign w:val="center"/>
          </w:tcPr>
          <w:p>
            <w:pPr>
              <w:adjustRightInd w:val="0"/>
              <w:snapToGrid w:val="0"/>
              <w:jc w:val="center"/>
              <w:textAlignment w:val="baseline"/>
              <w:rPr>
                <w:szCs w:val="21"/>
              </w:rPr>
            </w:pPr>
            <w:r>
              <w:rPr>
                <w:rFonts w:hint="eastAsia"/>
                <w:szCs w:val="21"/>
              </w:rPr>
              <w:t>可萃取石油烃</w:t>
            </w:r>
          </w:p>
        </w:tc>
        <w:tc>
          <w:tcPr>
            <w:tcW w:w="1023" w:type="pct"/>
            <w:vAlign w:val="center"/>
          </w:tcPr>
          <w:p>
            <w:pPr>
              <w:adjustRightInd w:val="0"/>
              <w:snapToGrid w:val="0"/>
              <w:jc w:val="center"/>
              <w:textAlignment w:val="baseline"/>
              <w:rPr>
                <w:szCs w:val="21"/>
              </w:rPr>
            </w:pPr>
            <w:r>
              <w:rPr>
                <w:rFonts w:hint="eastAsia"/>
                <w:szCs w:val="21"/>
              </w:rPr>
              <w:t>/</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22</w:t>
            </w:r>
          </w:p>
        </w:tc>
        <w:tc>
          <w:tcPr>
            <w:tcW w:w="1792" w:type="pct"/>
            <w:vAlign w:val="center"/>
          </w:tcPr>
          <w:p>
            <w:pPr>
              <w:adjustRightInd w:val="0"/>
              <w:snapToGrid w:val="0"/>
              <w:jc w:val="center"/>
              <w:textAlignment w:val="baseline"/>
              <w:rPr>
                <w:szCs w:val="21"/>
              </w:rPr>
            </w:pPr>
            <w:r>
              <w:rPr>
                <w:rFonts w:hint="eastAsia"/>
                <w:szCs w:val="21"/>
              </w:rPr>
              <w:t>高锰酸盐指数</w:t>
            </w:r>
          </w:p>
        </w:tc>
        <w:tc>
          <w:tcPr>
            <w:tcW w:w="1023" w:type="pct"/>
            <w:vAlign w:val="center"/>
          </w:tcPr>
          <w:p>
            <w:pPr>
              <w:adjustRightInd w:val="0"/>
              <w:snapToGrid w:val="0"/>
              <w:jc w:val="center"/>
              <w:textAlignment w:val="baseline"/>
              <w:rPr>
                <w:szCs w:val="21"/>
              </w:rPr>
            </w:pPr>
            <w:r>
              <w:rPr>
                <w:rFonts w:hint="eastAsia"/>
                <w:szCs w:val="21"/>
              </w:rPr>
              <w:t>/</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23</w:t>
            </w:r>
          </w:p>
        </w:tc>
        <w:tc>
          <w:tcPr>
            <w:tcW w:w="1792" w:type="pct"/>
            <w:vAlign w:val="center"/>
          </w:tcPr>
          <w:p>
            <w:pPr>
              <w:adjustRightInd w:val="0"/>
              <w:snapToGrid w:val="0"/>
              <w:jc w:val="center"/>
              <w:textAlignment w:val="baseline"/>
              <w:rPr>
                <w:szCs w:val="21"/>
              </w:rPr>
            </w:pPr>
            <w:r>
              <w:rPr>
                <w:rFonts w:hint="eastAsia"/>
                <w:szCs w:val="21"/>
              </w:rPr>
              <w:t>硫化物</w:t>
            </w:r>
          </w:p>
        </w:tc>
        <w:tc>
          <w:tcPr>
            <w:tcW w:w="1023" w:type="pct"/>
            <w:vAlign w:val="center"/>
          </w:tcPr>
          <w:p>
            <w:pPr>
              <w:adjustRightInd w:val="0"/>
              <w:snapToGrid w:val="0"/>
              <w:jc w:val="center"/>
              <w:textAlignment w:val="baseline"/>
              <w:rPr>
                <w:szCs w:val="21"/>
              </w:rPr>
            </w:pPr>
            <w:r>
              <w:rPr>
                <w:szCs w:val="21"/>
              </w:rPr>
              <w:t>0.02mg/L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szCs w:val="21"/>
              </w:rPr>
              <w:t>24</w:t>
            </w:r>
          </w:p>
        </w:tc>
        <w:tc>
          <w:tcPr>
            <w:tcW w:w="1792" w:type="pct"/>
            <w:vAlign w:val="center"/>
          </w:tcPr>
          <w:p>
            <w:pPr>
              <w:adjustRightInd w:val="0"/>
              <w:snapToGrid w:val="0"/>
              <w:jc w:val="center"/>
              <w:textAlignment w:val="baseline"/>
              <w:rPr>
                <w:szCs w:val="21"/>
              </w:rPr>
            </w:pPr>
            <w:r>
              <w:rPr>
                <w:rFonts w:hint="eastAsia"/>
                <w:szCs w:val="21"/>
              </w:rPr>
              <w:t>K</w:t>
            </w:r>
            <w:r>
              <w:rPr>
                <w:rFonts w:hint="eastAsia"/>
                <w:szCs w:val="21"/>
                <w:vertAlign w:val="superscript"/>
              </w:rPr>
              <w:t>+</w:t>
            </w:r>
          </w:p>
        </w:tc>
        <w:tc>
          <w:tcPr>
            <w:tcW w:w="1023" w:type="pct"/>
            <w:vAlign w:val="center"/>
          </w:tcPr>
          <w:p>
            <w:pPr>
              <w:adjustRightInd w:val="0"/>
              <w:snapToGrid w:val="0"/>
              <w:jc w:val="center"/>
              <w:textAlignment w:val="baseline"/>
              <w:rPr>
                <w:szCs w:val="21"/>
              </w:rPr>
            </w:pPr>
            <w:r>
              <w:rPr>
                <w:rFonts w:hint="eastAsia"/>
                <w:szCs w:val="21"/>
              </w:rPr>
              <w:t>/</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rFonts w:hint="eastAsia"/>
                <w:szCs w:val="21"/>
              </w:rPr>
              <w:t>2</w:t>
            </w:r>
            <w:r>
              <w:rPr>
                <w:szCs w:val="21"/>
              </w:rPr>
              <w:t>5</w:t>
            </w:r>
          </w:p>
        </w:tc>
        <w:tc>
          <w:tcPr>
            <w:tcW w:w="1792" w:type="pct"/>
            <w:vAlign w:val="center"/>
          </w:tcPr>
          <w:p>
            <w:pPr>
              <w:adjustRightInd w:val="0"/>
              <w:snapToGrid w:val="0"/>
              <w:jc w:val="center"/>
              <w:textAlignment w:val="baseline"/>
              <w:rPr>
                <w:szCs w:val="21"/>
              </w:rPr>
            </w:pPr>
            <w:r>
              <w:rPr>
                <w:rFonts w:hint="eastAsia"/>
                <w:szCs w:val="21"/>
              </w:rPr>
              <w:t>Na</w:t>
            </w:r>
            <w:r>
              <w:rPr>
                <w:rFonts w:hint="eastAsia"/>
                <w:szCs w:val="21"/>
                <w:vertAlign w:val="superscript"/>
              </w:rPr>
              <w:t>+</w:t>
            </w:r>
          </w:p>
        </w:tc>
        <w:tc>
          <w:tcPr>
            <w:tcW w:w="1023" w:type="pct"/>
            <w:vAlign w:val="center"/>
          </w:tcPr>
          <w:p>
            <w:pPr>
              <w:adjustRightInd w:val="0"/>
              <w:snapToGrid w:val="0"/>
              <w:jc w:val="center"/>
              <w:textAlignment w:val="baseline"/>
              <w:rPr>
                <w:szCs w:val="21"/>
              </w:rPr>
            </w:pPr>
            <w:r>
              <w:rPr>
                <w:szCs w:val="21"/>
              </w:rPr>
              <w:t>200mg/L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rFonts w:hint="eastAsia"/>
                <w:szCs w:val="21"/>
              </w:rPr>
              <w:t>2</w:t>
            </w:r>
            <w:r>
              <w:rPr>
                <w:szCs w:val="21"/>
              </w:rPr>
              <w:t>6</w:t>
            </w:r>
          </w:p>
        </w:tc>
        <w:tc>
          <w:tcPr>
            <w:tcW w:w="1792" w:type="pct"/>
            <w:vAlign w:val="center"/>
          </w:tcPr>
          <w:p>
            <w:pPr>
              <w:adjustRightInd w:val="0"/>
              <w:snapToGrid w:val="0"/>
              <w:jc w:val="center"/>
              <w:textAlignment w:val="baseline"/>
              <w:rPr>
                <w:szCs w:val="21"/>
              </w:rPr>
            </w:pPr>
            <w:r>
              <w:rPr>
                <w:rFonts w:hint="eastAsia"/>
                <w:szCs w:val="21"/>
              </w:rPr>
              <w:t>Ca</w:t>
            </w:r>
            <w:r>
              <w:rPr>
                <w:rFonts w:hint="eastAsia"/>
                <w:szCs w:val="21"/>
                <w:vertAlign w:val="superscript"/>
              </w:rPr>
              <w:t>2+</w:t>
            </w:r>
          </w:p>
        </w:tc>
        <w:tc>
          <w:tcPr>
            <w:tcW w:w="1023" w:type="pct"/>
            <w:vAlign w:val="center"/>
          </w:tcPr>
          <w:p>
            <w:pPr>
              <w:adjustRightInd w:val="0"/>
              <w:snapToGrid w:val="0"/>
              <w:jc w:val="center"/>
              <w:textAlignment w:val="baseline"/>
              <w:rPr>
                <w:szCs w:val="21"/>
              </w:rPr>
            </w:pPr>
            <w:r>
              <w:rPr>
                <w:rFonts w:hint="eastAsia"/>
                <w:szCs w:val="21"/>
              </w:rPr>
              <w:t>/</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rFonts w:hint="eastAsia"/>
                <w:szCs w:val="21"/>
              </w:rPr>
              <w:t>2</w:t>
            </w:r>
            <w:r>
              <w:rPr>
                <w:szCs w:val="21"/>
              </w:rPr>
              <w:t>7</w:t>
            </w:r>
          </w:p>
        </w:tc>
        <w:tc>
          <w:tcPr>
            <w:tcW w:w="1792" w:type="pct"/>
            <w:vAlign w:val="center"/>
          </w:tcPr>
          <w:p>
            <w:pPr>
              <w:adjustRightInd w:val="0"/>
              <w:snapToGrid w:val="0"/>
              <w:jc w:val="center"/>
              <w:textAlignment w:val="baseline"/>
              <w:rPr>
                <w:szCs w:val="21"/>
              </w:rPr>
            </w:pPr>
            <w:r>
              <w:rPr>
                <w:rFonts w:hint="eastAsia"/>
                <w:szCs w:val="21"/>
              </w:rPr>
              <w:t>Mg</w:t>
            </w:r>
            <w:r>
              <w:rPr>
                <w:rFonts w:hint="eastAsia"/>
                <w:szCs w:val="21"/>
                <w:vertAlign w:val="superscript"/>
              </w:rPr>
              <w:t>2+</w:t>
            </w:r>
          </w:p>
        </w:tc>
        <w:tc>
          <w:tcPr>
            <w:tcW w:w="1023" w:type="pct"/>
            <w:vAlign w:val="center"/>
          </w:tcPr>
          <w:p>
            <w:pPr>
              <w:adjustRightInd w:val="0"/>
              <w:snapToGrid w:val="0"/>
              <w:jc w:val="center"/>
              <w:textAlignment w:val="baseline"/>
              <w:rPr>
                <w:szCs w:val="21"/>
              </w:rPr>
            </w:pPr>
            <w:r>
              <w:rPr>
                <w:rFonts w:hint="eastAsia"/>
                <w:szCs w:val="21"/>
              </w:rPr>
              <w:t>/</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rFonts w:hint="eastAsia"/>
                <w:szCs w:val="21"/>
              </w:rPr>
              <w:t>2</w:t>
            </w:r>
            <w:r>
              <w:rPr>
                <w:szCs w:val="21"/>
              </w:rPr>
              <w:t>8</w:t>
            </w:r>
          </w:p>
        </w:tc>
        <w:tc>
          <w:tcPr>
            <w:tcW w:w="1792" w:type="pct"/>
            <w:vAlign w:val="center"/>
          </w:tcPr>
          <w:p>
            <w:pPr>
              <w:adjustRightInd w:val="0"/>
              <w:snapToGrid w:val="0"/>
              <w:jc w:val="center"/>
              <w:textAlignment w:val="baseline"/>
              <w:rPr>
                <w:szCs w:val="21"/>
              </w:rPr>
            </w:pPr>
            <w:r>
              <w:rPr>
                <w:rFonts w:hint="eastAsia"/>
                <w:szCs w:val="21"/>
              </w:rPr>
              <w:t>CO</w:t>
            </w:r>
            <w:r>
              <w:rPr>
                <w:rFonts w:hint="eastAsia"/>
                <w:szCs w:val="21"/>
                <w:vertAlign w:val="subscript"/>
              </w:rPr>
              <w:t>3</w:t>
            </w:r>
            <w:r>
              <w:rPr>
                <w:rFonts w:hint="eastAsia"/>
                <w:szCs w:val="21"/>
                <w:vertAlign w:val="superscript"/>
              </w:rPr>
              <w:t>2-</w:t>
            </w:r>
          </w:p>
        </w:tc>
        <w:tc>
          <w:tcPr>
            <w:tcW w:w="1023" w:type="pct"/>
            <w:vAlign w:val="center"/>
          </w:tcPr>
          <w:p>
            <w:pPr>
              <w:adjustRightInd w:val="0"/>
              <w:snapToGrid w:val="0"/>
              <w:jc w:val="center"/>
              <w:textAlignment w:val="baseline"/>
              <w:rPr>
                <w:szCs w:val="21"/>
              </w:rPr>
            </w:pPr>
            <w:r>
              <w:rPr>
                <w:rFonts w:hint="eastAsia"/>
                <w:szCs w:val="21"/>
              </w:rPr>
              <w:t>/</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rFonts w:hint="eastAsia"/>
                <w:szCs w:val="21"/>
              </w:rPr>
              <w:t>2</w:t>
            </w:r>
            <w:r>
              <w:rPr>
                <w:szCs w:val="21"/>
              </w:rPr>
              <w:t>9</w:t>
            </w:r>
          </w:p>
        </w:tc>
        <w:tc>
          <w:tcPr>
            <w:tcW w:w="1792" w:type="pct"/>
            <w:vAlign w:val="center"/>
          </w:tcPr>
          <w:p>
            <w:pPr>
              <w:adjustRightInd w:val="0"/>
              <w:snapToGrid w:val="0"/>
              <w:jc w:val="center"/>
              <w:textAlignment w:val="baseline"/>
              <w:rPr>
                <w:szCs w:val="21"/>
              </w:rPr>
            </w:pPr>
            <w:r>
              <w:rPr>
                <w:rFonts w:hint="eastAsia"/>
                <w:szCs w:val="21"/>
              </w:rPr>
              <w:t>HCO</w:t>
            </w:r>
            <w:r>
              <w:rPr>
                <w:rFonts w:hint="eastAsia"/>
                <w:szCs w:val="21"/>
                <w:vertAlign w:val="superscript"/>
              </w:rPr>
              <w:t>3-</w:t>
            </w:r>
          </w:p>
        </w:tc>
        <w:tc>
          <w:tcPr>
            <w:tcW w:w="1023" w:type="pct"/>
            <w:vAlign w:val="center"/>
          </w:tcPr>
          <w:p>
            <w:pPr>
              <w:adjustRightInd w:val="0"/>
              <w:snapToGrid w:val="0"/>
              <w:jc w:val="center"/>
              <w:textAlignment w:val="baseline"/>
              <w:rPr>
                <w:szCs w:val="21"/>
              </w:rPr>
            </w:pPr>
            <w:r>
              <w:rPr>
                <w:rFonts w:hint="eastAsia"/>
                <w:szCs w:val="21"/>
              </w:rPr>
              <w:t>/</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rFonts w:hint="eastAsia"/>
                <w:szCs w:val="21"/>
              </w:rPr>
              <w:t>3</w:t>
            </w:r>
            <w:r>
              <w:rPr>
                <w:szCs w:val="21"/>
              </w:rPr>
              <w:t>0</w:t>
            </w:r>
          </w:p>
        </w:tc>
        <w:tc>
          <w:tcPr>
            <w:tcW w:w="1792" w:type="pct"/>
            <w:vAlign w:val="center"/>
          </w:tcPr>
          <w:p>
            <w:pPr>
              <w:adjustRightInd w:val="0"/>
              <w:snapToGrid w:val="0"/>
              <w:jc w:val="center"/>
              <w:textAlignment w:val="baseline"/>
              <w:rPr>
                <w:szCs w:val="21"/>
              </w:rPr>
            </w:pPr>
            <w:r>
              <w:rPr>
                <w:rFonts w:hint="eastAsia"/>
                <w:szCs w:val="21"/>
              </w:rPr>
              <w:t>Cl</w:t>
            </w:r>
            <w:r>
              <w:rPr>
                <w:rFonts w:hint="eastAsia"/>
                <w:szCs w:val="21"/>
                <w:vertAlign w:val="superscript"/>
              </w:rPr>
              <w:t>-</w:t>
            </w:r>
          </w:p>
        </w:tc>
        <w:tc>
          <w:tcPr>
            <w:tcW w:w="1023" w:type="pct"/>
            <w:vAlign w:val="center"/>
          </w:tcPr>
          <w:p>
            <w:pPr>
              <w:adjustRightInd w:val="0"/>
              <w:snapToGrid w:val="0"/>
              <w:jc w:val="center"/>
              <w:textAlignment w:val="baseline"/>
              <w:rPr>
                <w:szCs w:val="21"/>
              </w:rPr>
            </w:pPr>
            <w:r>
              <w:rPr>
                <w:szCs w:val="21"/>
              </w:rPr>
              <w:t>250mg/L</w:t>
            </w:r>
          </w:p>
        </w:tc>
        <w:tc>
          <w:tcPr>
            <w:tcW w:w="1619"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566" w:type="pct"/>
            <w:vAlign w:val="center"/>
          </w:tcPr>
          <w:p>
            <w:pPr>
              <w:jc w:val="center"/>
              <w:rPr>
                <w:szCs w:val="21"/>
              </w:rPr>
            </w:pPr>
            <w:r>
              <w:rPr>
                <w:rFonts w:hint="eastAsia"/>
                <w:szCs w:val="21"/>
              </w:rPr>
              <w:t>3</w:t>
            </w:r>
            <w:r>
              <w:rPr>
                <w:szCs w:val="21"/>
              </w:rPr>
              <w:t>1</w:t>
            </w:r>
          </w:p>
        </w:tc>
        <w:tc>
          <w:tcPr>
            <w:tcW w:w="1792" w:type="pct"/>
            <w:vAlign w:val="center"/>
          </w:tcPr>
          <w:p>
            <w:pPr>
              <w:adjustRightInd w:val="0"/>
              <w:snapToGrid w:val="0"/>
              <w:jc w:val="center"/>
              <w:textAlignment w:val="baseline"/>
              <w:rPr>
                <w:szCs w:val="21"/>
              </w:rPr>
            </w:pPr>
            <w:r>
              <w:rPr>
                <w:rFonts w:hint="eastAsia"/>
                <w:szCs w:val="21"/>
              </w:rPr>
              <w:t>SO</w:t>
            </w:r>
            <w:r>
              <w:rPr>
                <w:rFonts w:hint="eastAsia"/>
                <w:szCs w:val="21"/>
                <w:vertAlign w:val="subscript"/>
              </w:rPr>
              <w:t>4</w:t>
            </w:r>
            <w:r>
              <w:rPr>
                <w:rFonts w:hint="eastAsia"/>
                <w:szCs w:val="21"/>
                <w:vertAlign w:val="superscript"/>
              </w:rPr>
              <w:t>2-</w:t>
            </w:r>
          </w:p>
        </w:tc>
        <w:tc>
          <w:tcPr>
            <w:tcW w:w="1023" w:type="pct"/>
            <w:vAlign w:val="center"/>
          </w:tcPr>
          <w:p>
            <w:pPr>
              <w:adjustRightInd w:val="0"/>
              <w:snapToGrid w:val="0"/>
              <w:jc w:val="center"/>
              <w:textAlignment w:val="baseline"/>
              <w:rPr>
                <w:szCs w:val="21"/>
              </w:rPr>
            </w:pPr>
            <w:r>
              <w:rPr>
                <w:szCs w:val="21"/>
              </w:rPr>
              <w:t>250mg/L</w:t>
            </w:r>
          </w:p>
        </w:tc>
        <w:tc>
          <w:tcPr>
            <w:tcW w:w="1619" w:type="pct"/>
            <w:vMerge w:val="continue"/>
            <w:vAlign w:val="center"/>
          </w:tcPr>
          <w:p>
            <w:pPr>
              <w:jc w:val="center"/>
              <w:rPr>
                <w:szCs w:val="21"/>
              </w:rPr>
            </w:pPr>
          </w:p>
        </w:tc>
      </w:tr>
    </w:tbl>
    <w:p>
      <w:pPr>
        <w:spacing w:line="520" w:lineRule="exact"/>
        <w:outlineLvl w:val="3"/>
        <w:rPr>
          <w:sz w:val="24"/>
          <w:szCs w:val="24"/>
        </w:rPr>
      </w:pPr>
      <w:r>
        <w:rPr>
          <w:sz w:val="24"/>
          <w:szCs w:val="24"/>
        </w:rPr>
        <w:t>4.3.4.4 检测时间及频率</w:t>
      </w:r>
    </w:p>
    <w:p>
      <w:pPr>
        <w:spacing w:line="520" w:lineRule="exact"/>
        <w:ind w:firstLine="480" w:firstLineChars="200"/>
        <w:rPr>
          <w:sz w:val="24"/>
          <w:szCs w:val="24"/>
          <w:highlight w:val="yellow"/>
        </w:rPr>
      </w:pPr>
      <w:r>
        <w:rPr>
          <w:sz w:val="24"/>
          <w:szCs w:val="24"/>
        </w:rPr>
        <w:t>本项目地下水环境现状监测工作由河南永飞检测科技有限公司承担，监测时间为2023年4月7日-9日，连续监测3天。</w:t>
      </w:r>
    </w:p>
    <w:p>
      <w:pPr>
        <w:spacing w:line="520" w:lineRule="exact"/>
        <w:outlineLvl w:val="3"/>
        <w:rPr>
          <w:sz w:val="24"/>
          <w:szCs w:val="24"/>
        </w:rPr>
      </w:pPr>
      <w:r>
        <w:rPr>
          <w:sz w:val="24"/>
          <w:szCs w:val="24"/>
        </w:rPr>
        <w:t>4.3.4.5 评价方法</w:t>
      </w:r>
    </w:p>
    <w:p>
      <w:pPr>
        <w:spacing w:line="520" w:lineRule="exact"/>
        <w:ind w:firstLine="480" w:firstLineChars="200"/>
        <w:rPr>
          <w:sz w:val="24"/>
          <w:szCs w:val="24"/>
        </w:rPr>
      </w:pPr>
      <w:r>
        <w:rPr>
          <w:sz w:val="24"/>
          <w:szCs w:val="24"/>
        </w:rPr>
        <w:t>根据地下水环境质量现状监测结果，采用单项标准指数法对地下水环境质量现状进行评价。单项标准指数法计算公式如下：</w:t>
      </w:r>
    </w:p>
    <w:p>
      <w:pPr>
        <w:spacing w:line="520" w:lineRule="exact"/>
        <w:ind w:firstLine="480" w:firstLineChars="200"/>
        <w:rPr>
          <w:sz w:val="24"/>
          <w:szCs w:val="24"/>
        </w:rPr>
      </w:pPr>
      <w:r>
        <w:rPr>
          <w:sz w:val="24"/>
          <w:szCs w:val="24"/>
        </w:rPr>
        <w:t>（1）对于一般污染物</w:t>
      </w:r>
    </w:p>
    <w:p>
      <w:pPr>
        <w:spacing w:line="520" w:lineRule="exact"/>
        <w:ind w:firstLine="960" w:firstLineChars="400"/>
        <w:rPr>
          <w:sz w:val="24"/>
          <w:szCs w:val="24"/>
        </w:rPr>
      </w:pPr>
      <w:r>
        <w:rPr>
          <w:sz w:val="24"/>
          <w:szCs w:val="24"/>
        </w:rPr>
        <w:t>S</w:t>
      </w:r>
      <w:r>
        <w:rPr>
          <w:sz w:val="24"/>
          <w:szCs w:val="24"/>
          <w:vertAlign w:val="subscript"/>
        </w:rPr>
        <w:t>i,j</w:t>
      </w:r>
      <w:r>
        <w:rPr>
          <w:sz w:val="24"/>
          <w:szCs w:val="24"/>
        </w:rPr>
        <w:t>=c</w:t>
      </w:r>
      <w:r>
        <w:rPr>
          <w:sz w:val="24"/>
          <w:szCs w:val="24"/>
          <w:vertAlign w:val="subscript"/>
        </w:rPr>
        <w:t>i,j</w:t>
      </w:r>
      <w:r>
        <w:rPr>
          <w:sz w:val="24"/>
          <w:szCs w:val="24"/>
        </w:rPr>
        <w:t xml:space="preserve"> /c</w:t>
      </w:r>
      <w:r>
        <w:rPr>
          <w:sz w:val="24"/>
          <w:szCs w:val="24"/>
          <w:vertAlign w:val="subscript"/>
        </w:rPr>
        <w:t>s,i</w:t>
      </w:r>
    </w:p>
    <w:p>
      <w:pPr>
        <w:spacing w:line="520" w:lineRule="exact"/>
        <w:ind w:firstLine="480" w:firstLineChars="200"/>
        <w:rPr>
          <w:sz w:val="24"/>
          <w:szCs w:val="24"/>
        </w:rPr>
      </w:pPr>
      <w:r>
        <w:rPr>
          <w:sz w:val="24"/>
          <w:szCs w:val="24"/>
        </w:rPr>
        <w:t>式中，S</w:t>
      </w:r>
      <w:r>
        <w:rPr>
          <w:sz w:val="24"/>
          <w:szCs w:val="24"/>
          <w:vertAlign w:val="subscript"/>
        </w:rPr>
        <w:t>i,j</w:t>
      </w:r>
      <w:r>
        <w:rPr>
          <w:sz w:val="24"/>
          <w:szCs w:val="24"/>
        </w:rPr>
        <w:t>——标准指数；</w:t>
      </w:r>
    </w:p>
    <w:p>
      <w:pPr>
        <w:spacing w:line="520" w:lineRule="exact"/>
        <w:ind w:firstLine="1200" w:firstLineChars="500"/>
        <w:rPr>
          <w:sz w:val="24"/>
          <w:szCs w:val="24"/>
        </w:rPr>
      </w:pPr>
      <w:r>
        <w:rPr>
          <w:sz w:val="24"/>
          <w:szCs w:val="24"/>
        </w:rPr>
        <w:t>c</w:t>
      </w:r>
      <w:r>
        <w:rPr>
          <w:sz w:val="24"/>
          <w:szCs w:val="24"/>
          <w:vertAlign w:val="subscript"/>
        </w:rPr>
        <w:t>i,j</w:t>
      </w:r>
      <w:r>
        <w:rPr>
          <w:sz w:val="24"/>
          <w:szCs w:val="24"/>
        </w:rPr>
        <w:t>——评价因子i在j点时的实测统计代表值，mg/L；</w:t>
      </w:r>
    </w:p>
    <w:p>
      <w:pPr>
        <w:spacing w:line="520" w:lineRule="exact"/>
        <w:ind w:firstLine="1200" w:firstLineChars="500"/>
        <w:rPr>
          <w:sz w:val="24"/>
          <w:szCs w:val="24"/>
        </w:rPr>
      </w:pPr>
      <w:r>
        <w:rPr>
          <w:sz w:val="24"/>
          <w:szCs w:val="24"/>
        </w:rPr>
        <w:t>c</w:t>
      </w:r>
      <w:r>
        <w:rPr>
          <w:sz w:val="24"/>
          <w:szCs w:val="24"/>
          <w:vertAlign w:val="subscript"/>
        </w:rPr>
        <w:t>s,i</w:t>
      </w:r>
      <w:r>
        <w:rPr>
          <w:sz w:val="24"/>
          <w:szCs w:val="24"/>
        </w:rPr>
        <w:t>——评价因子i的评价标准限值，mg/L。</w:t>
      </w:r>
    </w:p>
    <w:p>
      <w:pPr>
        <w:spacing w:line="520" w:lineRule="exact"/>
        <w:ind w:firstLine="480" w:firstLineChars="200"/>
        <w:rPr>
          <w:sz w:val="24"/>
          <w:szCs w:val="24"/>
        </w:rPr>
      </w:pPr>
      <w:r>
        <w:rPr>
          <w:sz w:val="24"/>
          <w:szCs w:val="24"/>
        </w:rPr>
        <w:t>（2）pH的标准指数计算公式为：</w:t>
      </w:r>
    </w:p>
    <w:p>
      <w:pPr>
        <w:spacing w:line="360" w:lineRule="auto"/>
        <w:ind w:firstLine="960" w:firstLineChars="400"/>
        <w:rPr>
          <w:sz w:val="24"/>
          <w:szCs w:val="24"/>
        </w:rPr>
      </w:pPr>
      <w:r>
        <w:rPr>
          <w:sz w:val="24"/>
          <w:szCs w:val="24"/>
        </w:rPr>
        <w:t>当</w:t>
      </w:r>
      <w:r>
        <w:rPr>
          <w:sz w:val="24"/>
          <w:szCs w:val="24"/>
        </w:rPr>
        <w:object>
          <v:shape id="_x0000_i1029" o:spt="75" alt="" type="#_x0000_t75" style="height:14.25pt;width:38.15pt;" o:ole="t" filled="f" o:preferrelative="t" stroked="f" coordsize="21600,21600">
            <v:path/>
            <v:fill on="f" focussize="0,0"/>
            <v:stroke on="f"/>
            <v:imagedata r:id="rId60" o:title=""/>
            <o:lock v:ext="edit" aspectratio="t"/>
            <w10:wrap type="none"/>
            <w10:anchorlock/>
          </v:shape>
          <o:OLEObject Type="Embed" ProgID="Equation.3" ShapeID="_x0000_i1029" DrawAspect="Content" ObjectID="_1468075729" r:id="rId59">
            <o:LockedField>false</o:LockedField>
          </o:OLEObject>
        </w:object>
      </w:r>
      <w:r>
        <w:rPr>
          <w:sz w:val="24"/>
          <w:szCs w:val="24"/>
        </w:rPr>
        <w:t>，</w:t>
      </w:r>
      <w:r>
        <w:rPr>
          <w:sz w:val="24"/>
          <w:szCs w:val="24"/>
        </w:rPr>
        <w:object>
          <v:shape id="_x0000_i1030" o:spt="75" alt="" type="#_x0000_t75" style="height:35.35pt;width:86.25pt;" o:ole="t" filled="f" o:preferrelative="t" stroked="f" coordsize="21600,21600">
            <v:path/>
            <v:fill on="f" focussize="0,0"/>
            <v:stroke on="f"/>
            <v:imagedata r:id="rId62" o:title=""/>
            <o:lock v:ext="edit" aspectratio="t"/>
            <w10:wrap type="none"/>
            <w10:anchorlock/>
          </v:shape>
          <o:OLEObject Type="Embed" ProgID="Equation.3" ShapeID="_x0000_i1030" DrawAspect="Content" ObjectID="_1468075730" r:id="rId61">
            <o:LockedField>false</o:LockedField>
          </o:OLEObject>
        </w:object>
      </w:r>
      <w:r>
        <w:rPr>
          <w:sz w:val="24"/>
          <w:szCs w:val="24"/>
        </w:rPr>
        <w:t>；</w:t>
      </w:r>
    </w:p>
    <w:p>
      <w:pPr>
        <w:spacing w:line="360" w:lineRule="auto"/>
        <w:ind w:firstLine="960" w:firstLineChars="400"/>
        <w:rPr>
          <w:sz w:val="24"/>
          <w:szCs w:val="24"/>
        </w:rPr>
      </w:pPr>
      <w:r>
        <w:rPr>
          <w:sz w:val="24"/>
          <w:szCs w:val="24"/>
        </w:rPr>
        <w:t>当</w:t>
      </w:r>
      <w:r>
        <w:rPr>
          <w:sz w:val="24"/>
          <w:szCs w:val="24"/>
        </w:rPr>
        <w:object>
          <v:shape id="_x0000_i1031" o:spt="75" alt="" type="#_x0000_t75" style="height:14.25pt;width:38.75pt;" o:ole="t" filled="f" o:preferrelative="t" stroked="f" coordsize="21600,21600">
            <v:path/>
            <v:fill on="f" focussize="0,0"/>
            <v:stroke on="f"/>
            <v:imagedata r:id="rId64" o:title=""/>
            <o:lock v:ext="edit" aspectratio="t"/>
            <w10:wrap type="none"/>
            <w10:anchorlock/>
          </v:shape>
          <o:OLEObject Type="Embed" ProgID="Equation.3" ShapeID="_x0000_i1031" DrawAspect="Content" ObjectID="_1468075731" r:id="rId63">
            <o:LockedField>false</o:LockedField>
          </o:OLEObject>
        </w:object>
      </w:r>
      <w:r>
        <w:rPr>
          <w:sz w:val="24"/>
          <w:szCs w:val="24"/>
        </w:rPr>
        <w:t>，</w:t>
      </w:r>
      <w:r>
        <w:rPr>
          <w:sz w:val="24"/>
          <w:szCs w:val="24"/>
        </w:rPr>
        <w:object>
          <v:shape id="_x0000_i1032" o:spt="75" alt="" type="#_x0000_t75" style="height:37.5pt;width:93.7pt;" o:ole="t" filled="f" o:preferrelative="t" stroked="f" coordsize="21600,21600">
            <v:path/>
            <v:fill on="f" focussize="0,0"/>
            <v:stroke on="f"/>
            <v:imagedata r:id="rId66" o:title=""/>
            <o:lock v:ext="edit" aspectratio="t"/>
            <w10:wrap type="none"/>
            <w10:anchorlock/>
          </v:shape>
          <o:OLEObject Type="Embed" ProgID="Equation.3" ShapeID="_x0000_i1032" DrawAspect="Content" ObjectID="_1468075732" r:id="rId65">
            <o:LockedField>false</o:LockedField>
          </o:OLEObject>
        </w:object>
      </w:r>
      <w:r>
        <w:rPr>
          <w:sz w:val="24"/>
          <w:szCs w:val="24"/>
        </w:rPr>
        <w:t>。</w:t>
      </w:r>
    </w:p>
    <w:p>
      <w:pPr>
        <w:spacing w:line="520" w:lineRule="exact"/>
        <w:ind w:firstLine="480" w:firstLineChars="200"/>
        <w:rPr>
          <w:sz w:val="24"/>
          <w:szCs w:val="24"/>
        </w:rPr>
      </w:pPr>
      <w:r>
        <w:rPr>
          <w:sz w:val="24"/>
          <w:szCs w:val="24"/>
        </w:rPr>
        <w:t>式中，S</w:t>
      </w:r>
      <w:r>
        <w:rPr>
          <w:sz w:val="24"/>
          <w:szCs w:val="24"/>
          <w:vertAlign w:val="subscript"/>
        </w:rPr>
        <w:t>pH,j</w:t>
      </w:r>
      <w:r>
        <w:rPr>
          <w:sz w:val="24"/>
          <w:szCs w:val="24"/>
        </w:rPr>
        <w:t>——pH的标准指数；</w:t>
      </w:r>
    </w:p>
    <w:p>
      <w:pPr>
        <w:spacing w:line="520" w:lineRule="exact"/>
        <w:ind w:firstLine="1200" w:firstLineChars="500"/>
        <w:rPr>
          <w:sz w:val="24"/>
          <w:szCs w:val="24"/>
        </w:rPr>
      </w:pPr>
      <w:r>
        <w:rPr>
          <w:sz w:val="24"/>
          <w:szCs w:val="24"/>
        </w:rPr>
        <w:t>pHj——pH实测统计代表值；</w:t>
      </w:r>
    </w:p>
    <w:p>
      <w:pPr>
        <w:spacing w:line="520" w:lineRule="exact"/>
        <w:ind w:firstLine="1200" w:firstLineChars="500"/>
        <w:rPr>
          <w:sz w:val="24"/>
          <w:szCs w:val="24"/>
        </w:rPr>
      </w:pPr>
      <w:r>
        <w:rPr>
          <w:sz w:val="24"/>
          <w:szCs w:val="24"/>
        </w:rPr>
        <w:t>pHsd——评价标准中pH的下限值；</w:t>
      </w:r>
    </w:p>
    <w:p>
      <w:pPr>
        <w:spacing w:line="520" w:lineRule="exact"/>
        <w:ind w:firstLine="1200" w:firstLineChars="500"/>
        <w:rPr>
          <w:sz w:val="24"/>
          <w:szCs w:val="24"/>
        </w:rPr>
      </w:pPr>
      <w:r>
        <w:rPr>
          <w:sz w:val="24"/>
          <w:szCs w:val="24"/>
        </w:rPr>
        <w:t>pHsu——评价标准中pH的上限值。</w:t>
      </w:r>
    </w:p>
    <w:p>
      <w:pPr>
        <w:spacing w:line="520" w:lineRule="exact"/>
        <w:ind w:firstLine="480" w:firstLineChars="200"/>
        <w:rPr>
          <w:sz w:val="24"/>
          <w:szCs w:val="24"/>
        </w:rPr>
      </w:pPr>
      <w:r>
        <w:rPr>
          <w:sz w:val="24"/>
          <w:szCs w:val="24"/>
        </w:rPr>
        <w:t>对现状监测数据进行统计整理，列表统计各监测点测值范围、标准指数范围、超标率、最大超标倍数。</w:t>
      </w:r>
    </w:p>
    <w:p>
      <w:pPr>
        <w:spacing w:line="520" w:lineRule="exact"/>
        <w:outlineLvl w:val="3"/>
        <w:rPr>
          <w:sz w:val="24"/>
          <w:szCs w:val="24"/>
        </w:rPr>
      </w:pPr>
      <w:r>
        <w:rPr>
          <w:sz w:val="24"/>
          <w:szCs w:val="24"/>
        </w:rPr>
        <w:t>4.3.4.6 检测结果统计及评价</w:t>
      </w:r>
    </w:p>
    <w:p>
      <w:pPr>
        <w:spacing w:line="520" w:lineRule="exact"/>
        <w:ind w:firstLine="480" w:firstLineChars="200"/>
        <w:rPr>
          <w:rFonts w:eastAsia="黑体"/>
          <w:sz w:val="24"/>
          <w:szCs w:val="24"/>
        </w:rPr>
      </w:pPr>
      <w:r>
        <w:rPr>
          <w:rFonts w:eastAsia="黑体"/>
          <w:sz w:val="24"/>
          <w:szCs w:val="24"/>
        </w:rPr>
        <w:t xml:space="preserve">表4.3-12                 </w:t>
      </w:r>
      <w:r>
        <w:rPr>
          <w:rFonts w:hint="eastAsia" w:eastAsia="黑体"/>
          <w:sz w:val="24"/>
          <w:szCs w:val="24"/>
        </w:rPr>
        <w:t>地下水水位检测结果</w:t>
      </w:r>
    </w:p>
    <w:tbl>
      <w:tblPr>
        <w:tblStyle w:val="4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492"/>
        <w:gridCol w:w="1435"/>
        <w:gridCol w:w="1435"/>
        <w:gridCol w:w="1435"/>
        <w:gridCol w:w="1441"/>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4" w:type="pct"/>
            <w:vMerge w:val="restart"/>
            <w:shd w:val="clear" w:color="auto" w:fill="auto"/>
            <w:vAlign w:val="center"/>
          </w:tcPr>
          <w:p>
            <w:pPr>
              <w:jc w:val="center"/>
              <w:textAlignment w:val="center"/>
              <w:rPr>
                <w:b/>
                <w:bCs/>
                <w:szCs w:val="21"/>
                <w:lang w:bidi="ar"/>
              </w:rPr>
            </w:pPr>
            <w:r>
              <w:rPr>
                <w:rFonts w:hint="eastAsia"/>
                <w:b/>
                <w:bCs/>
                <w:szCs w:val="21"/>
                <w:lang w:bidi="ar"/>
              </w:rPr>
              <w:t>检测点位</w:t>
            </w:r>
          </w:p>
        </w:tc>
        <w:tc>
          <w:tcPr>
            <w:tcW w:w="835" w:type="pct"/>
            <w:vMerge w:val="restart"/>
            <w:shd w:val="clear" w:color="auto" w:fill="auto"/>
            <w:vAlign w:val="center"/>
          </w:tcPr>
          <w:p>
            <w:pPr>
              <w:jc w:val="center"/>
              <w:textAlignment w:val="center"/>
              <w:rPr>
                <w:b/>
                <w:bCs/>
                <w:szCs w:val="21"/>
                <w:lang w:bidi="ar"/>
              </w:rPr>
            </w:pPr>
            <w:r>
              <w:rPr>
                <w:rFonts w:hint="eastAsia"/>
                <w:b/>
                <w:bCs/>
                <w:szCs w:val="21"/>
                <w:lang w:bidi="ar"/>
              </w:rPr>
              <w:t>检测日期</w:t>
            </w:r>
          </w:p>
        </w:tc>
        <w:tc>
          <w:tcPr>
            <w:tcW w:w="3221" w:type="pct"/>
            <w:gridSpan w:val="5"/>
            <w:shd w:val="clear" w:color="auto" w:fill="auto"/>
            <w:vAlign w:val="center"/>
          </w:tcPr>
          <w:p>
            <w:pPr>
              <w:jc w:val="center"/>
              <w:textAlignment w:val="center"/>
              <w:rPr>
                <w:b/>
                <w:bCs/>
                <w:szCs w:val="21"/>
                <w:lang w:bidi="ar"/>
              </w:rPr>
            </w:pPr>
            <w:r>
              <w:rPr>
                <w:rFonts w:hint="eastAsia"/>
                <w:b/>
                <w:bCs/>
                <w:szCs w:val="21"/>
                <w:lang w:bidi="ar"/>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vMerge w:val="continue"/>
            <w:shd w:val="clear" w:color="auto" w:fill="auto"/>
            <w:vAlign w:val="center"/>
          </w:tcPr>
          <w:p>
            <w:pPr>
              <w:jc w:val="center"/>
              <w:textAlignment w:val="center"/>
              <w:rPr>
                <w:sz w:val="28"/>
                <w:szCs w:val="24"/>
              </w:rPr>
            </w:pPr>
          </w:p>
        </w:tc>
        <w:tc>
          <w:tcPr>
            <w:tcW w:w="835" w:type="pct"/>
            <w:vMerge w:val="continue"/>
            <w:shd w:val="clear" w:color="auto" w:fill="auto"/>
            <w:vAlign w:val="center"/>
          </w:tcPr>
          <w:p>
            <w:pPr>
              <w:jc w:val="center"/>
              <w:textAlignment w:val="center"/>
              <w:rPr>
                <w:sz w:val="28"/>
                <w:szCs w:val="24"/>
              </w:rPr>
            </w:pPr>
          </w:p>
        </w:tc>
        <w:tc>
          <w:tcPr>
            <w:tcW w:w="803" w:type="pct"/>
            <w:shd w:val="clear" w:color="auto" w:fill="auto"/>
            <w:vAlign w:val="center"/>
          </w:tcPr>
          <w:p>
            <w:pPr>
              <w:jc w:val="center"/>
              <w:textAlignment w:val="center"/>
              <w:rPr>
                <w:b/>
                <w:bCs/>
                <w:szCs w:val="21"/>
                <w:lang w:bidi="ar"/>
              </w:rPr>
            </w:pPr>
            <w:r>
              <w:rPr>
                <w:b/>
                <w:bCs/>
                <w:szCs w:val="21"/>
                <w:lang w:bidi="ar"/>
              </w:rPr>
              <w:t>井深（m）</w:t>
            </w:r>
          </w:p>
        </w:tc>
        <w:tc>
          <w:tcPr>
            <w:tcW w:w="803" w:type="pct"/>
            <w:shd w:val="clear" w:color="auto" w:fill="auto"/>
            <w:vAlign w:val="center"/>
          </w:tcPr>
          <w:p>
            <w:pPr>
              <w:jc w:val="center"/>
              <w:textAlignment w:val="center"/>
              <w:rPr>
                <w:b/>
                <w:bCs/>
                <w:szCs w:val="21"/>
                <w:lang w:bidi="ar"/>
              </w:rPr>
            </w:pPr>
            <w:r>
              <w:rPr>
                <w:rFonts w:hint="eastAsia"/>
                <w:b/>
                <w:bCs/>
                <w:szCs w:val="21"/>
                <w:lang w:bidi="ar"/>
              </w:rPr>
              <w:t>水位</w:t>
            </w:r>
            <w:r>
              <w:rPr>
                <w:b/>
                <w:bCs/>
                <w:szCs w:val="21"/>
                <w:lang w:bidi="ar"/>
              </w:rPr>
              <w:t>（m）</w:t>
            </w:r>
          </w:p>
        </w:tc>
        <w:tc>
          <w:tcPr>
            <w:tcW w:w="803" w:type="pct"/>
            <w:shd w:val="clear" w:color="auto" w:fill="auto"/>
            <w:vAlign w:val="center"/>
          </w:tcPr>
          <w:p>
            <w:pPr>
              <w:jc w:val="center"/>
              <w:textAlignment w:val="center"/>
              <w:rPr>
                <w:b/>
                <w:bCs/>
                <w:szCs w:val="21"/>
                <w:lang w:bidi="ar"/>
              </w:rPr>
            </w:pPr>
            <w:r>
              <w:rPr>
                <w:rFonts w:hint="eastAsia"/>
                <w:b/>
                <w:bCs/>
                <w:szCs w:val="21"/>
                <w:lang w:bidi="ar"/>
              </w:rPr>
              <w:t>埋深（m）</w:t>
            </w:r>
          </w:p>
        </w:tc>
        <w:tc>
          <w:tcPr>
            <w:tcW w:w="806" w:type="pct"/>
            <w:shd w:val="clear" w:color="auto" w:fill="auto"/>
            <w:vAlign w:val="center"/>
          </w:tcPr>
          <w:p>
            <w:pPr>
              <w:jc w:val="center"/>
              <w:textAlignment w:val="center"/>
              <w:rPr>
                <w:b/>
                <w:bCs/>
                <w:szCs w:val="21"/>
                <w:lang w:bidi="ar"/>
              </w:rPr>
            </w:pPr>
            <w:r>
              <w:rPr>
                <w:rFonts w:hint="eastAsia"/>
                <w:b/>
                <w:bCs/>
                <w:szCs w:val="21"/>
                <w:lang w:bidi="ar"/>
              </w:rPr>
              <w:t>水温</w:t>
            </w:r>
            <w:r>
              <w:rPr>
                <w:b/>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厂址</w:t>
            </w:r>
          </w:p>
        </w:tc>
        <w:tc>
          <w:tcPr>
            <w:tcW w:w="835" w:type="pct"/>
            <w:vMerge w:val="restart"/>
            <w:shd w:val="clear" w:color="auto" w:fill="auto"/>
            <w:vAlign w:val="center"/>
          </w:tcPr>
          <w:p>
            <w:pPr>
              <w:snapToGrid w:val="0"/>
              <w:ind w:left="-105" w:leftChars="-50" w:right="-105" w:rightChars="-50"/>
              <w:jc w:val="center"/>
              <w:rPr>
                <w:szCs w:val="21"/>
              </w:rPr>
            </w:pPr>
            <w:r>
              <w:rPr>
                <w:rFonts w:hint="eastAsia"/>
                <w:szCs w:val="21"/>
              </w:rPr>
              <w:t>202</w:t>
            </w:r>
            <w:r>
              <w:rPr>
                <w:szCs w:val="21"/>
              </w:rPr>
              <w:t>3.4.7</w:t>
            </w:r>
          </w:p>
        </w:tc>
        <w:tc>
          <w:tcPr>
            <w:tcW w:w="803" w:type="pct"/>
            <w:shd w:val="clear" w:color="auto" w:fill="auto"/>
            <w:vAlign w:val="center"/>
          </w:tcPr>
          <w:p>
            <w:pPr>
              <w:jc w:val="center"/>
              <w:rPr>
                <w:szCs w:val="21"/>
              </w:rPr>
            </w:pPr>
            <w:r>
              <w:rPr>
                <w:szCs w:val="21"/>
                <w:lang w:bidi="ar"/>
              </w:rPr>
              <w:t>100</w:t>
            </w:r>
          </w:p>
        </w:tc>
        <w:tc>
          <w:tcPr>
            <w:tcW w:w="803" w:type="pct"/>
            <w:shd w:val="clear" w:color="auto" w:fill="auto"/>
            <w:vAlign w:val="center"/>
          </w:tcPr>
          <w:p>
            <w:pPr>
              <w:jc w:val="center"/>
              <w:textAlignment w:val="center"/>
              <w:rPr>
                <w:szCs w:val="21"/>
                <w:lang w:bidi="ar"/>
              </w:rPr>
            </w:pPr>
            <w:r>
              <w:rPr>
                <w:szCs w:val="21"/>
                <w:lang w:bidi="ar"/>
              </w:rPr>
              <w:t>71.95</w:t>
            </w:r>
          </w:p>
        </w:tc>
        <w:tc>
          <w:tcPr>
            <w:tcW w:w="803" w:type="pct"/>
            <w:shd w:val="clear" w:color="auto" w:fill="auto"/>
            <w:vAlign w:val="center"/>
          </w:tcPr>
          <w:p>
            <w:pPr>
              <w:jc w:val="center"/>
              <w:textAlignment w:val="center"/>
              <w:rPr>
                <w:szCs w:val="21"/>
                <w:lang w:bidi="ar"/>
              </w:rPr>
            </w:pPr>
            <w:r>
              <w:rPr>
                <w:szCs w:val="21"/>
                <w:lang w:bidi="ar"/>
              </w:rPr>
              <w:t>7.43</w:t>
            </w:r>
          </w:p>
        </w:tc>
        <w:tc>
          <w:tcPr>
            <w:tcW w:w="806" w:type="pct"/>
            <w:shd w:val="clear" w:color="auto" w:fill="auto"/>
            <w:vAlign w:val="center"/>
          </w:tcPr>
          <w:p>
            <w:pPr>
              <w:jc w:val="center"/>
              <w:textAlignment w:val="center"/>
              <w:rPr>
                <w:szCs w:val="21"/>
                <w:lang w:bidi="ar"/>
              </w:rPr>
            </w:pPr>
            <w:r>
              <w:rPr>
                <w:szCs w:val="21"/>
                <w:lang w:bidi="ar"/>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尹圪垱村</w:t>
            </w:r>
          </w:p>
        </w:tc>
        <w:tc>
          <w:tcPr>
            <w:tcW w:w="835" w:type="pct"/>
            <w:vMerge w:val="continue"/>
            <w:shd w:val="clear" w:color="auto" w:fill="auto"/>
            <w:vAlign w:val="center"/>
          </w:tcPr>
          <w:p>
            <w:pPr>
              <w:jc w:val="center"/>
              <w:textAlignment w:val="center"/>
              <w:rPr>
                <w:szCs w:val="21"/>
                <w:lang w:bidi="ar"/>
              </w:rPr>
            </w:pPr>
          </w:p>
        </w:tc>
        <w:tc>
          <w:tcPr>
            <w:tcW w:w="803" w:type="pct"/>
            <w:shd w:val="clear" w:color="auto" w:fill="auto"/>
            <w:vAlign w:val="center"/>
          </w:tcPr>
          <w:p>
            <w:pPr>
              <w:jc w:val="center"/>
              <w:rPr>
                <w:szCs w:val="21"/>
              </w:rPr>
            </w:pPr>
            <w:r>
              <w:rPr>
                <w:szCs w:val="21"/>
                <w:lang w:bidi="ar"/>
              </w:rPr>
              <w:t>50</w:t>
            </w:r>
          </w:p>
        </w:tc>
        <w:tc>
          <w:tcPr>
            <w:tcW w:w="803" w:type="pct"/>
            <w:shd w:val="clear" w:color="auto" w:fill="auto"/>
            <w:vAlign w:val="center"/>
          </w:tcPr>
          <w:p>
            <w:pPr>
              <w:jc w:val="center"/>
              <w:textAlignment w:val="center"/>
              <w:rPr>
                <w:szCs w:val="21"/>
                <w:lang w:bidi="ar"/>
              </w:rPr>
            </w:pPr>
            <w:r>
              <w:rPr>
                <w:szCs w:val="21"/>
                <w:lang w:bidi="ar"/>
              </w:rPr>
              <w:t>73.15</w:t>
            </w:r>
          </w:p>
        </w:tc>
        <w:tc>
          <w:tcPr>
            <w:tcW w:w="803" w:type="pct"/>
            <w:shd w:val="clear" w:color="auto" w:fill="auto"/>
            <w:vAlign w:val="center"/>
          </w:tcPr>
          <w:p>
            <w:pPr>
              <w:jc w:val="center"/>
              <w:textAlignment w:val="center"/>
              <w:rPr>
                <w:szCs w:val="21"/>
                <w:lang w:bidi="ar"/>
              </w:rPr>
            </w:pPr>
            <w:r>
              <w:rPr>
                <w:szCs w:val="21"/>
                <w:lang w:bidi="ar"/>
              </w:rPr>
              <w:t>5.68</w:t>
            </w:r>
          </w:p>
        </w:tc>
        <w:tc>
          <w:tcPr>
            <w:tcW w:w="806" w:type="pct"/>
            <w:shd w:val="clear" w:color="auto" w:fill="auto"/>
            <w:vAlign w:val="center"/>
          </w:tcPr>
          <w:p>
            <w:pPr>
              <w:jc w:val="center"/>
              <w:textAlignment w:val="center"/>
              <w:rPr>
                <w:szCs w:val="21"/>
                <w:lang w:bidi="ar"/>
              </w:rPr>
            </w:pPr>
            <w:r>
              <w:rPr>
                <w:szCs w:val="21"/>
                <w:lang w:bidi="ar"/>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丁庄村</w:t>
            </w:r>
          </w:p>
        </w:tc>
        <w:tc>
          <w:tcPr>
            <w:tcW w:w="835" w:type="pct"/>
            <w:vMerge w:val="continue"/>
            <w:shd w:val="clear" w:color="auto" w:fill="auto"/>
            <w:vAlign w:val="center"/>
          </w:tcPr>
          <w:p>
            <w:pPr>
              <w:jc w:val="center"/>
              <w:textAlignment w:val="center"/>
              <w:rPr>
                <w:szCs w:val="21"/>
                <w:lang w:bidi="ar"/>
              </w:rPr>
            </w:pPr>
          </w:p>
        </w:tc>
        <w:tc>
          <w:tcPr>
            <w:tcW w:w="803" w:type="pct"/>
            <w:shd w:val="clear" w:color="auto" w:fill="auto"/>
            <w:vAlign w:val="center"/>
          </w:tcPr>
          <w:p>
            <w:pPr>
              <w:jc w:val="center"/>
              <w:rPr>
                <w:szCs w:val="21"/>
              </w:rPr>
            </w:pPr>
            <w:r>
              <w:rPr>
                <w:szCs w:val="21"/>
                <w:lang w:bidi="ar"/>
              </w:rPr>
              <w:t>50</w:t>
            </w:r>
          </w:p>
        </w:tc>
        <w:tc>
          <w:tcPr>
            <w:tcW w:w="803" w:type="pct"/>
            <w:shd w:val="clear" w:color="auto" w:fill="auto"/>
            <w:vAlign w:val="center"/>
          </w:tcPr>
          <w:p>
            <w:pPr>
              <w:jc w:val="center"/>
              <w:textAlignment w:val="center"/>
              <w:rPr>
                <w:szCs w:val="21"/>
                <w:lang w:bidi="ar"/>
              </w:rPr>
            </w:pPr>
            <w:r>
              <w:rPr>
                <w:szCs w:val="21"/>
                <w:lang w:bidi="ar"/>
              </w:rPr>
              <w:t>73.11</w:t>
            </w:r>
          </w:p>
        </w:tc>
        <w:tc>
          <w:tcPr>
            <w:tcW w:w="803" w:type="pct"/>
            <w:shd w:val="clear" w:color="auto" w:fill="auto"/>
            <w:vAlign w:val="center"/>
          </w:tcPr>
          <w:p>
            <w:pPr>
              <w:jc w:val="center"/>
              <w:textAlignment w:val="center"/>
              <w:rPr>
                <w:szCs w:val="21"/>
                <w:lang w:bidi="ar"/>
              </w:rPr>
            </w:pPr>
            <w:r>
              <w:rPr>
                <w:szCs w:val="21"/>
                <w:lang w:bidi="ar"/>
              </w:rPr>
              <w:t>6.39</w:t>
            </w:r>
          </w:p>
        </w:tc>
        <w:tc>
          <w:tcPr>
            <w:tcW w:w="806" w:type="pct"/>
            <w:shd w:val="clear" w:color="auto" w:fill="auto"/>
            <w:vAlign w:val="center"/>
          </w:tcPr>
          <w:p>
            <w:pPr>
              <w:jc w:val="center"/>
              <w:textAlignment w:val="center"/>
              <w:rPr>
                <w:szCs w:val="21"/>
                <w:lang w:bidi="ar"/>
              </w:rPr>
            </w:pPr>
            <w:r>
              <w:rPr>
                <w:szCs w:val="21"/>
                <w:lang w:bidi="ar"/>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胡庄村</w:t>
            </w:r>
          </w:p>
        </w:tc>
        <w:tc>
          <w:tcPr>
            <w:tcW w:w="835" w:type="pct"/>
            <w:vMerge w:val="continue"/>
            <w:shd w:val="clear" w:color="auto" w:fill="auto"/>
            <w:vAlign w:val="center"/>
          </w:tcPr>
          <w:p>
            <w:pPr>
              <w:jc w:val="center"/>
              <w:textAlignment w:val="center"/>
              <w:rPr>
                <w:szCs w:val="21"/>
                <w:lang w:bidi="ar"/>
              </w:rPr>
            </w:pPr>
          </w:p>
        </w:tc>
        <w:tc>
          <w:tcPr>
            <w:tcW w:w="803" w:type="pct"/>
            <w:shd w:val="clear" w:color="auto" w:fill="auto"/>
            <w:vAlign w:val="center"/>
          </w:tcPr>
          <w:p>
            <w:pPr>
              <w:jc w:val="center"/>
              <w:rPr>
                <w:szCs w:val="21"/>
              </w:rPr>
            </w:pPr>
            <w:r>
              <w:rPr>
                <w:szCs w:val="21"/>
                <w:lang w:bidi="ar"/>
              </w:rPr>
              <w:t>60</w:t>
            </w:r>
          </w:p>
        </w:tc>
        <w:tc>
          <w:tcPr>
            <w:tcW w:w="803" w:type="pct"/>
            <w:shd w:val="clear" w:color="auto" w:fill="auto"/>
            <w:vAlign w:val="center"/>
          </w:tcPr>
          <w:p>
            <w:pPr>
              <w:jc w:val="center"/>
              <w:textAlignment w:val="center"/>
              <w:rPr>
                <w:szCs w:val="21"/>
                <w:lang w:bidi="ar"/>
              </w:rPr>
            </w:pPr>
            <w:r>
              <w:rPr>
                <w:szCs w:val="21"/>
                <w:lang w:bidi="ar"/>
              </w:rPr>
              <w:t>71.74</w:t>
            </w:r>
          </w:p>
        </w:tc>
        <w:tc>
          <w:tcPr>
            <w:tcW w:w="803" w:type="pct"/>
            <w:shd w:val="clear" w:color="auto" w:fill="auto"/>
            <w:vAlign w:val="center"/>
          </w:tcPr>
          <w:p>
            <w:pPr>
              <w:jc w:val="center"/>
              <w:textAlignment w:val="center"/>
              <w:rPr>
                <w:szCs w:val="21"/>
                <w:lang w:bidi="ar"/>
              </w:rPr>
            </w:pPr>
            <w:r>
              <w:rPr>
                <w:szCs w:val="21"/>
                <w:lang w:bidi="ar"/>
              </w:rPr>
              <w:t>6.75</w:t>
            </w:r>
          </w:p>
        </w:tc>
        <w:tc>
          <w:tcPr>
            <w:tcW w:w="806" w:type="pct"/>
            <w:shd w:val="clear" w:color="auto" w:fill="auto"/>
            <w:vAlign w:val="center"/>
          </w:tcPr>
          <w:p>
            <w:pPr>
              <w:jc w:val="center"/>
              <w:textAlignment w:val="center"/>
              <w:rPr>
                <w:szCs w:val="21"/>
                <w:lang w:bidi="ar"/>
              </w:rPr>
            </w:pPr>
            <w:r>
              <w:rPr>
                <w:szCs w:val="21"/>
                <w:lang w:bidi="ar"/>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胡沙窝村</w:t>
            </w:r>
          </w:p>
        </w:tc>
        <w:tc>
          <w:tcPr>
            <w:tcW w:w="835" w:type="pct"/>
            <w:vMerge w:val="continue"/>
            <w:shd w:val="clear" w:color="auto" w:fill="auto"/>
            <w:vAlign w:val="center"/>
          </w:tcPr>
          <w:p>
            <w:pPr>
              <w:jc w:val="center"/>
              <w:textAlignment w:val="center"/>
              <w:rPr>
                <w:szCs w:val="21"/>
                <w:lang w:bidi="ar"/>
              </w:rPr>
            </w:pPr>
          </w:p>
        </w:tc>
        <w:tc>
          <w:tcPr>
            <w:tcW w:w="803" w:type="pct"/>
            <w:shd w:val="clear" w:color="auto" w:fill="auto"/>
            <w:vAlign w:val="center"/>
          </w:tcPr>
          <w:p>
            <w:pPr>
              <w:jc w:val="center"/>
              <w:rPr>
                <w:szCs w:val="21"/>
              </w:rPr>
            </w:pPr>
            <w:r>
              <w:rPr>
                <w:szCs w:val="21"/>
                <w:lang w:bidi="ar"/>
              </w:rPr>
              <w:t>40</w:t>
            </w:r>
          </w:p>
        </w:tc>
        <w:tc>
          <w:tcPr>
            <w:tcW w:w="803" w:type="pct"/>
            <w:shd w:val="clear" w:color="auto" w:fill="auto"/>
            <w:vAlign w:val="center"/>
          </w:tcPr>
          <w:p>
            <w:pPr>
              <w:jc w:val="center"/>
              <w:textAlignment w:val="center"/>
              <w:rPr>
                <w:szCs w:val="21"/>
                <w:lang w:bidi="ar"/>
              </w:rPr>
            </w:pPr>
            <w:r>
              <w:rPr>
                <w:szCs w:val="21"/>
                <w:lang w:bidi="ar"/>
              </w:rPr>
              <w:t>71.00</w:t>
            </w:r>
          </w:p>
        </w:tc>
        <w:tc>
          <w:tcPr>
            <w:tcW w:w="803" w:type="pct"/>
            <w:shd w:val="clear" w:color="auto" w:fill="auto"/>
            <w:vAlign w:val="center"/>
          </w:tcPr>
          <w:p>
            <w:pPr>
              <w:jc w:val="center"/>
              <w:textAlignment w:val="center"/>
              <w:rPr>
                <w:szCs w:val="21"/>
                <w:lang w:bidi="ar"/>
              </w:rPr>
            </w:pPr>
            <w:r>
              <w:rPr>
                <w:szCs w:val="21"/>
                <w:lang w:bidi="ar"/>
              </w:rPr>
              <w:t>7.61</w:t>
            </w:r>
          </w:p>
        </w:tc>
        <w:tc>
          <w:tcPr>
            <w:tcW w:w="806" w:type="pct"/>
            <w:shd w:val="clear" w:color="auto" w:fill="auto"/>
            <w:vAlign w:val="center"/>
          </w:tcPr>
          <w:p>
            <w:pPr>
              <w:jc w:val="center"/>
              <w:textAlignment w:val="center"/>
              <w:rPr>
                <w:szCs w:val="21"/>
                <w:lang w:bidi="ar"/>
              </w:rPr>
            </w:pPr>
            <w:r>
              <w:rPr>
                <w:szCs w:val="21"/>
                <w:lang w:bidi="ar"/>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安庄村</w:t>
            </w:r>
          </w:p>
        </w:tc>
        <w:tc>
          <w:tcPr>
            <w:tcW w:w="835" w:type="pct"/>
            <w:vMerge w:val="continue"/>
            <w:shd w:val="clear" w:color="auto" w:fill="auto"/>
            <w:vAlign w:val="center"/>
          </w:tcPr>
          <w:p>
            <w:pPr>
              <w:jc w:val="center"/>
              <w:textAlignment w:val="center"/>
              <w:rPr>
                <w:szCs w:val="21"/>
                <w:lang w:bidi="ar"/>
              </w:rPr>
            </w:pPr>
          </w:p>
        </w:tc>
        <w:tc>
          <w:tcPr>
            <w:tcW w:w="803" w:type="pct"/>
            <w:shd w:val="clear" w:color="auto" w:fill="auto"/>
            <w:vAlign w:val="center"/>
          </w:tcPr>
          <w:p>
            <w:pPr>
              <w:jc w:val="center"/>
              <w:rPr>
                <w:szCs w:val="21"/>
              </w:rPr>
            </w:pPr>
            <w:r>
              <w:rPr>
                <w:szCs w:val="21"/>
                <w:lang w:bidi="ar"/>
              </w:rPr>
              <w:t>50</w:t>
            </w:r>
          </w:p>
        </w:tc>
        <w:tc>
          <w:tcPr>
            <w:tcW w:w="803" w:type="pct"/>
            <w:shd w:val="clear" w:color="auto" w:fill="auto"/>
            <w:vAlign w:val="center"/>
          </w:tcPr>
          <w:p>
            <w:pPr>
              <w:jc w:val="center"/>
              <w:textAlignment w:val="center"/>
              <w:rPr>
                <w:szCs w:val="21"/>
                <w:lang w:bidi="ar"/>
              </w:rPr>
            </w:pPr>
            <w:r>
              <w:rPr>
                <w:szCs w:val="21"/>
                <w:lang w:bidi="ar"/>
              </w:rPr>
              <w:t>71.32</w:t>
            </w:r>
          </w:p>
        </w:tc>
        <w:tc>
          <w:tcPr>
            <w:tcW w:w="803" w:type="pct"/>
            <w:shd w:val="clear" w:color="auto" w:fill="auto"/>
            <w:vAlign w:val="center"/>
          </w:tcPr>
          <w:p>
            <w:pPr>
              <w:jc w:val="center"/>
              <w:textAlignment w:val="center"/>
              <w:rPr>
                <w:szCs w:val="21"/>
                <w:lang w:bidi="ar"/>
              </w:rPr>
            </w:pPr>
            <w:r>
              <w:rPr>
                <w:szCs w:val="21"/>
                <w:lang w:bidi="ar"/>
              </w:rPr>
              <w:t>6.47</w:t>
            </w:r>
          </w:p>
        </w:tc>
        <w:tc>
          <w:tcPr>
            <w:tcW w:w="806" w:type="pct"/>
            <w:shd w:val="clear" w:color="auto" w:fill="auto"/>
            <w:vAlign w:val="center"/>
          </w:tcPr>
          <w:p>
            <w:pPr>
              <w:jc w:val="center"/>
              <w:textAlignment w:val="center"/>
              <w:rPr>
                <w:szCs w:val="21"/>
                <w:lang w:bidi="ar"/>
              </w:rPr>
            </w:pPr>
            <w:r>
              <w:rPr>
                <w:szCs w:val="21"/>
                <w:lang w:bidi="ar"/>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魏店村</w:t>
            </w:r>
          </w:p>
        </w:tc>
        <w:tc>
          <w:tcPr>
            <w:tcW w:w="835" w:type="pct"/>
            <w:vMerge w:val="continue"/>
            <w:shd w:val="clear" w:color="auto" w:fill="auto"/>
            <w:vAlign w:val="center"/>
          </w:tcPr>
          <w:p>
            <w:pPr>
              <w:jc w:val="center"/>
              <w:textAlignment w:val="center"/>
              <w:rPr>
                <w:szCs w:val="21"/>
                <w:lang w:bidi="ar"/>
              </w:rPr>
            </w:pPr>
          </w:p>
        </w:tc>
        <w:tc>
          <w:tcPr>
            <w:tcW w:w="803" w:type="pct"/>
            <w:shd w:val="clear" w:color="auto" w:fill="auto"/>
            <w:vAlign w:val="center"/>
          </w:tcPr>
          <w:p>
            <w:pPr>
              <w:jc w:val="center"/>
              <w:rPr>
                <w:szCs w:val="21"/>
              </w:rPr>
            </w:pPr>
            <w:r>
              <w:rPr>
                <w:szCs w:val="21"/>
                <w:lang w:bidi="ar"/>
              </w:rPr>
              <w:t>50</w:t>
            </w:r>
          </w:p>
        </w:tc>
        <w:tc>
          <w:tcPr>
            <w:tcW w:w="803" w:type="pct"/>
            <w:shd w:val="clear" w:color="auto" w:fill="auto"/>
            <w:vAlign w:val="center"/>
          </w:tcPr>
          <w:p>
            <w:pPr>
              <w:jc w:val="center"/>
              <w:textAlignment w:val="center"/>
              <w:rPr>
                <w:szCs w:val="21"/>
                <w:lang w:bidi="ar"/>
              </w:rPr>
            </w:pPr>
            <w:r>
              <w:rPr>
                <w:szCs w:val="21"/>
                <w:lang w:bidi="ar"/>
              </w:rPr>
              <w:t>73.02</w:t>
            </w:r>
          </w:p>
        </w:tc>
        <w:tc>
          <w:tcPr>
            <w:tcW w:w="803" w:type="pct"/>
            <w:shd w:val="clear" w:color="auto" w:fill="auto"/>
            <w:vAlign w:val="center"/>
          </w:tcPr>
          <w:p>
            <w:pPr>
              <w:jc w:val="center"/>
              <w:textAlignment w:val="center"/>
              <w:rPr>
                <w:szCs w:val="21"/>
                <w:lang w:bidi="ar"/>
              </w:rPr>
            </w:pPr>
            <w:r>
              <w:rPr>
                <w:szCs w:val="21"/>
                <w:lang w:bidi="ar"/>
              </w:rPr>
              <w:t>7.08</w:t>
            </w:r>
          </w:p>
        </w:tc>
        <w:tc>
          <w:tcPr>
            <w:tcW w:w="806" w:type="pct"/>
            <w:shd w:val="clear" w:color="auto" w:fill="auto"/>
            <w:vAlign w:val="center"/>
          </w:tcPr>
          <w:p>
            <w:pPr>
              <w:jc w:val="center"/>
              <w:textAlignment w:val="center"/>
              <w:rPr>
                <w:szCs w:val="21"/>
                <w:lang w:bidi="ar"/>
              </w:rPr>
            </w:pPr>
            <w:r>
              <w:rPr>
                <w:szCs w:val="21"/>
                <w:lang w:bidi="ar"/>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灌溉井</w:t>
            </w:r>
          </w:p>
        </w:tc>
        <w:tc>
          <w:tcPr>
            <w:tcW w:w="835" w:type="pct"/>
            <w:vMerge w:val="continue"/>
            <w:shd w:val="clear" w:color="auto" w:fill="auto"/>
            <w:vAlign w:val="center"/>
          </w:tcPr>
          <w:p>
            <w:pPr>
              <w:jc w:val="center"/>
              <w:textAlignment w:val="center"/>
              <w:rPr>
                <w:szCs w:val="21"/>
                <w:lang w:bidi="ar"/>
              </w:rPr>
            </w:pPr>
          </w:p>
        </w:tc>
        <w:tc>
          <w:tcPr>
            <w:tcW w:w="803" w:type="pct"/>
            <w:shd w:val="clear" w:color="auto" w:fill="auto"/>
            <w:vAlign w:val="center"/>
          </w:tcPr>
          <w:p>
            <w:pPr>
              <w:jc w:val="center"/>
              <w:rPr>
                <w:szCs w:val="21"/>
              </w:rPr>
            </w:pPr>
            <w:r>
              <w:rPr>
                <w:szCs w:val="21"/>
                <w:lang w:bidi="ar"/>
              </w:rPr>
              <w:t>60</w:t>
            </w:r>
          </w:p>
        </w:tc>
        <w:tc>
          <w:tcPr>
            <w:tcW w:w="803" w:type="pct"/>
            <w:shd w:val="clear" w:color="auto" w:fill="auto"/>
            <w:vAlign w:val="center"/>
          </w:tcPr>
          <w:p>
            <w:pPr>
              <w:jc w:val="center"/>
              <w:textAlignment w:val="center"/>
              <w:rPr>
                <w:szCs w:val="21"/>
                <w:lang w:bidi="ar"/>
              </w:rPr>
            </w:pPr>
            <w:r>
              <w:rPr>
                <w:szCs w:val="21"/>
                <w:lang w:bidi="ar"/>
              </w:rPr>
              <w:t>73.00</w:t>
            </w:r>
          </w:p>
        </w:tc>
        <w:tc>
          <w:tcPr>
            <w:tcW w:w="803" w:type="pct"/>
            <w:shd w:val="clear" w:color="auto" w:fill="auto"/>
            <w:vAlign w:val="center"/>
          </w:tcPr>
          <w:p>
            <w:pPr>
              <w:jc w:val="center"/>
              <w:textAlignment w:val="center"/>
              <w:rPr>
                <w:szCs w:val="21"/>
                <w:lang w:bidi="ar"/>
              </w:rPr>
            </w:pPr>
            <w:r>
              <w:rPr>
                <w:szCs w:val="21"/>
                <w:lang w:bidi="ar"/>
              </w:rPr>
              <w:t>7.55</w:t>
            </w:r>
          </w:p>
        </w:tc>
        <w:tc>
          <w:tcPr>
            <w:tcW w:w="806" w:type="pct"/>
            <w:shd w:val="clear" w:color="auto" w:fill="auto"/>
            <w:vAlign w:val="center"/>
          </w:tcPr>
          <w:p>
            <w:pPr>
              <w:jc w:val="center"/>
              <w:textAlignment w:val="center"/>
              <w:rPr>
                <w:szCs w:val="21"/>
                <w:lang w:bidi="ar"/>
              </w:rPr>
            </w:pPr>
            <w:r>
              <w:rPr>
                <w:szCs w:val="21"/>
                <w:lang w:bidi="ar"/>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李学彦村</w:t>
            </w:r>
          </w:p>
        </w:tc>
        <w:tc>
          <w:tcPr>
            <w:tcW w:w="835" w:type="pct"/>
            <w:vMerge w:val="continue"/>
            <w:shd w:val="clear" w:color="auto" w:fill="auto"/>
            <w:vAlign w:val="center"/>
          </w:tcPr>
          <w:p>
            <w:pPr>
              <w:jc w:val="center"/>
              <w:textAlignment w:val="center"/>
              <w:rPr>
                <w:szCs w:val="21"/>
                <w:lang w:bidi="ar"/>
              </w:rPr>
            </w:pPr>
          </w:p>
        </w:tc>
        <w:tc>
          <w:tcPr>
            <w:tcW w:w="803" w:type="pct"/>
            <w:shd w:val="clear" w:color="auto" w:fill="auto"/>
            <w:vAlign w:val="center"/>
          </w:tcPr>
          <w:p>
            <w:pPr>
              <w:jc w:val="center"/>
              <w:rPr>
                <w:szCs w:val="21"/>
              </w:rPr>
            </w:pPr>
            <w:r>
              <w:rPr>
                <w:szCs w:val="21"/>
                <w:lang w:bidi="ar"/>
              </w:rPr>
              <w:t>50</w:t>
            </w:r>
          </w:p>
        </w:tc>
        <w:tc>
          <w:tcPr>
            <w:tcW w:w="803" w:type="pct"/>
            <w:shd w:val="clear" w:color="auto" w:fill="auto"/>
            <w:vAlign w:val="center"/>
          </w:tcPr>
          <w:p>
            <w:pPr>
              <w:jc w:val="center"/>
              <w:textAlignment w:val="center"/>
              <w:rPr>
                <w:szCs w:val="21"/>
                <w:lang w:bidi="ar"/>
              </w:rPr>
            </w:pPr>
            <w:r>
              <w:rPr>
                <w:szCs w:val="21"/>
                <w:lang w:bidi="ar"/>
              </w:rPr>
              <w:t>71.75</w:t>
            </w:r>
          </w:p>
        </w:tc>
        <w:tc>
          <w:tcPr>
            <w:tcW w:w="803" w:type="pct"/>
            <w:shd w:val="clear" w:color="auto" w:fill="auto"/>
            <w:vAlign w:val="center"/>
          </w:tcPr>
          <w:p>
            <w:pPr>
              <w:jc w:val="center"/>
              <w:textAlignment w:val="center"/>
              <w:rPr>
                <w:szCs w:val="21"/>
                <w:lang w:bidi="ar"/>
              </w:rPr>
            </w:pPr>
            <w:r>
              <w:rPr>
                <w:szCs w:val="21"/>
                <w:lang w:bidi="ar"/>
              </w:rPr>
              <w:t>7.49</w:t>
            </w:r>
          </w:p>
        </w:tc>
        <w:tc>
          <w:tcPr>
            <w:tcW w:w="806" w:type="pct"/>
            <w:shd w:val="clear" w:color="auto" w:fill="auto"/>
            <w:vAlign w:val="center"/>
          </w:tcPr>
          <w:p>
            <w:pPr>
              <w:jc w:val="center"/>
              <w:textAlignment w:val="center"/>
              <w:rPr>
                <w:szCs w:val="21"/>
                <w:lang w:bidi="ar"/>
              </w:rPr>
            </w:pPr>
            <w:r>
              <w:rPr>
                <w:szCs w:val="21"/>
                <w:lang w:bidi="ar"/>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袁庄</w:t>
            </w:r>
          </w:p>
        </w:tc>
        <w:tc>
          <w:tcPr>
            <w:tcW w:w="835" w:type="pct"/>
            <w:vMerge w:val="continue"/>
            <w:shd w:val="clear" w:color="auto" w:fill="auto"/>
            <w:vAlign w:val="center"/>
          </w:tcPr>
          <w:p>
            <w:pPr>
              <w:jc w:val="center"/>
              <w:textAlignment w:val="center"/>
              <w:rPr>
                <w:szCs w:val="21"/>
                <w:lang w:bidi="ar"/>
              </w:rPr>
            </w:pPr>
          </w:p>
        </w:tc>
        <w:tc>
          <w:tcPr>
            <w:tcW w:w="803" w:type="pct"/>
            <w:shd w:val="clear" w:color="auto" w:fill="auto"/>
            <w:vAlign w:val="center"/>
          </w:tcPr>
          <w:p>
            <w:pPr>
              <w:jc w:val="center"/>
              <w:rPr>
                <w:szCs w:val="21"/>
              </w:rPr>
            </w:pPr>
            <w:r>
              <w:rPr>
                <w:szCs w:val="21"/>
                <w:lang w:bidi="ar"/>
              </w:rPr>
              <w:t>60</w:t>
            </w:r>
          </w:p>
        </w:tc>
        <w:tc>
          <w:tcPr>
            <w:tcW w:w="803" w:type="pct"/>
            <w:shd w:val="clear" w:color="auto" w:fill="auto"/>
            <w:vAlign w:val="center"/>
          </w:tcPr>
          <w:p>
            <w:pPr>
              <w:jc w:val="center"/>
              <w:textAlignment w:val="center"/>
              <w:rPr>
                <w:szCs w:val="21"/>
                <w:lang w:bidi="ar"/>
              </w:rPr>
            </w:pPr>
            <w:r>
              <w:rPr>
                <w:szCs w:val="21"/>
                <w:lang w:bidi="ar"/>
              </w:rPr>
              <w:t>71.54</w:t>
            </w:r>
          </w:p>
        </w:tc>
        <w:tc>
          <w:tcPr>
            <w:tcW w:w="803" w:type="pct"/>
            <w:shd w:val="clear" w:color="auto" w:fill="auto"/>
            <w:vAlign w:val="center"/>
          </w:tcPr>
          <w:p>
            <w:pPr>
              <w:jc w:val="center"/>
              <w:textAlignment w:val="center"/>
              <w:rPr>
                <w:szCs w:val="21"/>
                <w:lang w:bidi="ar"/>
              </w:rPr>
            </w:pPr>
            <w:r>
              <w:rPr>
                <w:szCs w:val="21"/>
                <w:lang w:bidi="ar"/>
              </w:rPr>
              <w:t>6.28</w:t>
            </w:r>
          </w:p>
        </w:tc>
        <w:tc>
          <w:tcPr>
            <w:tcW w:w="806" w:type="pct"/>
            <w:shd w:val="clear" w:color="auto" w:fill="auto"/>
            <w:vAlign w:val="center"/>
          </w:tcPr>
          <w:p>
            <w:pPr>
              <w:jc w:val="center"/>
              <w:textAlignment w:val="center"/>
              <w:rPr>
                <w:szCs w:val="21"/>
                <w:lang w:bidi="ar"/>
              </w:rPr>
            </w:pPr>
            <w:r>
              <w:rPr>
                <w:szCs w:val="21"/>
                <w:lang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小庄村</w:t>
            </w:r>
          </w:p>
        </w:tc>
        <w:tc>
          <w:tcPr>
            <w:tcW w:w="835" w:type="pct"/>
            <w:vMerge w:val="continue"/>
            <w:shd w:val="clear" w:color="auto" w:fill="auto"/>
            <w:vAlign w:val="center"/>
          </w:tcPr>
          <w:p>
            <w:pPr>
              <w:jc w:val="center"/>
              <w:textAlignment w:val="center"/>
              <w:rPr>
                <w:szCs w:val="21"/>
                <w:lang w:bidi="ar"/>
              </w:rPr>
            </w:pPr>
          </w:p>
        </w:tc>
        <w:tc>
          <w:tcPr>
            <w:tcW w:w="803" w:type="pct"/>
            <w:shd w:val="clear" w:color="auto" w:fill="auto"/>
            <w:vAlign w:val="center"/>
          </w:tcPr>
          <w:p>
            <w:pPr>
              <w:jc w:val="center"/>
              <w:rPr>
                <w:szCs w:val="21"/>
              </w:rPr>
            </w:pPr>
            <w:r>
              <w:rPr>
                <w:szCs w:val="21"/>
                <w:lang w:bidi="ar"/>
              </w:rPr>
              <w:t>40</w:t>
            </w:r>
          </w:p>
        </w:tc>
        <w:tc>
          <w:tcPr>
            <w:tcW w:w="803" w:type="pct"/>
            <w:shd w:val="clear" w:color="auto" w:fill="auto"/>
            <w:vAlign w:val="center"/>
          </w:tcPr>
          <w:p>
            <w:pPr>
              <w:jc w:val="center"/>
              <w:textAlignment w:val="center"/>
              <w:rPr>
                <w:szCs w:val="21"/>
                <w:lang w:bidi="ar"/>
              </w:rPr>
            </w:pPr>
            <w:r>
              <w:rPr>
                <w:szCs w:val="21"/>
                <w:lang w:bidi="ar"/>
              </w:rPr>
              <w:t>71.66</w:t>
            </w:r>
          </w:p>
        </w:tc>
        <w:tc>
          <w:tcPr>
            <w:tcW w:w="803" w:type="pct"/>
            <w:shd w:val="clear" w:color="auto" w:fill="auto"/>
            <w:vAlign w:val="center"/>
          </w:tcPr>
          <w:p>
            <w:pPr>
              <w:jc w:val="center"/>
              <w:textAlignment w:val="center"/>
              <w:rPr>
                <w:szCs w:val="21"/>
                <w:lang w:bidi="ar"/>
              </w:rPr>
            </w:pPr>
            <w:r>
              <w:rPr>
                <w:szCs w:val="21"/>
                <w:lang w:bidi="ar"/>
              </w:rPr>
              <w:t>7.16</w:t>
            </w:r>
          </w:p>
        </w:tc>
        <w:tc>
          <w:tcPr>
            <w:tcW w:w="806" w:type="pct"/>
            <w:shd w:val="clear" w:color="auto" w:fill="auto"/>
            <w:vAlign w:val="center"/>
          </w:tcPr>
          <w:p>
            <w:pPr>
              <w:jc w:val="center"/>
              <w:textAlignment w:val="center"/>
              <w:rPr>
                <w:szCs w:val="21"/>
                <w:lang w:bidi="ar"/>
              </w:rPr>
            </w:pPr>
            <w:r>
              <w:rPr>
                <w:szCs w:val="21"/>
                <w:lang w:bidi="ar"/>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张庄村</w:t>
            </w:r>
          </w:p>
        </w:tc>
        <w:tc>
          <w:tcPr>
            <w:tcW w:w="835" w:type="pct"/>
            <w:vMerge w:val="continue"/>
            <w:shd w:val="clear" w:color="auto" w:fill="auto"/>
            <w:vAlign w:val="center"/>
          </w:tcPr>
          <w:p>
            <w:pPr>
              <w:jc w:val="center"/>
              <w:textAlignment w:val="center"/>
              <w:rPr>
                <w:szCs w:val="21"/>
                <w:lang w:bidi="ar"/>
              </w:rPr>
            </w:pPr>
          </w:p>
        </w:tc>
        <w:tc>
          <w:tcPr>
            <w:tcW w:w="803" w:type="pct"/>
            <w:shd w:val="clear" w:color="auto" w:fill="auto"/>
            <w:vAlign w:val="center"/>
          </w:tcPr>
          <w:p>
            <w:pPr>
              <w:jc w:val="center"/>
              <w:rPr>
                <w:szCs w:val="21"/>
              </w:rPr>
            </w:pPr>
            <w:r>
              <w:rPr>
                <w:szCs w:val="21"/>
                <w:lang w:bidi="ar"/>
              </w:rPr>
              <w:t>50</w:t>
            </w:r>
          </w:p>
        </w:tc>
        <w:tc>
          <w:tcPr>
            <w:tcW w:w="803" w:type="pct"/>
            <w:shd w:val="clear" w:color="auto" w:fill="auto"/>
            <w:vAlign w:val="center"/>
          </w:tcPr>
          <w:p>
            <w:pPr>
              <w:jc w:val="center"/>
              <w:textAlignment w:val="center"/>
              <w:rPr>
                <w:szCs w:val="21"/>
                <w:lang w:bidi="ar"/>
              </w:rPr>
            </w:pPr>
            <w:r>
              <w:rPr>
                <w:szCs w:val="21"/>
                <w:lang w:bidi="ar"/>
              </w:rPr>
              <w:t>70.68</w:t>
            </w:r>
          </w:p>
        </w:tc>
        <w:tc>
          <w:tcPr>
            <w:tcW w:w="803" w:type="pct"/>
            <w:shd w:val="clear" w:color="auto" w:fill="auto"/>
            <w:vAlign w:val="center"/>
          </w:tcPr>
          <w:p>
            <w:pPr>
              <w:jc w:val="center"/>
              <w:textAlignment w:val="center"/>
              <w:rPr>
                <w:szCs w:val="21"/>
                <w:lang w:bidi="ar"/>
              </w:rPr>
            </w:pPr>
            <w:r>
              <w:rPr>
                <w:szCs w:val="21"/>
                <w:lang w:bidi="ar"/>
              </w:rPr>
              <w:t>6.85</w:t>
            </w:r>
          </w:p>
        </w:tc>
        <w:tc>
          <w:tcPr>
            <w:tcW w:w="806" w:type="pct"/>
            <w:shd w:val="clear" w:color="auto" w:fill="auto"/>
            <w:vAlign w:val="center"/>
          </w:tcPr>
          <w:p>
            <w:pPr>
              <w:jc w:val="center"/>
              <w:textAlignment w:val="center"/>
              <w:rPr>
                <w:szCs w:val="21"/>
                <w:lang w:bidi="ar"/>
              </w:rPr>
            </w:pPr>
            <w:r>
              <w:rPr>
                <w:szCs w:val="21"/>
                <w:lang w:bidi="ar"/>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范堤口村</w:t>
            </w:r>
          </w:p>
        </w:tc>
        <w:tc>
          <w:tcPr>
            <w:tcW w:w="835" w:type="pct"/>
            <w:vMerge w:val="continue"/>
            <w:shd w:val="clear" w:color="auto" w:fill="auto"/>
            <w:vAlign w:val="center"/>
          </w:tcPr>
          <w:p>
            <w:pPr>
              <w:jc w:val="center"/>
              <w:textAlignment w:val="center"/>
              <w:rPr>
                <w:szCs w:val="21"/>
                <w:lang w:bidi="ar"/>
              </w:rPr>
            </w:pPr>
          </w:p>
        </w:tc>
        <w:tc>
          <w:tcPr>
            <w:tcW w:w="803" w:type="pct"/>
            <w:shd w:val="clear" w:color="auto" w:fill="auto"/>
            <w:vAlign w:val="center"/>
          </w:tcPr>
          <w:p>
            <w:pPr>
              <w:jc w:val="center"/>
              <w:rPr>
                <w:szCs w:val="21"/>
              </w:rPr>
            </w:pPr>
            <w:r>
              <w:rPr>
                <w:szCs w:val="21"/>
                <w:lang w:bidi="ar"/>
              </w:rPr>
              <w:t>50</w:t>
            </w:r>
          </w:p>
        </w:tc>
        <w:tc>
          <w:tcPr>
            <w:tcW w:w="803" w:type="pct"/>
            <w:shd w:val="clear" w:color="auto" w:fill="auto"/>
            <w:vAlign w:val="center"/>
          </w:tcPr>
          <w:p>
            <w:pPr>
              <w:jc w:val="center"/>
              <w:textAlignment w:val="center"/>
              <w:rPr>
                <w:szCs w:val="21"/>
                <w:lang w:bidi="ar"/>
              </w:rPr>
            </w:pPr>
            <w:r>
              <w:rPr>
                <w:szCs w:val="21"/>
                <w:lang w:bidi="ar"/>
              </w:rPr>
              <w:t>70.36</w:t>
            </w:r>
          </w:p>
        </w:tc>
        <w:tc>
          <w:tcPr>
            <w:tcW w:w="803" w:type="pct"/>
            <w:shd w:val="clear" w:color="auto" w:fill="auto"/>
            <w:vAlign w:val="center"/>
          </w:tcPr>
          <w:p>
            <w:pPr>
              <w:jc w:val="center"/>
              <w:textAlignment w:val="center"/>
              <w:rPr>
                <w:szCs w:val="21"/>
                <w:lang w:bidi="ar"/>
              </w:rPr>
            </w:pPr>
            <w:r>
              <w:rPr>
                <w:szCs w:val="21"/>
                <w:lang w:bidi="ar"/>
              </w:rPr>
              <w:t>7.71</w:t>
            </w:r>
          </w:p>
        </w:tc>
        <w:tc>
          <w:tcPr>
            <w:tcW w:w="806" w:type="pct"/>
            <w:shd w:val="clear" w:color="auto" w:fill="auto"/>
            <w:vAlign w:val="center"/>
          </w:tcPr>
          <w:p>
            <w:pPr>
              <w:jc w:val="center"/>
              <w:textAlignment w:val="center"/>
              <w:rPr>
                <w:szCs w:val="21"/>
                <w:lang w:bidi="ar"/>
              </w:rPr>
            </w:pPr>
            <w:r>
              <w:rPr>
                <w:szCs w:val="21"/>
                <w:lang w:bidi="ar"/>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pct"/>
          <w:trHeight w:val="397" w:hRule="atLeast"/>
          <w:jc w:val="center"/>
        </w:trPr>
        <w:tc>
          <w:tcPr>
            <w:tcW w:w="944" w:type="pct"/>
            <w:shd w:val="clear" w:color="auto" w:fill="auto"/>
            <w:vAlign w:val="center"/>
          </w:tcPr>
          <w:p>
            <w:pPr>
              <w:contextualSpacing/>
              <w:jc w:val="center"/>
              <w:textAlignment w:val="baseline"/>
              <w:rPr>
                <w:kern w:val="0"/>
                <w:szCs w:val="21"/>
                <w:lang w:bidi="ar"/>
              </w:rPr>
            </w:pPr>
            <w:r>
              <w:rPr>
                <w:kern w:val="0"/>
                <w:szCs w:val="21"/>
              </w:rPr>
              <w:t>灌溉井</w:t>
            </w:r>
          </w:p>
        </w:tc>
        <w:tc>
          <w:tcPr>
            <w:tcW w:w="835" w:type="pct"/>
            <w:vMerge w:val="continue"/>
            <w:shd w:val="clear" w:color="auto" w:fill="auto"/>
            <w:vAlign w:val="center"/>
          </w:tcPr>
          <w:p>
            <w:pPr>
              <w:jc w:val="center"/>
              <w:textAlignment w:val="center"/>
              <w:rPr>
                <w:szCs w:val="21"/>
                <w:lang w:bidi="ar"/>
              </w:rPr>
            </w:pPr>
          </w:p>
        </w:tc>
        <w:tc>
          <w:tcPr>
            <w:tcW w:w="803" w:type="pct"/>
            <w:shd w:val="clear" w:color="auto" w:fill="auto"/>
            <w:vAlign w:val="center"/>
          </w:tcPr>
          <w:p>
            <w:pPr>
              <w:jc w:val="center"/>
              <w:rPr>
                <w:szCs w:val="21"/>
              </w:rPr>
            </w:pPr>
            <w:r>
              <w:rPr>
                <w:szCs w:val="21"/>
                <w:lang w:bidi="ar"/>
              </w:rPr>
              <w:t>80</w:t>
            </w:r>
          </w:p>
        </w:tc>
        <w:tc>
          <w:tcPr>
            <w:tcW w:w="803" w:type="pct"/>
            <w:shd w:val="clear" w:color="auto" w:fill="auto"/>
            <w:vAlign w:val="center"/>
          </w:tcPr>
          <w:p>
            <w:pPr>
              <w:jc w:val="center"/>
              <w:textAlignment w:val="center"/>
              <w:rPr>
                <w:szCs w:val="21"/>
                <w:lang w:bidi="ar"/>
              </w:rPr>
            </w:pPr>
            <w:r>
              <w:rPr>
                <w:szCs w:val="21"/>
                <w:lang w:bidi="ar"/>
              </w:rPr>
              <w:t>70.00</w:t>
            </w:r>
          </w:p>
        </w:tc>
        <w:tc>
          <w:tcPr>
            <w:tcW w:w="803" w:type="pct"/>
            <w:shd w:val="clear" w:color="auto" w:fill="auto"/>
            <w:vAlign w:val="center"/>
          </w:tcPr>
          <w:p>
            <w:pPr>
              <w:jc w:val="center"/>
              <w:textAlignment w:val="center"/>
              <w:rPr>
                <w:szCs w:val="21"/>
                <w:lang w:bidi="ar"/>
              </w:rPr>
            </w:pPr>
            <w:r>
              <w:rPr>
                <w:szCs w:val="21"/>
                <w:lang w:bidi="ar"/>
              </w:rPr>
              <w:t>6.52</w:t>
            </w:r>
          </w:p>
        </w:tc>
        <w:tc>
          <w:tcPr>
            <w:tcW w:w="806" w:type="pct"/>
            <w:shd w:val="clear" w:color="auto" w:fill="auto"/>
            <w:vAlign w:val="center"/>
          </w:tcPr>
          <w:p>
            <w:pPr>
              <w:jc w:val="center"/>
              <w:textAlignment w:val="center"/>
              <w:rPr>
                <w:szCs w:val="21"/>
                <w:lang w:bidi="ar"/>
              </w:rPr>
            </w:pPr>
            <w:r>
              <w:rPr>
                <w:szCs w:val="21"/>
                <w:lang w:bidi="ar"/>
              </w:rPr>
              <w:t>13.7</w:t>
            </w:r>
          </w:p>
        </w:tc>
      </w:tr>
    </w:tbl>
    <w:p>
      <w:pPr>
        <w:spacing w:line="520" w:lineRule="exact"/>
        <w:ind w:firstLine="480" w:firstLineChars="200"/>
        <w:rPr>
          <w:rFonts w:eastAsia="黑体"/>
          <w:sz w:val="24"/>
          <w:szCs w:val="24"/>
        </w:rPr>
      </w:pPr>
    </w:p>
    <w:p>
      <w:pPr>
        <w:spacing w:line="520" w:lineRule="exact"/>
        <w:ind w:firstLine="480" w:firstLineChars="200"/>
        <w:rPr>
          <w:rFonts w:eastAsia="黑体"/>
          <w:sz w:val="24"/>
          <w:szCs w:val="24"/>
        </w:rPr>
      </w:pPr>
      <w:r>
        <w:rPr>
          <w:rFonts w:eastAsia="黑体"/>
          <w:sz w:val="24"/>
          <w:szCs w:val="24"/>
        </w:rPr>
        <w:t>表4.3-13          地下水</w:t>
      </w:r>
      <w:r>
        <w:rPr>
          <w:rFonts w:hint="eastAsia" w:eastAsia="黑体"/>
          <w:sz w:val="24"/>
          <w:szCs w:val="24"/>
        </w:rPr>
        <w:t>八大离子现状</w:t>
      </w:r>
      <w:r>
        <w:rPr>
          <w:rFonts w:eastAsia="黑体"/>
          <w:sz w:val="24"/>
          <w:szCs w:val="24"/>
        </w:rPr>
        <w:t>结果</w:t>
      </w:r>
      <w:r>
        <w:rPr>
          <w:rFonts w:hint="eastAsia" w:eastAsia="黑体"/>
          <w:sz w:val="24"/>
          <w:szCs w:val="24"/>
        </w:rPr>
        <w:t>统计表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0"/>
        <w:gridCol w:w="1063"/>
        <w:gridCol w:w="596"/>
        <w:gridCol w:w="596"/>
        <w:gridCol w:w="657"/>
        <w:gridCol w:w="764"/>
        <w:gridCol w:w="1273"/>
        <w:gridCol w:w="1273"/>
        <w:gridCol w:w="746"/>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81" w:type="pct"/>
            <w:shd w:val="clear" w:color="auto" w:fill="auto"/>
            <w:vAlign w:val="center"/>
          </w:tcPr>
          <w:p>
            <w:pPr>
              <w:widowControl/>
              <w:jc w:val="center"/>
              <w:rPr>
                <w:rFonts w:eastAsia="Times New Roman"/>
                <w:b/>
                <w:bCs/>
                <w:szCs w:val="21"/>
              </w:rPr>
            </w:pPr>
            <w:r>
              <w:rPr>
                <w:rFonts w:hint="eastAsia" w:ascii="宋体" w:hAnsi="宋体" w:cs="宋体"/>
                <w:b/>
                <w:bCs/>
                <w:szCs w:val="21"/>
              </w:rPr>
              <w:t>检测点位</w:t>
            </w:r>
          </w:p>
        </w:tc>
        <w:tc>
          <w:tcPr>
            <w:tcW w:w="608" w:type="pct"/>
            <w:shd w:val="clear" w:color="auto" w:fill="auto"/>
            <w:vAlign w:val="center"/>
          </w:tcPr>
          <w:p>
            <w:pPr>
              <w:widowControl/>
              <w:jc w:val="center"/>
              <w:rPr>
                <w:rFonts w:eastAsia="Times New Roman"/>
                <w:b/>
                <w:bCs/>
                <w:szCs w:val="21"/>
              </w:rPr>
            </w:pPr>
            <w:r>
              <w:rPr>
                <w:rFonts w:hint="eastAsia" w:ascii="宋体" w:hAnsi="宋体" w:cs="宋体"/>
                <w:b/>
                <w:bCs/>
                <w:szCs w:val="21"/>
              </w:rPr>
              <w:t>采样时间</w:t>
            </w:r>
          </w:p>
        </w:tc>
        <w:tc>
          <w:tcPr>
            <w:tcW w:w="341" w:type="pct"/>
            <w:shd w:val="clear" w:color="auto" w:fill="auto"/>
            <w:vAlign w:val="center"/>
          </w:tcPr>
          <w:p>
            <w:pPr>
              <w:widowControl/>
              <w:snapToGrid w:val="0"/>
              <w:jc w:val="center"/>
              <w:rPr>
                <w:rFonts w:eastAsia="Times New Roman"/>
                <w:b/>
                <w:bCs/>
                <w:szCs w:val="21"/>
              </w:rPr>
            </w:pPr>
            <w:r>
              <w:rPr>
                <w:b/>
                <w:bCs/>
                <w:szCs w:val="21"/>
              </w:rPr>
              <w:t>K</w:t>
            </w:r>
            <w:r>
              <w:rPr>
                <w:b/>
                <w:bCs/>
                <w:szCs w:val="21"/>
                <w:vertAlign w:val="superscript"/>
              </w:rPr>
              <w:t>+</w:t>
            </w:r>
          </w:p>
        </w:tc>
        <w:tc>
          <w:tcPr>
            <w:tcW w:w="341" w:type="pct"/>
            <w:shd w:val="clear" w:color="auto" w:fill="auto"/>
            <w:vAlign w:val="center"/>
          </w:tcPr>
          <w:p>
            <w:pPr>
              <w:widowControl/>
              <w:jc w:val="center"/>
              <w:rPr>
                <w:rFonts w:eastAsia="Times New Roman"/>
                <w:b/>
                <w:bCs/>
                <w:szCs w:val="21"/>
              </w:rPr>
            </w:pPr>
            <w:r>
              <w:rPr>
                <w:b/>
                <w:bCs/>
                <w:szCs w:val="21"/>
              </w:rPr>
              <w:t>Ca</w:t>
            </w:r>
            <w:r>
              <w:rPr>
                <w:b/>
                <w:bCs/>
                <w:szCs w:val="21"/>
                <w:vertAlign w:val="superscript"/>
              </w:rPr>
              <w:t>2+</w:t>
            </w:r>
          </w:p>
        </w:tc>
        <w:tc>
          <w:tcPr>
            <w:tcW w:w="376" w:type="pct"/>
            <w:shd w:val="clear" w:color="auto" w:fill="auto"/>
            <w:vAlign w:val="center"/>
          </w:tcPr>
          <w:p>
            <w:pPr>
              <w:widowControl/>
              <w:jc w:val="center"/>
              <w:rPr>
                <w:rFonts w:eastAsia="Times New Roman"/>
                <w:b/>
                <w:bCs/>
                <w:szCs w:val="21"/>
              </w:rPr>
            </w:pPr>
            <w:r>
              <w:rPr>
                <w:b/>
                <w:bCs/>
                <w:szCs w:val="21"/>
              </w:rPr>
              <w:t>Na</w:t>
            </w:r>
            <w:r>
              <w:rPr>
                <w:b/>
                <w:bCs/>
                <w:szCs w:val="21"/>
                <w:vertAlign w:val="superscript"/>
              </w:rPr>
              <w:t>+</w:t>
            </w:r>
          </w:p>
        </w:tc>
        <w:tc>
          <w:tcPr>
            <w:tcW w:w="437" w:type="pct"/>
            <w:shd w:val="clear" w:color="auto" w:fill="auto"/>
            <w:vAlign w:val="center"/>
          </w:tcPr>
          <w:p>
            <w:pPr>
              <w:widowControl/>
              <w:jc w:val="center"/>
              <w:textAlignment w:val="center"/>
              <w:rPr>
                <w:kern w:val="0"/>
                <w:szCs w:val="21"/>
              </w:rPr>
            </w:pPr>
            <w:r>
              <w:rPr>
                <w:b/>
                <w:bCs/>
                <w:szCs w:val="21"/>
              </w:rPr>
              <w:t>Mg</w:t>
            </w:r>
            <w:r>
              <w:rPr>
                <w:b/>
                <w:bCs/>
                <w:szCs w:val="21"/>
                <w:vertAlign w:val="superscript"/>
              </w:rPr>
              <w:t>2+</w:t>
            </w:r>
          </w:p>
        </w:tc>
        <w:tc>
          <w:tcPr>
            <w:tcW w:w="728" w:type="pct"/>
            <w:shd w:val="clear" w:color="auto" w:fill="auto"/>
            <w:vAlign w:val="center"/>
          </w:tcPr>
          <w:p>
            <w:pPr>
              <w:widowControl/>
              <w:jc w:val="center"/>
              <w:rPr>
                <w:rFonts w:eastAsia="Times New Roman"/>
                <w:b/>
                <w:bCs/>
                <w:szCs w:val="21"/>
              </w:rPr>
            </w:pPr>
            <w:r>
              <w:rPr>
                <w:b/>
                <w:bCs/>
                <w:szCs w:val="21"/>
              </w:rPr>
              <w:t>CO</w:t>
            </w:r>
            <w:r>
              <w:rPr>
                <w:b/>
                <w:bCs/>
                <w:szCs w:val="21"/>
                <w:vertAlign w:val="subscript"/>
              </w:rPr>
              <w:t>3</w:t>
            </w:r>
            <w:r>
              <w:rPr>
                <w:b/>
                <w:bCs/>
                <w:szCs w:val="21"/>
                <w:vertAlign w:val="superscript"/>
              </w:rPr>
              <w:t>2-</w:t>
            </w:r>
            <w:r>
              <w:rPr>
                <w:b/>
                <w:bCs/>
                <w:szCs w:val="21"/>
              </w:rPr>
              <w:t>（</w:t>
            </w:r>
            <w:r>
              <w:rPr>
                <w:rFonts w:eastAsia="Times New Roman"/>
                <w:b/>
                <w:bCs/>
                <w:szCs w:val="21"/>
              </w:rPr>
              <w:t>m</w:t>
            </w:r>
            <w:r>
              <w:rPr>
                <w:b/>
                <w:bCs/>
                <w:szCs w:val="21"/>
              </w:rPr>
              <w:t>mol/L）</w:t>
            </w:r>
          </w:p>
        </w:tc>
        <w:tc>
          <w:tcPr>
            <w:tcW w:w="728" w:type="pct"/>
            <w:shd w:val="clear" w:color="auto" w:fill="auto"/>
            <w:vAlign w:val="center"/>
          </w:tcPr>
          <w:p>
            <w:pPr>
              <w:widowControl/>
              <w:jc w:val="center"/>
              <w:rPr>
                <w:rFonts w:eastAsia="Times New Roman"/>
                <w:b/>
                <w:bCs/>
                <w:szCs w:val="21"/>
              </w:rPr>
            </w:pPr>
            <w:r>
              <w:rPr>
                <w:b/>
                <w:bCs/>
                <w:szCs w:val="21"/>
              </w:rPr>
              <w:t>HCO</w:t>
            </w:r>
            <w:r>
              <w:rPr>
                <w:b/>
                <w:bCs/>
                <w:szCs w:val="21"/>
                <w:vertAlign w:val="subscript"/>
              </w:rPr>
              <w:t>3</w:t>
            </w:r>
            <w:r>
              <w:rPr>
                <w:b/>
                <w:bCs/>
                <w:szCs w:val="21"/>
                <w:vertAlign w:val="superscript"/>
              </w:rPr>
              <w:t>-</w:t>
            </w:r>
            <w:r>
              <w:rPr>
                <w:b/>
                <w:bCs/>
                <w:szCs w:val="21"/>
              </w:rPr>
              <w:t>（</w:t>
            </w:r>
            <w:r>
              <w:rPr>
                <w:rFonts w:eastAsia="Times New Roman"/>
                <w:b/>
                <w:bCs/>
                <w:szCs w:val="21"/>
              </w:rPr>
              <w:t>m</w:t>
            </w:r>
            <w:r>
              <w:rPr>
                <w:b/>
                <w:bCs/>
                <w:szCs w:val="21"/>
              </w:rPr>
              <w:t>mol/L）</w:t>
            </w:r>
          </w:p>
        </w:tc>
        <w:tc>
          <w:tcPr>
            <w:tcW w:w="427" w:type="pct"/>
            <w:shd w:val="clear" w:color="auto" w:fill="auto"/>
            <w:vAlign w:val="center"/>
          </w:tcPr>
          <w:p>
            <w:pPr>
              <w:widowControl/>
              <w:jc w:val="center"/>
              <w:rPr>
                <w:rFonts w:eastAsia="Times New Roman"/>
                <w:b/>
                <w:bCs/>
                <w:szCs w:val="21"/>
              </w:rPr>
            </w:pPr>
            <w:r>
              <w:rPr>
                <w:b/>
                <w:bCs/>
                <w:szCs w:val="21"/>
              </w:rPr>
              <w:t>Cl</w:t>
            </w:r>
            <w:r>
              <w:rPr>
                <w:b/>
                <w:bCs/>
                <w:szCs w:val="21"/>
                <w:vertAlign w:val="superscript"/>
              </w:rPr>
              <w:t>-</w:t>
            </w:r>
          </w:p>
        </w:tc>
        <w:tc>
          <w:tcPr>
            <w:tcW w:w="533" w:type="pct"/>
            <w:shd w:val="clear" w:color="auto" w:fill="auto"/>
            <w:vAlign w:val="center"/>
          </w:tcPr>
          <w:p>
            <w:pPr>
              <w:widowControl/>
              <w:jc w:val="center"/>
              <w:rPr>
                <w:rFonts w:eastAsia="Times New Roman"/>
                <w:b/>
                <w:bCs/>
                <w:szCs w:val="21"/>
              </w:rPr>
            </w:pPr>
            <w:r>
              <w:rPr>
                <w:b/>
                <w:bCs/>
                <w:szCs w:val="21"/>
              </w:rPr>
              <w:t>SO</w:t>
            </w:r>
            <w:r>
              <w:rPr>
                <w:b/>
                <w:bCs/>
                <w:szCs w:val="21"/>
                <w:vertAlign w:val="subscript"/>
              </w:rPr>
              <w:t>4</w:t>
            </w:r>
            <w:r>
              <w:rPr>
                <w:b/>
                <w:bCs/>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restart"/>
            <w:shd w:val="clear" w:color="auto" w:fill="auto"/>
            <w:vAlign w:val="center"/>
          </w:tcPr>
          <w:p>
            <w:pPr>
              <w:widowControl/>
              <w:contextualSpacing/>
              <w:jc w:val="center"/>
              <w:rPr>
                <w:b/>
                <w:bCs/>
                <w:kern w:val="0"/>
                <w:szCs w:val="21"/>
                <w:highlight w:val="yellow"/>
              </w:rPr>
            </w:pPr>
            <w:r>
              <w:rPr>
                <w:b/>
                <w:bCs/>
                <w:kern w:val="0"/>
                <w:szCs w:val="21"/>
              </w:rPr>
              <w:t>厂址</w:t>
            </w:r>
          </w:p>
        </w:tc>
        <w:tc>
          <w:tcPr>
            <w:tcW w:w="608" w:type="pct"/>
            <w:shd w:val="clear" w:color="auto" w:fill="auto"/>
            <w:vAlign w:val="center"/>
          </w:tcPr>
          <w:p>
            <w:pPr>
              <w:widowControl/>
              <w:jc w:val="center"/>
              <w:rPr>
                <w:rFonts w:eastAsia="Times New Roman"/>
                <w:szCs w:val="21"/>
                <w:highlight w:val="yellow"/>
              </w:rPr>
            </w:pPr>
            <w:r>
              <w:rPr>
                <w:szCs w:val="21"/>
              </w:rPr>
              <w:t>2023.04.07</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2.57</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122</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47.7</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71.7</w:t>
            </w:r>
          </w:p>
        </w:tc>
        <w:tc>
          <w:tcPr>
            <w:tcW w:w="728" w:type="pct"/>
            <w:shd w:val="clear" w:color="auto" w:fill="auto"/>
            <w:vAlign w:val="center"/>
          </w:tcPr>
          <w:p>
            <w:pPr>
              <w:widowControl/>
              <w:snapToGrid w:val="0"/>
              <w:jc w:val="center"/>
              <w:rPr>
                <w:rFonts w:eastAsia="Times New Roman"/>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rFonts w:eastAsia="等线"/>
                <w:szCs w:val="21"/>
              </w:rPr>
              <w:t>4.27</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29.8</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b/>
                <w:bCs/>
                <w:szCs w:val="21"/>
                <w:highlight w:val="yellow"/>
              </w:rPr>
            </w:pPr>
            <w:r>
              <w:rPr>
                <w:szCs w:val="21"/>
              </w:rPr>
              <w:t>2023.04.08</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2.74</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125</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49.2</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75.4</w:t>
            </w:r>
          </w:p>
        </w:tc>
        <w:tc>
          <w:tcPr>
            <w:tcW w:w="728" w:type="pct"/>
            <w:shd w:val="clear" w:color="auto" w:fill="auto"/>
            <w:vAlign w:val="center"/>
          </w:tcPr>
          <w:p>
            <w:pPr>
              <w:widowControl/>
              <w:snapToGrid w:val="0"/>
              <w:jc w:val="center"/>
              <w:rPr>
                <w:rFonts w:ascii="宋体" w:hAnsi="宋体" w:cs="宋体"/>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rFonts w:eastAsia="等线"/>
                <w:szCs w:val="21"/>
              </w:rPr>
              <w:t>4.63</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22.7</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b/>
                <w:bCs/>
                <w:szCs w:val="21"/>
                <w:highlight w:val="yellow"/>
              </w:rPr>
            </w:pPr>
            <w:r>
              <w:rPr>
                <w:szCs w:val="21"/>
              </w:rPr>
              <w:t>2023.04.09</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2.52</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128</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45.4</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70.7</w:t>
            </w:r>
          </w:p>
        </w:tc>
        <w:tc>
          <w:tcPr>
            <w:tcW w:w="728" w:type="pct"/>
            <w:shd w:val="clear" w:color="auto" w:fill="auto"/>
            <w:vAlign w:val="center"/>
          </w:tcPr>
          <w:p>
            <w:pPr>
              <w:widowControl/>
              <w:snapToGrid w:val="0"/>
              <w:jc w:val="center"/>
              <w:rPr>
                <w:rFonts w:eastAsia="Times New Roman"/>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rFonts w:eastAsia="等线"/>
                <w:szCs w:val="21"/>
              </w:rPr>
              <w:t>4.16</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28.8</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restart"/>
            <w:shd w:val="clear" w:color="auto" w:fill="auto"/>
            <w:vAlign w:val="center"/>
          </w:tcPr>
          <w:p>
            <w:pPr>
              <w:widowControl/>
              <w:contextualSpacing/>
              <w:jc w:val="center"/>
              <w:rPr>
                <w:b/>
                <w:bCs/>
                <w:kern w:val="0"/>
                <w:szCs w:val="21"/>
                <w:highlight w:val="yellow"/>
              </w:rPr>
            </w:pPr>
            <w:r>
              <w:rPr>
                <w:b/>
                <w:bCs/>
                <w:kern w:val="0"/>
                <w:szCs w:val="21"/>
              </w:rPr>
              <w:t>尹圪垱村</w:t>
            </w:r>
          </w:p>
        </w:tc>
        <w:tc>
          <w:tcPr>
            <w:tcW w:w="608" w:type="pct"/>
            <w:shd w:val="clear" w:color="auto" w:fill="auto"/>
            <w:vAlign w:val="center"/>
          </w:tcPr>
          <w:p>
            <w:pPr>
              <w:widowControl/>
              <w:jc w:val="center"/>
              <w:rPr>
                <w:rFonts w:eastAsia="Times New Roman"/>
                <w:szCs w:val="21"/>
                <w:highlight w:val="yellow"/>
              </w:rPr>
            </w:pPr>
            <w:r>
              <w:rPr>
                <w:szCs w:val="21"/>
              </w:rPr>
              <w:t>2023.04.07</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1.77</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136</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52.7</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76.8</w:t>
            </w:r>
          </w:p>
        </w:tc>
        <w:tc>
          <w:tcPr>
            <w:tcW w:w="728" w:type="pct"/>
            <w:shd w:val="clear" w:color="auto" w:fill="auto"/>
            <w:vAlign w:val="center"/>
          </w:tcPr>
          <w:p>
            <w:pPr>
              <w:widowControl/>
              <w:snapToGrid w:val="0"/>
              <w:jc w:val="center"/>
              <w:rPr>
                <w:rFonts w:eastAsia="Times New Roman"/>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color w:val="000000"/>
                <w:kern w:val="0"/>
                <w:szCs w:val="21"/>
              </w:rPr>
              <w:t>4.65</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27.2</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szCs w:val="21"/>
                <w:highlight w:val="yellow"/>
              </w:rPr>
            </w:pPr>
            <w:r>
              <w:rPr>
                <w:szCs w:val="21"/>
              </w:rPr>
              <w:t>2023.04.08</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1.62</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149</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59.2</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79.1</w:t>
            </w:r>
          </w:p>
        </w:tc>
        <w:tc>
          <w:tcPr>
            <w:tcW w:w="728" w:type="pct"/>
            <w:shd w:val="clear" w:color="auto" w:fill="auto"/>
            <w:vAlign w:val="center"/>
          </w:tcPr>
          <w:p>
            <w:pPr>
              <w:widowControl/>
              <w:snapToGrid w:val="0"/>
              <w:jc w:val="center"/>
              <w:rPr>
                <w:rFonts w:ascii="宋体" w:hAnsi="宋体" w:cs="宋体"/>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color w:val="000000"/>
                <w:kern w:val="0"/>
                <w:szCs w:val="21"/>
              </w:rPr>
              <w:t>4.72</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28.2</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szCs w:val="21"/>
                <w:highlight w:val="yellow"/>
              </w:rPr>
            </w:pPr>
            <w:r>
              <w:rPr>
                <w:szCs w:val="21"/>
              </w:rPr>
              <w:t>2023.04.09</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1.67</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132</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55.4</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74.2</w:t>
            </w:r>
          </w:p>
        </w:tc>
        <w:tc>
          <w:tcPr>
            <w:tcW w:w="728" w:type="pct"/>
            <w:shd w:val="clear" w:color="auto" w:fill="auto"/>
            <w:vAlign w:val="center"/>
          </w:tcPr>
          <w:p>
            <w:pPr>
              <w:widowControl/>
              <w:snapToGrid w:val="0"/>
              <w:jc w:val="center"/>
              <w:rPr>
                <w:rFonts w:eastAsia="Times New Roman"/>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color w:val="000000"/>
                <w:kern w:val="0"/>
                <w:szCs w:val="21"/>
              </w:rPr>
              <w:t>4.86</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22.4</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restart"/>
            <w:shd w:val="clear" w:color="auto" w:fill="auto"/>
            <w:vAlign w:val="center"/>
          </w:tcPr>
          <w:p>
            <w:pPr>
              <w:widowControl/>
              <w:contextualSpacing/>
              <w:jc w:val="center"/>
              <w:rPr>
                <w:b/>
                <w:bCs/>
                <w:kern w:val="0"/>
                <w:szCs w:val="21"/>
                <w:highlight w:val="yellow"/>
              </w:rPr>
            </w:pPr>
            <w:r>
              <w:rPr>
                <w:b/>
                <w:bCs/>
                <w:kern w:val="0"/>
                <w:szCs w:val="21"/>
              </w:rPr>
              <w:t>安庄村</w:t>
            </w:r>
          </w:p>
        </w:tc>
        <w:tc>
          <w:tcPr>
            <w:tcW w:w="608" w:type="pct"/>
            <w:shd w:val="clear" w:color="auto" w:fill="auto"/>
            <w:vAlign w:val="center"/>
          </w:tcPr>
          <w:p>
            <w:pPr>
              <w:widowControl/>
              <w:jc w:val="center"/>
              <w:rPr>
                <w:rFonts w:eastAsia="Times New Roman"/>
                <w:szCs w:val="21"/>
                <w:highlight w:val="yellow"/>
              </w:rPr>
            </w:pPr>
            <w:r>
              <w:rPr>
                <w:szCs w:val="21"/>
              </w:rPr>
              <w:t>2023.04.07</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2.72</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159</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57.7</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77.2</w:t>
            </w:r>
          </w:p>
        </w:tc>
        <w:tc>
          <w:tcPr>
            <w:tcW w:w="728" w:type="pct"/>
            <w:shd w:val="clear" w:color="auto" w:fill="auto"/>
            <w:vAlign w:val="center"/>
          </w:tcPr>
          <w:p>
            <w:pPr>
              <w:widowControl/>
              <w:snapToGrid w:val="0"/>
              <w:jc w:val="center"/>
              <w:rPr>
                <w:rFonts w:eastAsia="Times New Roman"/>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color w:val="000000"/>
                <w:kern w:val="0"/>
                <w:szCs w:val="21"/>
              </w:rPr>
              <w:t>5.58</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25.2</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szCs w:val="21"/>
                <w:highlight w:val="yellow"/>
              </w:rPr>
            </w:pPr>
            <w:r>
              <w:rPr>
                <w:szCs w:val="21"/>
              </w:rPr>
              <w:t>2023.04.08</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2.47</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163</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51.5</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79.7</w:t>
            </w:r>
          </w:p>
        </w:tc>
        <w:tc>
          <w:tcPr>
            <w:tcW w:w="728" w:type="pct"/>
            <w:shd w:val="clear" w:color="auto" w:fill="auto"/>
            <w:vAlign w:val="center"/>
          </w:tcPr>
          <w:p>
            <w:pPr>
              <w:widowControl/>
              <w:snapToGrid w:val="0"/>
              <w:jc w:val="center"/>
              <w:rPr>
                <w:rFonts w:ascii="宋体" w:hAnsi="宋体" w:cs="宋体"/>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color w:val="000000"/>
                <w:kern w:val="0"/>
                <w:szCs w:val="21"/>
              </w:rPr>
              <w:t>5.36</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27.7</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szCs w:val="21"/>
                <w:highlight w:val="yellow"/>
              </w:rPr>
            </w:pPr>
            <w:r>
              <w:rPr>
                <w:szCs w:val="21"/>
              </w:rPr>
              <w:t>2023.04.09</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2.44</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168</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56.7</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82.2</w:t>
            </w:r>
          </w:p>
        </w:tc>
        <w:tc>
          <w:tcPr>
            <w:tcW w:w="728" w:type="pct"/>
            <w:shd w:val="clear" w:color="auto" w:fill="auto"/>
            <w:vAlign w:val="center"/>
          </w:tcPr>
          <w:p>
            <w:pPr>
              <w:widowControl/>
              <w:snapToGrid w:val="0"/>
              <w:jc w:val="center"/>
              <w:rPr>
                <w:rFonts w:eastAsia="Times New Roman"/>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color w:val="000000"/>
                <w:kern w:val="0"/>
                <w:szCs w:val="21"/>
              </w:rPr>
              <w:t>5.09</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33.6</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restart"/>
            <w:shd w:val="clear" w:color="auto" w:fill="auto"/>
            <w:vAlign w:val="center"/>
          </w:tcPr>
          <w:p>
            <w:pPr>
              <w:widowControl/>
              <w:contextualSpacing/>
              <w:jc w:val="center"/>
              <w:rPr>
                <w:b/>
                <w:bCs/>
                <w:kern w:val="0"/>
                <w:szCs w:val="21"/>
                <w:highlight w:val="yellow"/>
              </w:rPr>
            </w:pPr>
            <w:r>
              <w:rPr>
                <w:b/>
                <w:bCs/>
                <w:kern w:val="0"/>
                <w:szCs w:val="21"/>
              </w:rPr>
              <w:t>魏店村</w:t>
            </w:r>
          </w:p>
        </w:tc>
        <w:tc>
          <w:tcPr>
            <w:tcW w:w="608" w:type="pct"/>
            <w:shd w:val="clear" w:color="auto" w:fill="auto"/>
            <w:vAlign w:val="center"/>
          </w:tcPr>
          <w:p>
            <w:pPr>
              <w:widowControl/>
              <w:jc w:val="center"/>
              <w:rPr>
                <w:rFonts w:eastAsia="Times New Roman"/>
                <w:szCs w:val="21"/>
                <w:highlight w:val="yellow"/>
              </w:rPr>
            </w:pPr>
            <w:r>
              <w:rPr>
                <w:szCs w:val="21"/>
              </w:rPr>
              <w:t>2023.04.07</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5.47</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153</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47.3</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84.7</w:t>
            </w:r>
          </w:p>
        </w:tc>
        <w:tc>
          <w:tcPr>
            <w:tcW w:w="728" w:type="pct"/>
            <w:shd w:val="clear" w:color="auto" w:fill="auto"/>
            <w:vAlign w:val="center"/>
          </w:tcPr>
          <w:p>
            <w:pPr>
              <w:widowControl/>
              <w:snapToGrid w:val="0"/>
              <w:jc w:val="center"/>
              <w:rPr>
                <w:rFonts w:eastAsia="Times New Roman"/>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rFonts w:eastAsia="等线"/>
                <w:szCs w:val="21"/>
              </w:rPr>
              <w:t>5.02</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30.7</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szCs w:val="21"/>
                <w:highlight w:val="yellow"/>
              </w:rPr>
            </w:pPr>
            <w:r>
              <w:rPr>
                <w:szCs w:val="21"/>
              </w:rPr>
              <w:t>2023.04.08</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5.26</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149</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43.2</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86.2</w:t>
            </w:r>
          </w:p>
        </w:tc>
        <w:tc>
          <w:tcPr>
            <w:tcW w:w="728" w:type="pct"/>
            <w:shd w:val="clear" w:color="auto" w:fill="auto"/>
            <w:vAlign w:val="center"/>
          </w:tcPr>
          <w:p>
            <w:pPr>
              <w:widowControl/>
              <w:snapToGrid w:val="0"/>
              <w:jc w:val="center"/>
              <w:rPr>
                <w:rFonts w:ascii="宋体" w:hAnsi="宋体" w:cs="宋体"/>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rFonts w:eastAsia="等线"/>
                <w:szCs w:val="21"/>
              </w:rPr>
              <w:t>5.07</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28.2</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szCs w:val="21"/>
                <w:highlight w:val="yellow"/>
              </w:rPr>
            </w:pPr>
            <w:r>
              <w:rPr>
                <w:szCs w:val="21"/>
              </w:rPr>
              <w:t>2023.04.09</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5.84</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155</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46.7</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89.4</w:t>
            </w:r>
          </w:p>
        </w:tc>
        <w:tc>
          <w:tcPr>
            <w:tcW w:w="728" w:type="pct"/>
            <w:shd w:val="clear" w:color="auto" w:fill="auto"/>
            <w:vAlign w:val="center"/>
          </w:tcPr>
          <w:p>
            <w:pPr>
              <w:widowControl/>
              <w:snapToGrid w:val="0"/>
              <w:jc w:val="center"/>
              <w:rPr>
                <w:rFonts w:eastAsia="Times New Roman"/>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rFonts w:eastAsia="等线"/>
                <w:szCs w:val="21"/>
              </w:rPr>
              <w:t>5.24</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31.7</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restart"/>
            <w:shd w:val="clear" w:color="auto" w:fill="auto"/>
            <w:vAlign w:val="center"/>
          </w:tcPr>
          <w:p>
            <w:pPr>
              <w:widowControl/>
              <w:contextualSpacing/>
              <w:jc w:val="center"/>
              <w:rPr>
                <w:b/>
                <w:bCs/>
                <w:kern w:val="0"/>
                <w:szCs w:val="21"/>
                <w:highlight w:val="yellow"/>
              </w:rPr>
            </w:pPr>
            <w:r>
              <w:rPr>
                <w:b/>
                <w:bCs/>
                <w:kern w:val="0"/>
                <w:szCs w:val="21"/>
              </w:rPr>
              <w:t>小庄村</w:t>
            </w:r>
          </w:p>
        </w:tc>
        <w:tc>
          <w:tcPr>
            <w:tcW w:w="608" w:type="pct"/>
            <w:shd w:val="clear" w:color="auto" w:fill="auto"/>
            <w:vAlign w:val="center"/>
          </w:tcPr>
          <w:p>
            <w:pPr>
              <w:widowControl/>
              <w:jc w:val="center"/>
              <w:rPr>
                <w:rFonts w:eastAsia="Times New Roman"/>
                <w:szCs w:val="21"/>
                <w:highlight w:val="yellow"/>
              </w:rPr>
            </w:pPr>
            <w:r>
              <w:rPr>
                <w:szCs w:val="21"/>
              </w:rPr>
              <w:t>2023.04.07</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2.72</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169</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49.2</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81.5</w:t>
            </w:r>
          </w:p>
        </w:tc>
        <w:tc>
          <w:tcPr>
            <w:tcW w:w="728" w:type="pct"/>
            <w:shd w:val="clear" w:color="auto" w:fill="auto"/>
            <w:vAlign w:val="center"/>
          </w:tcPr>
          <w:p>
            <w:pPr>
              <w:widowControl/>
              <w:snapToGrid w:val="0"/>
              <w:jc w:val="center"/>
              <w:rPr>
                <w:rFonts w:eastAsia="Times New Roman"/>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rFonts w:eastAsia="等线"/>
                <w:szCs w:val="21"/>
              </w:rPr>
              <w:t>5.16</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35.4</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szCs w:val="21"/>
                <w:highlight w:val="yellow"/>
              </w:rPr>
            </w:pPr>
            <w:r>
              <w:rPr>
                <w:szCs w:val="21"/>
              </w:rPr>
              <w:t>2023.04.08</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2.57</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173</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51.7</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86.7</w:t>
            </w:r>
          </w:p>
        </w:tc>
        <w:tc>
          <w:tcPr>
            <w:tcW w:w="728" w:type="pct"/>
            <w:shd w:val="clear" w:color="auto" w:fill="auto"/>
            <w:vAlign w:val="center"/>
          </w:tcPr>
          <w:p>
            <w:pPr>
              <w:widowControl/>
              <w:snapToGrid w:val="0"/>
              <w:jc w:val="center"/>
              <w:rPr>
                <w:rFonts w:ascii="宋体" w:hAnsi="宋体" w:cs="宋体"/>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rFonts w:eastAsia="等线"/>
                <w:szCs w:val="21"/>
              </w:rPr>
              <w:t>5.12</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30.2</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szCs w:val="21"/>
                <w:highlight w:val="yellow"/>
              </w:rPr>
            </w:pPr>
            <w:r>
              <w:rPr>
                <w:szCs w:val="21"/>
              </w:rPr>
              <w:t>2023.04.09</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2.66</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179</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55.9</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83.2</w:t>
            </w:r>
          </w:p>
        </w:tc>
        <w:tc>
          <w:tcPr>
            <w:tcW w:w="728" w:type="pct"/>
            <w:shd w:val="clear" w:color="auto" w:fill="auto"/>
            <w:vAlign w:val="center"/>
          </w:tcPr>
          <w:p>
            <w:pPr>
              <w:widowControl/>
              <w:snapToGrid w:val="0"/>
              <w:jc w:val="center"/>
              <w:rPr>
                <w:rFonts w:eastAsia="Times New Roman"/>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color w:val="000000"/>
                <w:kern w:val="0"/>
                <w:szCs w:val="21"/>
              </w:rPr>
              <w:t>5.56</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38.8</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restart"/>
            <w:shd w:val="clear" w:color="auto" w:fill="auto"/>
            <w:vAlign w:val="center"/>
          </w:tcPr>
          <w:p>
            <w:pPr>
              <w:widowControl/>
              <w:jc w:val="center"/>
              <w:rPr>
                <w:b/>
                <w:bCs/>
                <w:szCs w:val="21"/>
                <w:highlight w:val="yellow"/>
              </w:rPr>
            </w:pPr>
            <w:r>
              <w:rPr>
                <w:b/>
                <w:bCs/>
                <w:szCs w:val="21"/>
              </w:rPr>
              <w:t>张庄村</w:t>
            </w:r>
          </w:p>
        </w:tc>
        <w:tc>
          <w:tcPr>
            <w:tcW w:w="608" w:type="pct"/>
            <w:shd w:val="clear" w:color="auto" w:fill="auto"/>
            <w:vAlign w:val="center"/>
          </w:tcPr>
          <w:p>
            <w:pPr>
              <w:widowControl/>
              <w:jc w:val="center"/>
              <w:rPr>
                <w:rFonts w:eastAsia="Times New Roman"/>
                <w:szCs w:val="21"/>
                <w:highlight w:val="yellow"/>
              </w:rPr>
            </w:pPr>
            <w:r>
              <w:rPr>
                <w:szCs w:val="21"/>
              </w:rPr>
              <w:t>2023.04.07</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1.91</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168</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56.7</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86.3</w:t>
            </w:r>
          </w:p>
        </w:tc>
        <w:tc>
          <w:tcPr>
            <w:tcW w:w="728" w:type="pct"/>
            <w:shd w:val="clear" w:color="auto" w:fill="auto"/>
            <w:vAlign w:val="center"/>
          </w:tcPr>
          <w:p>
            <w:pPr>
              <w:widowControl/>
              <w:snapToGrid w:val="0"/>
              <w:jc w:val="center"/>
              <w:rPr>
                <w:rFonts w:ascii="宋体" w:hAnsi="宋体" w:cs="宋体"/>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color w:val="000000"/>
                <w:kern w:val="0"/>
                <w:szCs w:val="21"/>
              </w:rPr>
              <w:t>4.86</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37.4</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szCs w:val="21"/>
                <w:highlight w:val="yellow"/>
              </w:rPr>
            </w:pPr>
            <w:r>
              <w:rPr>
                <w:szCs w:val="21"/>
              </w:rPr>
              <w:t>2023.04.08</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2.24</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179</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55.2</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80.4</w:t>
            </w:r>
          </w:p>
        </w:tc>
        <w:tc>
          <w:tcPr>
            <w:tcW w:w="728" w:type="pct"/>
            <w:shd w:val="clear" w:color="auto" w:fill="auto"/>
            <w:vAlign w:val="center"/>
          </w:tcPr>
          <w:p>
            <w:pPr>
              <w:widowControl/>
              <w:snapToGrid w:val="0"/>
              <w:jc w:val="center"/>
              <w:rPr>
                <w:rFonts w:ascii="宋体" w:hAnsi="宋体" w:cs="宋体"/>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color w:val="000000"/>
                <w:kern w:val="0"/>
                <w:szCs w:val="21"/>
              </w:rPr>
              <w:t>4.92</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35.2</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szCs w:val="21"/>
                <w:highlight w:val="yellow"/>
              </w:rPr>
            </w:pPr>
            <w:r>
              <w:rPr>
                <w:szCs w:val="21"/>
              </w:rPr>
              <w:t>2023.04.09</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2.73</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172</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53.4</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84.4</w:t>
            </w:r>
          </w:p>
        </w:tc>
        <w:tc>
          <w:tcPr>
            <w:tcW w:w="728" w:type="pct"/>
            <w:shd w:val="clear" w:color="auto" w:fill="auto"/>
            <w:vAlign w:val="center"/>
          </w:tcPr>
          <w:p>
            <w:pPr>
              <w:widowControl/>
              <w:snapToGrid w:val="0"/>
              <w:jc w:val="center"/>
              <w:rPr>
                <w:rFonts w:ascii="宋体" w:hAnsi="宋体" w:cs="宋体"/>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color w:val="000000"/>
                <w:kern w:val="0"/>
                <w:szCs w:val="21"/>
              </w:rPr>
              <w:t>4.77</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36.2</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restart"/>
            <w:shd w:val="clear" w:color="auto" w:fill="auto"/>
            <w:vAlign w:val="center"/>
          </w:tcPr>
          <w:p>
            <w:pPr>
              <w:widowControl/>
              <w:jc w:val="center"/>
              <w:rPr>
                <w:b/>
                <w:bCs/>
                <w:szCs w:val="21"/>
                <w:highlight w:val="yellow"/>
              </w:rPr>
            </w:pPr>
            <w:r>
              <w:rPr>
                <w:b/>
                <w:bCs/>
                <w:szCs w:val="21"/>
              </w:rPr>
              <w:t>范堤口村</w:t>
            </w:r>
          </w:p>
        </w:tc>
        <w:tc>
          <w:tcPr>
            <w:tcW w:w="608" w:type="pct"/>
            <w:shd w:val="clear" w:color="auto" w:fill="auto"/>
            <w:vAlign w:val="center"/>
          </w:tcPr>
          <w:p>
            <w:pPr>
              <w:widowControl/>
              <w:jc w:val="center"/>
              <w:rPr>
                <w:rFonts w:eastAsia="Times New Roman"/>
                <w:szCs w:val="21"/>
                <w:highlight w:val="yellow"/>
              </w:rPr>
            </w:pPr>
            <w:r>
              <w:rPr>
                <w:szCs w:val="21"/>
              </w:rPr>
              <w:t>2023.04.07</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4.63</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163</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77.6</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84.6</w:t>
            </w:r>
          </w:p>
        </w:tc>
        <w:tc>
          <w:tcPr>
            <w:tcW w:w="728" w:type="pct"/>
            <w:shd w:val="clear" w:color="auto" w:fill="auto"/>
            <w:vAlign w:val="center"/>
          </w:tcPr>
          <w:p>
            <w:pPr>
              <w:widowControl/>
              <w:snapToGrid w:val="0"/>
              <w:jc w:val="center"/>
              <w:rPr>
                <w:rFonts w:ascii="宋体" w:hAnsi="宋体" w:cs="宋体"/>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color w:val="000000"/>
                <w:kern w:val="0"/>
                <w:szCs w:val="21"/>
              </w:rPr>
              <w:t>6.04</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40.6</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szCs w:val="21"/>
                <w:highlight w:val="yellow"/>
              </w:rPr>
            </w:pPr>
            <w:r>
              <w:rPr>
                <w:szCs w:val="21"/>
              </w:rPr>
              <w:t>2023.04.08</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4.17</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157</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73.7</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86.7</w:t>
            </w:r>
          </w:p>
        </w:tc>
        <w:tc>
          <w:tcPr>
            <w:tcW w:w="728" w:type="pct"/>
            <w:shd w:val="clear" w:color="auto" w:fill="auto"/>
            <w:vAlign w:val="center"/>
          </w:tcPr>
          <w:p>
            <w:pPr>
              <w:widowControl/>
              <w:snapToGrid w:val="0"/>
              <w:jc w:val="center"/>
              <w:rPr>
                <w:rFonts w:ascii="宋体" w:hAnsi="宋体" w:cs="宋体"/>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color w:val="000000"/>
                <w:kern w:val="0"/>
                <w:szCs w:val="21"/>
              </w:rPr>
              <w:t>5.82</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42.2</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81" w:type="pct"/>
            <w:vMerge w:val="continue"/>
            <w:shd w:val="clear" w:color="auto" w:fill="auto"/>
            <w:vAlign w:val="center"/>
          </w:tcPr>
          <w:p>
            <w:pPr>
              <w:widowControl/>
              <w:jc w:val="center"/>
              <w:rPr>
                <w:b/>
                <w:bCs/>
                <w:szCs w:val="21"/>
                <w:highlight w:val="yellow"/>
              </w:rPr>
            </w:pPr>
          </w:p>
        </w:tc>
        <w:tc>
          <w:tcPr>
            <w:tcW w:w="608" w:type="pct"/>
            <w:shd w:val="clear" w:color="auto" w:fill="auto"/>
            <w:vAlign w:val="center"/>
          </w:tcPr>
          <w:p>
            <w:pPr>
              <w:widowControl/>
              <w:jc w:val="center"/>
              <w:rPr>
                <w:rFonts w:eastAsia="Times New Roman"/>
                <w:szCs w:val="21"/>
                <w:highlight w:val="yellow"/>
              </w:rPr>
            </w:pPr>
            <w:r>
              <w:rPr>
                <w:szCs w:val="21"/>
              </w:rPr>
              <w:t>2023.04.09</w:t>
            </w:r>
          </w:p>
        </w:tc>
        <w:tc>
          <w:tcPr>
            <w:tcW w:w="341" w:type="pct"/>
            <w:shd w:val="clear" w:color="auto" w:fill="auto"/>
            <w:vAlign w:val="center"/>
          </w:tcPr>
          <w:p>
            <w:pPr>
              <w:widowControl/>
              <w:jc w:val="center"/>
              <w:textAlignment w:val="center"/>
              <w:rPr>
                <w:kern w:val="0"/>
                <w:szCs w:val="21"/>
                <w:highlight w:val="yellow"/>
              </w:rPr>
            </w:pPr>
            <w:r>
              <w:rPr>
                <w:color w:val="000000"/>
                <w:kern w:val="0"/>
                <w:szCs w:val="21"/>
              </w:rPr>
              <w:t>4.76</w:t>
            </w:r>
          </w:p>
        </w:tc>
        <w:tc>
          <w:tcPr>
            <w:tcW w:w="341" w:type="pct"/>
            <w:shd w:val="clear" w:color="auto" w:fill="auto"/>
            <w:vAlign w:val="center"/>
          </w:tcPr>
          <w:p>
            <w:pPr>
              <w:widowControl/>
              <w:jc w:val="center"/>
              <w:textAlignment w:val="center"/>
              <w:rPr>
                <w:kern w:val="0"/>
                <w:szCs w:val="21"/>
                <w:highlight w:val="yellow"/>
              </w:rPr>
            </w:pPr>
            <w:r>
              <w:rPr>
                <w:rFonts w:eastAsia="等线"/>
                <w:szCs w:val="21"/>
              </w:rPr>
              <w:t>168</w:t>
            </w:r>
          </w:p>
        </w:tc>
        <w:tc>
          <w:tcPr>
            <w:tcW w:w="376" w:type="pct"/>
            <w:shd w:val="clear" w:color="auto" w:fill="auto"/>
            <w:vAlign w:val="center"/>
          </w:tcPr>
          <w:p>
            <w:pPr>
              <w:widowControl/>
              <w:jc w:val="center"/>
              <w:textAlignment w:val="center"/>
              <w:rPr>
                <w:kern w:val="0"/>
                <w:szCs w:val="21"/>
                <w:highlight w:val="yellow"/>
              </w:rPr>
            </w:pPr>
            <w:r>
              <w:rPr>
                <w:color w:val="000000"/>
                <w:kern w:val="0"/>
                <w:szCs w:val="21"/>
              </w:rPr>
              <w:t>66.8</w:t>
            </w:r>
          </w:p>
        </w:tc>
        <w:tc>
          <w:tcPr>
            <w:tcW w:w="437" w:type="pct"/>
            <w:shd w:val="clear" w:color="auto" w:fill="auto"/>
            <w:vAlign w:val="center"/>
          </w:tcPr>
          <w:p>
            <w:pPr>
              <w:widowControl/>
              <w:jc w:val="center"/>
              <w:textAlignment w:val="center"/>
              <w:rPr>
                <w:kern w:val="0"/>
                <w:szCs w:val="21"/>
                <w:highlight w:val="yellow"/>
              </w:rPr>
            </w:pPr>
            <w:r>
              <w:rPr>
                <w:rFonts w:eastAsia="等线"/>
                <w:szCs w:val="21"/>
              </w:rPr>
              <w:t>88.2</w:t>
            </w:r>
          </w:p>
        </w:tc>
        <w:tc>
          <w:tcPr>
            <w:tcW w:w="728" w:type="pct"/>
            <w:shd w:val="clear" w:color="auto" w:fill="auto"/>
            <w:vAlign w:val="center"/>
          </w:tcPr>
          <w:p>
            <w:pPr>
              <w:widowControl/>
              <w:snapToGrid w:val="0"/>
              <w:jc w:val="center"/>
              <w:rPr>
                <w:rFonts w:ascii="宋体" w:hAnsi="宋体" w:cs="宋体"/>
                <w:szCs w:val="21"/>
                <w:highlight w:val="yellow"/>
              </w:rPr>
            </w:pPr>
            <w:r>
              <w:rPr>
                <w:szCs w:val="21"/>
              </w:rPr>
              <w:t>未检出</w:t>
            </w:r>
          </w:p>
        </w:tc>
        <w:tc>
          <w:tcPr>
            <w:tcW w:w="728" w:type="pct"/>
            <w:shd w:val="clear" w:color="auto" w:fill="auto"/>
            <w:vAlign w:val="center"/>
          </w:tcPr>
          <w:p>
            <w:pPr>
              <w:widowControl/>
              <w:jc w:val="center"/>
              <w:textAlignment w:val="center"/>
              <w:rPr>
                <w:kern w:val="0"/>
                <w:szCs w:val="21"/>
                <w:highlight w:val="yellow"/>
              </w:rPr>
            </w:pPr>
            <w:r>
              <w:rPr>
                <w:color w:val="000000"/>
                <w:kern w:val="0"/>
                <w:szCs w:val="21"/>
              </w:rPr>
              <w:t>6.01</w:t>
            </w:r>
          </w:p>
        </w:tc>
        <w:tc>
          <w:tcPr>
            <w:tcW w:w="427" w:type="pct"/>
            <w:shd w:val="clear" w:color="auto" w:fill="auto"/>
            <w:vAlign w:val="center"/>
          </w:tcPr>
          <w:p>
            <w:pPr>
              <w:widowControl/>
              <w:jc w:val="center"/>
              <w:textAlignment w:val="center"/>
              <w:rPr>
                <w:kern w:val="0"/>
                <w:szCs w:val="21"/>
                <w:highlight w:val="yellow"/>
              </w:rPr>
            </w:pPr>
            <w:r>
              <w:rPr>
                <w:rFonts w:eastAsia="等线"/>
                <w:szCs w:val="21"/>
              </w:rPr>
              <w:t>38.4</w:t>
            </w:r>
          </w:p>
        </w:tc>
        <w:tc>
          <w:tcPr>
            <w:tcW w:w="533" w:type="pct"/>
            <w:shd w:val="clear" w:color="auto" w:fill="auto"/>
            <w:vAlign w:val="center"/>
          </w:tcPr>
          <w:p>
            <w:pPr>
              <w:widowControl/>
              <w:jc w:val="center"/>
              <w:textAlignment w:val="center"/>
              <w:rPr>
                <w:kern w:val="0"/>
                <w:szCs w:val="21"/>
                <w:highlight w:val="yellow"/>
              </w:rPr>
            </w:pPr>
            <w:r>
              <w:rPr>
                <w:rFonts w:eastAsia="等线"/>
                <w:szCs w:val="21"/>
              </w:rPr>
              <w:t>50.8</w:t>
            </w:r>
          </w:p>
        </w:tc>
      </w:tr>
    </w:tbl>
    <w:p>
      <w:pPr>
        <w:spacing w:line="520" w:lineRule="exact"/>
        <w:ind w:firstLine="480" w:firstLineChars="200"/>
        <w:rPr>
          <w:sz w:val="24"/>
          <w:szCs w:val="24"/>
        </w:rPr>
      </w:pPr>
      <w:r>
        <w:rPr>
          <w:rFonts w:hint="eastAsia"/>
          <w:sz w:val="24"/>
          <w:szCs w:val="24"/>
        </w:rPr>
        <w:t>根据上表核算，项目所在区域地下水化学类型主要为H</w:t>
      </w:r>
      <w:r>
        <w:rPr>
          <w:sz w:val="24"/>
          <w:szCs w:val="24"/>
        </w:rPr>
        <w:t>CO</w:t>
      </w:r>
      <w:r>
        <w:rPr>
          <w:sz w:val="24"/>
          <w:szCs w:val="24"/>
          <w:vertAlign w:val="subscript"/>
        </w:rPr>
        <w:t>3</w:t>
      </w:r>
      <w:r>
        <w:rPr>
          <w:sz w:val="24"/>
          <w:szCs w:val="24"/>
        </w:rPr>
        <w:t>-N</w:t>
      </w:r>
      <w:r>
        <w:rPr>
          <w:rFonts w:hint="eastAsia"/>
          <w:sz w:val="24"/>
          <w:szCs w:val="24"/>
        </w:rPr>
        <w:t>a</w:t>
      </w:r>
      <w:r>
        <w:rPr>
          <w:sz w:val="24"/>
          <w:szCs w:val="24"/>
        </w:rPr>
        <w:t>-Ca</w:t>
      </w:r>
      <w:r>
        <w:rPr>
          <w:rFonts w:hint="eastAsia"/>
          <w:sz w:val="24"/>
          <w:szCs w:val="24"/>
        </w:rPr>
        <w:t>-</w:t>
      </w:r>
      <w:r>
        <w:rPr>
          <w:sz w:val="24"/>
          <w:szCs w:val="24"/>
        </w:rPr>
        <w:t>Mg</w:t>
      </w:r>
      <w:r>
        <w:rPr>
          <w:rFonts w:hint="eastAsia"/>
          <w:sz w:val="24"/>
          <w:szCs w:val="24"/>
        </w:rPr>
        <w:t>型。</w:t>
      </w:r>
    </w:p>
    <w:p>
      <w:pPr>
        <w:spacing w:line="520" w:lineRule="exact"/>
        <w:ind w:firstLine="480" w:firstLineChars="200"/>
        <w:rPr>
          <w:rFonts w:eastAsia="黑体"/>
          <w:sz w:val="24"/>
          <w:szCs w:val="24"/>
        </w:rPr>
      </w:pPr>
    </w:p>
    <w:p>
      <w:pPr>
        <w:spacing w:line="520" w:lineRule="exact"/>
        <w:ind w:firstLine="480" w:firstLineChars="200"/>
        <w:rPr>
          <w:rFonts w:eastAsia="黑体"/>
          <w:sz w:val="24"/>
          <w:szCs w:val="24"/>
        </w:rPr>
        <w:sectPr>
          <w:headerReference r:id="rId16" w:type="default"/>
          <w:footerReference r:id="rId17" w:type="default"/>
          <w:pgSz w:w="11906" w:h="16838"/>
          <w:pgMar w:top="1701" w:right="1588" w:bottom="1701" w:left="1588" w:header="851" w:footer="1134" w:gutter="0"/>
          <w:pgNumType w:start="1"/>
          <w:cols w:space="720" w:num="1"/>
          <w:docGrid w:type="lines" w:linePitch="312" w:charSpace="0"/>
        </w:sectPr>
      </w:pPr>
    </w:p>
    <w:p>
      <w:pPr>
        <w:widowControl/>
        <w:snapToGrid w:val="0"/>
        <w:spacing w:line="520" w:lineRule="exact"/>
        <w:ind w:firstLine="480" w:firstLineChars="200"/>
        <w:jc w:val="center"/>
        <w:rPr>
          <w:rFonts w:eastAsia="黑体"/>
          <w:kern w:val="0"/>
          <w:sz w:val="24"/>
          <w:szCs w:val="20"/>
        </w:rPr>
      </w:pPr>
      <w:r>
        <w:rPr>
          <w:rFonts w:eastAsia="黑体"/>
          <w:kern w:val="0"/>
          <w:sz w:val="24"/>
          <w:szCs w:val="20"/>
        </w:rPr>
        <w:t>表4.3-13                                地下水检测结果（一）                    单位：mg/L（另注除外）</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45"/>
        <w:gridCol w:w="1318"/>
        <w:gridCol w:w="1218"/>
        <w:gridCol w:w="960"/>
        <w:gridCol w:w="1135"/>
        <w:gridCol w:w="850"/>
        <w:gridCol w:w="1417"/>
        <w:gridCol w:w="1081"/>
        <w:gridCol w:w="885"/>
        <w:gridCol w:w="885"/>
        <w:gridCol w:w="885"/>
        <w:gridCol w:w="885"/>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389" w:type="pct"/>
            <w:shd w:val="clear" w:color="auto" w:fill="auto"/>
            <w:vAlign w:val="center"/>
          </w:tcPr>
          <w:p>
            <w:pPr>
              <w:widowControl/>
              <w:jc w:val="center"/>
              <w:rPr>
                <w:rFonts w:eastAsia="Times New Roman"/>
                <w:b/>
                <w:bCs/>
                <w:szCs w:val="21"/>
              </w:rPr>
            </w:pPr>
            <w:r>
              <w:rPr>
                <w:rFonts w:hint="eastAsia" w:ascii="宋体" w:hAnsi="宋体" w:cs="宋体"/>
                <w:b/>
                <w:bCs/>
                <w:szCs w:val="21"/>
              </w:rPr>
              <w:t>检测点位</w:t>
            </w:r>
          </w:p>
        </w:tc>
        <w:tc>
          <w:tcPr>
            <w:tcW w:w="490" w:type="pct"/>
            <w:shd w:val="clear" w:color="auto" w:fill="auto"/>
            <w:vAlign w:val="center"/>
          </w:tcPr>
          <w:p>
            <w:pPr>
              <w:widowControl/>
              <w:jc w:val="center"/>
              <w:rPr>
                <w:rFonts w:eastAsia="Times New Roman"/>
                <w:b/>
                <w:bCs/>
                <w:szCs w:val="21"/>
              </w:rPr>
            </w:pPr>
            <w:r>
              <w:rPr>
                <w:rFonts w:hint="eastAsia" w:ascii="宋体" w:hAnsi="宋体" w:cs="宋体"/>
                <w:b/>
                <w:bCs/>
                <w:szCs w:val="21"/>
              </w:rPr>
              <w:t>采样时间</w:t>
            </w:r>
          </w:p>
        </w:tc>
        <w:tc>
          <w:tcPr>
            <w:tcW w:w="453" w:type="pct"/>
            <w:shd w:val="clear" w:color="auto" w:fill="auto"/>
            <w:vAlign w:val="center"/>
          </w:tcPr>
          <w:p>
            <w:pPr>
              <w:widowControl/>
              <w:jc w:val="center"/>
              <w:rPr>
                <w:rFonts w:eastAsia="Times New Roman"/>
                <w:b/>
                <w:bCs/>
                <w:szCs w:val="21"/>
              </w:rPr>
            </w:pPr>
            <w:r>
              <w:rPr>
                <w:b/>
                <w:bCs/>
                <w:szCs w:val="21"/>
              </w:rPr>
              <w:t>pH</w:t>
            </w:r>
            <w:r>
              <w:rPr>
                <w:rFonts w:hint="eastAsia" w:ascii="宋体" w:hAnsi="宋体" w:cs="宋体"/>
                <w:b/>
                <w:bCs/>
                <w:szCs w:val="21"/>
              </w:rPr>
              <w:t>值</w:t>
            </w:r>
          </w:p>
          <w:p>
            <w:pPr>
              <w:widowControl/>
              <w:jc w:val="center"/>
              <w:rPr>
                <w:rFonts w:eastAsia="Times New Roman"/>
                <w:b/>
                <w:bCs/>
                <w:szCs w:val="21"/>
              </w:rPr>
            </w:pPr>
            <w:r>
              <w:rPr>
                <w:rFonts w:eastAsia="Times New Roman"/>
                <w:b/>
                <w:bCs/>
                <w:szCs w:val="21"/>
              </w:rPr>
              <w:t>(</w:t>
            </w:r>
            <w:r>
              <w:rPr>
                <w:rFonts w:hint="eastAsia" w:ascii="宋体" w:hAnsi="宋体" w:cs="宋体"/>
                <w:b/>
                <w:bCs/>
                <w:szCs w:val="21"/>
              </w:rPr>
              <w:t>无量纲</w:t>
            </w:r>
            <w:r>
              <w:rPr>
                <w:rFonts w:eastAsia="Times New Roman"/>
                <w:b/>
                <w:bCs/>
                <w:szCs w:val="21"/>
              </w:rPr>
              <w:t>)</w:t>
            </w:r>
          </w:p>
        </w:tc>
        <w:tc>
          <w:tcPr>
            <w:tcW w:w="357" w:type="pct"/>
            <w:shd w:val="clear" w:color="auto" w:fill="auto"/>
            <w:vAlign w:val="center"/>
          </w:tcPr>
          <w:p>
            <w:pPr>
              <w:widowControl/>
              <w:snapToGrid w:val="0"/>
              <w:jc w:val="center"/>
              <w:rPr>
                <w:rFonts w:eastAsia="Times New Roman"/>
                <w:b/>
                <w:bCs/>
                <w:szCs w:val="21"/>
              </w:rPr>
            </w:pPr>
            <w:r>
              <w:rPr>
                <w:b/>
                <w:bCs/>
                <w:szCs w:val="21"/>
              </w:rPr>
              <w:t>氨氮</w:t>
            </w:r>
          </w:p>
        </w:tc>
        <w:tc>
          <w:tcPr>
            <w:tcW w:w="422" w:type="pct"/>
            <w:shd w:val="clear" w:color="auto" w:fill="auto"/>
            <w:vAlign w:val="center"/>
          </w:tcPr>
          <w:p>
            <w:pPr>
              <w:widowControl/>
              <w:jc w:val="center"/>
              <w:rPr>
                <w:rFonts w:eastAsia="Times New Roman"/>
                <w:b/>
                <w:bCs/>
                <w:szCs w:val="21"/>
              </w:rPr>
            </w:pPr>
            <w:r>
              <w:rPr>
                <w:b/>
                <w:bCs/>
                <w:szCs w:val="21"/>
              </w:rPr>
              <w:t>亚硝酸盐</w:t>
            </w:r>
          </w:p>
        </w:tc>
        <w:tc>
          <w:tcPr>
            <w:tcW w:w="316" w:type="pct"/>
            <w:shd w:val="clear" w:color="auto" w:fill="auto"/>
            <w:vAlign w:val="center"/>
          </w:tcPr>
          <w:p>
            <w:pPr>
              <w:widowControl/>
              <w:jc w:val="center"/>
              <w:rPr>
                <w:rFonts w:eastAsia="Times New Roman"/>
                <w:b/>
                <w:bCs/>
                <w:szCs w:val="21"/>
              </w:rPr>
            </w:pPr>
            <w:r>
              <w:rPr>
                <w:b/>
                <w:bCs/>
                <w:szCs w:val="21"/>
              </w:rPr>
              <w:t>硝酸盐</w:t>
            </w:r>
          </w:p>
        </w:tc>
        <w:tc>
          <w:tcPr>
            <w:tcW w:w="527" w:type="pct"/>
            <w:shd w:val="clear" w:color="auto" w:fill="auto"/>
            <w:vAlign w:val="center"/>
          </w:tcPr>
          <w:p>
            <w:pPr>
              <w:widowControl/>
              <w:snapToGrid w:val="0"/>
              <w:jc w:val="center"/>
              <w:rPr>
                <w:rFonts w:eastAsia="Times New Roman"/>
                <w:b/>
                <w:bCs/>
                <w:szCs w:val="21"/>
              </w:rPr>
            </w:pPr>
            <w:r>
              <w:rPr>
                <w:b/>
                <w:bCs/>
                <w:szCs w:val="21"/>
              </w:rPr>
              <w:t>挥发</w:t>
            </w:r>
            <w:r>
              <w:rPr>
                <w:rFonts w:hint="eastAsia" w:ascii="宋体" w:hAnsi="宋体" w:cs="宋体"/>
                <w:b/>
                <w:bCs/>
                <w:szCs w:val="21"/>
              </w:rPr>
              <w:t>性</w:t>
            </w:r>
            <w:r>
              <w:rPr>
                <w:b/>
                <w:bCs/>
                <w:szCs w:val="21"/>
              </w:rPr>
              <w:t>酚</w:t>
            </w:r>
            <w:r>
              <w:rPr>
                <w:rFonts w:hint="eastAsia" w:ascii="宋体" w:hAnsi="宋体" w:cs="宋体"/>
                <w:b/>
                <w:bCs/>
                <w:szCs w:val="21"/>
              </w:rPr>
              <w:t>类</w:t>
            </w:r>
          </w:p>
        </w:tc>
        <w:tc>
          <w:tcPr>
            <w:tcW w:w="402" w:type="pct"/>
            <w:shd w:val="clear" w:color="auto" w:fill="auto"/>
            <w:vAlign w:val="center"/>
          </w:tcPr>
          <w:p>
            <w:pPr>
              <w:widowControl/>
              <w:jc w:val="center"/>
              <w:rPr>
                <w:rFonts w:eastAsia="Times New Roman"/>
                <w:b/>
                <w:bCs/>
                <w:szCs w:val="21"/>
              </w:rPr>
            </w:pPr>
            <w:r>
              <w:rPr>
                <w:b/>
                <w:bCs/>
                <w:szCs w:val="21"/>
              </w:rPr>
              <w:t>氰化物</w:t>
            </w:r>
          </w:p>
        </w:tc>
        <w:tc>
          <w:tcPr>
            <w:tcW w:w="329" w:type="pct"/>
            <w:shd w:val="clear" w:color="auto" w:fill="auto"/>
            <w:vAlign w:val="center"/>
          </w:tcPr>
          <w:p>
            <w:pPr>
              <w:widowControl/>
              <w:jc w:val="center"/>
              <w:rPr>
                <w:b/>
                <w:bCs/>
                <w:szCs w:val="21"/>
              </w:rPr>
            </w:pPr>
            <w:r>
              <w:rPr>
                <w:b/>
                <w:kern w:val="0"/>
                <w:szCs w:val="21"/>
              </w:rPr>
              <w:t>硫化物</w:t>
            </w:r>
          </w:p>
        </w:tc>
        <w:tc>
          <w:tcPr>
            <w:tcW w:w="329" w:type="pct"/>
            <w:vAlign w:val="center"/>
          </w:tcPr>
          <w:p>
            <w:pPr>
              <w:widowControl/>
              <w:jc w:val="center"/>
              <w:rPr>
                <w:b/>
                <w:bCs/>
                <w:szCs w:val="21"/>
              </w:rPr>
            </w:pPr>
            <w:r>
              <w:rPr>
                <w:b/>
                <w:bCs/>
                <w:szCs w:val="21"/>
              </w:rPr>
              <w:t>汞</w:t>
            </w:r>
          </w:p>
          <w:p>
            <w:pPr>
              <w:widowControl/>
              <w:jc w:val="center"/>
              <w:rPr>
                <w:b/>
                <w:kern w:val="0"/>
                <w:szCs w:val="21"/>
              </w:rPr>
            </w:pPr>
            <w:r>
              <w:rPr>
                <w:b/>
                <w:bCs/>
                <w:sz w:val="18"/>
                <w:szCs w:val="18"/>
              </w:rPr>
              <w:t>(μg/L)</w:t>
            </w:r>
          </w:p>
        </w:tc>
        <w:tc>
          <w:tcPr>
            <w:tcW w:w="329" w:type="pct"/>
            <w:vAlign w:val="center"/>
          </w:tcPr>
          <w:p>
            <w:pPr>
              <w:widowControl/>
              <w:jc w:val="center"/>
              <w:rPr>
                <w:b/>
                <w:bCs/>
                <w:szCs w:val="21"/>
              </w:rPr>
            </w:pPr>
            <w:r>
              <w:rPr>
                <w:b/>
                <w:bCs/>
                <w:szCs w:val="21"/>
              </w:rPr>
              <w:t>砷</w:t>
            </w:r>
          </w:p>
          <w:p>
            <w:pPr>
              <w:widowControl/>
              <w:jc w:val="center"/>
              <w:rPr>
                <w:b/>
                <w:kern w:val="0"/>
                <w:szCs w:val="21"/>
              </w:rPr>
            </w:pPr>
            <w:r>
              <w:rPr>
                <w:b/>
                <w:bCs/>
                <w:sz w:val="18"/>
                <w:szCs w:val="18"/>
              </w:rPr>
              <w:t>(μg/L)</w:t>
            </w:r>
          </w:p>
        </w:tc>
        <w:tc>
          <w:tcPr>
            <w:tcW w:w="329" w:type="pct"/>
            <w:vAlign w:val="center"/>
          </w:tcPr>
          <w:p>
            <w:pPr>
              <w:widowControl/>
              <w:jc w:val="center"/>
              <w:rPr>
                <w:b/>
                <w:kern w:val="0"/>
                <w:szCs w:val="21"/>
              </w:rPr>
            </w:pPr>
            <w:r>
              <w:rPr>
                <w:b/>
                <w:bCs/>
                <w:szCs w:val="21"/>
              </w:rPr>
              <w:t>六价铬</w:t>
            </w:r>
          </w:p>
        </w:tc>
        <w:tc>
          <w:tcPr>
            <w:tcW w:w="328" w:type="pct"/>
            <w:vAlign w:val="center"/>
          </w:tcPr>
          <w:p>
            <w:pPr>
              <w:widowControl/>
              <w:jc w:val="center"/>
              <w:rPr>
                <w:b/>
                <w:kern w:val="0"/>
                <w:szCs w:val="21"/>
              </w:rPr>
            </w:pPr>
            <w:r>
              <w:rPr>
                <w:b/>
                <w:bCs/>
                <w:szCs w:val="21"/>
              </w:rPr>
              <w:t>总硬度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restart"/>
            <w:shd w:val="clear" w:color="auto" w:fill="auto"/>
            <w:vAlign w:val="center"/>
          </w:tcPr>
          <w:p>
            <w:pPr>
              <w:widowControl/>
              <w:contextualSpacing/>
              <w:jc w:val="center"/>
              <w:rPr>
                <w:b/>
                <w:bCs/>
                <w:kern w:val="0"/>
                <w:szCs w:val="21"/>
                <w:highlight w:val="yellow"/>
              </w:rPr>
            </w:pPr>
            <w:r>
              <w:rPr>
                <w:b/>
                <w:bCs/>
                <w:kern w:val="0"/>
                <w:szCs w:val="21"/>
              </w:rPr>
              <w:t>厂址</w:t>
            </w:r>
          </w:p>
        </w:tc>
        <w:tc>
          <w:tcPr>
            <w:tcW w:w="490" w:type="pct"/>
            <w:shd w:val="clear" w:color="auto" w:fill="auto"/>
            <w:vAlign w:val="center"/>
          </w:tcPr>
          <w:p>
            <w:pPr>
              <w:widowControl/>
              <w:jc w:val="center"/>
              <w:rPr>
                <w:rFonts w:eastAsia="Times New Roman"/>
                <w:szCs w:val="21"/>
                <w:highlight w:val="yellow"/>
              </w:rPr>
            </w:pPr>
            <w:r>
              <w:rPr>
                <w:szCs w:val="21"/>
              </w:rPr>
              <w:t>2023.04.07</w:t>
            </w:r>
          </w:p>
        </w:tc>
        <w:tc>
          <w:tcPr>
            <w:tcW w:w="453" w:type="pct"/>
            <w:shd w:val="clear" w:color="auto" w:fill="auto"/>
            <w:vAlign w:val="center"/>
          </w:tcPr>
          <w:p>
            <w:pPr>
              <w:widowControl/>
              <w:jc w:val="center"/>
              <w:rPr>
                <w:szCs w:val="21"/>
                <w:highlight w:val="yellow"/>
              </w:rPr>
            </w:pPr>
            <w:r>
              <w:rPr>
                <w:szCs w:val="21"/>
              </w:rPr>
              <w:t>7.6</w:t>
            </w:r>
          </w:p>
        </w:tc>
        <w:tc>
          <w:tcPr>
            <w:tcW w:w="357" w:type="pct"/>
            <w:shd w:val="clear" w:color="auto" w:fill="auto"/>
            <w:vAlign w:val="center"/>
          </w:tcPr>
          <w:p>
            <w:pPr>
              <w:widowControl/>
              <w:jc w:val="center"/>
              <w:rPr>
                <w:szCs w:val="21"/>
                <w:highlight w:val="yellow"/>
              </w:rPr>
            </w:pPr>
            <w:r>
              <w:rPr>
                <w:szCs w:val="21"/>
              </w:rPr>
              <w:t>0.143</w:t>
            </w:r>
          </w:p>
        </w:tc>
        <w:tc>
          <w:tcPr>
            <w:tcW w:w="422" w:type="pct"/>
            <w:shd w:val="clear" w:color="auto" w:fill="auto"/>
            <w:vAlign w:val="center"/>
          </w:tcPr>
          <w:p>
            <w:pPr>
              <w:widowControl/>
              <w:jc w:val="center"/>
              <w:textAlignment w:val="center"/>
              <w:rPr>
                <w:rFonts w:eastAsia="Times New Roman"/>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kern w:val="0"/>
                <w:szCs w:val="21"/>
                <w:highlight w:val="yellow"/>
                <w:lang w:bidi="ar"/>
              </w:rPr>
            </w:pPr>
            <w:r>
              <w:rPr>
                <w:szCs w:val="21"/>
              </w:rPr>
              <w:t>0.12</w:t>
            </w:r>
          </w:p>
        </w:tc>
        <w:tc>
          <w:tcPr>
            <w:tcW w:w="527" w:type="pct"/>
            <w:shd w:val="clear" w:color="auto" w:fill="auto"/>
            <w:vAlign w:val="center"/>
          </w:tcPr>
          <w:p>
            <w:pPr>
              <w:widowControl/>
              <w:jc w:val="center"/>
              <w:rPr>
                <w:rFonts w:eastAsia="Times New Roman"/>
                <w:szCs w:val="21"/>
                <w:highlight w:val="yellow"/>
              </w:rPr>
            </w:pPr>
            <w:r>
              <w:rPr>
                <w:szCs w:val="21"/>
              </w:rPr>
              <w:t>未检出</w:t>
            </w:r>
          </w:p>
        </w:tc>
        <w:tc>
          <w:tcPr>
            <w:tcW w:w="402" w:type="pct"/>
            <w:shd w:val="clear" w:color="auto" w:fill="auto"/>
            <w:vAlign w:val="center"/>
          </w:tcPr>
          <w:p>
            <w:pPr>
              <w:widowControl/>
              <w:jc w:val="center"/>
              <w:rPr>
                <w:rFonts w:eastAsia="Times New Roman"/>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b/>
                <w:bCs/>
                <w:szCs w:val="21"/>
                <w:highlight w:val="yellow"/>
              </w:rPr>
            </w:pPr>
            <w:r>
              <w:rPr>
                <w:szCs w:val="21"/>
              </w:rPr>
              <w:t>2023.04.08</w:t>
            </w:r>
          </w:p>
        </w:tc>
        <w:tc>
          <w:tcPr>
            <w:tcW w:w="453" w:type="pct"/>
            <w:shd w:val="clear" w:color="auto" w:fill="auto"/>
            <w:vAlign w:val="center"/>
          </w:tcPr>
          <w:p>
            <w:pPr>
              <w:widowControl/>
              <w:jc w:val="center"/>
              <w:rPr>
                <w:szCs w:val="21"/>
                <w:highlight w:val="yellow"/>
              </w:rPr>
            </w:pPr>
            <w:r>
              <w:rPr>
                <w:szCs w:val="21"/>
                <w:lang w:bidi="ar"/>
              </w:rPr>
              <w:t>7.7</w:t>
            </w:r>
          </w:p>
        </w:tc>
        <w:tc>
          <w:tcPr>
            <w:tcW w:w="357" w:type="pct"/>
            <w:shd w:val="clear" w:color="auto" w:fill="auto"/>
            <w:vAlign w:val="center"/>
          </w:tcPr>
          <w:p>
            <w:pPr>
              <w:widowControl/>
              <w:jc w:val="center"/>
              <w:rPr>
                <w:szCs w:val="21"/>
                <w:highlight w:val="yellow"/>
              </w:rPr>
            </w:pPr>
            <w:r>
              <w:rPr>
                <w:szCs w:val="21"/>
              </w:rPr>
              <w:t>0.139</w:t>
            </w:r>
          </w:p>
        </w:tc>
        <w:tc>
          <w:tcPr>
            <w:tcW w:w="4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0.15</w:t>
            </w:r>
          </w:p>
        </w:tc>
        <w:tc>
          <w:tcPr>
            <w:tcW w:w="527" w:type="pct"/>
            <w:shd w:val="clear" w:color="auto" w:fill="auto"/>
            <w:vAlign w:val="center"/>
          </w:tcPr>
          <w:p>
            <w:pPr>
              <w:widowControl/>
              <w:jc w:val="center"/>
              <w:rPr>
                <w:rFonts w:ascii="宋体" w:hAnsi="宋体" w:cs="宋体"/>
                <w:szCs w:val="21"/>
                <w:highlight w:val="yellow"/>
              </w:rPr>
            </w:pPr>
            <w:r>
              <w:rPr>
                <w:szCs w:val="21"/>
              </w:rPr>
              <w:t>未检出</w:t>
            </w:r>
          </w:p>
        </w:tc>
        <w:tc>
          <w:tcPr>
            <w:tcW w:w="402" w:type="pct"/>
            <w:shd w:val="clear" w:color="auto" w:fill="auto"/>
            <w:vAlign w:val="center"/>
          </w:tcPr>
          <w:p>
            <w:pPr>
              <w:widowControl/>
              <w:jc w:val="center"/>
              <w:rPr>
                <w:rFonts w:ascii="宋体" w:hAnsi="宋体" w:cs="宋体"/>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b/>
                <w:bCs/>
                <w:szCs w:val="21"/>
                <w:highlight w:val="yellow"/>
              </w:rPr>
            </w:pPr>
            <w:r>
              <w:rPr>
                <w:szCs w:val="21"/>
              </w:rPr>
              <w:t>2023.04.09</w:t>
            </w:r>
          </w:p>
        </w:tc>
        <w:tc>
          <w:tcPr>
            <w:tcW w:w="453" w:type="pct"/>
            <w:shd w:val="clear" w:color="auto" w:fill="auto"/>
            <w:vAlign w:val="center"/>
          </w:tcPr>
          <w:p>
            <w:pPr>
              <w:widowControl/>
              <w:jc w:val="center"/>
              <w:rPr>
                <w:szCs w:val="21"/>
                <w:highlight w:val="yellow"/>
              </w:rPr>
            </w:pPr>
            <w:r>
              <w:rPr>
                <w:szCs w:val="21"/>
                <w:lang w:bidi="ar"/>
              </w:rPr>
              <w:t>7.5</w:t>
            </w:r>
          </w:p>
        </w:tc>
        <w:tc>
          <w:tcPr>
            <w:tcW w:w="357" w:type="pct"/>
            <w:shd w:val="clear" w:color="auto" w:fill="auto"/>
            <w:vAlign w:val="center"/>
          </w:tcPr>
          <w:p>
            <w:pPr>
              <w:widowControl/>
              <w:jc w:val="center"/>
              <w:rPr>
                <w:szCs w:val="21"/>
                <w:highlight w:val="yellow"/>
              </w:rPr>
            </w:pPr>
            <w:r>
              <w:rPr>
                <w:szCs w:val="21"/>
              </w:rPr>
              <w:t>0.147</w:t>
            </w:r>
          </w:p>
        </w:tc>
        <w:tc>
          <w:tcPr>
            <w:tcW w:w="422" w:type="pct"/>
            <w:shd w:val="clear" w:color="auto" w:fill="auto"/>
            <w:vAlign w:val="center"/>
          </w:tcPr>
          <w:p>
            <w:pPr>
              <w:widowControl/>
              <w:jc w:val="center"/>
              <w:textAlignment w:val="center"/>
              <w:rPr>
                <w:rFonts w:eastAsia="Times New Roman"/>
                <w:kern w:val="0"/>
                <w:szCs w:val="21"/>
                <w:lang w:bidi="ar"/>
              </w:rPr>
            </w:pPr>
            <w:r>
              <w:rPr>
                <w:rFonts w:hint="eastAsia" w:ascii="宋体" w:hAnsi="宋体" w:cs="宋体"/>
                <w:szCs w:val="21"/>
              </w:rPr>
              <w:t>未检出</w:t>
            </w:r>
          </w:p>
        </w:tc>
        <w:tc>
          <w:tcPr>
            <w:tcW w:w="316" w:type="pct"/>
            <w:shd w:val="clear" w:color="auto" w:fill="auto"/>
            <w:vAlign w:val="center"/>
          </w:tcPr>
          <w:p>
            <w:pPr>
              <w:widowControl/>
              <w:jc w:val="center"/>
              <w:textAlignment w:val="center"/>
              <w:rPr>
                <w:kern w:val="0"/>
                <w:szCs w:val="21"/>
                <w:highlight w:val="yellow"/>
                <w:lang w:bidi="ar"/>
              </w:rPr>
            </w:pPr>
            <w:r>
              <w:rPr>
                <w:szCs w:val="21"/>
                <w:lang w:bidi="ar"/>
              </w:rPr>
              <w:t>0.17</w:t>
            </w:r>
          </w:p>
        </w:tc>
        <w:tc>
          <w:tcPr>
            <w:tcW w:w="527" w:type="pct"/>
            <w:shd w:val="clear" w:color="auto" w:fill="auto"/>
            <w:vAlign w:val="center"/>
          </w:tcPr>
          <w:p>
            <w:pPr>
              <w:widowControl/>
              <w:jc w:val="center"/>
              <w:rPr>
                <w:rFonts w:eastAsia="Times New Roman"/>
                <w:szCs w:val="21"/>
                <w:highlight w:val="yellow"/>
              </w:rPr>
            </w:pPr>
            <w:r>
              <w:rPr>
                <w:szCs w:val="21"/>
              </w:rPr>
              <w:t>未检出</w:t>
            </w:r>
          </w:p>
        </w:tc>
        <w:tc>
          <w:tcPr>
            <w:tcW w:w="402" w:type="pct"/>
            <w:shd w:val="clear" w:color="auto" w:fill="auto"/>
            <w:vAlign w:val="center"/>
          </w:tcPr>
          <w:p>
            <w:pPr>
              <w:widowControl/>
              <w:jc w:val="center"/>
              <w:rPr>
                <w:rFonts w:eastAsia="Times New Roman"/>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restart"/>
            <w:shd w:val="clear" w:color="auto" w:fill="auto"/>
            <w:vAlign w:val="center"/>
          </w:tcPr>
          <w:p>
            <w:pPr>
              <w:widowControl/>
              <w:contextualSpacing/>
              <w:jc w:val="center"/>
              <w:rPr>
                <w:b/>
                <w:bCs/>
                <w:kern w:val="0"/>
                <w:szCs w:val="21"/>
                <w:highlight w:val="yellow"/>
              </w:rPr>
            </w:pPr>
            <w:r>
              <w:rPr>
                <w:b/>
                <w:bCs/>
                <w:kern w:val="0"/>
                <w:szCs w:val="21"/>
              </w:rPr>
              <w:t>尹圪垱村</w:t>
            </w:r>
          </w:p>
        </w:tc>
        <w:tc>
          <w:tcPr>
            <w:tcW w:w="490" w:type="pct"/>
            <w:shd w:val="clear" w:color="auto" w:fill="auto"/>
            <w:vAlign w:val="center"/>
          </w:tcPr>
          <w:p>
            <w:pPr>
              <w:widowControl/>
              <w:jc w:val="center"/>
              <w:rPr>
                <w:rFonts w:eastAsia="Times New Roman"/>
                <w:szCs w:val="21"/>
                <w:highlight w:val="yellow"/>
              </w:rPr>
            </w:pPr>
            <w:r>
              <w:rPr>
                <w:szCs w:val="21"/>
              </w:rPr>
              <w:t>2023.04.07</w:t>
            </w:r>
          </w:p>
        </w:tc>
        <w:tc>
          <w:tcPr>
            <w:tcW w:w="453" w:type="pct"/>
            <w:shd w:val="clear" w:color="auto" w:fill="auto"/>
            <w:vAlign w:val="center"/>
          </w:tcPr>
          <w:p>
            <w:pPr>
              <w:widowControl/>
              <w:jc w:val="center"/>
              <w:rPr>
                <w:szCs w:val="21"/>
                <w:highlight w:val="yellow"/>
              </w:rPr>
            </w:pPr>
            <w:r>
              <w:rPr>
                <w:szCs w:val="21"/>
                <w:lang w:bidi="ar"/>
              </w:rPr>
              <w:t>7.1</w:t>
            </w:r>
          </w:p>
        </w:tc>
        <w:tc>
          <w:tcPr>
            <w:tcW w:w="357" w:type="pct"/>
            <w:shd w:val="clear" w:color="auto" w:fill="auto"/>
            <w:vAlign w:val="center"/>
          </w:tcPr>
          <w:p>
            <w:pPr>
              <w:widowControl/>
              <w:jc w:val="center"/>
              <w:rPr>
                <w:szCs w:val="21"/>
                <w:highlight w:val="yellow"/>
              </w:rPr>
            </w:pPr>
            <w:r>
              <w:rPr>
                <w:szCs w:val="21"/>
              </w:rPr>
              <w:t>0.125</w:t>
            </w:r>
          </w:p>
        </w:tc>
        <w:tc>
          <w:tcPr>
            <w:tcW w:w="422" w:type="pct"/>
            <w:shd w:val="clear" w:color="auto" w:fill="auto"/>
            <w:vAlign w:val="center"/>
          </w:tcPr>
          <w:p>
            <w:pPr>
              <w:widowControl/>
              <w:jc w:val="center"/>
              <w:textAlignment w:val="center"/>
              <w:rPr>
                <w:rFonts w:eastAsia="Times New Roman"/>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kern w:val="0"/>
                <w:szCs w:val="21"/>
                <w:highlight w:val="yellow"/>
                <w:lang w:bidi="ar"/>
              </w:rPr>
            </w:pPr>
            <w:r>
              <w:rPr>
                <w:szCs w:val="21"/>
                <w:lang w:bidi="ar"/>
              </w:rPr>
              <w:t>0.20</w:t>
            </w:r>
          </w:p>
        </w:tc>
        <w:tc>
          <w:tcPr>
            <w:tcW w:w="527"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402"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szCs w:val="21"/>
                <w:highlight w:val="yellow"/>
              </w:rPr>
            </w:pPr>
            <w:r>
              <w:rPr>
                <w:szCs w:val="21"/>
              </w:rPr>
              <w:t>2023.04.08</w:t>
            </w:r>
          </w:p>
        </w:tc>
        <w:tc>
          <w:tcPr>
            <w:tcW w:w="453" w:type="pct"/>
            <w:shd w:val="clear" w:color="auto" w:fill="auto"/>
            <w:vAlign w:val="center"/>
          </w:tcPr>
          <w:p>
            <w:pPr>
              <w:widowControl/>
              <w:jc w:val="center"/>
              <w:rPr>
                <w:szCs w:val="21"/>
                <w:highlight w:val="yellow"/>
              </w:rPr>
            </w:pPr>
            <w:r>
              <w:rPr>
                <w:szCs w:val="21"/>
                <w:lang w:bidi="ar"/>
              </w:rPr>
              <w:t>7.2</w:t>
            </w:r>
          </w:p>
        </w:tc>
        <w:tc>
          <w:tcPr>
            <w:tcW w:w="357" w:type="pct"/>
            <w:shd w:val="clear" w:color="auto" w:fill="auto"/>
            <w:vAlign w:val="center"/>
          </w:tcPr>
          <w:p>
            <w:pPr>
              <w:widowControl/>
              <w:jc w:val="center"/>
              <w:rPr>
                <w:szCs w:val="21"/>
                <w:highlight w:val="yellow"/>
              </w:rPr>
            </w:pPr>
            <w:r>
              <w:rPr>
                <w:szCs w:val="21"/>
              </w:rPr>
              <w:t>0.107</w:t>
            </w:r>
          </w:p>
        </w:tc>
        <w:tc>
          <w:tcPr>
            <w:tcW w:w="4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0.23</w:t>
            </w:r>
          </w:p>
        </w:tc>
        <w:tc>
          <w:tcPr>
            <w:tcW w:w="527"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402"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w:t>
            </w:r>
            <w:r>
              <w:rPr>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szCs w:val="21"/>
                <w:highlight w:val="yellow"/>
              </w:rPr>
            </w:pPr>
            <w:r>
              <w:rPr>
                <w:szCs w:val="21"/>
              </w:rPr>
              <w:t>2023.04.09</w:t>
            </w:r>
          </w:p>
        </w:tc>
        <w:tc>
          <w:tcPr>
            <w:tcW w:w="453" w:type="pct"/>
            <w:shd w:val="clear" w:color="auto" w:fill="auto"/>
            <w:vAlign w:val="center"/>
          </w:tcPr>
          <w:p>
            <w:pPr>
              <w:widowControl/>
              <w:jc w:val="center"/>
              <w:rPr>
                <w:szCs w:val="21"/>
                <w:highlight w:val="yellow"/>
              </w:rPr>
            </w:pPr>
            <w:r>
              <w:rPr>
                <w:szCs w:val="21"/>
                <w:lang w:bidi="ar"/>
              </w:rPr>
              <w:t>7.0</w:t>
            </w:r>
          </w:p>
        </w:tc>
        <w:tc>
          <w:tcPr>
            <w:tcW w:w="357" w:type="pct"/>
            <w:shd w:val="clear" w:color="auto" w:fill="auto"/>
            <w:vAlign w:val="center"/>
          </w:tcPr>
          <w:p>
            <w:pPr>
              <w:widowControl/>
              <w:jc w:val="center"/>
              <w:rPr>
                <w:szCs w:val="21"/>
                <w:highlight w:val="yellow"/>
              </w:rPr>
            </w:pPr>
            <w:r>
              <w:rPr>
                <w:szCs w:val="21"/>
              </w:rPr>
              <w:t>0.118</w:t>
            </w:r>
          </w:p>
        </w:tc>
        <w:tc>
          <w:tcPr>
            <w:tcW w:w="422" w:type="pct"/>
            <w:shd w:val="clear" w:color="auto" w:fill="auto"/>
            <w:vAlign w:val="center"/>
          </w:tcPr>
          <w:p>
            <w:pPr>
              <w:widowControl/>
              <w:jc w:val="center"/>
              <w:textAlignment w:val="center"/>
              <w:rPr>
                <w:rFonts w:eastAsia="Times New Roman"/>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lang w:bidi="ar"/>
              </w:rPr>
              <w:t>0.25</w:t>
            </w:r>
          </w:p>
        </w:tc>
        <w:tc>
          <w:tcPr>
            <w:tcW w:w="527"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402"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w:t>
            </w:r>
            <w:r>
              <w:rPr>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restart"/>
            <w:shd w:val="clear" w:color="auto" w:fill="auto"/>
            <w:vAlign w:val="center"/>
          </w:tcPr>
          <w:p>
            <w:pPr>
              <w:widowControl/>
              <w:contextualSpacing/>
              <w:jc w:val="center"/>
              <w:rPr>
                <w:b/>
                <w:bCs/>
                <w:kern w:val="0"/>
                <w:szCs w:val="21"/>
                <w:highlight w:val="yellow"/>
              </w:rPr>
            </w:pPr>
            <w:r>
              <w:rPr>
                <w:b/>
                <w:bCs/>
                <w:kern w:val="0"/>
                <w:szCs w:val="21"/>
              </w:rPr>
              <w:t>安庄村</w:t>
            </w:r>
          </w:p>
        </w:tc>
        <w:tc>
          <w:tcPr>
            <w:tcW w:w="490" w:type="pct"/>
            <w:shd w:val="clear" w:color="auto" w:fill="auto"/>
            <w:vAlign w:val="center"/>
          </w:tcPr>
          <w:p>
            <w:pPr>
              <w:widowControl/>
              <w:jc w:val="center"/>
              <w:rPr>
                <w:rFonts w:eastAsia="Times New Roman"/>
                <w:szCs w:val="21"/>
                <w:highlight w:val="yellow"/>
              </w:rPr>
            </w:pPr>
            <w:r>
              <w:rPr>
                <w:szCs w:val="21"/>
              </w:rPr>
              <w:t>2023.04.07</w:t>
            </w:r>
          </w:p>
        </w:tc>
        <w:tc>
          <w:tcPr>
            <w:tcW w:w="453" w:type="pct"/>
            <w:shd w:val="clear" w:color="auto" w:fill="auto"/>
            <w:vAlign w:val="center"/>
          </w:tcPr>
          <w:p>
            <w:pPr>
              <w:widowControl/>
              <w:jc w:val="center"/>
              <w:rPr>
                <w:szCs w:val="21"/>
                <w:highlight w:val="yellow"/>
              </w:rPr>
            </w:pPr>
            <w:r>
              <w:rPr>
                <w:kern w:val="0"/>
                <w:szCs w:val="21"/>
                <w:lang w:bidi="ar"/>
              </w:rPr>
              <w:t>6.9</w:t>
            </w:r>
          </w:p>
        </w:tc>
        <w:tc>
          <w:tcPr>
            <w:tcW w:w="357" w:type="pct"/>
            <w:shd w:val="clear" w:color="auto" w:fill="auto"/>
            <w:vAlign w:val="center"/>
          </w:tcPr>
          <w:p>
            <w:pPr>
              <w:widowControl/>
              <w:jc w:val="center"/>
              <w:rPr>
                <w:szCs w:val="21"/>
                <w:highlight w:val="yellow"/>
              </w:rPr>
            </w:pPr>
            <w:r>
              <w:rPr>
                <w:szCs w:val="21"/>
              </w:rPr>
              <w:t>0.165</w:t>
            </w:r>
          </w:p>
        </w:tc>
        <w:tc>
          <w:tcPr>
            <w:tcW w:w="422" w:type="pct"/>
            <w:shd w:val="clear" w:color="auto" w:fill="auto"/>
            <w:vAlign w:val="center"/>
          </w:tcPr>
          <w:p>
            <w:pPr>
              <w:widowControl/>
              <w:jc w:val="center"/>
              <w:textAlignment w:val="center"/>
              <w:rPr>
                <w:rFonts w:eastAsia="Times New Roman"/>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kern w:val="0"/>
                <w:szCs w:val="21"/>
                <w:highlight w:val="yellow"/>
                <w:lang w:bidi="ar"/>
              </w:rPr>
            </w:pPr>
            <w:r>
              <w:rPr>
                <w:szCs w:val="21"/>
              </w:rPr>
              <w:t>0.30</w:t>
            </w:r>
          </w:p>
        </w:tc>
        <w:tc>
          <w:tcPr>
            <w:tcW w:w="527"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402"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3</w:t>
            </w:r>
            <w:r>
              <w:rPr>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szCs w:val="21"/>
                <w:highlight w:val="yellow"/>
              </w:rPr>
            </w:pPr>
            <w:r>
              <w:rPr>
                <w:szCs w:val="21"/>
              </w:rPr>
              <w:t>2023.04.08</w:t>
            </w:r>
          </w:p>
        </w:tc>
        <w:tc>
          <w:tcPr>
            <w:tcW w:w="453" w:type="pct"/>
            <w:shd w:val="clear" w:color="auto" w:fill="auto"/>
            <w:vAlign w:val="center"/>
          </w:tcPr>
          <w:p>
            <w:pPr>
              <w:widowControl/>
              <w:jc w:val="center"/>
              <w:rPr>
                <w:szCs w:val="21"/>
                <w:highlight w:val="yellow"/>
              </w:rPr>
            </w:pPr>
            <w:r>
              <w:rPr>
                <w:kern w:val="0"/>
                <w:szCs w:val="21"/>
                <w:lang w:bidi="ar"/>
              </w:rPr>
              <w:t>7.1</w:t>
            </w:r>
          </w:p>
        </w:tc>
        <w:tc>
          <w:tcPr>
            <w:tcW w:w="357" w:type="pct"/>
            <w:shd w:val="clear" w:color="auto" w:fill="auto"/>
            <w:vAlign w:val="center"/>
          </w:tcPr>
          <w:p>
            <w:pPr>
              <w:widowControl/>
              <w:jc w:val="center"/>
              <w:rPr>
                <w:szCs w:val="21"/>
                <w:highlight w:val="yellow"/>
              </w:rPr>
            </w:pPr>
            <w:r>
              <w:rPr>
                <w:szCs w:val="21"/>
              </w:rPr>
              <w:t>0.155</w:t>
            </w:r>
          </w:p>
        </w:tc>
        <w:tc>
          <w:tcPr>
            <w:tcW w:w="4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0.27</w:t>
            </w:r>
          </w:p>
        </w:tc>
        <w:tc>
          <w:tcPr>
            <w:tcW w:w="527"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402"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3</w:t>
            </w:r>
            <w:r>
              <w:rPr>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szCs w:val="21"/>
                <w:highlight w:val="yellow"/>
              </w:rPr>
            </w:pPr>
            <w:r>
              <w:rPr>
                <w:szCs w:val="21"/>
              </w:rPr>
              <w:t>2023.04.09</w:t>
            </w:r>
          </w:p>
        </w:tc>
        <w:tc>
          <w:tcPr>
            <w:tcW w:w="453" w:type="pct"/>
            <w:shd w:val="clear" w:color="auto" w:fill="auto"/>
            <w:vAlign w:val="center"/>
          </w:tcPr>
          <w:p>
            <w:pPr>
              <w:widowControl/>
              <w:jc w:val="center"/>
              <w:rPr>
                <w:szCs w:val="21"/>
                <w:highlight w:val="yellow"/>
              </w:rPr>
            </w:pPr>
            <w:r>
              <w:rPr>
                <w:kern w:val="0"/>
                <w:szCs w:val="21"/>
                <w:lang w:bidi="ar"/>
              </w:rPr>
              <w:t>7.1</w:t>
            </w:r>
          </w:p>
        </w:tc>
        <w:tc>
          <w:tcPr>
            <w:tcW w:w="357" w:type="pct"/>
            <w:shd w:val="clear" w:color="auto" w:fill="auto"/>
            <w:vAlign w:val="center"/>
          </w:tcPr>
          <w:p>
            <w:pPr>
              <w:widowControl/>
              <w:jc w:val="center"/>
              <w:rPr>
                <w:szCs w:val="21"/>
                <w:highlight w:val="yellow"/>
              </w:rPr>
            </w:pPr>
            <w:r>
              <w:rPr>
                <w:szCs w:val="21"/>
              </w:rPr>
              <w:t>0.167</w:t>
            </w:r>
          </w:p>
        </w:tc>
        <w:tc>
          <w:tcPr>
            <w:tcW w:w="422" w:type="pct"/>
            <w:shd w:val="clear" w:color="auto" w:fill="auto"/>
            <w:vAlign w:val="center"/>
          </w:tcPr>
          <w:p>
            <w:pPr>
              <w:widowControl/>
              <w:jc w:val="center"/>
              <w:textAlignment w:val="center"/>
              <w:rPr>
                <w:rFonts w:eastAsia="Times New Roman"/>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0.25</w:t>
            </w:r>
          </w:p>
        </w:tc>
        <w:tc>
          <w:tcPr>
            <w:tcW w:w="527"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402"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3</w:t>
            </w:r>
            <w:r>
              <w:rPr>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restart"/>
            <w:shd w:val="clear" w:color="auto" w:fill="auto"/>
            <w:vAlign w:val="center"/>
          </w:tcPr>
          <w:p>
            <w:pPr>
              <w:widowControl/>
              <w:contextualSpacing/>
              <w:jc w:val="center"/>
              <w:rPr>
                <w:b/>
                <w:bCs/>
                <w:kern w:val="0"/>
                <w:szCs w:val="21"/>
                <w:highlight w:val="yellow"/>
              </w:rPr>
            </w:pPr>
            <w:r>
              <w:rPr>
                <w:b/>
                <w:bCs/>
                <w:kern w:val="0"/>
                <w:szCs w:val="21"/>
              </w:rPr>
              <w:t>魏店村</w:t>
            </w:r>
          </w:p>
        </w:tc>
        <w:tc>
          <w:tcPr>
            <w:tcW w:w="490" w:type="pct"/>
            <w:shd w:val="clear" w:color="auto" w:fill="auto"/>
            <w:vAlign w:val="center"/>
          </w:tcPr>
          <w:p>
            <w:pPr>
              <w:widowControl/>
              <w:jc w:val="center"/>
              <w:rPr>
                <w:rFonts w:eastAsia="Times New Roman"/>
                <w:szCs w:val="21"/>
                <w:highlight w:val="yellow"/>
              </w:rPr>
            </w:pPr>
            <w:r>
              <w:rPr>
                <w:szCs w:val="21"/>
              </w:rPr>
              <w:t>2023.04.07</w:t>
            </w:r>
          </w:p>
        </w:tc>
        <w:tc>
          <w:tcPr>
            <w:tcW w:w="453" w:type="pct"/>
            <w:shd w:val="clear" w:color="auto" w:fill="auto"/>
            <w:vAlign w:val="center"/>
          </w:tcPr>
          <w:p>
            <w:pPr>
              <w:widowControl/>
              <w:jc w:val="center"/>
              <w:rPr>
                <w:szCs w:val="21"/>
                <w:highlight w:val="yellow"/>
              </w:rPr>
            </w:pPr>
            <w:r>
              <w:rPr>
                <w:kern w:val="0"/>
                <w:szCs w:val="21"/>
                <w:lang w:bidi="ar"/>
              </w:rPr>
              <w:t>7.4</w:t>
            </w:r>
          </w:p>
        </w:tc>
        <w:tc>
          <w:tcPr>
            <w:tcW w:w="357" w:type="pct"/>
            <w:shd w:val="clear" w:color="auto" w:fill="auto"/>
            <w:vAlign w:val="center"/>
          </w:tcPr>
          <w:p>
            <w:pPr>
              <w:widowControl/>
              <w:jc w:val="center"/>
              <w:rPr>
                <w:szCs w:val="21"/>
                <w:highlight w:val="yellow"/>
              </w:rPr>
            </w:pPr>
            <w:r>
              <w:rPr>
                <w:szCs w:val="21"/>
              </w:rPr>
              <w:t>0.134</w:t>
            </w:r>
          </w:p>
        </w:tc>
        <w:tc>
          <w:tcPr>
            <w:tcW w:w="422" w:type="pct"/>
            <w:shd w:val="clear" w:color="auto" w:fill="auto"/>
            <w:vAlign w:val="center"/>
          </w:tcPr>
          <w:p>
            <w:pPr>
              <w:widowControl/>
              <w:jc w:val="center"/>
              <w:textAlignment w:val="center"/>
              <w:rPr>
                <w:rFonts w:eastAsia="Times New Roman"/>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0.37</w:t>
            </w:r>
          </w:p>
        </w:tc>
        <w:tc>
          <w:tcPr>
            <w:tcW w:w="527"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402"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w:t>
            </w:r>
            <w:r>
              <w:rPr>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szCs w:val="21"/>
                <w:highlight w:val="yellow"/>
              </w:rPr>
            </w:pPr>
            <w:r>
              <w:rPr>
                <w:szCs w:val="21"/>
              </w:rPr>
              <w:t>2023.04.08</w:t>
            </w:r>
          </w:p>
        </w:tc>
        <w:tc>
          <w:tcPr>
            <w:tcW w:w="453" w:type="pct"/>
            <w:shd w:val="clear" w:color="auto" w:fill="auto"/>
            <w:vAlign w:val="center"/>
          </w:tcPr>
          <w:p>
            <w:pPr>
              <w:widowControl/>
              <w:jc w:val="center"/>
              <w:rPr>
                <w:szCs w:val="21"/>
                <w:highlight w:val="yellow"/>
              </w:rPr>
            </w:pPr>
            <w:r>
              <w:rPr>
                <w:kern w:val="0"/>
                <w:szCs w:val="21"/>
                <w:lang w:bidi="ar"/>
              </w:rPr>
              <w:t>7.5</w:t>
            </w:r>
          </w:p>
        </w:tc>
        <w:tc>
          <w:tcPr>
            <w:tcW w:w="357" w:type="pct"/>
            <w:shd w:val="clear" w:color="auto" w:fill="auto"/>
            <w:vAlign w:val="center"/>
          </w:tcPr>
          <w:p>
            <w:pPr>
              <w:widowControl/>
              <w:jc w:val="center"/>
              <w:rPr>
                <w:szCs w:val="21"/>
                <w:highlight w:val="yellow"/>
              </w:rPr>
            </w:pPr>
            <w:r>
              <w:rPr>
                <w:szCs w:val="21"/>
              </w:rPr>
              <w:t>0.150</w:t>
            </w:r>
          </w:p>
        </w:tc>
        <w:tc>
          <w:tcPr>
            <w:tcW w:w="4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0.35</w:t>
            </w:r>
          </w:p>
        </w:tc>
        <w:tc>
          <w:tcPr>
            <w:tcW w:w="527"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402"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w:t>
            </w:r>
            <w:r>
              <w:rPr>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szCs w:val="21"/>
                <w:highlight w:val="yellow"/>
              </w:rPr>
            </w:pPr>
            <w:r>
              <w:rPr>
                <w:szCs w:val="21"/>
              </w:rPr>
              <w:t>2023.04.09</w:t>
            </w:r>
          </w:p>
        </w:tc>
        <w:tc>
          <w:tcPr>
            <w:tcW w:w="453" w:type="pct"/>
            <w:shd w:val="clear" w:color="auto" w:fill="auto"/>
            <w:vAlign w:val="center"/>
          </w:tcPr>
          <w:p>
            <w:pPr>
              <w:widowControl/>
              <w:jc w:val="center"/>
              <w:rPr>
                <w:szCs w:val="21"/>
                <w:highlight w:val="yellow"/>
              </w:rPr>
            </w:pPr>
            <w:r>
              <w:rPr>
                <w:kern w:val="0"/>
                <w:szCs w:val="21"/>
                <w:lang w:bidi="ar"/>
              </w:rPr>
              <w:t>7.5</w:t>
            </w:r>
          </w:p>
        </w:tc>
        <w:tc>
          <w:tcPr>
            <w:tcW w:w="357" w:type="pct"/>
            <w:shd w:val="clear" w:color="auto" w:fill="auto"/>
            <w:vAlign w:val="center"/>
          </w:tcPr>
          <w:p>
            <w:pPr>
              <w:widowControl/>
              <w:jc w:val="center"/>
              <w:rPr>
                <w:szCs w:val="21"/>
                <w:highlight w:val="yellow"/>
              </w:rPr>
            </w:pPr>
            <w:r>
              <w:rPr>
                <w:szCs w:val="21"/>
              </w:rPr>
              <w:t>0.144</w:t>
            </w:r>
          </w:p>
        </w:tc>
        <w:tc>
          <w:tcPr>
            <w:tcW w:w="422" w:type="pct"/>
            <w:shd w:val="clear" w:color="auto" w:fill="auto"/>
            <w:vAlign w:val="center"/>
          </w:tcPr>
          <w:p>
            <w:pPr>
              <w:widowControl/>
              <w:jc w:val="center"/>
              <w:textAlignment w:val="center"/>
              <w:rPr>
                <w:rFonts w:eastAsia="Times New Roman"/>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0.42</w:t>
            </w:r>
          </w:p>
        </w:tc>
        <w:tc>
          <w:tcPr>
            <w:tcW w:w="527"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402"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41</w:t>
            </w: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restart"/>
            <w:shd w:val="clear" w:color="auto" w:fill="auto"/>
            <w:vAlign w:val="center"/>
          </w:tcPr>
          <w:p>
            <w:pPr>
              <w:widowControl/>
              <w:contextualSpacing/>
              <w:jc w:val="center"/>
              <w:rPr>
                <w:b/>
                <w:bCs/>
                <w:kern w:val="0"/>
                <w:szCs w:val="21"/>
                <w:highlight w:val="yellow"/>
              </w:rPr>
            </w:pPr>
            <w:r>
              <w:rPr>
                <w:b/>
                <w:bCs/>
                <w:kern w:val="0"/>
                <w:szCs w:val="21"/>
              </w:rPr>
              <w:t>小庄村</w:t>
            </w:r>
          </w:p>
        </w:tc>
        <w:tc>
          <w:tcPr>
            <w:tcW w:w="490" w:type="pct"/>
            <w:shd w:val="clear" w:color="auto" w:fill="auto"/>
            <w:vAlign w:val="center"/>
          </w:tcPr>
          <w:p>
            <w:pPr>
              <w:widowControl/>
              <w:jc w:val="center"/>
              <w:rPr>
                <w:rFonts w:eastAsia="Times New Roman"/>
                <w:szCs w:val="21"/>
                <w:highlight w:val="yellow"/>
              </w:rPr>
            </w:pPr>
            <w:r>
              <w:rPr>
                <w:szCs w:val="21"/>
              </w:rPr>
              <w:t>2023.04.07</w:t>
            </w:r>
          </w:p>
        </w:tc>
        <w:tc>
          <w:tcPr>
            <w:tcW w:w="453" w:type="pct"/>
            <w:shd w:val="clear" w:color="auto" w:fill="auto"/>
            <w:vAlign w:val="center"/>
          </w:tcPr>
          <w:p>
            <w:pPr>
              <w:widowControl/>
              <w:jc w:val="center"/>
              <w:rPr>
                <w:szCs w:val="21"/>
                <w:highlight w:val="yellow"/>
              </w:rPr>
            </w:pPr>
            <w:r>
              <w:rPr>
                <w:kern w:val="0"/>
                <w:szCs w:val="21"/>
                <w:lang w:bidi="ar"/>
              </w:rPr>
              <w:t>7.3</w:t>
            </w:r>
          </w:p>
        </w:tc>
        <w:tc>
          <w:tcPr>
            <w:tcW w:w="357" w:type="pct"/>
            <w:shd w:val="clear" w:color="auto" w:fill="auto"/>
            <w:vAlign w:val="center"/>
          </w:tcPr>
          <w:p>
            <w:pPr>
              <w:widowControl/>
              <w:jc w:val="center"/>
              <w:rPr>
                <w:szCs w:val="21"/>
                <w:highlight w:val="yellow"/>
              </w:rPr>
            </w:pPr>
            <w:r>
              <w:rPr>
                <w:szCs w:val="21"/>
              </w:rPr>
              <w:t>0.175</w:t>
            </w:r>
          </w:p>
        </w:tc>
        <w:tc>
          <w:tcPr>
            <w:tcW w:w="422" w:type="pct"/>
            <w:shd w:val="clear" w:color="auto" w:fill="auto"/>
            <w:vAlign w:val="center"/>
          </w:tcPr>
          <w:p>
            <w:pPr>
              <w:widowControl/>
              <w:jc w:val="center"/>
              <w:textAlignment w:val="center"/>
              <w:rPr>
                <w:rFonts w:eastAsia="Times New Roman"/>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0.20</w:t>
            </w:r>
          </w:p>
        </w:tc>
        <w:tc>
          <w:tcPr>
            <w:tcW w:w="527"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402"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42</w:t>
            </w:r>
            <w:r>
              <w:rPr>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szCs w:val="21"/>
                <w:highlight w:val="yellow"/>
              </w:rPr>
            </w:pPr>
            <w:r>
              <w:rPr>
                <w:szCs w:val="21"/>
              </w:rPr>
              <w:t>2023.04.08</w:t>
            </w:r>
          </w:p>
        </w:tc>
        <w:tc>
          <w:tcPr>
            <w:tcW w:w="453" w:type="pct"/>
            <w:shd w:val="clear" w:color="auto" w:fill="auto"/>
            <w:vAlign w:val="center"/>
          </w:tcPr>
          <w:p>
            <w:pPr>
              <w:widowControl/>
              <w:jc w:val="center"/>
              <w:rPr>
                <w:szCs w:val="21"/>
                <w:highlight w:val="yellow"/>
              </w:rPr>
            </w:pPr>
            <w:r>
              <w:rPr>
                <w:kern w:val="0"/>
                <w:szCs w:val="21"/>
                <w:lang w:bidi="ar"/>
              </w:rPr>
              <w:t>7.2</w:t>
            </w:r>
          </w:p>
        </w:tc>
        <w:tc>
          <w:tcPr>
            <w:tcW w:w="357" w:type="pct"/>
            <w:shd w:val="clear" w:color="auto" w:fill="auto"/>
            <w:vAlign w:val="center"/>
          </w:tcPr>
          <w:p>
            <w:pPr>
              <w:widowControl/>
              <w:jc w:val="center"/>
              <w:rPr>
                <w:szCs w:val="21"/>
                <w:highlight w:val="yellow"/>
              </w:rPr>
            </w:pPr>
            <w:r>
              <w:rPr>
                <w:szCs w:val="21"/>
              </w:rPr>
              <w:t>0.170</w:t>
            </w:r>
          </w:p>
        </w:tc>
        <w:tc>
          <w:tcPr>
            <w:tcW w:w="4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0.24</w:t>
            </w:r>
          </w:p>
        </w:tc>
        <w:tc>
          <w:tcPr>
            <w:tcW w:w="527"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402"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41</w:t>
            </w: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szCs w:val="21"/>
                <w:highlight w:val="yellow"/>
              </w:rPr>
            </w:pPr>
            <w:r>
              <w:rPr>
                <w:szCs w:val="21"/>
              </w:rPr>
              <w:t>2023.04.09</w:t>
            </w:r>
          </w:p>
        </w:tc>
        <w:tc>
          <w:tcPr>
            <w:tcW w:w="453" w:type="pct"/>
            <w:shd w:val="clear" w:color="auto" w:fill="auto"/>
            <w:vAlign w:val="center"/>
          </w:tcPr>
          <w:p>
            <w:pPr>
              <w:widowControl/>
              <w:jc w:val="center"/>
              <w:rPr>
                <w:szCs w:val="21"/>
                <w:highlight w:val="yellow"/>
              </w:rPr>
            </w:pPr>
            <w:r>
              <w:rPr>
                <w:kern w:val="0"/>
                <w:szCs w:val="21"/>
                <w:lang w:bidi="ar"/>
              </w:rPr>
              <w:t>7.4</w:t>
            </w:r>
          </w:p>
        </w:tc>
        <w:tc>
          <w:tcPr>
            <w:tcW w:w="357" w:type="pct"/>
            <w:shd w:val="clear" w:color="auto" w:fill="auto"/>
            <w:vAlign w:val="center"/>
          </w:tcPr>
          <w:p>
            <w:pPr>
              <w:widowControl/>
              <w:jc w:val="center"/>
              <w:rPr>
                <w:szCs w:val="21"/>
                <w:highlight w:val="yellow"/>
              </w:rPr>
            </w:pPr>
            <w:r>
              <w:rPr>
                <w:szCs w:val="21"/>
              </w:rPr>
              <w:t>0.168</w:t>
            </w:r>
          </w:p>
        </w:tc>
        <w:tc>
          <w:tcPr>
            <w:tcW w:w="422" w:type="pct"/>
            <w:shd w:val="clear" w:color="auto" w:fill="auto"/>
            <w:vAlign w:val="center"/>
          </w:tcPr>
          <w:p>
            <w:pPr>
              <w:widowControl/>
              <w:jc w:val="center"/>
              <w:textAlignment w:val="center"/>
              <w:rPr>
                <w:rFonts w:eastAsia="Times New Roman"/>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0.19</w:t>
            </w:r>
          </w:p>
        </w:tc>
        <w:tc>
          <w:tcPr>
            <w:tcW w:w="527"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402"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restart"/>
            <w:shd w:val="clear" w:color="auto" w:fill="auto"/>
            <w:vAlign w:val="center"/>
          </w:tcPr>
          <w:p>
            <w:pPr>
              <w:widowControl/>
              <w:jc w:val="center"/>
              <w:rPr>
                <w:b/>
                <w:bCs/>
                <w:szCs w:val="21"/>
                <w:highlight w:val="yellow"/>
              </w:rPr>
            </w:pPr>
            <w:r>
              <w:rPr>
                <w:b/>
                <w:bCs/>
                <w:szCs w:val="21"/>
              </w:rPr>
              <w:t>张庄村</w:t>
            </w:r>
          </w:p>
        </w:tc>
        <w:tc>
          <w:tcPr>
            <w:tcW w:w="490" w:type="pct"/>
            <w:shd w:val="clear" w:color="auto" w:fill="auto"/>
            <w:vAlign w:val="center"/>
          </w:tcPr>
          <w:p>
            <w:pPr>
              <w:widowControl/>
              <w:jc w:val="center"/>
              <w:rPr>
                <w:rFonts w:eastAsia="Times New Roman"/>
                <w:szCs w:val="21"/>
                <w:highlight w:val="yellow"/>
              </w:rPr>
            </w:pPr>
            <w:r>
              <w:rPr>
                <w:szCs w:val="21"/>
              </w:rPr>
              <w:t>2023.04.07</w:t>
            </w:r>
          </w:p>
        </w:tc>
        <w:tc>
          <w:tcPr>
            <w:tcW w:w="453" w:type="pct"/>
            <w:shd w:val="clear" w:color="auto" w:fill="auto"/>
            <w:vAlign w:val="center"/>
          </w:tcPr>
          <w:p>
            <w:pPr>
              <w:widowControl/>
              <w:jc w:val="center"/>
              <w:rPr>
                <w:szCs w:val="21"/>
                <w:highlight w:val="yellow"/>
              </w:rPr>
            </w:pPr>
            <w:r>
              <w:rPr>
                <w:kern w:val="0"/>
                <w:szCs w:val="21"/>
                <w:lang w:bidi="ar"/>
              </w:rPr>
              <w:t>7.5</w:t>
            </w:r>
          </w:p>
        </w:tc>
        <w:tc>
          <w:tcPr>
            <w:tcW w:w="357" w:type="pct"/>
            <w:shd w:val="clear" w:color="auto" w:fill="auto"/>
            <w:vAlign w:val="center"/>
          </w:tcPr>
          <w:p>
            <w:pPr>
              <w:widowControl/>
              <w:jc w:val="center"/>
              <w:rPr>
                <w:szCs w:val="21"/>
                <w:highlight w:val="yellow"/>
              </w:rPr>
            </w:pPr>
            <w:r>
              <w:rPr>
                <w:szCs w:val="21"/>
              </w:rPr>
              <w:t>0.153</w:t>
            </w:r>
          </w:p>
        </w:tc>
        <w:tc>
          <w:tcPr>
            <w:tcW w:w="4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0.36</w:t>
            </w:r>
          </w:p>
        </w:tc>
        <w:tc>
          <w:tcPr>
            <w:tcW w:w="527"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402"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w:t>
            </w:r>
            <w:r>
              <w:rPr>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szCs w:val="21"/>
                <w:highlight w:val="yellow"/>
              </w:rPr>
            </w:pPr>
            <w:r>
              <w:rPr>
                <w:szCs w:val="21"/>
              </w:rPr>
              <w:t>2023.04.08</w:t>
            </w:r>
          </w:p>
        </w:tc>
        <w:tc>
          <w:tcPr>
            <w:tcW w:w="453" w:type="pct"/>
            <w:shd w:val="clear" w:color="auto" w:fill="auto"/>
            <w:vAlign w:val="center"/>
          </w:tcPr>
          <w:p>
            <w:pPr>
              <w:widowControl/>
              <w:jc w:val="center"/>
              <w:rPr>
                <w:szCs w:val="21"/>
                <w:highlight w:val="yellow"/>
              </w:rPr>
            </w:pPr>
            <w:r>
              <w:rPr>
                <w:kern w:val="0"/>
                <w:szCs w:val="21"/>
                <w:lang w:bidi="ar"/>
              </w:rPr>
              <w:t>7.7</w:t>
            </w:r>
          </w:p>
        </w:tc>
        <w:tc>
          <w:tcPr>
            <w:tcW w:w="357" w:type="pct"/>
            <w:shd w:val="clear" w:color="auto" w:fill="auto"/>
            <w:vAlign w:val="center"/>
          </w:tcPr>
          <w:p>
            <w:pPr>
              <w:widowControl/>
              <w:jc w:val="center"/>
              <w:rPr>
                <w:szCs w:val="21"/>
                <w:highlight w:val="yellow"/>
              </w:rPr>
            </w:pPr>
            <w:r>
              <w:rPr>
                <w:szCs w:val="21"/>
              </w:rPr>
              <w:t>0.147</w:t>
            </w:r>
          </w:p>
        </w:tc>
        <w:tc>
          <w:tcPr>
            <w:tcW w:w="4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0.42</w:t>
            </w:r>
          </w:p>
        </w:tc>
        <w:tc>
          <w:tcPr>
            <w:tcW w:w="527"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402"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szCs w:val="21"/>
                <w:highlight w:val="yellow"/>
              </w:rPr>
            </w:pPr>
            <w:r>
              <w:rPr>
                <w:szCs w:val="21"/>
              </w:rPr>
              <w:t>2023.04.09</w:t>
            </w:r>
          </w:p>
        </w:tc>
        <w:tc>
          <w:tcPr>
            <w:tcW w:w="453" w:type="pct"/>
            <w:shd w:val="clear" w:color="auto" w:fill="auto"/>
            <w:vAlign w:val="center"/>
          </w:tcPr>
          <w:p>
            <w:pPr>
              <w:widowControl/>
              <w:jc w:val="center"/>
              <w:rPr>
                <w:szCs w:val="21"/>
                <w:highlight w:val="yellow"/>
              </w:rPr>
            </w:pPr>
            <w:r>
              <w:rPr>
                <w:kern w:val="0"/>
                <w:szCs w:val="21"/>
                <w:lang w:bidi="ar"/>
              </w:rPr>
              <w:t>7.6</w:t>
            </w:r>
          </w:p>
        </w:tc>
        <w:tc>
          <w:tcPr>
            <w:tcW w:w="357" w:type="pct"/>
            <w:shd w:val="clear" w:color="auto" w:fill="auto"/>
            <w:vAlign w:val="center"/>
          </w:tcPr>
          <w:p>
            <w:pPr>
              <w:widowControl/>
              <w:jc w:val="center"/>
              <w:rPr>
                <w:szCs w:val="21"/>
                <w:highlight w:val="yellow"/>
              </w:rPr>
            </w:pPr>
            <w:r>
              <w:rPr>
                <w:szCs w:val="21"/>
              </w:rPr>
              <w:t>0.155</w:t>
            </w:r>
          </w:p>
        </w:tc>
        <w:tc>
          <w:tcPr>
            <w:tcW w:w="4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0.37</w:t>
            </w:r>
          </w:p>
        </w:tc>
        <w:tc>
          <w:tcPr>
            <w:tcW w:w="527"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402"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restart"/>
            <w:shd w:val="clear" w:color="auto" w:fill="auto"/>
            <w:vAlign w:val="center"/>
          </w:tcPr>
          <w:p>
            <w:pPr>
              <w:widowControl/>
              <w:jc w:val="center"/>
              <w:rPr>
                <w:b/>
                <w:bCs/>
                <w:szCs w:val="21"/>
                <w:highlight w:val="yellow"/>
              </w:rPr>
            </w:pPr>
            <w:r>
              <w:rPr>
                <w:b/>
                <w:bCs/>
                <w:szCs w:val="21"/>
              </w:rPr>
              <w:t>范堤口村</w:t>
            </w:r>
          </w:p>
        </w:tc>
        <w:tc>
          <w:tcPr>
            <w:tcW w:w="490" w:type="pct"/>
            <w:shd w:val="clear" w:color="auto" w:fill="auto"/>
            <w:vAlign w:val="center"/>
          </w:tcPr>
          <w:p>
            <w:pPr>
              <w:widowControl/>
              <w:jc w:val="center"/>
              <w:rPr>
                <w:rFonts w:eastAsia="Times New Roman"/>
                <w:szCs w:val="21"/>
                <w:highlight w:val="yellow"/>
              </w:rPr>
            </w:pPr>
            <w:r>
              <w:rPr>
                <w:szCs w:val="21"/>
              </w:rPr>
              <w:t>2023.04.07</w:t>
            </w:r>
          </w:p>
        </w:tc>
        <w:tc>
          <w:tcPr>
            <w:tcW w:w="453" w:type="pct"/>
            <w:shd w:val="clear" w:color="auto" w:fill="auto"/>
            <w:vAlign w:val="center"/>
          </w:tcPr>
          <w:p>
            <w:pPr>
              <w:widowControl/>
              <w:jc w:val="center"/>
              <w:rPr>
                <w:szCs w:val="21"/>
                <w:highlight w:val="yellow"/>
              </w:rPr>
            </w:pPr>
            <w:r>
              <w:rPr>
                <w:kern w:val="0"/>
                <w:szCs w:val="21"/>
                <w:lang w:bidi="ar"/>
              </w:rPr>
              <w:t>7.3</w:t>
            </w:r>
          </w:p>
        </w:tc>
        <w:tc>
          <w:tcPr>
            <w:tcW w:w="357" w:type="pct"/>
            <w:shd w:val="clear" w:color="auto" w:fill="auto"/>
            <w:vAlign w:val="center"/>
          </w:tcPr>
          <w:p>
            <w:pPr>
              <w:widowControl/>
              <w:jc w:val="center"/>
              <w:rPr>
                <w:szCs w:val="21"/>
                <w:highlight w:val="yellow"/>
              </w:rPr>
            </w:pPr>
            <w:r>
              <w:rPr>
                <w:szCs w:val="21"/>
              </w:rPr>
              <w:t>0.136</w:t>
            </w:r>
          </w:p>
        </w:tc>
        <w:tc>
          <w:tcPr>
            <w:tcW w:w="4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0.28</w:t>
            </w:r>
          </w:p>
        </w:tc>
        <w:tc>
          <w:tcPr>
            <w:tcW w:w="527"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402"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w:t>
            </w: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szCs w:val="21"/>
                <w:highlight w:val="yellow"/>
              </w:rPr>
            </w:pPr>
            <w:r>
              <w:rPr>
                <w:szCs w:val="21"/>
              </w:rPr>
              <w:t>2023.04.08</w:t>
            </w:r>
          </w:p>
        </w:tc>
        <w:tc>
          <w:tcPr>
            <w:tcW w:w="453" w:type="pct"/>
            <w:shd w:val="clear" w:color="auto" w:fill="auto"/>
            <w:vAlign w:val="center"/>
          </w:tcPr>
          <w:p>
            <w:pPr>
              <w:widowControl/>
              <w:jc w:val="center"/>
              <w:rPr>
                <w:szCs w:val="21"/>
                <w:highlight w:val="yellow"/>
              </w:rPr>
            </w:pPr>
            <w:r>
              <w:rPr>
                <w:kern w:val="0"/>
                <w:szCs w:val="21"/>
                <w:lang w:bidi="ar"/>
              </w:rPr>
              <w:t>7.2</w:t>
            </w:r>
          </w:p>
        </w:tc>
        <w:tc>
          <w:tcPr>
            <w:tcW w:w="357" w:type="pct"/>
            <w:shd w:val="clear" w:color="auto" w:fill="auto"/>
            <w:vAlign w:val="center"/>
          </w:tcPr>
          <w:p>
            <w:pPr>
              <w:widowControl/>
              <w:jc w:val="center"/>
              <w:rPr>
                <w:szCs w:val="21"/>
                <w:highlight w:val="yellow"/>
              </w:rPr>
            </w:pPr>
            <w:r>
              <w:rPr>
                <w:szCs w:val="21"/>
              </w:rPr>
              <w:t>0.130</w:t>
            </w:r>
          </w:p>
        </w:tc>
        <w:tc>
          <w:tcPr>
            <w:tcW w:w="4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0.31</w:t>
            </w:r>
          </w:p>
        </w:tc>
        <w:tc>
          <w:tcPr>
            <w:tcW w:w="527"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402"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w:t>
            </w:r>
            <w:r>
              <w:rPr>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89" w:type="pct"/>
            <w:vMerge w:val="continue"/>
            <w:shd w:val="clear" w:color="auto" w:fill="auto"/>
            <w:vAlign w:val="center"/>
          </w:tcPr>
          <w:p>
            <w:pPr>
              <w:widowControl/>
              <w:jc w:val="center"/>
              <w:rPr>
                <w:b/>
                <w:bCs/>
                <w:szCs w:val="21"/>
                <w:highlight w:val="yellow"/>
              </w:rPr>
            </w:pPr>
          </w:p>
        </w:tc>
        <w:tc>
          <w:tcPr>
            <w:tcW w:w="490" w:type="pct"/>
            <w:shd w:val="clear" w:color="auto" w:fill="auto"/>
            <w:vAlign w:val="center"/>
          </w:tcPr>
          <w:p>
            <w:pPr>
              <w:widowControl/>
              <w:jc w:val="center"/>
              <w:rPr>
                <w:rFonts w:eastAsia="Times New Roman"/>
                <w:szCs w:val="21"/>
                <w:highlight w:val="yellow"/>
              </w:rPr>
            </w:pPr>
            <w:r>
              <w:rPr>
                <w:szCs w:val="21"/>
              </w:rPr>
              <w:t>2023.04.09</w:t>
            </w:r>
          </w:p>
        </w:tc>
        <w:tc>
          <w:tcPr>
            <w:tcW w:w="453" w:type="pct"/>
            <w:shd w:val="clear" w:color="auto" w:fill="auto"/>
            <w:vAlign w:val="center"/>
          </w:tcPr>
          <w:p>
            <w:pPr>
              <w:widowControl/>
              <w:jc w:val="center"/>
              <w:rPr>
                <w:szCs w:val="21"/>
                <w:highlight w:val="yellow"/>
              </w:rPr>
            </w:pPr>
            <w:r>
              <w:rPr>
                <w:kern w:val="0"/>
                <w:szCs w:val="21"/>
                <w:lang w:bidi="ar"/>
              </w:rPr>
              <w:t>7.4</w:t>
            </w:r>
          </w:p>
        </w:tc>
        <w:tc>
          <w:tcPr>
            <w:tcW w:w="357" w:type="pct"/>
            <w:shd w:val="clear" w:color="auto" w:fill="auto"/>
            <w:vAlign w:val="center"/>
          </w:tcPr>
          <w:p>
            <w:pPr>
              <w:widowControl/>
              <w:jc w:val="center"/>
              <w:rPr>
                <w:szCs w:val="21"/>
                <w:highlight w:val="yellow"/>
              </w:rPr>
            </w:pPr>
            <w:r>
              <w:rPr>
                <w:szCs w:val="21"/>
              </w:rPr>
              <w:t>0.132</w:t>
            </w:r>
          </w:p>
        </w:tc>
        <w:tc>
          <w:tcPr>
            <w:tcW w:w="4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szCs w:val="21"/>
              </w:rPr>
              <w:t>0.25</w:t>
            </w:r>
          </w:p>
        </w:tc>
        <w:tc>
          <w:tcPr>
            <w:tcW w:w="527"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402" w:type="pct"/>
            <w:shd w:val="clear" w:color="auto" w:fill="auto"/>
            <w:vAlign w:val="center"/>
          </w:tcPr>
          <w:p>
            <w:pPr>
              <w:widowControl/>
              <w:jc w:val="center"/>
              <w:textAlignment w:val="center"/>
              <w:rPr>
                <w:rFonts w:ascii="宋体" w:hAnsi="宋体" w:cs="宋体"/>
                <w:szCs w:val="21"/>
                <w:highlight w:val="yellow"/>
              </w:rPr>
            </w:pPr>
            <w:r>
              <w:rPr>
                <w:szCs w:val="21"/>
              </w:rPr>
              <w:t>未检出</w:t>
            </w:r>
          </w:p>
        </w:tc>
        <w:tc>
          <w:tcPr>
            <w:tcW w:w="329" w:type="pct"/>
            <w:shd w:val="clear" w:color="auto" w:fill="auto"/>
            <w:vAlign w:val="center"/>
          </w:tcPr>
          <w:p>
            <w:pPr>
              <w:widowControl/>
              <w:jc w:val="center"/>
              <w:rPr>
                <w:rFonts w:eastAsia="Times New Roman"/>
                <w:szCs w:val="21"/>
                <w:highlight w:val="yellow"/>
              </w:rPr>
            </w:pPr>
            <w:r>
              <w:rPr>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9" w:type="pct"/>
            <w:vAlign w:val="center"/>
          </w:tcPr>
          <w:p>
            <w:pPr>
              <w:widowControl/>
              <w:jc w:val="center"/>
              <w:rPr>
                <w:szCs w:val="21"/>
              </w:rPr>
            </w:pPr>
            <w:r>
              <w:rPr>
                <w:rFonts w:hint="eastAsia" w:ascii="宋体" w:hAnsi="宋体" w:cs="宋体"/>
                <w:szCs w:val="21"/>
              </w:rPr>
              <w:t>未检出</w:t>
            </w:r>
          </w:p>
        </w:tc>
        <w:tc>
          <w:tcPr>
            <w:tcW w:w="328" w:type="pct"/>
            <w:vAlign w:val="center"/>
          </w:tcPr>
          <w:p>
            <w:pPr>
              <w:widowControl/>
              <w:jc w:val="center"/>
              <w:rPr>
                <w:szCs w:val="21"/>
              </w:rPr>
            </w:pPr>
            <w:r>
              <w:rPr>
                <w:rFonts w:hint="eastAsia"/>
                <w:szCs w:val="21"/>
              </w:rPr>
              <w:t>4</w:t>
            </w:r>
            <w:r>
              <w:rPr>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9" w:type="pct"/>
            <w:gridSpan w:val="2"/>
            <w:shd w:val="clear" w:color="auto" w:fill="auto"/>
            <w:vAlign w:val="center"/>
          </w:tcPr>
          <w:p>
            <w:pPr>
              <w:widowControl/>
              <w:jc w:val="center"/>
              <w:rPr>
                <w:rFonts w:eastAsia="Times New Roman"/>
                <w:szCs w:val="21"/>
              </w:rPr>
            </w:pPr>
            <w:r>
              <w:rPr>
                <w:rFonts w:hint="eastAsia" w:ascii="宋体" w:hAnsi="宋体" w:cs="宋体"/>
                <w:szCs w:val="21"/>
              </w:rPr>
              <w:t>检测最大值</w:t>
            </w:r>
          </w:p>
        </w:tc>
        <w:tc>
          <w:tcPr>
            <w:tcW w:w="453" w:type="pct"/>
            <w:shd w:val="clear" w:color="auto" w:fill="auto"/>
            <w:vAlign w:val="center"/>
          </w:tcPr>
          <w:p>
            <w:pPr>
              <w:widowControl/>
              <w:jc w:val="center"/>
              <w:rPr>
                <w:szCs w:val="21"/>
              </w:rPr>
            </w:pPr>
            <w:r>
              <w:rPr>
                <w:rFonts w:hint="eastAsia"/>
                <w:szCs w:val="21"/>
              </w:rPr>
              <w:t>7.</w:t>
            </w:r>
            <w:r>
              <w:rPr>
                <w:szCs w:val="21"/>
              </w:rPr>
              <w:t>7</w:t>
            </w:r>
          </w:p>
        </w:tc>
        <w:tc>
          <w:tcPr>
            <w:tcW w:w="357" w:type="pct"/>
            <w:shd w:val="clear" w:color="auto" w:fill="auto"/>
            <w:vAlign w:val="center"/>
          </w:tcPr>
          <w:p>
            <w:pPr>
              <w:widowControl/>
              <w:jc w:val="center"/>
              <w:rPr>
                <w:szCs w:val="21"/>
              </w:rPr>
            </w:pPr>
            <w:r>
              <w:rPr>
                <w:rFonts w:hint="eastAsia"/>
                <w:szCs w:val="21"/>
              </w:rPr>
              <w:t>0.1</w:t>
            </w:r>
            <w:r>
              <w:rPr>
                <w:szCs w:val="21"/>
              </w:rPr>
              <w:t>75</w:t>
            </w:r>
          </w:p>
        </w:tc>
        <w:tc>
          <w:tcPr>
            <w:tcW w:w="422" w:type="pct"/>
            <w:shd w:val="clear" w:color="auto" w:fill="auto"/>
            <w:vAlign w:val="center"/>
          </w:tcPr>
          <w:p>
            <w:pPr>
              <w:widowControl/>
              <w:jc w:val="center"/>
              <w:rPr>
                <w:szCs w:val="21"/>
              </w:rPr>
            </w:pPr>
            <w:r>
              <w:rPr>
                <w:rFonts w:hint="eastAsia"/>
                <w:szCs w:val="21"/>
              </w:rPr>
              <w:t>/</w:t>
            </w:r>
          </w:p>
        </w:tc>
        <w:tc>
          <w:tcPr>
            <w:tcW w:w="316" w:type="pct"/>
            <w:shd w:val="clear" w:color="auto" w:fill="auto"/>
            <w:vAlign w:val="center"/>
          </w:tcPr>
          <w:p>
            <w:pPr>
              <w:widowControl/>
              <w:jc w:val="center"/>
              <w:rPr>
                <w:szCs w:val="21"/>
              </w:rPr>
            </w:pPr>
            <w:r>
              <w:rPr>
                <w:rFonts w:hint="eastAsia"/>
                <w:szCs w:val="21"/>
              </w:rPr>
              <w:t>0.4</w:t>
            </w:r>
            <w:r>
              <w:rPr>
                <w:szCs w:val="21"/>
              </w:rPr>
              <w:t>2</w:t>
            </w:r>
          </w:p>
        </w:tc>
        <w:tc>
          <w:tcPr>
            <w:tcW w:w="527" w:type="pct"/>
            <w:shd w:val="clear" w:color="auto" w:fill="auto"/>
            <w:vAlign w:val="center"/>
          </w:tcPr>
          <w:p>
            <w:pPr>
              <w:widowControl/>
              <w:jc w:val="center"/>
              <w:rPr>
                <w:szCs w:val="21"/>
              </w:rPr>
            </w:pPr>
            <w:r>
              <w:rPr>
                <w:rFonts w:hint="eastAsia"/>
                <w:szCs w:val="21"/>
              </w:rPr>
              <w:t>/</w:t>
            </w:r>
          </w:p>
        </w:tc>
        <w:tc>
          <w:tcPr>
            <w:tcW w:w="402" w:type="pct"/>
            <w:shd w:val="clear" w:color="auto" w:fill="auto"/>
            <w:vAlign w:val="center"/>
          </w:tcPr>
          <w:p>
            <w:pPr>
              <w:widowControl/>
              <w:jc w:val="center"/>
              <w:rPr>
                <w:szCs w:val="21"/>
              </w:rPr>
            </w:pPr>
            <w:r>
              <w:rPr>
                <w:rFonts w:hint="eastAsia"/>
                <w:szCs w:val="21"/>
              </w:rPr>
              <w:t>/</w:t>
            </w:r>
          </w:p>
        </w:tc>
        <w:tc>
          <w:tcPr>
            <w:tcW w:w="329" w:type="pct"/>
            <w:shd w:val="clear" w:color="auto" w:fill="auto"/>
            <w:vAlign w:val="center"/>
          </w:tcPr>
          <w:p>
            <w:pPr>
              <w:widowControl/>
              <w:jc w:val="center"/>
              <w:rPr>
                <w:szCs w:val="21"/>
              </w:rPr>
            </w:pPr>
            <w:r>
              <w:rPr>
                <w:rFonts w:hint="eastAsia"/>
                <w:szCs w:val="21"/>
              </w:rPr>
              <w:t>/</w:t>
            </w:r>
          </w:p>
        </w:tc>
        <w:tc>
          <w:tcPr>
            <w:tcW w:w="329" w:type="pct"/>
            <w:vAlign w:val="center"/>
          </w:tcPr>
          <w:p>
            <w:pPr>
              <w:widowControl/>
              <w:jc w:val="center"/>
              <w:rPr>
                <w:szCs w:val="21"/>
              </w:rPr>
            </w:pPr>
            <w:r>
              <w:rPr>
                <w:rFonts w:hint="eastAsia"/>
                <w:szCs w:val="21"/>
              </w:rPr>
              <w:t>/</w:t>
            </w:r>
          </w:p>
        </w:tc>
        <w:tc>
          <w:tcPr>
            <w:tcW w:w="329" w:type="pct"/>
            <w:vAlign w:val="center"/>
          </w:tcPr>
          <w:p>
            <w:pPr>
              <w:widowControl/>
              <w:jc w:val="center"/>
              <w:rPr>
                <w:szCs w:val="21"/>
              </w:rPr>
            </w:pPr>
            <w:r>
              <w:rPr>
                <w:rFonts w:hint="eastAsia"/>
                <w:szCs w:val="21"/>
              </w:rPr>
              <w:t>/</w:t>
            </w:r>
          </w:p>
        </w:tc>
        <w:tc>
          <w:tcPr>
            <w:tcW w:w="329" w:type="pct"/>
            <w:vAlign w:val="center"/>
          </w:tcPr>
          <w:p>
            <w:pPr>
              <w:widowControl/>
              <w:jc w:val="center"/>
              <w:rPr>
                <w:szCs w:val="21"/>
              </w:rPr>
            </w:pPr>
            <w:r>
              <w:rPr>
                <w:rFonts w:hint="eastAsia"/>
                <w:szCs w:val="21"/>
              </w:rPr>
              <w:t>/</w:t>
            </w:r>
          </w:p>
        </w:tc>
        <w:tc>
          <w:tcPr>
            <w:tcW w:w="328" w:type="pct"/>
            <w:vAlign w:val="center"/>
          </w:tcPr>
          <w:p>
            <w:pPr>
              <w:widowControl/>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9" w:type="pct"/>
            <w:gridSpan w:val="2"/>
            <w:shd w:val="clear" w:color="auto" w:fill="auto"/>
            <w:vAlign w:val="center"/>
          </w:tcPr>
          <w:p>
            <w:pPr>
              <w:widowControl/>
              <w:jc w:val="center"/>
              <w:rPr>
                <w:rFonts w:ascii="宋体" w:hAnsi="宋体" w:cs="宋体"/>
                <w:szCs w:val="21"/>
              </w:rPr>
            </w:pPr>
            <w:r>
              <w:rPr>
                <w:rFonts w:hint="eastAsia" w:ascii="宋体" w:hAnsi="宋体" w:cs="宋体"/>
                <w:szCs w:val="21"/>
              </w:rPr>
              <w:t>检测最小值</w:t>
            </w:r>
          </w:p>
        </w:tc>
        <w:tc>
          <w:tcPr>
            <w:tcW w:w="453" w:type="pct"/>
            <w:shd w:val="clear" w:color="auto" w:fill="auto"/>
            <w:vAlign w:val="center"/>
          </w:tcPr>
          <w:p>
            <w:pPr>
              <w:widowControl/>
              <w:jc w:val="center"/>
              <w:rPr>
                <w:szCs w:val="21"/>
              </w:rPr>
            </w:pPr>
            <w:r>
              <w:rPr>
                <w:szCs w:val="21"/>
              </w:rPr>
              <w:t>6.9</w:t>
            </w:r>
          </w:p>
        </w:tc>
        <w:tc>
          <w:tcPr>
            <w:tcW w:w="357" w:type="pct"/>
            <w:shd w:val="clear" w:color="auto" w:fill="auto"/>
            <w:vAlign w:val="center"/>
          </w:tcPr>
          <w:p>
            <w:pPr>
              <w:widowControl/>
              <w:jc w:val="center"/>
              <w:rPr>
                <w:szCs w:val="21"/>
              </w:rPr>
            </w:pPr>
            <w:r>
              <w:rPr>
                <w:rFonts w:hint="eastAsia"/>
                <w:szCs w:val="21"/>
              </w:rPr>
              <w:t>0.10</w:t>
            </w:r>
            <w:r>
              <w:rPr>
                <w:szCs w:val="21"/>
              </w:rPr>
              <w:t>7</w:t>
            </w:r>
          </w:p>
        </w:tc>
        <w:tc>
          <w:tcPr>
            <w:tcW w:w="422" w:type="pct"/>
            <w:shd w:val="clear" w:color="auto" w:fill="auto"/>
            <w:vAlign w:val="center"/>
          </w:tcPr>
          <w:p>
            <w:pPr>
              <w:widowControl/>
              <w:jc w:val="center"/>
              <w:rPr>
                <w:szCs w:val="21"/>
              </w:rPr>
            </w:pPr>
            <w:r>
              <w:rPr>
                <w:rFonts w:hint="eastAsia"/>
                <w:szCs w:val="21"/>
              </w:rPr>
              <w:t>/</w:t>
            </w:r>
          </w:p>
        </w:tc>
        <w:tc>
          <w:tcPr>
            <w:tcW w:w="316" w:type="pct"/>
            <w:shd w:val="clear" w:color="auto" w:fill="auto"/>
            <w:vAlign w:val="center"/>
          </w:tcPr>
          <w:p>
            <w:pPr>
              <w:widowControl/>
              <w:jc w:val="center"/>
              <w:rPr>
                <w:szCs w:val="21"/>
              </w:rPr>
            </w:pPr>
            <w:r>
              <w:rPr>
                <w:rFonts w:hint="eastAsia"/>
                <w:szCs w:val="21"/>
              </w:rPr>
              <w:t>0.</w:t>
            </w:r>
            <w:r>
              <w:rPr>
                <w:szCs w:val="21"/>
              </w:rPr>
              <w:t>12</w:t>
            </w:r>
          </w:p>
        </w:tc>
        <w:tc>
          <w:tcPr>
            <w:tcW w:w="527" w:type="pct"/>
            <w:shd w:val="clear" w:color="auto" w:fill="auto"/>
            <w:vAlign w:val="center"/>
          </w:tcPr>
          <w:p>
            <w:pPr>
              <w:widowControl/>
              <w:jc w:val="center"/>
              <w:rPr>
                <w:szCs w:val="21"/>
              </w:rPr>
            </w:pPr>
            <w:r>
              <w:rPr>
                <w:rFonts w:hint="eastAsia"/>
                <w:szCs w:val="21"/>
              </w:rPr>
              <w:t>/</w:t>
            </w:r>
          </w:p>
        </w:tc>
        <w:tc>
          <w:tcPr>
            <w:tcW w:w="402" w:type="pct"/>
            <w:shd w:val="clear" w:color="auto" w:fill="auto"/>
            <w:vAlign w:val="center"/>
          </w:tcPr>
          <w:p>
            <w:pPr>
              <w:widowControl/>
              <w:jc w:val="center"/>
              <w:rPr>
                <w:szCs w:val="21"/>
              </w:rPr>
            </w:pPr>
            <w:r>
              <w:rPr>
                <w:rFonts w:hint="eastAsia"/>
                <w:szCs w:val="21"/>
              </w:rPr>
              <w:t>/</w:t>
            </w:r>
          </w:p>
        </w:tc>
        <w:tc>
          <w:tcPr>
            <w:tcW w:w="329" w:type="pct"/>
            <w:shd w:val="clear" w:color="auto" w:fill="auto"/>
            <w:vAlign w:val="center"/>
          </w:tcPr>
          <w:p>
            <w:pPr>
              <w:widowControl/>
              <w:jc w:val="center"/>
              <w:rPr>
                <w:szCs w:val="21"/>
              </w:rPr>
            </w:pPr>
            <w:r>
              <w:rPr>
                <w:rFonts w:hint="eastAsia"/>
                <w:szCs w:val="21"/>
              </w:rPr>
              <w:t>/</w:t>
            </w:r>
          </w:p>
        </w:tc>
        <w:tc>
          <w:tcPr>
            <w:tcW w:w="329" w:type="pct"/>
            <w:vAlign w:val="center"/>
          </w:tcPr>
          <w:p>
            <w:pPr>
              <w:widowControl/>
              <w:jc w:val="center"/>
              <w:rPr>
                <w:szCs w:val="21"/>
              </w:rPr>
            </w:pPr>
            <w:r>
              <w:rPr>
                <w:rFonts w:hint="eastAsia"/>
                <w:szCs w:val="21"/>
              </w:rPr>
              <w:t>/</w:t>
            </w:r>
          </w:p>
        </w:tc>
        <w:tc>
          <w:tcPr>
            <w:tcW w:w="329" w:type="pct"/>
            <w:vAlign w:val="center"/>
          </w:tcPr>
          <w:p>
            <w:pPr>
              <w:widowControl/>
              <w:jc w:val="center"/>
              <w:rPr>
                <w:szCs w:val="21"/>
              </w:rPr>
            </w:pPr>
            <w:r>
              <w:rPr>
                <w:rFonts w:hint="eastAsia"/>
                <w:szCs w:val="21"/>
              </w:rPr>
              <w:t>/</w:t>
            </w:r>
          </w:p>
        </w:tc>
        <w:tc>
          <w:tcPr>
            <w:tcW w:w="329" w:type="pct"/>
            <w:vAlign w:val="center"/>
          </w:tcPr>
          <w:p>
            <w:pPr>
              <w:widowControl/>
              <w:jc w:val="center"/>
              <w:rPr>
                <w:szCs w:val="21"/>
              </w:rPr>
            </w:pPr>
            <w:r>
              <w:rPr>
                <w:rFonts w:hint="eastAsia"/>
                <w:szCs w:val="21"/>
              </w:rPr>
              <w:t>/</w:t>
            </w:r>
          </w:p>
        </w:tc>
        <w:tc>
          <w:tcPr>
            <w:tcW w:w="328" w:type="pct"/>
            <w:vAlign w:val="center"/>
          </w:tcPr>
          <w:p>
            <w:pPr>
              <w:widowControl/>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9" w:type="pct"/>
            <w:gridSpan w:val="2"/>
            <w:shd w:val="clear" w:color="auto" w:fill="auto"/>
            <w:vAlign w:val="center"/>
          </w:tcPr>
          <w:p>
            <w:pPr>
              <w:widowControl/>
              <w:jc w:val="center"/>
              <w:rPr>
                <w:rFonts w:ascii="宋体" w:hAnsi="宋体" w:cs="宋体"/>
                <w:szCs w:val="21"/>
              </w:rPr>
            </w:pPr>
            <w:r>
              <w:rPr>
                <w:rFonts w:hint="eastAsia" w:ascii="宋体" w:hAnsi="宋体" w:cs="宋体"/>
                <w:szCs w:val="21"/>
              </w:rPr>
              <w:t>检出率</w:t>
            </w:r>
          </w:p>
        </w:tc>
        <w:tc>
          <w:tcPr>
            <w:tcW w:w="453" w:type="pct"/>
            <w:shd w:val="clear" w:color="auto" w:fill="auto"/>
            <w:vAlign w:val="center"/>
          </w:tcPr>
          <w:p>
            <w:pPr>
              <w:widowControl/>
              <w:jc w:val="center"/>
              <w:rPr>
                <w:szCs w:val="21"/>
              </w:rPr>
            </w:pPr>
            <w:r>
              <w:rPr>
                <w:rFonts w:hint="eastAsia"/>
                <w:szCs w:val="21"/>
              </w:rPr>
              <w:t>1</w:t>
            </w:r>
            <w:r>
              <w:rPr>
                <w:szCs w:val="21"/>
              </w:rPr>
              <w:t>00%</w:t>
            </w:r>
          </w:p>
        </w:tc>
        <w:tc>
          <w:tcPr>
            <w:tcW w:w="357" w:type="pct"/>
            <w:shd w:val="clear" w:color="auto" w:fill="auto"/>
            <w:vAlign w:val="center"/>
          </w:tcPr>
          <w:p>
            <w:pPr>
              <w:widowControl/>
              <w:jc w:val="center"/>
              <w:rPr>
                <w:szCs w:val="21"/>
              </w:rPr>
            </w:pPr>
            <w:r>
              <w:rPr>
                <w:rFonts w:hint="eastAsia"/>
                <w:szCs w:val="21"/>
              </w:rPr>
              <w:t>1</w:t>
            </w:r>
            <w:r>
              <w:rPr>
                <w:szCs w:val="21"/>
              </w:rPr>
              <w:t>00%</w:t>
            </w:r>
          </w:p>
        </w:tc>
        <w:tc>
          <w:tcPr>
            <w:tcW w:w="4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0</w:t>
            </w:r>
          </w:p>
        </w:tc>
        <w:tc>
          <w:tcPr>
            <w:tcW w:w="316" w:type="pct"/>
            <w:shd w:val="clear" w:color="auto" w:fill="auto"/>
            <w:vAlign w:val="center"/>
          </w:tcPr>
          <w:p>
            <w:pPr>
              <w:widowControl/>
              <w:jc w:val="center"/>
              <w:textAlignment w:val="center"/>
              <w:rPr>
                <w:rFonts w:eastAsia="Times New Roman"/>
                <w:kern w:val="0"/>
                <w:szCs w:val="21"/>
                <w:lang w:bidi="ar"/>
              </w:rPr>
            </w:pPr>
            <w:r>
              <w:rPr>
                <w:rFonts w:hint="eastAsia"/>
                <w:szCs w:val="21"/>
              </w:rPr>
              <w:t>1</w:t>
            </w:r>
            <w:r>
              <w:rPr>
                <w:szCs w:val="21"/>
              </w:rPr>
              <w:t>00%</w:t>
            </w:r>
          </w:p>
        </w:tc>
        <w:tc>
          <w:tcPr>
            <w:tcW w:w="527"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0</w:t>
            </w:r>
          </w:p>
        </w:tc>
        <w:tc>
          <w:tcPr>
            <w:tcW w:w="40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0</w:t>
            </w:r>
          </w:p>
        </w:tc>
        <w:tc>
          <w:tcPr>
            <w:tcW w:w="329" w:type="pct"/>
            <w:shd w:val="clear" w:color="auto" w:fill="auto"/>
            <w:vAlign w:val="center"/>
          </w:tcPr>
          <w:p>
            <w:pPr>
              <w:widowControl/>
              <w:jc w:val="center"/>
              <w:rPr>
                <w:rFonts w:eastAsia="等线"/>
                <w:szCs w:val="21"/>
                <w:highlight w:val="yellow"/>
              </w:rPr>
            </w:pPr>
            <w:r>
              <w:rPr>
                <w:rFonts w:hint="eastAsia" w:eastAsia="等线"/>
                <w:szCs w:val="21"/>
              </w:rPr>
              <w:t>0</w:t>
            </w:r>
          </w:p>
        </w:tc>
        <w:tc>
          <w:tcPr>
            <w:tcW w:w="329" w:type="pct"/>
            <w:vAlign w:val="center"/>
          </w:tcPr>
          <w:p>
            <w:pPr>
              <w:widowControl/>
              <w:jc w:val="center"/>
              <w:rPr>
                <w:rFonts w:eastAsia="等线"/>
                <w:szCs w:val="21"/>
              </w:rPr>
            </w:pPr>
            <w:r>
              <w:rPr>
                <w:szCs w:val="21"/>
              </w:rPr>
              <w:t>0</w:t>
            </w:r>
          </w:p>
        </w:tc>
        <w:tc>
          <w:tcPr>
            <w:tcW w:w="329" w:type="pct"/>
            <w:vAlign w:val="center"/>
          </w:tcPr>
          <w:p>
            <w:pPr>
              <w:widowControl/>
              <w:jc w:val="center"/>
              <w:rPr>
                <w:rFonts w:eastAsia="等线"/>
                <w:szCs w:val="21"/>
              </w:rPr>
            </w:pPr>
            <w:r>
              <w:rPr>
                <w:szCs w:val="21"/>
              </w:rPr>
              <w:t>0</w:t>
            </w:r>
          </w:p>
        </w:tc>
        <w:tc>
          <w:tcPr>
            <w:tcW w:w="329" w:type="pct"/>
            <w:vAlign w:val="center"/>
          </w:tcPr>
          <w:p>
            <w:pPr>
              <w:widowControl/>
              <w:jc w:val="center"/>
              <w:rPr>
                <w:rFonts w:eastAsia="等线"/>
                <w:szCs w:val="21"/>
              </w:rPr>
            </w:pPr>
            <w:r>
              <w:rPr>
                <w:szCs w:val="21"/>
              </w:rPr>
              <w:t>0</w:t>
            </w:r>
          </w:p>
        </w:tc>
        <w:tc>
          <w:tcPr>
            <w:tcW w:w="328" w:type="pct"/>
            <w:vAlign w:val="center"/>
          </w:tcPr>
          <w:p>
            <w:pPr>
              <w:widowControl/>
              <w:jc w:val="center"/>
              <w:rPr>
                <w:rFonts w:eastAsia="等线"/>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9" w:type="pct"/>
            <w:gridSpan w:val="2"/>
            <w:shd w:val="clear" w:color="auto" w:fill="auto"/>
            <w:vAlign w:val="center"/>
          </w:tcPr>
          <w:p>
            <w:pPr>
              <w:widowControl/>
              <w:jc w:val="center"/>
              <w:rPr>
                <w:rFonts w:ascii="宋体" w:hAnsi="宋体" w:cs="宋体"/>
                <w:szCs w:val="21"/>
              </w:rPr>
            </w:pPr>
            <w:r>
              <w:rPr>
                <w:rFonts w:hint="eastAsia" w:ascii="宋体" w:hAnsi="宋体" w:cs="宋体"/>
                <w:szCs w:val="21"/>
              </w:rPr>
              <w:t>标准值</w:t>
            </w:r>
          </w:p>
        </w:tc>
        <w:tc>
          <w:tcPr>
            <w:tcW w:w="453" w:type="pct"/>
            <w:shd w:val="clear" w:color="auto" w:fill="auto"/>
            <w:vAlign w:val="center"/>
          </w:tcPr>
          <w:p>
            <w:pPr>
              <w:widowControl/>
              <w:jc w:val="center"/>
              <w:rPr>
                <w:szCs w:val="21"/>
                <w:highlight w:val="yellow"/>
              </w:rPr>
            </w:pPr>
            <w:r>
              <w:rPr>
                <w:szCs w:val="21"/>
              </w:rPr>
              <w:t>6.5-8.5</w:t>
            </w:r>
          </w:p>
        </w:tc>
        <w:tc>
          <w:tcPr>
            <w:tcW w:w="357" w:type="pct"/>
            <w:shd w:val="clear" w:color="auto" w:fill="auto"/>
            <w:vAlign w:val="center"/>
          </w:tcPr>
          <w:p>
            <w:pPr>
              <w:widowControl/>
              <w:jc w:val="center"/>
              <w:rPr>
                <w:szCs w:val="21"/>
              </w:rPr>
            </w:pPr>
            <w:r>
              <w:rPr>
                <w:rFonts w:hint="eastAsia"/>
                <w:szCs w:val="21"/>
              </w:rPr>
              <w:t>0</w:t>
            </w:r>
            <w:r>
              <w:rPr>
                <w:szCs w:val="21"/>
              </w:rPr>
              <w:t>.5</w:t>
            </w:r>
          </w:p>
        </w:tc>
        <w:tc>
          <w:tcPr>
            <w:tcW w:w="422" w:type="pct"/>
            <w:shd w:val="clear" w:color="auto" w:fill="auto"/>
            <w:vAlign w:val="center"/>
          </w:tcPr>
          <w:p>
            <w:pPr>
              <w:widowControl/>
              <w:jc w:val="center"/>
              <w:textAlignment w:val="center"/>
              <w:rPr>
                <w:szCs w:val="21"/>
                <w:highlight w:val="yellow"/>
              </w:rPr>
            </w:pPr>
            <w:r>
              <w:rPr>
                <w:szCs w:val="21"/>
              </w:rPr>
              <w:t>1</w:t>
            </w:r>
          </w:p>
        </w:tc>
        <w:tc>
          <w:tcPr>
            <w:tcW w:w="316" w:type="pct"/>
            <w:shd w:val="clear" w:color="auto" w:fill="auto"/>
            <w:vAlign w:val="center"/>
          </w:tcPr>
          <w:p>
            <w:pPr>
              <w:widowControl/>
              <w:jc w:val="center"/>
              <w:textAlignment w:val="center"/>
              <w:rPr>
                <w:szCs w:val="21"/>
                <w:highlight w:val="yellow"/>
              </w:rPr>
            </w:pPr>
            <w:r>
              <w:rPr>
                <w:rFonts w:hint="eastAsia"/>
                <w:szCs w:val="21"/>
              </w:rPr>
              <w:t>2</w:t>
            </w:r>
            <w:r>
              <w:rPr>
                <w:szCs w:val="21"/>
              </w:rPr>
              <w:t>0.0</w:t>
            </w:r>
          </w:p>
        </w:tc>
        <w:tc>
          <w:tcPr>
            <w:tcW w:w="527" w:type="pct"/>
            <w:shd w:val="clear" w:color="auto" w:fill="auto"/>
            <w:vAlign w:val="center"/>
          </w:tcPr>
          <w:p>
            <w:pPr>
              <w:widowControl/>
              <w:jc w:val="center"/>
              <w:textAlignment w:val="center"/>
              <w:rPr>
                <w:szCs w:val="21"/>
                <w:highlight w:val="yellow"/>
              </w:rPr>
            </w:pPr>
            <w:r>
              <w:rPr>
                <w:szCs w:val="21"/>
              </w:rPr>
              <w:t>0.002</w:t>
            </w:r>
          </w:p>
        </w:tc>
        <w:tc>
          <w:tcPr>
            <w:tcW w:w="402" w:type="pct"/>
            <w:shd w:val="clear" w:color="auto" w:fill="auto"/>
            <w:vAlign w:val="center"/>
          </w:tcPr>
          <w:p>
            <w:pPr>
              <w:widowControl/>
              <w:jc w:val="center"/>
              <w:textAlignment w:val="center"/>
              <w:rPr>
                <w:szCs w:val="21"/>
                <w:highlight w:val="yellow"/>
              </w:rPr>
            </w:pPr>
            <w:r>
              <w:rPr>
                <w:szCs w:val="21"/>
              </w:rPr>
              <w:t>0.05</w:t>
            </w:r>
          </w:p>
        </w:tc>
        <w:tc>
          <w:tcPr>
            <w:tcW w:w="329" w:type="pct"/>
            <w:shd w:val="clear" w:color="auto" w:fill="auto"/>
            <w:vAlign w:val="center"/>
          </w:tcPr>
          <w:p>
            <w:pPr>
              <w:widowControl/>
              <w:jc w:val="center"/>
              <w:rPr>
                <w:szCs w:val="21"/>
                <w:highlight w:val="yellow"/>
              </w:rPr>
            </w:pPr>
            <w:r>
              <w:rPr>
                <w:szCs w:val="21"/>
              </w:rPr>
              <w:t>0.02</w:t>
            </w:r>
          </w:p>
        </w:tc>
        <w:tc>
          <w:tcPr>
            <w:tcW w:w="329" w:type="pct"/>
            <w:vAlign w:val="center"/>
          </w:tcPr>
          <w:p>
            <w:pPr>
              <w:widowControl/>
              <w:jc w:val="center"/>
              <w:rPr>
                <w:szCs w:val="21"/>
              </w:rPr>
            </w:pPr>
            <w:r>
              <w:rPr>
                <w:rFonts w:hint="eastAsia"/>
                <w:szCs w:val="21"/>
              </w:rPr>
              <w:t>0</w:t>
            </w:r>
            <w:r>
              <w:rPr>
                <w:szCs w:val="21"/>
              </w:rPr>
              <w:t>.001</w:t>
            </w:r>
          </w:p>
        </w:tc>
        <w:tc>
          <w:tcPr>
            <w:tcW w:w="329" w:type="pct"/>
            <w:vAlign w:val="center"/>
          </w:tcPr>
          <w:p>
            <w:pPr>
              <w:widowControl/>
              <w:jc w:val="center"/>
              <w:rPr>
                <w:szCs w:val="21"/>
              </w:rPr>
            </w:pPr>
            <w:r>
              <w:rPr>
                <w:rFonts w:hint="eastAsia"/>
                <w:szCs w:val="21"/>
              </w:rPr>
              <w:t>0</w:t>
            </w:r>
            <w:r>
              <w:rPr>
                <w:szCs w:val="21"/>
              </w:rPr>
              <w:t>.01</w:t>
            </w:r>
          </w:p>
        </w:tc>
        <w:tc>
          <w:tcPr>
            <w:tcW w:w="329" w:type="pct"/>
            <w:vAlign w:val="center"/>
          </w:tcPr>
          <w:p>
            <w:pPr>
              <w:widowControl/>
              <w:jc w:val="center"/>
              <w:rPr>
                <w:szCs w:val="21"/>
              </w:rPr>
            </w:pPr>
            <w:r>
              <w:rPr>
                <w:rFonts w:hint="eastAsia"/>
                <w:szCs w:val="21"/>
              </w:rPr>
              <w:t>0</w:t>
            </w:r>
            <w:r>
              <w:rPr>
                <w:szCs w:val="21"/>
              </w:rPr>
              <w:t>.05</w:t>
            </w:r>
          </w:p>
        </w:tc>
        <w:tc>
          <w:tcPr>
            <w:tcW w:w="328" w:type="pct"/>
            <w:vAlign w:val="center"/>
          </w:tcPr>
          <w:p>
            <w:pPr>
              <w:widowControl/>
              <w:jc w:val="center"/>
              <w:rPr>
                <w:szCs w:val="21"/>
              </w:rPr>
            </w:pPr>
            <w:r>
              <w:rPr>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9" w:type="pct"/>
            <w:gridSpan w:val="2"/>
            <w:shd w:val="clear" w:color="auto" w:fill="auto"/>
            <w:vAlign w:val="center"/>
          </w:tcPr>
          <w:p>
            <w:pPr>
              <w:widowControl/>
              <w:jc w:val="center"/>
              <w:rPr>
                <w:rFonts w:ascii="宋体" w:hAnsi="宋体" w:cs="宋体"/>
                <w:szCs w:val="21"/>
              </w:rPr>
            </w:pPr>
            <w:r>
              <w:rPr>
                <w:rFonts w:hint="eastAsia" w:ascii="宋体" w:hAnsi="宋体" w:cs="宋体"/>
                <w:szCs w:val="21"/>
              </w:rPr>
              <w:t>标准指数</w:t>
            </w:r>
          </w:p>
        </w:tc>
        <w:tc>
          <w:tcPr>
            <w:tcW w:w="453" w:type="pct"/>
            <w:shd w:val="clear" w:color="auto" w:fill="auto"/>
            <w:vAlign w:val="center"/>
          </w:tcPr>
          <w:p>
            <w:pPr>
              <w:widowControl/>
              <w:jc w:val="center"/>
              <w:rPr>
                <w:szCs w:val="21"/>
              </w:rPr>
            </w:pPr>
            <w:r>
              <w:rPr>
                <w:rFonts w:hint="eastAsia"/>
                <w:szCs w:val="21"/>
              </w:rPr>
              <w:t>/</w:t>
            </w:r>
          </w:p>
        </w:tc>
        <w:tc>
          <w:tcPr>
            <w:tcW w:w="357" w:type="pct"/>
            <w:shd w:val="clear" w:color="auto" w:fill="auto"/>
            <w:vAlign w:val="center"/>
          </w:tcPr>
          <w:p>
            <w:pPr>
              <w:widowControl/>
              <w:jc w:val="center"/>
              <w:rPr>
                <w:szCs w:val="21"/>
              </w:rPr>
            </w:pPr>
            <w:r>
              <w:rPr>
                <w:rFonts w:hint="eastAsia"/>
                <w:szCs w:val="21"/>
              </w:rPr>
              <w:t>0</w:t>
            </w:r>
            <w:r>
              <w:rPr>
                <w:szCs w:val="21"/>
              </w:rPr>
              <w:t>.214</w:t>
            </w:r>
          </w:p>
          <w:p>
            <w:pPr>
              <w:widowControl/>
              <w:jc w:val="center"/>
              <w:rPr>
                <w:szCs w:val="21"/>
              </w:rPr>
            </w:pPr>
            <w:r>
              <w:rPr>
                <w:rFonts w:hint="eastAsia"/>
                <w:szCs w:val="21"/>
              </w:rPr>
              <w:t>~</w:t>
            </w:r>
            <w:r>
              <w:rPr>
                <w:szCs w:val="21"/>
              </w:rPr>
              <w:t>0.35</w:t>
            </w:r>
          </w:p>
        </w:tc>
        <w:tc>
          <w:tcPr>
            <w:tcW w:w="422" w:type="pct"/>
            <w:shd w:val="clear" w:color="auto" w:fill="auto"/>
            <w:vAlign w:val="center"/>
          </w:tcPr>
          <w:p>
            <w:pPr>
              <w:widowControl/>
              <w:jc w:val="center"/>
              <w:textAlignment w:val="center"/>
              <w:rPr>
                <w:szCs w:val="21"/>
                <w:highlight w:val="yellow"/>
              </w:rPr>
            </w:pPr>
            <w:r>
              <w:rPr>
                <w:rFonts w:hint="eastAsia"/>
                <w:szCs w:val="21"/>
              </w:rPr>
              <w:t>/</w:t>
            </w:r>
          </w:p>
        </w:tc>
        <w:tc>
          <w:tcPr>
            <w:tcW w:w="316" w:type="pct"/>
            <w:shd w:val="clear" w:color="auto" w:fill="auto"/>
            <w:vAlign w:val="center"/>
          </w:tcPr>
          <w:p>
            <w:pPr>
              <w:widowControl/>
              <w:jc w:val="center"/>
              <w:textAlignment w:val="center"/>
              <w:rPr>
                <w:szCs w:val="21"/>
              </w:rPr>
            </w:pPr>
            <w:r>
              <w:rPr>
                <w:rFonts w:hint="eastAsia"/>
                <w:szCs w:val="21"/>
              </w:rPr>
              <w:t>0</w:t>
            </w:r>
            <w:r>
              <w:rPr>
                <w:szCs w:val="21"/>
              </w:rPr>
              <w:t>.006</w:t>
            </w:r>
            <w:r>
              <w:rPr>
                <w:rFonts w:hint="eastAsia"/>
                <w:szCs w:val="21"/>
              </w:rPr>
              <w:t>~</w:t>
            </w:r>
          </w:p>
          <w:p>
            <w:pPr>
              <w:widowControl/>
              <w:jc w:val="center"/>
              <w:textAlignment w:val="center"/>
              <w:rPr>
                <w:szCs w:val="21"/>
                <w:highlight w:val="yellow"/>
              </w:rPr>
            </w:pPr>
            <w:r>
              <w:rPr>
                <w:rFonts w:hint="eastAsia"/>
                <w:szCs w:val="21"/>
              </w:rPr>
              <w:t>0</w:t>
            </w:r>
            <w:r>
              <w:rPr>
                <w:szCs w:val="21"/>
              </w:rPr>
              <w:t>.021</w:t>
            </w:r>
          </w:p>
        </w:tc>
        <w:tc>
          <w:tcPr>
            <w:tcW w:w="527" w:type="pct"/>
            <w:shd w:val="clear" w:color="auto" w:fill="auto"/>
            <w:vAlign w:val="center"/>
          </w:tcPr>
          <w:p>
            <w:pPr>
              <w:widowControl/>
              <w:jc w:val="center"/>
              <w:textAlignment w:val="center"/>
              <w:rPr>
                <w:szCs w:val="21"/>
                <w:highlight w:val="yellow"/>
              </w:rPr>
            </w:pPr>
            <w:r>
              <w:rPr>
                <w:rFonts w:hint="eastAsia"/>
                <w:szCs w:val="21"/>
              </w:rPr>
              <w:t>/</w:t>
            </w:r>
          </w:p>
        </w:tc>
        <w:tc>
          <w:tcPr>
            <w:tcW w:w="402" w:type="pct"/>
            <w:shd w:val="clear" w:color="auto" w:fill="auto"/>
            <w:vAlign w:val="center"/>
          </w:tcPr>
          <w:p>
            <w:pPr>
              <w:widowControl/>
              <w:jc w:val="center"/>
              <w:textAlignment w:val="center"/>
              <w:rPr>
                <w:szCs w:val="21"/>
                <w:highlight w:val="yellow"/>
              </w:rPr>
            </w:pPr>
            <w:r>
              <w:rPr>
                <w:rFonts w:hint="eastAsia"/>
                <w:szCs w:val="21"/>
              </w:rPr>
              <w:t>/</w:t>
            </w:r>
          </w:p>
        </w:tc>
        <w:tc>
          <w:tcPr>
            <w:tcW w:w="329" w:type="pct"/>
            <w:shd w:val="clear" w:color="auto" w:fill="auto"/>
            <w:vAlign w:val="center"/>
          </w:tcPr>
          <w:p>
            <w:pPr>
              <w:widowControl/>
              <w:jc w:val="center"/>
              <w:rPr>
                <w:szCs w:val="21"/>
                <w:highlight w:val="yellow"/>
              </w:rPr>
            </w:pPr>
            <w:r>
              <w:rPr>
                <w:rFonts w:hint="eastAsia"/>
                <w:szCs w:val="21"/>
              </w:rPr>
              <w:t>/</w:t>
            </w:r>
          </w:p>
        </w:tc>
        <w:tc>
          <w:tcPr>
            <w:tcW w:w="329" w:type="pct"/>
            <w:vAlign w:val="center"/>
          </w:tcPr>
          <w:p>
            <w:pPr>
              <w:widowControl/>
              <w:jc w:val="center"/>
              <w:rPr>
                <w:szCs w:val="21"/>
              </w:rPr>
            </w:pPr>
            <w:r>
              <w:rPr>
                <w:rFonts w:hint="eastAsia"/>
                <w:szCs w:val="21"/>
              </w:rPr>
              <w:t>/</w:t>
            </w:r>
          </w:p>
        </w:tc>
        <w:tc>
          <w:tcPr>
            <w:tcW w:w="329" w:type="pct"/>
            <w:vAlign w:val="center"/>
          </w:tcPr>
          <w:p>
            <w:pPr>
              <w:widowControl/>
              <w:jc w:val="center"/>
              <w:rPr>
                <w:szCs w:val="21"/>
              </w:rPr>
            </w:pPr>
            <w:r>
              <w:rPr>
                <w:rFonts w:hint="eastAsia"/>
                <w:szCs w:val="21"/>
              </w:rPr>
              <w:t>/</w:t>
            </w:r>
          </w:p>
        </w:tc>
        <w:tc>
          <w:tcPr>
            <w:tcW w:w="329" w:type="pct"/>
            <w:vAlign w:val="center"/>
          </w:tcPr>
          <w:p>
            <w:pPr>
              <w:widowControl/>
              <w:jc w:val="center"/>
              <w:rPr>
                <w:szCs w:val="21"/>
              </w:rPr>
            </w:pPr>
            <w:r>
              <w:rPr>
                <w:rFonts w:hint="eastAsia"/>
                <w:szCs w:val="21"/>
              </w:rPr>
              <w:t>/</w:t>
            </w:r>
          </w:p>
        </w:tc>
        <w:tc>
          <w:tcPr>
            <w:tcW w:w="328" w:type="pct"/>
            <w:vAlign w:val="center"/>
          </w:tcPr>
          <w:p>
            <w:pPr>
              <w:widowControl/>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9" w:type="pct"/>
            <w:gridSpan w:val="2"/>
            <w:shd w:val="clear" w:color="auto" w:fill="auto"/>
            <w:vAlign w:val="center"/>
          </w:tcPr>
          <w:p>
            <w:pPr>
              <w:widowControl/>
              <w:jc w:val="center"/>
              <w:rPr>
                <w:rFonts w:ascii="宋体" w:hAnsi="宋体" w:cs="宋体"/>
                <w:szCs w:val="21"/>
              </w:rPr>
            </w:pPr>
            <w:r>
              <w:rPr>
                <w:rFonts w:hint="eastAsia" w:ascii="宋体" w:hAnsi="宋体" w:cs="宋体"/>
                <w:szCs w:val="21"/>
              </w:rPr>
              <w:t>超标率（</w:t>
            </w:r>
            <w:r>
              <w:rPr>
                <w:szCs w:val="21"/>
              </w:rPr>
              <w:t>%）</w:t>
            </w:r>
          </w:p>
        </w:tc>
        <w:tc>
          <w:tcPr>
            <w:tcW w:w="453" w:type="pct"/>
            <w:shd w:val="clear" w:color="auto" w:fill="auto"/>
            <w:vAlign w:val="center"/>
          </w:tcPr>
          <w:p>
            <w:pPr>
              <w:widowControl/>
              <w:jc w:val="center"/>
              <w:rPr>
                <w:szCs w:val="21"/>
              </w:rPr>
            </w:pPr>
            <w:r>
              <w:rPr>
                <w:szCs w:val="21"/>
              </w:rPr>
              <w:t>0</w:t>
            </w:r>
          </w:p>
        </w:tc>
        <w:tc>
          <w:tcPr>
            <w:tcW w:w="357" w:type="pct"/>
            <w:shd w:val="clear" w:color="auto" w:fill="auto"/>
            <w:vAlign w:val="center"/>
          </w:tcPr>
          <w:p>
            <w:pPr>
              <w:widowControl/>
              <w:jc w:val="center"/>
              <w:rPr>
                <w:szCs w:val="21"/>
              </w:rPr>
            </w:pPr>
            <w:r>
              <w:rPr>
                <w:rFonts w:hint="eastAsia"/>
                <w:szCs w:val="21"/>
              </w:rPr>
              <w:t>0</w:t>
            </w:r>
          </w:p>
        </w:tc>
        <w:tc>
          <w:tcPr>
            <w:tcW w:w="422" w:type="pct"/>
            <w:shd w:val="clear" w:color="auto" w:fill="auto"/>
            <w:vAlign w:val="center"/>
          </w:tcPr>
          <w:p>
            <w:pPr>
              <w:widowControl/>
              <w:jc w:val="center"/>
              <w:textAlignment w:val="center"/>
              <w:rPr>
                <w:rFonts w:ascii="宋体" w:hAnsi="宋体" w:cs="宋体"/>
                <w:szCs w:val="21"/>
                <w:highlight w:val="yellow"/>
              </w:rPr>
            </w:pPr>
            <w:r>
              <w:rPr>
                <w:kern w:val="0"/>
                <w:szCs w:val="21"/>
                <w:lang w:bidi="ar"/>
              </w:rPr>
              <w:t>0</w:t>
            </w:r>
          </w:p>
        </w:tc>
        <w:tc>
          <w:tcPr>
            <w:tcW w:w="316" w:type="pct"/>
            <w:shd w:val="clear" w:color="auto" w:fill="auto"/>
            <w:vAlign w:val="center"/>
          </w:tcPr>
          <w:p>
            <w:pPr>
              <w:widowControl/>
              <w:jc w:val="center"/>
              <w:textAlignment w:val="center"/>
              <w:rPr>
                <w:rFonts w:eastAsia="Times New Roman"/>
                <w:kern w:val="0"/>
                <w:szCs w:val="21"/>
                <w:highlight w:val="yellow"/>
                <w:lang w:bidi="ar"/>
              </w:rPr>
            </w:pPr>
            <w:r>
              <w:rPr>
                <w:rFonts w:hint="eastAsia"/>
                <w:szCs w:val="21"/>
              </w:rPr>
              <w:t>0</w:t>
            </w:r>
          </w:p>
        </w:tc>
        <w:tc>
          <w:tcPr>
            <w:tcW w:w="527" w:type="pct"/>
            <w:shd w:val="clear" w:color="auto" w:fill="auto"/>
            <w:vAlign w:val="center"/>
          </w:tcPr>
          <w:p>
            <w:pPr>
              <w:widowControl/>
              <w:jc w:val="center"/>
              <w:textAlignment w:val="center"/>
              <w:rPr>
                <w:rFonts w:ascii="宋体" w:hAnsi="宋体" w:cs="宋体"/>
                <w:szCs w:val="21"/>
                <w:highlight w:val="yellow"/>
              </w:rPr>
            </w:pPr>
            <w:r>
              <w:rPr>
                <w:kern w:val="0"/>
                <w:szCs w:val="21"/>
                <w:lang w:bidi="ar"/>
              </w:rPr>
              <w:t>0</w:t>
            </w:r>
          </w:p>
        </w:tc>
        <w:tc>
          <w:tcPr>
            <w:tcW w:w="402" w:type="pct"/>
            <w:shd w:val="clear" w:color="auto" w:fill="auto"/>
            <w:vAlign w:val="center"/>
          </w:tcPr>
          <w:p>
            <w:pPr>
              <w:widowControl/>
              <w:jc w:val="center"/>
              <w:textAlignment w:val="center"/>
              <w:rPr>
                <w:rFonts w:ascii="宋体" w:hAnsi="宋体" w:cs="宋体"/>
                <w:szCs w:val="21"/>
                <w:highlight w:val="yellow"/>
              </w:rPr>
            </w:pPr>
            <w:r>
              <w:rPr>
                <w:kern w:val="0"/>
                <w:szCs w:val="21"/>
                <w:lang w:bidi="ar"/>
              </w:rPr>
              <w:t>0</w:t>
            </w:r>
          </w:p>
        </w:tc>
        <w:tc>
          <w:tcPr>
            <w:tcW w:w="329" w:type="pct"/>
            <w:shd w:val="clear" w:color="auto" w:fill="auto"/>
            <w:vAlign w:val="center"/>
          </w:tcPr>
          <w:p>
            <w:pPr>
              <w:widowControl/>
              <w:jc w:val="center"/>
              <w:rPr>
                <w:rFonts w:eastAsia="Times New Roman"/>
                <w:szCs w:val="21"/>
                <w:highlight w:val="yellow"/>
              </w:rPr>
            </w:pPr>
            <w:r>
              <w:rPr>
                <w:kern w:val="0"/>
                <w:szCs w:val="21"/>
                <w:lang w:bidi="ar"/>
              </w:rPr>
              <w:t>0</w:t>
            </w:r>
          </w:p>
        </w:tc>
        <w:tc>
          <w:tcPr>
            <w:tcW w:w="329" w:type="pct"/>
            <w:vAlign w:val="center"/>
          </w:tcPr>
          <w:p>
            <w:pPr>
              <w:widowControl/>
              <w:jc w:val="center"/>
              <w:rPr>
                <w:kern w:val="0"/>
                <w:szCs w:val="21"/>
                <w:lang w:bidi="ar"/>
              </w:rPr>
            </w:pPr>
            <w:r>
              <w:rPr>
                <w:rFonts w:hint="eastAsia"/>
                <w:szCs w:val="21"/>
              </w:rPr>
              <w:t>0</w:t>
            </w:r>
          </w:p>
        </w:tc>
        <w:tc>
          <w:tcPr>
            <w:tcW w:w="329" w:type="pct"/>
            <w:vAlign w:val="center"/>
          </w:tcPr>
          <w:p>
            <w:pPr>
              <w:widowControl/>
              <w:jc w:val="center"/>
              <w:rPr>
                <w:kern w:val="0"/>
                <w:szCs w:val="21"/>
                <w:lang w:bidi="ar"/>
              </w:rPr>
            </w:pPr>
            <w:r>
              <w:rPr>
                <w:rFonts w:hint="eastAsia"/>
                <w:szCs w:val="21"/>
              </w:rPr>
              <w:t>0</w:t>
            </w:r>
          </w:p>
        </w:tc>
        <w:tc>
          <w:tcPr>
            <w:tcW w:w="329" w:type="pct"/>
            <w:vAlign w:val="center"/>
          </w:tcPr>
          <w:p>
            <w:pPr>
              <w:widowControl/>
              <w:jc w:val="center"/>
              <w:rPr>
                <w:kern w:val="0"/>
                <w:szCs w:val="21"/>
                <w:lang w:bidi="ar"/>
              </w:rPr>
            </w:pPr>
            <w:r>
              <w:rPr>
                <w:rFonts w:hint="eastAsia"/>
                <w:szCs w:val="21"/>
              </w:rPr>
              <w:t>0</w:t>
            </w:r>
          </w:p>
        </w:tc>
        <w:tc>
          <w:tcPr>
            <w:tcW w:w="328" w:type="pct"/>
            <w:vAlign w:val="center"/>
          </w:tcPr>
          <w:p>
            <w:pPr>
              <w:widowControl/>
              <w:jc w:val="center"/>
              <w:rPr>
                <w:kern w:val="0"/>
                <w:szCs w:val="21"/>
                <w:lang w:bidi="ar"/>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9" w:type="pct"/>
            <w:gridSpan w:val="2"/>
            <w:shd w:val="clear" w:color="auto" w:fill="auto"/>
            <w:vAlign w:val="center"/>
          </w:tcPr>
          <w:p>
            <w:pPr>
              <w:widowControl/>
              <w:jc w:val="center"/>
              <w:rPr>
                <w:rFonts w:ascii="宋体" w:hAnsi="宋体" w:cs="宋体"/>
                <w:szCs w:val="21"/>
              </w:rPr>
            </w:pPr>
            <w:r>
              <w:rPr>
                <w:rFonts w:hint="eastAsia" w:ascii="宋体" w:hAnsi="宋体" w:cs="宋体"/>
                <w:szCs w:val="21"/>
              </w:rPr>
              <w:t>最大超标倍数</w:t>
            </w:r>
          </w:p>
        </w:tc>
        <w:tc>
          <w:tcPr>
            <w:tcW w:w="453" w:type="pct"/>
            <w:shd w:val="clear" w:color="auto" w:fill="auto"/>
            <w:vAlign w:val="center"/>
          </w:tcPr>
          <w:p>
            <w:pPr>
              <w:widowControl/>
              <w:jc w:val="center"/>
              <w:rPr>
                <w:szCs w:val="21"/>
              </w:rPr>
            </w:pPr>
            <w:r>
              <w:rPr>
                <w:rFonts w:hint="eastAsia"/>
                <w:szCs w:val="21"/>
              </w:rPr>
              <w:t>0</w:t>
            </w:r>
          </w:p>
        </w:tc>
        <w:tc>
          <w:tcPr>
            <w:tcW w:w="357" w:type="pct"/>
            <w:shd w:val="clear" w:color="auto" w:fill="auto"/>
            <w:vAlign w:val="center"/>
          </w:tcPr>
          <w:p>
            <w:pPr>
              <w:widowControl/>
              <w:jc w:val="center"/>
              <w:rPr>
                <w:szCs w:val="21"/>
              </w:rPr>
            </w:pPr>
            <w:r>
              <w:rPr>
                <w:szCs w:val="21"/>
              </w:rPr>
              <w:t>0</w:t>
            </w:r>
          </w:p>
        </w:tc>
        <w:tc>
          <w:tcPr>
            <w:tcW w:w="422" w:type="pct"/>
            <w:shd w:val="clear" w:color="auto" w:fill="auto"/>
            <w:vAlign w:val="center"/>
          </w:tcPr>
          <w:p>
            <w:pPr>
              <w:widowControl/>
              <w:jc w:val="center"/>
              <w:textAlignment w:val="center"/>
              <w:rPr>
                <w:rFonts w:ascii="宋体" w:hAnsi="宋体" w:cs="宋体"/>
                <w:szCs w:val="21"/>
                <w:highlight w:val="yellow"/>
              </w:rPr>
            </w:pPr>
            <w:r>
              <w:rPr>
                <w:rFonts w:hint="eastAsia" w:ascii="宋体" w:hAnsi="宋体" w:cs="宋体"/>
                <w:szCs w:val="21"/>
              </w:rPr>
              <w:t>/</w:t>
            </w:r>
          </w:p>
        </w:tc>
        <w:tc>
          <w:tcPr>
            <w:tcW w:w="316" w:type="pct"/>
            <w:shd w:val="clear" w:color="auto" w:fill="auto"/>
            <w:vAlign w:val="center"/>
          </w:tcPr>
          <w:p>
            <w:pPr>
              <w:widowControl/>
              <w:jc w:val="center"/>
              <w:textAlignment w:val="center"/>
              <w:rPr>
                <w:rFonts w:eastAsia="等线"/>
                <w:kern w:val="0"/>
                <w:szCs w:val="21"/>
                <w:highlight w:val="yellow"/>
                <w:lang w:bidi="ar"/>
              </w:rPr>
            </w:pPr>
            <w:r>
              <w:rPr>
                <w:rFonts w:eastAsia="等线"/>
                <w:kern w:val="0"/>
                <w:szCs w:val="21"/>
                <w:lang w:bidi="ar"/>
              </w:rPr>
              <w:t>0</w:t>
            </w:r>
          </w:p>
        </w:tc>
        <w:tc>
          <w:tcPr>
            <w:tcW w:w="527" w:type="pct"/>
            <w:shd w:val="clear" w:color="auto" w:fill="auto"/>
            <w:vAlign w:val="center"/>
          </w:tcPr>
          <w:p>
            <w:pPr>
              <w:widowControl/>
              <w:jc w:val="center"/>
              <w:textAlignment w:val="center"/>
              <w:rPr>
                <w:rFonts w:ascii="宋体" w:hAnsi="宋体" w:cs="宋体"/>
                <w:szCs w:val="21"/>
                <w:highlight w:val="yellow"/>
              </w:rPr>
            </w:pPr>
            <w:r>
              <w:rPr>
                <w:rFonts w:hint="eastAsia" w:ascii="宋体" w:hAnsi="宋体" w:cs="宋体"/>
                <w:szCs w:val="21"/>
              </w:rPr>
              <w:t>/</w:t>
            </w:r>
          </w:p>
        </w:tc>
        <w:tc>
          <w:tcPr>
            <w:tcW w:w="402" w:type="pct"/>
            <w:shd w:val="clear" w:color="auto" w:fill="auto"/>
            <w:vAlign w:val="center"/>
          </w:tcPr>
          <w:p>
            <w:pPr>
              <w:widowControl/>
              <w:jc w:val="center"/>
              <w:textAlignment w:val="center"/>
              <w:rPr>
                <w:rFonts w:ascii="宋体" w:hAnsi="宋体" w:cs="宋体"/>
                <w:szCs w:val="21"/>
                <w:highlight w:val="yellow"/>
              </w:rPr>
            </w:pPr>
            <w:r>
              <w:rPr>
                <w:rFonts w:hint="eastAsia" w:ascii="宋体" w:hAnsi="宋体" w:cs="宋体"/>
                <w:szCs w:val="21"/>
              </w:rPr>
              <w:t>/</w:t>
            </w:r>
          </w:p>
        </w:tc>
        <w:tc>
          <w:tcPr>
            <w:tcW w:w="329" w:type="pct"/>
            <w:shd w:val="clear" w:color="auto" w:fill="auto"/>
            <w:vAlign w:val="center"/>
          </w:tcPr>
          <w:p>
            <w:pPr>
              <w:widowControl/>
              <w:jc w:val="center"/>
              <w:rPr>
                <w:rFonts w:eastAsia="Times New Roman"/>
                <w:szCs w:val="21"/>
                <w:highlight w:val="yellow"/>
              </w:rPr>
            </w:pPr>
            <w:r>
              <w:rPr>
                <w:rFonts w:hint="eastAsia" w:ascii="宋体" w:hAnsi="宋体" w:cs="宋体"/>
                <w:szCs w:val="21"/>
              </w:rPr>
              <w:t>/</w:t>
            </w:r>
          </w:p>
        </w:tc>
        <w:tc>
          <w:tcPr>
            <w:tcW w:w="329" w:type="pct"/>
            <w:vAlign w:val="center"/>
          </w:tcPr>
          <w:p>
            <w:pPr>
              <w:widowControl/>
              <w:jc w:val="center"/>
              <w:rPr>
                <w:rFonts w:ascii="宋体" w:hAnsi="宋体" w:cs="宋体"/>
                <w:szCs w:val="21"/>
              </w:rPr>
            </w:pPr>
            <w:r>
              <w:rPr>
                <w:rFonts w:hint="eastAsia" w:ascii="宋体" w:hAnsi="宋体" w:cs="宋体"/>
                <w:szCs w:val="21"/>
              </w:rPr>
              <w:t>0</w:t>
            </w:r>
          </w:p>
        </w:tc>
        <w:tc>
          <w:tcPr>
            <w:tcW w:w="329" w:type="pct"/>
            <w:vAlign w:val="center"/>
          </w:tcPr>
          <w:p>
            <w:pPr>
              <w:widowControl/>
              <w:jc w:val="center"/>
              <w:rPr>
                <w:rFonts w:ascii="宋体" w:hAnsi="宋体" w:cs="宋体"/>
                <w:szCs w:val="21"/>
              </w:rPr>
            </w:pPr>
            <w:r>
              <w:rPr>
                <w:rFonts w:hint="eastAsia" w:ascii="宋体" w:hAnsi="宋体" w:cs="宋体"/>
                <w:szCs w:val="21"/>
              </w:rPr>
              <w:t>0</w:t>
            </w:r>
          </w:p>
        </w:tc>
        <w:tc>
          <w:tcPr>
            <w:tcW w:w="329" w:type="pct"/>
            <w:vAlign w:val="center"/>
          </w:tcPr>
          <w:p>
            <w:pPr>
              <w:widowControl/>
              <w:jc w:val="center"/>
              <w:rPr>
                <w:rFonts w:ascii="宋体" w:hAnsi="宋体" w:cs="宋体"/>
                <w:szCs w:val="21"/>
              </w:rPr>
            </w:pPr>
            <w:r>
              <w:rPr>
                <w:rFonts w:hint="eastAsia" w:ascii="宋体" w:hAnsi="宋体" w:cs="宋体"/>
                <w:szCs w:val="21"/>
              </w:rPr>
              <w:t>0</w:t>
            </w:r>
          </w:p>
        </w:tc>
        <w:tc>
          <w:tcPr>
            <w:tcW w:w="328" w:type="pct"/>
            <w:vAlign w:val="center"/>
          </w:tcPr>
          <w:p>
            <w:pPr>
              <w:widowControl/>
              <w:jc w:val="center"/>
              <w:rPr>
                <w:rFonts w:ascii="宋体" w:hAnsi="宋体" w:cs="宋体"/>
                <w:szCs w:val="21"/>
              </w:rPr>
            </w:pPr>
            <w:r>
              <w:rPr>
                <w:rFonts w:hint="eastAsia" w:ascii="宋体" w:hAnsi="宋体" w:cs="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9" w:type="pct"/>
            <w:gridSpan w:val="2"/>
            <w:shd w:val="clear" w:color="auto" w:fill="auto"/>
            <w:vAlign w:val="center"/>
          </w:tcPr>
          <w:p>
            <w:pPr>
              <w:widowControl/>
              <w:jc w:val="center"/>
              <w:rPr>
                <w:rFonts w:ascii="宋体" w:hAnsi="宋体" w:cs="宋体"/>
                <w:szCs w:val="21"/>
              </w:rPr>
            </w:pPr>
            <w:r>
              <w:rPr>
                <w:rFonts w:hint="eastAsia" w:ascii="宋体" w:hAnsi="宋体" w:cs="宋体"/>
                <w:szCs w:val="21"/>
              </w:rPr>
              <w:t>达标情况</w:t>
            </w:r>
          </w:p>
        </w:tc>
        <w:tc>
          <w:tcPr>
            <w:tcW w:w="453" w:type="pct"/>
            <w:shd w:val="clear" w:color="auto" w:fill="auto"/>
            <w:vAlign w:val="center"/>
          </w:tcPr>
          <w:p>
            <w:pPr>
              <w:widowControl/>
              <w:jc w:val="center"/>
              <w:rPr>
                <w:szCs w:val="21"/>
              </w:rPr>
            </w:pPr>
            <w:r>
              <w:rPr>
                <w:rFonts w:hint="eastAsia"/>
                <w:szCs w:val="21"/>
              </w:rPr>
              <w:t>达标</w:t>
            </w:r>
          </w:p>
        </w:tc>
        <w:tc>
          <w:tcPr>
            <w:tcW w:w="357" w:type="pct"/>
            <w:shd w:val="clear" w:color="auto" w:fill="auto"/>
            <w:vAlign w:val="center"/>
          </w:tcPr>
          <w:p>
            <w:pPr>
              <w:widowControl/>
              <w:jc w:val="center"/>
              <w:rPr>
                <w:szCs w:val="21"/>
                <w:highlight w:val="yellow"/>
              </w:rPr>
            </w:pPr>
            <w:r>
              <w:rPr>
                <w:rFonts w:hint="eastAsia"/>
                <w:szCs w:val="21"/>
              </w:rPr>
              <w:t>达标</w:t>
            </w:r>
          </w:p>
        </w:tc>
        <w:tc>
          <w:tcPr>
            <w:tcW w:w="422" w:type="pct"/>
            <w:shd w:val="clear" w:color="auto" w:fill="auto"/>
            <w:vAlign w:val="center"/>
          </w:tcPr>
          <w:p>
            <w:pPr>
              <w:widowControl/>
              <w:jc w:val="center"/>
              <w:textAlignment w:val="center"/>
              <w:rPr>
                <w:szCs w:val="21"/>
                <w:highlight w:val="yellow"/>
              </w:rPr>
            </w:pPr>
            <w:r>
              <w:rPr>
                <w:rFonts w:hint="eastAsia"/>
                <w:kern w:val="0"/>
                <w:szCs w:val="21"/>
                <w:lang w:bidi="ar"/>
              </w:rPr>
              <w:t>达标</w:t>
            </w:r>
          </w:p>
        </w:tc>
        <w:tc>
          <w:tcPr>
            <w:tcW w:w="316" w:type="pct"/>
            <w:shd w:val="clear" w:color="auto" w:fill="auto"/>
            <w:vAlign w:val="center"/>
          </w:tcPr>
          <w:p>
            <w:pPr>
              <w:widowControl/>
              <w:jc w:val="center"/>
              <w:textAlignment w:val="center"/>
              <w:rPr>
                <w:szCs w:val="21"/>
                <w:highlight w:val="yellow"/>
              </w:rPr>
            </w:pPr>
            <w:r>
              <w:rPr>
                <w:rFonts w:hint="eastAsia"/>
                <w:szCs w:val="21"/>
              </w:rPr>
              <w:t>达标</w:t>
            </w:r>
          </w:p>
        </w:tc>
        <w:tc>
          <w:tcPr>
            <w:tcW w:w="527" w:type="pct"/>
            <w:shd w:val="clear" w:color="auto" w:fill="auto"/>
            <w:vAlign w:val="center"/>
          </w:tcPr>
          <w:p>
            <w:pPr>
              <w:widowControl/>
              <w:jc w:val="center"/>
              <w:textAlignment w:val="center"/>
              <w:rPr>
                <w:szCs w:val="21"/>
                <w:highlight w:val="yellow"/>
              </w:rPr>
            </w:pPr>
            <w:r>
              <w:rPr>
                <w:rFonts w:hint="eastAsia"/>
                <w:kern w:val="0"/>
                <w:szCs w:val="21"/>
                <w:lang w:bidi="ar"/>
              </w:rPr>
              <w:t>达标</w:t>
            </w:r>
          </w:p>
        </w:tc>
        <w:tc>
          <w:tcPr>
            <w:tcW w:w="402" w:type="pct"/>
            <w:shd w:val="clear" w:color="auto" w:fill="auto"/>
            <w:vAlign w:val="center"/>
          </w:tcPr>
          <w:p>
            <w:pPr>
              <w:widowControl/>
              <w:jc w:val="center"/>
              <w:textAlignment w:val="center"/>
              <w:rPr>
                <w:szCs w:val="21"/>
                <w:highlight w:val="yellow"/>
              </w:rPr>
            </w:pPr>
            <w:r>
              <w:rPr>
                <w:rFonts w:hint="eastAsia"/>
                <w:kern w:val="0"/>
                <w:szCs w:val="21"/>
                <w:lang w:bidi="ar"/>
              </w:rPr>
              <w:t>达标</w:t>
            </w:r>
          </w:p>
        </w:tc>
        <w:tc>
          <w:tcPr>
            <w:tcW w:w="329" w:type="pct"/>
            <w:shd w:val="clear" w:color="auto" w:fill="auto"/>
            <w:vAlign w:val="center"/>
          </w:tcPr>
          <w:p>
            <w:pPr>
              <w:widowControl/>
              <w:jc w:val="center"/>
              <w:rPr>
                <w:rFonts w:eastAsia="Times New Roman"/>
                <w:szCs w:val="21"/>
                <w:highlight w:val="yellow"/>
              </w:rPr>
            </w:pPr>
            <w:r>
              <w:rPr>
                <w:rFonts w:hint="eastAsia"/>
                <w:kern w:val="0"/>
                <w:szCs w:val="21"/>
                <w:lang w:bidi="ar"/>
              </w:rPr>
              <w:t>达标</w:t>
            </w:r>
          </w:p>
        </w:tc>
        <w:tc>
          <w:tcPr>
            <w:tcW w:w="329" w:type="pct"/>
            <w:vAlign w:val="center"/>
          </w:tcPr>
          <w:p>
            <w:pPr>
              <w:widowControl/>
              <w:jc w:val="center"/>
              <w:rPr>
                <w:kern w:val="0"/>
                <w:szCs w:val="21"/>
                <w:lang w:bidi="ar"/>
              </w:rPr>
            </w:pPr>
            <w:r>
              <w:rPr>
                <w:rFonts w:hint="eastAsia"/>
                <w:szCs w:val="21"/>
              </w:rPr>
              <w:t>达标</w:t>
            </w:r>
          </w:p>
        </w:tc>
        <w:tc>
          <w:tcPr>
            <w:tcW w:w="329" w:type="pct"/>
            <w:vAlign w:val="center"/>
          </w:tcPr>
          <w:p>
            <w:pPr>
              <w:widowControl/>
              <w:jc w:val="center"/>
              <w:rPr>
                <w:kern w:val="0"/>
                <w:szCs w:val="21"/>
                <w:lang w:bidi="ar"/>
              </w:rPr>
            </w:pPr>
            <w:r>
              <w:rPr>
                <w:rFonts w:hint="eastAsia"/>
                <w:szCs w:val="21"/>
              </w:rPr>
              <w:t>达标</w:t>
            </w:r>
          </w:p>
        </w:tc>
        <w:tc>
          <w:tcPr>
            <w:tcW w:w="329" w:type="pct"/>
            <w:vAlign w:val="center"/>
          </w:tcPr>
          <w:p>
            <w:pPr>
              <w:widowControl/>
              <w:jc w:val="center"/>
              <w:rPr>
                <w:kern w:val="0"/>
                <w:szCs w:val="21"/>
                <w:lang w:bidi="ar"/>
              </w:rPr>
            </w:pPr>
            <w:r>
              <w:rPr>
                <w:rFonts w:hint="eastAsia"/>
                <w:szCs w:val="21"/>
              </w:rPr>
              <w:t>达标</w:t>
            </w:r>
          </w:p>
        </w:tc>
        <w:tc>
          <w:tcPr>
            <w:tcW w:w="328" w:type="pct"/>
            <w:vAlign w:val="center"/>
          </w:tcPr>
          <w:p>
            <w:pPr>
              <w:widowControl/>
              <w:jc w:val="center"/>
              <w:rPr>
                <w:kern w:val="0"/>
                <w:szCs w:val="21"/>
                <w:lang w:bidi="ar"/>
              </w:rPr>
            </w:pPr>
            <w:r>
              <w:rPr>
                <w:rFonts w:hint="eastAsia"/>
                <w:szCs w:val="21"/>
              </w:rPr>
              <w:t>达标</w:t>
            </w:r>
          </w:p>
        </w:tc>
      </w:tr>
    </w:tbl>
    <w:p>
      <w:pPr>
        <w:widowControl/>
        <w:snapToGrid w:val="0"/>
        <w:spacing w:line="520" w:lineRule="exact"/>
        <w:ind w:firstLine="480" w:firstLineChars="200"/>
        <w:jc w:val="center"/>
        <w:rPr>
          <w:rFonts w:eastAsia="黑体"/>
          <w:kern w:val="0"/>
          <w:sz w:val="24"/>
          <w:szCs w:val="20"/>
        </w:rPr>
      </w:pPr>
    </w:p>
    <w:p>
      <w:pPr>
        <w:widowControl/>
        <w:snapToGrid w:val="0"/>
        <w:spacing w:line="520" w:lineRule="exact"/>
        <w:ind w:firstLine="480" w:firstLineChars="200"/>
        <w:jc w:val="center"/>
        <w:rPr>
          <w:rFonts w:eastAsia="黑体"/>
          <w:kern w:val="0"/>
          <w:sz w:val="24"/>
          <w:szCs w:val="20"/>
        </w:rPr>
      </w:pPr>
    </w:p>
    <w:p>
      <w:pPr>
        <w:widowControl/>
        <w:snapToGrid w:val="0"/>
        <w:spacing w:line="520" w:lineRule="exact"/>
        <w:ind w:firstLine="480" w:firstLineChars="200"/>
        <w:jc w:val="center"/>
        <w:rPr>
          <w:rFonts w:eastAsia="黑体"/>
          <w:kern w:val="0"/>
          <w:sz w:val="24"/>
          <w:szCs w:val="20"/>
        </w:rPr>
      </w:pPr>
    </w:p>
    <w:p>
      <w:pPr>
        <w:widowControl/>
        <w:snapToGrid w:val="0"/>
        <w:spacing w:line="520" w:lineRule="exact"/>
        <w:ind w:firstLine="480" w:firstLineChars="200"/>
        <w:jc w:val="center"/>
        <w:rPr>
          <w:rFonts w:eastAsia="黑体"/>
          <w:kern w:val="0"/>
          <w:sz w:val="24"/>
          <w:szCs w:val="20"/>
        </w:rPr>
      </w:pPr>
      <w:r>
        <w:rPr>
          <w:rFonts w:eastAsia="黑体"/>
          <w:kern w:val="0"/>
          <w:sz w:val="24"/>
          <w:szCs w:val="20"/>
        </w:rPr>
        <w:t>表4.3-14                             地下水检测结果（二）                            单位：mg/L（另注除外）</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80"/>
        <w:gridCol w:w="1232"/>
        <w:gridCol w:w="1043"/>
        <w:gridCol w:w="968"/>
        <w:gridCol w:w="866"/>
        <w:gridCol w:w="866"/>
        <w:gridCol w:w="866"/>
        <w:gridCol w:w="866"/>
        <w:gridCol w:w="1103"/>
        <w:gridCol w:w="1864"/>
        <w:gridCol w:w="1471"/>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39" w:type="pct"/>
            <w:shd w:val="clear" w:color="auto" w:fill="auto"/>
            <w:vAlign w:val="center"/>
          </w:tcPr>
          <w:p>
            <w:pPr>
              <w:widowControl/>
              <w:jc w:val="center"/>
              <w:rPr>
                <w:rFonts w:eastAsia="Times New Roman"/>
                <w:b/>
                <w:bCs/>
                <w:szCs w:val="21"/>
              </w:rPr>
            </w:pPr>
            <w:r>
              <w:rPr>
                <w:rFonts w:hint="eastAsia" w:ascii="宋体" w:hAnsi="宋体" w:cs="宋体"/>
                <w:b/>
                <w:bCs/>
                <w:szCs w:val="21"/>
              </w:rPr>
              <w:t>检测点位</w:t>
            </w:r>
          </w:p>
        </w:tc>
        <w:tc>
          <w:tcPr>
            <w:tcW w:w="458" w:type="pct"/>
            <w:shd w:val="clear" w:color="auto" w:fill="auto"/>
            <w:vAlign w:val="center"/>
          </w:tcPr>
          <w:p>
            <w:pPr>
              <w:widowControl/>
              <w:jc w:val="center"/>
              <w:rPr>
                <w:rFonts w:eastAsia="Times New Roman"/>
                <w:b/>
                <w:bCs/>
                <w:szCs w:val="21"/>
              </w:rPr>
            </w:pPr>
            <w:r>
              <w:rPr>
                <w:rFonts w:hint="eastAsia" w:ascii="宋体" w:hAnsi="宋体" w:cs="宋体"/>
                <w:b/>
                <w:bCs/>
                <w:szCs w:val="21"/>
              </w:rPr>
              <w:t>采样时间</w:t>
            </w:r>
          </w:p>
        </w:tc>
        <w:tc>
          <w:tcPr>
            <w:tcW w:w="388" w:type="pct"/>
            <w:shd w:val="clear" w:color="auto" w:fill="auto"/>
            <w:vAlign w:val="center"/>
          </w:tcPr>
          <w:p>
            <w:pPr>
              <w:widowControl/>
              <w:snapToGrid w:val="0"/>
              <w:jc w:val="center"/>
              <w:rPr>
                <w:b/>
                <w:bCs/>
                <w:szCs w:val="21"/>
              </w:rPr>
            </w:pPr>
            <w:r>
              <w:rPr>
                <w:b/>
                <w:bCs/>
                <w:szCs w:val="21"/>
              </w:rPr>
              <w:t>铅</w:t>
            </w:r>
          </w:p>
          <w:p>
            <w:pPr>
              <w:widowControl/>
              <w:snapToGrid w:val="0"/>
              <w:jc w:val="center"/>
              <w:rPr>
                <w:rFonts w:eastAsia="Times New Roman"/>
                <w:b/>
                <w:bCs/>
                <w:szCs w:val="21"/>
              </w:rPr>
            </w:pPr>
            <w:r>
              <w:rPr>
                <w:b/>
                <w:bCs/>
                <w:sz w:val="18"/>
                <w:szCs w:val="18"/>
              </w:rPr>
              <w:t>(μg/L)</w:t>
            </w:r>
          </w:p>
        </w:tc>
        <w:tc>
          <w:tcPr>
            <w:tcW w:w="360" w:type="pct"/>
            <w:shd w:val="clear" w:color="auto" w:fill="auto"/>
            <w:vAlign w:val="center"/>
          </w:tcPr>
          <w:p>
            <w:pPr>
              <w:widowControl/>
              <w:snapToGrid w:val="0"/>
              <w:jc w:val="center"/>
              <w:rPr>
                <w:kern w:val="0"/>
                <w:szCs w:val="21"/>
                <w:lang w:bidi="ar"/>
              </w:rPr>
            </w:pPr>
            <w:r>
              <w:rPr>
                <w:rFonts w:hint="eastAsia" w:ascii="宋体" w:hAnsi="宋体" w:cs="宋体"/>
                <w:b/>
                <w:bCs/>
                <w:szCs w:val="21"/>
              </w:rPr>
              <w:t>氟化物</w:t>
            </w:r>
          </w:p>
        </w:tc>
        <w:tc>
          <w:tcPr>
            <w:tcW w:w="322" w:type="pct"/>
            <w:shd w:val="clear" w:color="auto" w:fill="auto"/>
            <w:vAlign w:val="center"/>
          </w:tcPr>
          <w:p>
            <w:pPr>
              <w:widowControl/>
              <w:snapToGrid w:val="0"/>
              <w:jc w:val="center"/>
              <w:rPr>
                <w:b/>
                <w:bCs/>
                <w:szCs w:val="21"/>
              </w:rPr>
            </w:pPr>
            <w:r>
              <w:rPr>
                <w:b/>
                <w:bCs/>
                <w:szCs w:val="21"/>
              </w:rPr>
              <w:t>镉</w:t>
            </w:r>
          </w:p>
          <w:p>
            <w:pPr>
              <w:widowControl/>
              <w:snapToGrid w:val="0"/>
              <w:jc w:val="center"/>
              <w:rPr>
                <w:rFonts w:eastAsia="Times New Roman"/>
                <w:b/>
                <w:bCs/>
                <w:szCs w:val="21"/>
              </w:rPr>
            </w:pPr>
            <w:r>
              <w:rPr>
                <w:b/>
                <w:bCs/>
                <w:sz w:val="18"/>
                <w:szCs w:val="18"/>
              </w:rPr>
              <w:t>(μg/L)</w:t>
            </w:r>
          </w:p>
        </w:tc>
        <w:tc>
          <w:tcPr>
            <w:tcW w:w="322" w:type="pct"/>
            <w:shd w:val="clear" w:color="auto" w:fill="auto"/>
            <w:vAlign w:val="center"/>
          </w:tcPr>
          <w:p>
            <w:pPr>
              <w:widowControl/>
              <w:jc w:val="center"/>
              <w:rPr>
                <w:rFonts w:eastAsia="Times New Roman"/>
                <w:b/>
                <w:bCs/>
                <w:szCs w:val="21"/>
              </w:rPr>
            </w:pPr>
            <w:r>
              <w:rPr>
                <w:b/>
                <w:bCs/>
                <w:szCs w:val="21"/>
              </w:rPr>
              <w:t>铁</w:t>
            </w:r>
          </w:p>
        </w:tc>
        <w:tc>
          <w:tcPr>
            <w:tcW w:w="322" w:type="pct"/>
            <w:shd w:val="clear" w:color="auto" w:fill="auto"/>
            <w:vAlign w:val="center"/>
          </w:tcPr>
          <w:p>
            <w:pPr>
              <w:widowControl/>
              <w:jc w:val="center"/>
              <w:rPr>
                <w:rFonts w:eastAsia="Times New Roman"/>
                <w:b/>
                <w:bCs/>
                <w:szCs w:val="21"/>
              </w:rPr>
            </w:pPr>
            <w:r>
              <w:rPr>
                <w:rFonts w:hint="eastAsia" w:ascii="宋体" w:hAnsi="宋体" w:cs="宋体"/>
                <w:b/>
                <w:bCs/>
                <w:szCs w:val="21"/>
              </w:rPr>
              <w:t>锰</w:t>
            </w:r>
          </w:p>
        </w:tc>
        <w:tc>
          <w:tcPr>
            <w:tcW w:w="322" w:type="pct"/>
            <w:shd w:val="clear" w:color="auto" w:fill="auto"/>
            <w:vAlign w:val="center"/>
          </w:tcPr>
          <w:p>
            <w:pPr>
              <w:widowControl/>
              <w:snapToGrid w:val="0"/>
              <w:jc w:val="center"/>
              <w:rPr>
                <w:b/>
                <w:bCs/>
                <w:szCs w:val="21"/>
              </w:rPr>
            </w:pPr>
            <w:r>
              <w:rPr>
                <w:b/>
                <w:bCs/>
                <w:szCs w:val="21"/>
              </w:rPr>
              <w:t>溶解性</w:t>
            </w:r>
          </w:p>
          <w:p>
            <w:pPr>
              <w:widowControl/>
              <w:jc w:val="center"/>
              <w:rPr>
                <w:rFonts w:eastAsia="Times New Roman"/>
                <w:b/>
                <w:bCs/>
                <w:szCs w:val="21"/>
              </w:rPr>
            </w:pPr>
            <w:r>
              <w:rPr>
                <w:b/>
                <w:bCs/>
                <w:szCs w:val="21"/>
              </w:rPr>
              <w:t>总固体</w:t>
            </w:r>
          </w:p>
        </w:tc>
        <w:tc>
          <w:tcPr>
            <w:tcW w:w="410" w:type="pct"/>
            <w:shd w:val="clear" w:color="auto" w:fill="auto"/>
            <w:vAlign w:val="center"/>
          </w:tcPr>
          <w:p>
            <w:pPr>
              <w:widowControl/>
              <w:snapToGrid w:val="0"/>
              <w:jc w:val="center"/>
              <w:rPr>
                <w:rFonts w:eastAsia="Times New Roman"/>
                <w:b/>
                <w:bCs/>
                <w:szCs w:val="21"/>
              </w:rPr>
            </w:pPr>
            <w:r>
              <w:rPr>
                <w:rFonts w:hint="eastAsia" w:ascii="宋体" w:hAnsi="宋体" w:cs="宋体"/>
                <w:b/>
                <w:bCs/>
                <w:szCs w:val="21"/>
              </w:rPr>
              <w:t>耗氧量</w:t>
            </w:r>
          </w:p>
        </w:tc>
        <w:tc>
          <w:tcPr>
            <w:tcW w:w="693" w:type="pct"/>
            <w:shd w:val="clear" w:color="auto" w:fill="auto"/>
            <w:vAlign w:val="center"/>
          </w:tcPr>
          <w:p>
            <w:pPr>
              <w:widowControl/>
              <w:jc w:val="center"/>
              <w:rPr>
                <w:b/>
                <w:bCs/>
                <w:szCs w:val="21"/>
              </w:rPr>
            </w:pPr>
            <w:r>
              <w:rPr>
                <w:rFonts w:ascii="宋体" w:hAnsi="宋体" w:cs="宋体"/>
                <w:b/>
                <w:bCs/>
                <w:szCs w:val="21"/>
              </w:rPr>
              <w:t>可萃取石油烃（C</w:t>
            </w:r>
            <w:r>
              <w:rPr>
                <w:rFonts w:ascii="宋体" w:hAnsi="宋体" w:cs="宋体"/>
                <w:b/>
                <w:bCs/>
                <w:szCs w:val="21"/>
                <w:vertAlign w:val="subscript"/>
              </w:rPr>
              <w:t>10</w:t>
            </w:r>
            <w:r>
              <w:rPr>
                <w:rFonts w:ascii="宋体" w:hAnsi="宋体" w:cs="宋体"/>
                <w:b/>
                <w:bCs/>
                <w:szCs w:val="21"/>
              </w:rPr>
              <w:t>-C</w:t>
            </w:r>
            <w:r>
              <w:rPr>
                <w:rFonts w:ascii="宋体" w:hAnsi="宋体" w:cs="宋体"/>
                <w:b/>
                <w:bCs/>
                <w:szCs w:val="21"/>
                <w:vertAlign w:val="subscript"/>
              </w:rPr>
              <w:t>40</w:t>
            </w:r>
            <w:r>
              <w:rPr>
                <w:rFonts w:ascii="宋体" w:hAnsi="宋体" w:cs="宋体"/>
                <w:b/>
                <w:bCs/>
                <w:szCs w:val="21"/>
              </w:rPr>
              <w:t>）</w:t>
            </w:r>
          </w:p>
        </w:tc>
        <w:tc>
          <w:tcPr>
            <w:tcW w:w="547" w:type="pct"/>
            <w:shd w:val="clear" w:color="auto" w:fill="auto"/>
            <w:vAlign w:val="center"/>
          </w:tcPr>
          <w:p>
            <w:pPr>
              <w:widowControl/>
              <w:snapToGrid w:val="0"/>
              <w:jc w:val="center"/>
              <w:rPr>
                <w:b/>
                <w:bCs/>
                <w:szCs w:val="21"/>
              </w:rPr>
            </w:pPr>
            <w:r>
              <w:rPr>
                <w:b/>
                <w:bCs/>
                <w:szCs w:val="21"/>
              </w:rPr>
              <w:t>总大肠菌群</w:t>
            </w:r>
            <w:r>
              <w:rPr>
                <w:b/>
                <w:bCs/>
                <w:sz w:val="15"/>
                <w:szCs w:val="15"/>
              </w:rPr>
              <w:t>（MPN/</w:t>
            </w:r>
            <w:r>
              <w:rPr>
                <w:rFonts w:eastAsia="Times New Roman"/>
                <w:b/>
                <w:bCs/>
                <w:sz w:val="15"/>
                <w:szCs w:val="15"/>
              </w:rPr>
              <w:t>100mL</w:t>
            </w:r>
            <w:r>
              <w:rPr>
                <w:b/>
                <w:bCs/>
                <w:sz w:val="15"/>
                <w:szCs w:val="15"/>
              </w:rPr>
              <w:t>）</w:t>
            </w:r>
          </w:p>
        </w:tc>
        <w:tc>
          <w:tcPr>
            <w:tcW w:w="417" w:type="pct"/>
            <w:shd w:val="clear" w:color="auto" w:fill="auto"/>
            <w:vAlign w:val="center"/>
          </w:tcPr>
          <w:p>
            <w:pPr>
              <w:widowControl/>
              <w:snapToGrid w:val="0"/>
              <w:jc w:val="center"/>
              <w:rPr>
                <w:b/>
                <w:bCs/>
                <w:szCs w:val="21"/>
              </w:rPr>
            </w:pPr>
            <w:r>
              <w:rPr>
                <w:rFonts w:hint="eastAsia" w:ascii="宋体" w:hAnsi="宋体" w:cs="宋体"/>
                <w:b/>
                <w:bCs/>
                <w:szCs w:val="21"/>
              </w:rPr>
              <w:t>菌落</w:t>
            </w:r>
            <w:r>
              <w:rPr>
                <w:b/>
                <w:bCs/>
                <w:szCs w:val="21"/>
              </w:rPr>
              <w:t>总数</w:t>
            </w:r>
            <w:r>
              <w:rPr>
                <w:rFonts w:eastAsia="黑体"/>
                <w:b/>
                <w:bCs/>
                <w:sz w:val="15"/>
                <w:szCs w:val="15"/>
              </w:rPr>
              <w:t>（CFU/ml）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restart"/>
            <w:shd w:val="clear" w:color="auto" w:fill="auto"/>
            <w:vAlign w:val="center"/>
          </w:tcPr>
          <w:p>
            <w:pPr>
              <w:widowControl/>
              <w:contextualSpacing/>
              <w:jc w:val="center"/>
              <w:rPr>
                <w:b/>
                <w:bCs/>
                <w:kern w:val="0"/>
                <w:szCs w:val="21"/>
                <w:highlight w:val="yellow"/>
              </w:rPr>
            </w:pPr>
            <w:r>
              <w:rPr>
                <w:b/>
                <w:bCs/>
                <w:kern w:val="0"/>
                <w:szCs w:val="21"/>
              </w:rPr>
              <w:t>厂址</w:t>
            </w:r>
          </w:p>
        </w:tc>
        <w:tc>
          <w:tcPr>
            <w:tcW w:w="458" w:type="pct"/>
            <w:shd w:val="clear" w:color="auto" w:fill="auto"/>
            <w:vAlign w:val="center"/>
          </w:tcPr>
          <w:p>
            <w:pPr>
              <w:widowControl/>
              <w:jc w:val="center"/>
              <w:rPr>
                <w:rFonts w:eastAsia="Times New Roman"/>
                <w:szCs w:val="21"/>
                <w:highlight w:val="yellow"/>
              </w:rPr>
            </w:pPr>
            <w:r>
              <w:rPr>
                <w:szCs w:val="21"/>
              </w:rPr>
              <w:t>2023.04.07</w:t>
            </w:r>
          </w:p>
        </w:tc>
        <w:tc>
          <w:tcPr>
            <w:tcW w:w="388"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kern w:val="0"/>
                <w:szCs w:val="21"/>
                <w:lang w:bidi="ar"/>
              </w:rPr>
              <w:t>0.26</w:t>
            </w:r>
          </w:p>
        </w:tc>
        <w:tc>
          <w:tcPr>
            <w:tcW w:w="322" w:type="pct"/>
            <w:shd w:val="clear" w:color="auto" w:fill="auto"/>
            <w:vAlign w:val="center"/>
          </w:tcPr>
          <w:p>
            <w:pPr>
              <w:widowControl/>
              <w:snapToGrid w:val="0"/>
              <w:jc w:val="center"/>
              <w:rPr>
                <w:rFonts w:eastAsia="Times New Roman"/>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rPr>
                <w:kern w:val="0"/>
                <w:szCs w:val="21"/>
                <w:highlight w:val="yellow"/>
                <w:lang w:bidi="ar"/>
              </w:rPr>
            </w:pPr>
            <w:r>
              <w:rPr>
                <w:rFonts w:hint="eastAsia"/>
                <w:szCs w:val="21"/>
              </w:rPr>
              <w:t>9</w:t>
            </w:r>
            <w:r>
              <w:rPr>
                <w:szCs w:val="21"/>
              </w:rPr>
              <w:t>55</w:t>
            </w:r>
          </w:p>
        </w:tc>
        <w:tc>
          <w:tcPr>
            <w:tcW w:w="410" w:type="pct"/>
            <w:shd w:val="clear" w:color="auto" w:fill="auto"/>
            <w:vAlign w:val="center"/>
          </w:tcPr>
          <w:p>
            <w:pPr>
              <w:widowControl/>
              <w:jc w:val="center"/>
              <w:rPr>
                <w:szCs w:val="21"/>
                <w:highlight w:val="yellow"/>
              </w:rPr>
            </w:pPr>
            <w:r>
              <w:rPr>
                <w:szCs w:val="21"/>
              </w:rPr>
              <w:t>1.34</w:t>
            </w:r>
          </w:p>
        </w:tc>
        <w:tc>
          <w:tcPr>
            <w:tcW w:w="693" w:type="pct"/>
            <w:shd w:val="clear" w:color="auto" w:fill="auto"/>
            <w:vAlign w:val="center"/>
          </w:tcPr>
          <w:p>
            <w:pPr>
              <w:widowControl/>
              <w:jc w:val="center"/>
              <w:rPr>
                <w:szCs w:val="21"/>
                <w:highlight w:val="yellow"/>
              </w:rPr>
            </w:pPr>
            <w:r>
              <w:rPr>
                <w:szCs w:val="21"/>
              </w:rPr>
              <w:t>未检出</w:t>
            </w:r>
          </w:p>
        </w:tc>
        <w:tc>
          <w:tcPr>
            <w:tcW w:w="547" w:type="pct"/>
            <w:shd w:val="clear" w:color="auto" w:fill="auto"/>
            <w:vAlign w:val="center"/>
          </w:tcPr>
          <w:p>
            <w:pPr>
              <w:widowControl/>
              <w:snapToGrid w:val="0"/>
              <w:jc w:val="center"/>
              <w:rPr>
                <w:rFonts w:eastAsia="Times New Roman"/>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rFonts w:eastAsia="Times New Roman"/>
                <w:szCs w:val="21"/>
                <w:highlight w:val="yellow"/>
              </w:rPr>
            </w:pPr>
            <w:r>
              <w:rPr>
                <w:szCs w:val="21"/>
              </w:rPr>
              <w:t>2023.04.08</w:t>
            </w:r>
          </w:p>
        </w:tc>
        <w:tc>
          <w:tcPr>
            <w:tcW w:w="388"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0.22</w:t>
            </w:r>
          </w:p>
        </w:tc>
        <w:tc>
          <w:tcPr>
            <w:tcW w:w="322" w:type="pct"/>
            <w:shd w:val="clear" w:color="auto" w:fill="auto"/>
            <w:vAlign w:val="center"/>
          </w:tcPr>
          <w:p>
            <w:pPr>
              <w:widowControl/>
              <w:snapToGrid w:val="0"/>
              <w:jc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9</w:t>
            </w:r>
            <w:r>
              <w:rPr>
                <w:szCs w:val="21"/>
              </w:rPr>
              <w:t>63</w:t>
            </w:r>
          </w:p>
        </w:tc>
        <w:tc>
          <w:tcPr>
            <w:tcW w:w="410" w:type="pct"/>
            <w:shd w:val="clear" w:color="auto" w:fill="auto"/>
            <w:vAlign w:val="center"/>
          </w:tcPr>
          <w:p>
            <w:pPr>
              <w:widowControl/>
              <w:jc w:val="center"/>
              <w:rPr>
                <w:szCs w:val="21"/>
                <w:highlight w:val="yellow"/>
              </w:rPr>
            </w:pPr>
            <w:r>
              <w:rPr>
                <w:szCs w:val="21"/>
                <w:lang w:bidi="ar"/>
              </w:rPr>
              <w:t>1.28</w:t>
            </w:r>
          </w:p>
        </w:tc>
        <w:tc>
          <w:tcPr>
            <w:tcW w:w="693" w:type="pct"/>
            <w:shd w:val="clear" w:color="auto" w:fill="auto"/>
            <w:vAlign w:val="center"/>
          </w:tcPr>
          <w:p>
            <w:pPr>
              <w:widowControl/>
              <w:jc w:val="center"/>
              <w:textAlignment w:val="center"/>
              <w:rPr>
                <w:rFonts w:eastAsia="Times New Roman"/>
                <w:kern w:val="0"/>
                <w:szCs w:val="21"/>
                <w:highlight w:val="yellow"/>
                <w:lang w:bidi="ar"/>
              </w:rPr>
            </w:pPr>
            <w:r>
              <w:rPr>
                <w:szCs w:val="21"/>
              </w:rPr>
              <w:t>未检出</w:t>
            </w:r>
          </w:p>
        </w:tc>
        <w:tc>
          <w:tcPr>
            <w:tcW w:w="547" w:type="pct"/>
            <w:shd w:val="clear" w:color="auto" w:fill="auto"/>
            <w:vAlign w:val="center"/>
          </w:tcPr>
          <w:p>
            <w:pPr>
              <w:widowControl/>
              <w:jc w:val="center"/>
              <w:rPr>
                <w:rFonts w:ascii="宋体" w:hAnsi="宋体" w:cs="宋体"/>
                <w:szCs w:val="21"/>
                <w:highlight w:val="yellow"/>
              </w:rPr>
            </w:pPr>
            <w:r>
              <w:rPr>
                <w:szCs w:val="21"/>
              </w:rPr>
              <w:t>未检出</w:t>
            </w:r>
          </w:p>
        </w:tc>
        <w:tc>
          <w:tcPr>
            <w:tcW w:w="417" w:type="pct"/>
            <w:shd w:val="clear" w:color="auto" w:fill="auto"/>
            <w:vAlign w:val="center"/>
          </w:tcPr>
          <w:p>
            <w:pPr>
              <w:widowControl/>
              <w:jc w:val="center"/>
              <w:rPr>
                <w:szCs w:val="21"/>
                <w:highlight w:val="yellow"/>
              </w:rPr>
            </w:pPr>
            <w:r>
              <w:rPr>
                <w:kern w:val="0"/>
                <w:szCs w:val="21"/>
                <w:lang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rFonts w:eastAsia="Times New Roman"/>
                <w:b/>
                <w:bCs/>
                <w:szCs w:val="21"/>
                <w:highlight w:val="yellow"/>
              </w:rPr>
            </w:pPr>
            <w:r>
              <w:rPr>
                <w:szCs w:val="21"/>
              </w:rPr>
              <w:t>2023.04.09</w:t>
            </w:r>
          </w:p>
        </w:tc>
        <w:tc>
          <w:tcPr>
            <w:tcW w:w="388"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kern w:val="0"/>
                <w:szCs w:val="21"/>
                <w:lang w:bidi="ar"/>
              </w:rPr>
              <w:t>0.29</w:t>
            </w:r>
          </w:p>
        </w:tc>
        <w:tc>
          <w:tcPr>
            <w:tcW w:w="322" w:type="pct"/>
            <w:shd w:val="clear" w:color="auto" w:fill="auto"/>
            <w:vAlign w:val="center"/>
          </w:tcPr>
          <w:p>
            <w:pPr>
              <w:widowControl/>
              <w:snapToGrid w:val="0"/>
              <w:jc w:val="center"/>
              <w:rPr>
                <w:rFonts w:eastAsia="Times New Roman"/>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9</w:t>
            </w:r>
            <w:r>
              <w:rPr>
                <w:szCs w:val="21"/>
              </w:rPr>
              <w:t>71</w:t>
            </w:r>
          </w:p>
        </w:tc>
        <w:tc>
          <w:tcPr>
            <w:tcW w:w="410" w:type="pct"/>
            <w:shd w:val="clear" w:color="auto" w:fill="auto"/>
            <w:vAlign w:val="center"/>
          </w:tcPr>
          <w:p>
            <w:pPr>
              <w:widowControl/>
              <w:jc w:val="center"/>
              <w:rPr>
                <w:szCs w:val="21"/>
                <w:highlight w:val="yellow"/>
              </w:rPr>
            </w:pPr>
            <w:r>
              <w:rPr>
                <w:szCs w:val="21"/>
                <w:lang w:bidi="ar"/>
              </w:rPr>
              <w:t>1.30</w:t>
            </w:r>
          </w:p>
        </w:tc>
        <w:tc>
          <w:tcPr>
            <w:tcW w:w="693" w:type="pct"/>
            <w:shd w:val="clear" w:color="auto" w:fill="auto"/>
            <w:vAlign w:val="center"/>
          </w:tcPr>
          <w:p>
            <w:pPr>
              <w:widowControl/>
              <w:jc w:val="center"/>
              <w:textAlignment w:val="center"/>
              <w:rPr>
                <w:rFonts w:eastAsia="Times New Roman"/>
                <w:kern w:val="0"/>
                <w:szCs w:val="21"/>
                <w:highlight w:val="yellow"/>
                <w:lang w:bidi="ar"/>
              </w:rPr>
            </w:pPr>
            <w:r>
              <w:rPr>
                <w:szCs w:val="21"/>
              </w:rPr>
              <w:t>未检出</w:t>
            </w:r>
          </w:p>
        </w:tc>
        <w:tc>
          <w:tcPr>
            <w:tcW w:w="547" w:type="pct"/>
            <w:shd w:val="clear" w:color="auto" w:fill="auto"/>
            <w:vAlign w:val="center"/>
          </w:tcPr>
          <w:p>
            <w:pPr>
              <w:widowControl/>
              <w:jc w:val="center"/>
              <w:rPr>
                <w:rFonts w:eastAsia="Times New Roman"/>
                <w:szCs w:val="21"/>
                <w:highlight w:val="yellow"/>
              </w:rPr>
            </w:pPr>
            <w:r>
              <w:rPr>
                <w:szCs w:val="21"/>
              </w:rPr>
              <w:t>未检出</w:t>
            </w:r>
          </w:p>
        </w:tc>
        <w:tc>
          <w:tcPr>
            <w:tcW w:w="417" w:type="pct"/>
            <w:shd w:val="clear" w:color="auto" w:fill="auto"/>
            <w:vAlign w:val="center"/>
          </w:tcPr>
          <w:p>
            <w:pPr>
              <w:widowControl/>
              <w:jc w:val="center"/>
              <w:rPr>
                <w:szCs w:val="21"/>
                <w:highlight w:val="yellow"/>
              </w:rPr>
            </w:pPr>
            <w:r>
              <w:rPr>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restart"/>
            <w:shd w:val="clear" w:color="auto" w:fill="auto"/>
            <w:vAlign w:val="center"/>
          </w:tcPr>
          <w:p>
            <w:pPr>
              <w:widowControl/>
              <w:contextualSpacing/>
              <w:jc w:val="center"/>
              <w:rPr>
                <w:b/>
                <w:bCs/>
                <w:kern w:val="0"/>
                <w:szCs w:val="21"/>
                <w:highlight w:val="yellow"/>
              </w:rPr>
            </w:pPr>
            <w:r>
              <w:rPr>
                <w:b/>
                <w:bCs/>
                <w:kern w:val="0"/>
                <w:szCs w:val="21"/>
              </w:rPr>
              <w:t>尹圪垱村</w:t>
            </w:r>
          </w:p>
        </w:tc>
        <w:tc>
          <w:tcPr>
            <w:tcW w:w="458" w:type="pct"/>
            <w:shd w:val="clear" w:color="auto" w:fill="auto"/>
            <w:vAlign w:val="center"/>
          </w:tcPr>
          <w:p>
            <w:pPr>
              <w:widowControl/>
              <w:jc w:val="center"/>
              <w:rPr>
                <w:rFonts w:eastAsia="Times New Roman"/>
                <w:szCs w:val="21"/>
                <w:highlight w:val="yellow"/>
              </w:rPr>
            </w:pPr>
            <w:r>
              <w:rPr>
                <w:szCs w:val="21"/>
              </w:rPr>
              <w:t>2023.04.07</w:t>
            </w:r>
          </w:p>
        </w:tc>
        <w:tc>
          <w:tcPr>
            <w:tcW w:w="388"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kern w:val="0"/>
                <w:szCs w:val="21"/>
                <w:lang w:bidi="ar"/>
              </w:rPr>
              <w:t>0.15</w:t>
            </w:r>
          </w:p>
        </w:tc>
        <w:tc>
          <w:tcPr>
            <w:tcW w:w="322" w:type="pct"/>
            <w:shd w:val="clear" w:color="auto" w:fill="auto"/>
            <w:vAlign w:val="center"/>
          </w:tcPr>
          <w:p>
            <w:pPr>
              <w:widowControl/>
              <w:snapToGrid w:val="0"/>
              <w:jc w:val="center"/>
              <w:rPr>
                <w:rFonts w:eastAsia="Times New Roman"/>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8</w:t>
            </w:r>
            <w:r>
              <w:rPr>
                <w:szCs w:val="21"/>
              </w:rPr>
              <w:t>48</w:t>
            </w:r>
          </w:p>
        </w:tc>
        <w:tc>
          <w:tcPr>
            <w:tcW w:w="410" w:type="pct"/>
            <w:shd w:val="clear" w:color="auto" w:fill="auto"/>
            <w:vAlign w:val="center"/>
          </w:tcPr>
          <w:p>
            <w:pPr>
              <w:widowControl/>
              <w:jc w:val="center"/>
              <w:rPr>
                <w:szCs w:val="21"/>
                <w:highlight w:val="yellow"/>
              </w:rPr>
            </w:pPr>
            <w:r>
              <w:rPr>
                <w:szCs w:val="21"/>
                <w:lang w:bidi="ar"/>
              </w:rPr>
              <w:t>1.00</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eastAsia="Times New Roman"/>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rFonts w:eastAsia="Times New Roman"/>
                <w:szCs w:val="21"/>
                <w:highlight w:val="yellow"/>
              </w:rPr>
            </w:pPr>
            <w:r>
              <w:rPr>
                <w:szCs w:val="21"/>
              </w:rPr>
              <w:t>2023.04.08</w:t>
            </w:r>
          </w:p>
        </w:tc>
        <w:tc>
          <w:tcPr>
            <w:tcW w:w="388"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0.18</w:t>
            </w:r>
          </w:p>
        </w:tc>
        <w:tc>
          <w:tcPr>
            <w:tcW w:w="322" w:type="pct"/>
            <w:shd w:val="clear" w:color="auto" w:fill="auto"/>
            <w:vAlign w:val="center"/>
          </w:tcPr>
          <w:p>
            <w:pPr>
              <w:widowControl/>
              <w:snapToGrid w:val="0"/>
              <w:jc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8</w:t>
            </w:r>
            <w:r>
              <w:rPr>
                <w:szCs w:val="21"/>
              </w:rPr>
              <w:t>56</w:t>
            </w:r>
          </w:p>
        </w:tc>
        <w:tc>
          <w:tcPr>
            <w:tcW w:w="410" w:type="pct"/>
            <w:shd w:val="clear" w:color="auto" w:fill="auto"/>
            <w:vAlign w:val="center"/>
          </w:tcPr>
          <w:p>
            <w:pPr>
              <w:widowControl/>
              <w:jc w:val="center"/>
              <w:rPr>
                <w:szCs w:val="21"/>
                <w:highlight w:val="yellow"/>
              </w:rPr>
            </w:pPr>
            <w:r>
              <w:rPr>
                <w:szCs w:val="21"/>
                <w:lang w:bidi="ar"/>
              </w:rPr>
              <w:t>1.04</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ascii="宋体" w:hAnsi="宋体" w:cs="宋体"/>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kern w:val="0"/>
                <w:szCs w:val="21"/>
                <w:lang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rFonts w:eastAsia="Times New Roman"/>
                <w:szCs w:val="21"/>
                <w:highlight w:val="yellow"/>
              </w:rPr>
            </w:pPr>
            <w:r>
              <w:rPr>
                <w:szCs w:val="21"/>
              </w:rPr>
              <w:t>2023.04.09</w:t>
            </w:r>
          </w:p>
        </w:tc>
        <w:tc>
          <w:tcPr>
            <w:tcW w:w="388"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kern w:val="0"/>
                <w:szCs w:val="21"/>
                <w:lang w:bidi="ar"/>
              </w:rPr>
              <w:t>0.21</w:t>
            </w:r>
          </w:p>
        </w:tc>
        <w:tc>
          <w:tcPr>
            <w:tcW w:w="322" w:type="pct"/>
            <w:shd w:val="clear" w:color="auto" w:fill="auto"/>
            <w:vAlign w:val="center"/>
          </w:tcPr>
          <w:p>
            <w:pPr>
              <w:widowControl/>
              <w:snapToGrid w:val="0"/>
              <w:jc w:val="center"/>
              <w:rPr>
                <w:rFonts w:eastAsia="Times New Roman"/>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8</w:t>
            </w:r>
            <w:r>
              <w:rPr>
                <w:szCs w:val="21"/>
              </w:rPr>
              <w:t>59</w:t>
            </w:r>
          </w:p>
        </w:tc>
        <w:tc>
          <w:tcPr>
            <w:tcW w:w="410" w:type="pct"/>
            <w:shd w:val="clear" w:color="auto" w:fill="auto"/>
            <w:vAlign w:val="center"/>
          </w:tcPr>
          <w:p>
            <w:pPr>
              <w:widowControl/>
              <w:jc w:val="center"/>
              <w:rPr>
                <w:szCs w:val="21"/>
                <w:highlight w:val="yellow"/>
              </w:rPr>
            </w:pPr>
            <w:r>
              <w:rPr>
                <w:szCs w:val="21"/>
                <w:lang w:bidi="ar"/>
              </w:rPr>
              <w:t>1.12</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eastAsia="Times New Roman"/>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restart"/>
            <w:shd w:val="clear" w:color="auto" w:fill="auto"/>
            <w:vAlign w:val="center"/>
          </w:tcPr>
          <w:p>
            <w:pPr>
              <w:widowControl/>
              <w:contextualSpacing/>
              <w:jc w:val="center"/>
              <w:rPr>
                <w:b/>
                <w:bCs/>
                <w:kern w:val="0"/>
                <w:szCs w:val="21"/>
                <w:highlight w:val="yellow"/>
              </w:rPr>
            </w:pPr>
            <w:r>
              <w:rPr>
                <w:b/>
                <w:bCs/>
                <w:kern w:val="0"/>
                <w:szCs w:val="21"/>
              </w:rPr>
              <w:t>安庄村</w:t>
            </w:r>
          </w:p>
        </w:tc>
        <w:tc>
          <w:tcPr>
            <w:tcW w:w="458" w:type="pct"/>
            <w:shd w:val="clear" w:color="auto" w:fill="auto"/>
            <w:vAlign w:val="center"/>
          </w:tcPr>
          <w:p>
            <w:pPr>
              <w:widowControl/>
              <w:jc w:val="center"/>
              <w:rPr>
                <w:rFonts w:eastAsia="Times New Roman"/>
                <w:szCs w:val="21"/>
                <w:highlight w:val="yellow"/>
              </w:rPr>
            </w:pPr>
            <w:r>
              <w:rPr>
                <w:szCs w:val="21"/>
              </w:rPr>
              <w:t>2023.04.07</w:t>
            </w:r>
          </w:p>
        </w:tc>
        <w:tc>
          <w:tcPr>
            <w:tcW w:w="388"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kern w:val="0"/>
                <w:szCs w:val="21"/>
                <w:lang w:bidi="ar"/>
              </w:rPr>
              <w:t>0.10</w:t>
            </w:r>
          </w:p>
        </w:tc>
        <w:tc>
          <w:tcPr>
            <w:tcW w:w="322" w:type="pct"/>
            <w:shd w:val="clear" w:color="auto" w:fill="auto"/>
            <w:vAlign w:val="center"/>
          </w:tcPr>
          <w:p>
            <w:pPr>
              <w:widowControl/>
              <w:snapToGrid w:val="0"/>
              <w:jc w:val="center"/>
              <w:rPr>
                <w:rFonts w:eastAsia="Times New Roman"/>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8</w:t>
            </w:r>
            <w:r>
              <w:rPr>
                <w:szCs w:val="21"/>
              </w:rPr>
              <w:t>22</w:t>
            </w:r>
          </w:p>
        </w:tc>
        <w:tc>
          <w:tcPr>
            <w:tcW w:w="410" w:type="pct"/>
            <w:shd w:val="clear" w:color="auto" w:fill="auto"/>
            <w:vAlign w:val="center"/>
          </w:tcPr>
          <w:p>
            <w:pPr>
              <w:widowControl/>
              <w:jc w:val="center"/>
              <w:rPr>
                <w:szCs w:val="21"/>
                <w:highlight w:val="yellow"/>
              </w:rPr>
            </w:pPr>
            <w:r>
              <w:rPr>
                <w:szCs w:val="21"/>
              </w:rPr>
              <w:t>1.44</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eastAsia="Times New Roman"/>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rFonts w:eastAsia="Times New Roman"/>
                <w:szCs w:val="21"/>
                <w:highlight w:val="yellow"/>
              </w:rPr>
            </w:pPr>
            <w:r>
              <w:rPr>
                <w:szCs w:val="21"/>
              </w:rPr>
              <w:t>2023.04.08</w:t>
            </w:r>
          </w:p>
        </w:tc>
        <w:tc>
          <w:tcPr>
            <w:tcW w:w="388"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0.13</w:t>
            </w:r>
          </w:p>
        </w:tc>
        <w:tc>
          <w:tcPr>
            <w:tcW w:w="322" w:type="pct"/>
            <w:shd w:val="clear" w:color="auto" w:fill="auto"/>
            <w:vAlign w:val="center"/>
          </w:tcPr>
          <w:p>
            <w:pPr>
              <w:widowControl/>
              <w:snapToGrid w:val="0"/>
              <w:jc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8</w:t>
            </w:r>
            <w:r>
              <w:rPr>
                <w:szCs w:val="21"/>
              </w:rPr>
              <w:t>16</w:t>
            </w:r>
          </w:p>
        </w:tc>
        <w:tc>
          <w:tcPr>
            <w:tcW w:w="410" w:type="pct"/>
            <w:shd w:val="clear" w:color="auto" w:fill="auto"/>
            <w:vAlign w:val="center"/>
          </w:tcPr>
          <w:p>
            <w:pPr>
              <w:widowControl/>
              <w:jc w:val="center"/>
              <w:rPr>
                <w:szCs w:val="21"/>
                <w:highlight w:val="yellow"/>
              </w:rPr>
            </w:pPr>
            <w:r>
              <w:rPr>
                <w:szCs w:val="21"/>
              </w:rPr>
              <w:t>1.39</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ascii="宋体" w:hAnsi="宋体" w:cs="宋体"/>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rFonts w:eastAsia="Times New Roman"/>
                <w:szCs w:val="21"/>
                <w:highlight w:val="yellow"/>
              </w:rPr>
            </w:pPr>
            <w:r>
              <w:rPr>
                <w:szCs w:val="21"/>
              </w:rPr>
              <w:t>2023.04.09</w:t>
            </w:r>
          </w:p>
        </w:tc>
        <w:tc>
          <w:tcPr>
            <w:tcW w:w="388"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kern w:val="0"/>
                <w:szCs w:val="21"/>
                <w:lang w:bidi="ar"/>
              </w:rPr>
              <w:t>0.17</w:t>
            </w:r>
          </w:p>
        </w:tc>
        <w:tc>
          <w:tcPr>
            <w:tcW w:w="322" w:type="pct"/>
            <w:shd w:val="clear" w:color="auto" w:fill="auto"/>
            <w:vAlign w:val="center"/>
          </w:tcPr>
          <w:p>
            <w:pPr>
              <w:widowControl/>
              <w:snapToGrid w:val="0"/>
              <w:jc w:val="center"/>
              <w:rPr>
                <w:rFonts w:eastAsia="Times New Roman"/>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9</w:t>
            </w:r>
            <w:r>
              <w:rPr>
                <w:szCs w:val="21"/>
              </w:rPr>
              <w:t>04</w:t>
            </w:r>
          </w:p>
        </w:tc>
        <w:tc>
          <w:tcPr>
            <w:tcW w:w="410" w:type="pct"/>
            <w:shd w:val="clear" w:color="auto" w:fill="auto"/>
            <w:vAlign w:val="center"/>
          </w:tcPr>
          <w:p>
            <w:pPr>
              <w:widowControl/>
              <w:jc w:val="center"/>
              <w:rPr>
                <w:szCs w:val="21"/>
                <w:highlight w:val="yellow"/>
              </w:rPr>
            </w:pPr>
            <w:r>
              <w:rPr>
                <w:szCs w:val="21"/>
              </w:rPr>
              <w:t>1.47</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eastAsia="Times New Roman"/>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restart"/>
            <w:shd w:val="clear" w:color="auto" w:fill="auto"/>
            <w:vAlign w:val="center"/>
          </w:tcPr>
          <w:p>
            <w:pPr>
              <w:widowControl/>
              <w:contextualSpacing/>
              <w:jc w:val="center"/>
              <w:rPr>
                <w:b/>
                <w:bCs/>
                <w:kern w:val="0"/>
                <w:szCs w:val="21"/>
                <w:highlight w:val="yellow"/>
              </w:rPr>
            </w:pPr>
            <w:r>
              <w:rPr>
                <w:rFonts w:hint="eastAsia"/>
                <w:b/>
                <w:bCs/>
                <w:kern w:val="0"/>
                <w:szCs w:val="21"/>
              </w:rPr>
              <w:t>魏店村</w:t>
            </w:r>
          </w:p>
        </w:tc>
        <w:tc>
          <w:tcPr>
            <w:tcW w:w="458" w:type="pct"/>
            <w:shd w:val="clear" w:color="auto" w:fill="auto"/>
            <w:vAlign w:val="center"/>
          </w:tcPr>
          <w:p>
            <w:pPr>
              <w:widowControl/>
              <w:jc w:val="center"/>
              <w:rPr>
                <w:rFonts w:eastAsia="Times New Roman"/>
                <w:szCs w:val="21"/>
                <w:highlight w:val="yellow"/>
              </w:rPr>
            </w:pPr>
            <w:r>
              <w:rPr>
                <w:szCs w:val="21"/>
              </w:rPr>
              <w:t>2023.04.07</w:t>
            </w:r>
          </w:p>
        </w:tc>
        <w:tc>
          <w:tcPr>
            <w:tcW w:w="388"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0.25</w:t>
            </w:r>
          </w:p>
        </w:tc>
        <w:tc>
          <w:tcPr>
            <w:tcW w:w="322" w:type="pct"/>
            <w:shd w:val="clear" w:color="auto" w:fill="auto"/>
            <w:vAlign w:val="center"/>
          </w:tcPr>
          <w:p>
            <w:pPr>
              <w:widowControl/>
              <w:snapToGrid w:val="0"/>
              <w:jc w:val="center"/>
              <w:rPr>
                <w:rFonts w:eastAsia="Times New Roman"/>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8</w:t>
            </w:r>
            <w:r>
              <w:rPr>
                <w:szCs w:val="21"/>
              </w:rPr>
              <w:t>85</w:t>
            </w:r>
          </w:p>
        </w:tc>
        <w:tc>
          <w:tcPr>
            <w:tcW w:w="410" w:type="pct"/>
            <w:shd w:val="clear" w:color="auto" w:fill="auto"/>
            <w:vAlign w:val="center"/>
          </w:tcPr>
          <w:p>
            <w:pPr>
              <w:widowControl/>
              <w:jc w:val="center"/>
              <w:rPr>
                <w:szCs w:val="21"/>
                <w:highlight w:val="yellow"/>
              </w:rPr>
            </w:pPr>
            <w:r>
              <w:rPr>
                <w:szCs w:val="21"/>
              </w:rPr>
              <w:t>1.68</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eastAsia="Times New Roman"/>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rFonts w:eastAsia="Times New Roman"/>
                <w:szCs w:val="21"/>
                <w:highlight w:val="yellow"/>
              </w:rPr>
            </w:pPr>
            <w:r>
              <w:rPr>
                <w:szCs w:val="21"/>
              </w:rPr>
              <w:t>2023.04.08</w:t>
            </w:r>
          </w:p>
        </w:tc>
        <w:tc>
          <w:tcPr>
            <w:tcW w:w="388"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0.28</w:t>
            </w:r>
          </w:p>
        </w:tc>
        <w:tc>
          <w:tcPr>
            <w:tcW w:w="322" w:type="pct"/>
            <w:shd w:val="clear" w:color="auto" w:fill="auto"/>
            <w:vAlign w:val="center"/>
          </w:tcPr>
          <w:p>
            <w:pPr>
              <w:widowControl/>
              <w:snapToGrid w:val="0"/>
              <w:jc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8</w:t>
            </w:r>
            <w:r>
              <w:rPr>
                <w:szCs w:val="21"/>
              </w:rPr>
              <w:t>93</w:t>
            </w:r>
          </w:p>
        </w:tc>
        <w:tc>
          <w:tcPr>
            <w:tcW w:w="410" w:type="pct"/>
            <w:shd w:val="clear" w:color="auto" w:fill="auto"/>
            <w:vAlign w:val="center"/>
          </w:tcPr>
          <w:p>
            <w:pPr>
              <w:widowControl/>
              <w:jc w:val="center"/>
              <w:rPr>
                <w:szCs w:val="21"/>
                <w:highlight w:val="yellow"/>
              </w:rPr>
            </w:pPr>
            <w:r>
              <w:rPr>
                <w:szCs w:val="21"/>
              </w:rPr>
              <w:t>1.72</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ascii="宋体" w:hAnsi="宋体" w:cs="宋体"/>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rFonts w:eastAsia="Times New Roman"/>
                <w:szCs w:val="21"/>
                <w:highlight w:val="yellow"/>
              </w:rPr>
            </w:pPr>
            <w:r>
              <w:rPr>
                <w:szCs w:val="21"/>
              </w:rPr>
              <w:t>2023.04.09</w:t>
            </w:r>
          </w:p>
        </w:tc>
        <w:tc>
          <w:tcPr>
            <w:tcW w:w="388"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0.30</w:t>
            </w:r>
          </w:p>
        </w:tc>
        <w:tc>
          <w:tcPr>
            <w:tcW w:w="322" w:type="pct"/>
            <w:shd w:val="clear" w:color="auto" w:fill="auto"/>
            <w:vAlign w:val="center"/>
          </w:tcPr>
          <w:p>
            <w:pPr>
              <w:widowControl/>
              <w:snapToGrid w:val="0"/>
              <w:jc w:val="center"/>
              <w:rPr>
                <w:rFonts w:eastAsia="Times New Roman"/>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8</w:t>
            </w:r>
            <w:r>
              <w:rPr>
                <w:szCs w:val="21"/>
              </w:rPr>
              <w:t>84</w:t>
            </w:r>
          </w:p>
        </w:tc>
        <w:tc>
          <w:tcPr>
            <w:tcW w:w="410" w:type="pct"/>
            <w:shd w:val="clear" w:color="auto" w:fill="auto"/>
            <w:vAlign w:val="center"/>
          </w:tcPr>
          <w:p>
            <w:pPr>
              <w:widowControl/>
              <w:jc w:val="center"/>
              <w:rPr>
                <w:szCs w:val="21"/>
                <w:highlight w:val="yellow"/>
              </w:rPr>
            </w:pPr>
            <w:r>
              <w:rPr>
                <w:szCs w:val="21"/>
              </w:rPr>
              <w:t>1.65</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eastAsia="Times New Roman"/>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restart"/>
            <w:shd w:val="clear" w:color="auto" w:fill="auto"/>
            <w:vAlign w:val="center"/>
          </w:tcPr>
          <w:p>
            <w:pPr>
              <w:widowControl/>
              <w:contextualSpacing/>
              <w:jc w:val="center"/>
              <w:rPr>
                <w:b/>
                <w:bCs/>
                <w:kern w:val="0"/>
                <w:szCs w:val="21"/>
                <w:highlight w:val="yellow"/>
              </w:rPr>
            </w:pPr>
            <w:r>
              <w:rPr>
                <w:b/>
                <w:bCs/>
                <w:kern w:val="0"/>
                <w:szCs w:val="21"/>
              </w:rPr>
              <w:t>小庄村</w:t>
            </w:r>
          </w:p>
        </w:tc>
        <w:tc>
          <w:tcPr>
            <w:tcW w:w="458" w:type="pct"/>
            <w:shd w:val="clear" w:color="auto" w:fill="auto"/>
            <w:vAlign w:val="center"/>
          </w:tcPr>
          <w:p>
            <w:pPr>
              <w:widowControl/>
              <w:jc w:val="center"/>
              <w:rPr>
                <w:rFonts w:eastAsia="Times New Roman"/>
                <w:szCs w:val="21"/>
                <w:highlight w:val="yellow"/>
              </w:rPr>
            </w:pPr>
            <w:r>
              <w:rPr>
                <w:szCs w:val="21"/>
              </w:rPr>
              <w:t>2023.04.07</w:t>
            </w:r>
          </w:p>
        </w:tc>
        <w:tc>
          <w:tcPr>
            <w:tcW w:w="388"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0.24</w:t>
            </w:r>
          </w:p>
        </w:tc>
        <w:tc>
          <w:tcPr>
            <w:tcW w:w="322" w:type="pct"/>
            <w:shd w:val="clear" w:color="auto" w:fill="auto"/>
            <w:vAlign w:val="center"/>
          </w:tcPr>
          <w:p>
            <w:pPr>
              <w:widowControl/>
              <w:snapToGrid w:val="0"/>
              <w:jc w:val="center"/>
              <w:rPr>
                <w:rFonts w:eastAsia="Times New Roman"/>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8</w:t>
            </w:r>
            <w:r>
              <w:rPr>
                <w:szCs w:val="21"/>
              </w:rPr>
              <w:t>86</w:t>
            </w:r>
          </w:p>
        </w:tc>
        <w:tc>
          <w:tcPr>
            <w:tcW w:w="410" w:type="pct"/>
            <w:shd w:val="clear" w:color="auto" w:fill="auto"/>
            <w:vAlign w:val="center"/>
          </w:tcPr>
          <w:p>
            <w:pPr>
              <w:widowControl/>
              <w:jc w:val="center"/>
              <w:rPr>
                <w:szCs w:val="21"/>
                <w:highlight w:val="yellow"/>
              </w:rPr>
            </w:pPr>
            <w:r>
              <w:rPr>
                <w:szCs w:val="21"/>
              </w:rPr>
              <w:t>1.22</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eastAsia="Times New Roman"/>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rFonts w:eastAsia="Times New Roman"/>
                <w:szCs w:val="21"/>
                <w:highlight w:val="yellow"/>
              </w:rPr>
            </w:pPr>
            <w:r>
              <w:rPr>
                <w:szCs w:val="21"/>
              </w:rPr>
              <w:t>2023.04.08</w:t>
            </w:r>
          </w:p>
        </w:tc>
        <w:tc>
          <w:tcPr>
            <w:tcW w:w="388"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0.27</w:t>
            </w:r>
          </w:p>
        </w:tc>
        <w:tc>
          <w:tcPr>
            <w:tcW w:w="322" w:type="pct"/>
            <w:shd w:val="clear" w:color="auto" w:fill="auto"/>
            <w:vAlign w:val="center"/>
          </w:tcPr>
          <w:p>
            <w:pPr>
              <w:widowControl/>
              <w:snapToGrid w:val="0"/>
              <w:jc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8</w:t>
            </w:r>
            <w:r>
              <w:rPr>
                <w:szCs w:val="21"/>
              </w:rPr>
              <w:t>94</w:t>
            </w:r>
          </w:p>
        </w:tc>
        <w:tc>
          <w:tcPr>
            <w:tcW w:w="410" w:type="pct"/>
            <w:shd w:val="clear" w:color="auto" w:fill="auto"/>
            <w:vAlign w:val="center"/>
          </w:tcPr>
          <w:p>
            <w:pPr>
              <w:widowControl/>
              <w:jc w:val="center"/>
              <w:rPr>
                <w:szCs w:val="21"/>
                <w:highlight w:val="yellow"/>
              </w:rPr>
            </w:pPr>
            <w:r>
              <w:rPr>
                <w:szCs w:val="21"/>
              </w:rPr>
              <w:t>1.24</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ascii="宋体" w:hAnsi="宋体" w:cs="宋体"/>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rFonts w:eastAsia="Times New Roman"/>
                <w:szCs w:val="21"/>
                <w:highlight w:val="yellow"/>
              </w:rPr>
            </w:pPr>
            <w:r>
              <w:rPr>
                <w:szCs w:val="21"/>
              </w:rPr>
              <w:t>2023.04.09</w:t>
            </w:r>
          </w:p>
        </w:tc>
        <w:tc>
          <w:tcPr>
            <w:tcW w:w="388"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0.29</w:t>
            </w:r>
          </w:p>
        </w:tc>
        <w:tc>
          <w:tcPr>
            <w:tcW w:w="322" w:type="pct"/>
            <w:shd w:val="clear" w:color="auto" w:fill="auto"/>
            <w:vAlign w:val="center"/>
          </w:tcPr>
          <w:p>
            <w:pPr>
              <w:widowControl/>
              <w:snapToGrid w:val="0"/>
              <w:jc w:val="center"/>
              <w:rPr>
                <w:rFonts w:eastAsia="Times New Roman"/>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lang w:bidi="ar"/>
              </w:rPr>
            </w:pPr>
            <w:r>
              <w:rPr>
                <w:rFonts w:hint="eastAsia" w:ascii="宋体" w:hAnsi="宋体" w:cs="宋体"/>
                <w:szCs w:val="21"/>
              </w:rPr>
              <w:t>未检出</w:t>
            </w:r>
          </w:p>
        </w:tc>
        <w:tc>
          <w:tcPr>
            <w:tcW w:w="322" w:type="pct"/>
            <w:shd w:val="clear" w:color="auto" w:fill="auto"/>
            <w:vAlign w:val="center"/>
          </w:tcPr>
          <w:p>
            <w:pPr>
              <w:widowControl/>
              <w:jc w:val="center"/>
              <w:textAlignment w:val="center"/>
              <w:rPr>
                <w:kern w:val="0"/>
                <w:szCs w:val="21"/>
                <w:highlight w:val="yellow"/>
                <w:lang w:bidi="ar"/>
              </w:rPr>
            </w:pPr>
            <w:r>
              <w:rPr>
                <w:rFonts w:hint="eastAsia"/>
                <w:szCs w:val="21"/>
              </w:rPr>
              <w:t>8</w:t>
            </w:r>
            <w:r>
              <w:rPr>
                <w:szCs w:val="21"/>
              </w:rPr>
              <w:t>91</w:t>
            </w:r>
          </w:p>
        </w:tc>
        <w:tc>
          <w:tcPr>
            <w:tcW w:w="410" w:type="pct"/>
            <w:shd w:val="clear" w:color="auto" w:fill="auto"/>
            <w:vAlign w:val="center"/>
          </w:tcPr>
          <w:p>
            <w:pPr>
              <w:widowControl/>
              <w:jc w:val="center"/>
              <w:rPr>
                <w:szCs w:val="21"/>
                <w:highlight w:val="yellow"/>
              </w:rPr>
            </w:pPr>
            <w:r>
              <w:rPr>
                <w:szCs w:val="21"/>
              </w:rPr>
              <w:t>1.18</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eastAsia="Times New Roman"/>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restart"/>
            <w:shd w:val="clear" w:color="auto" w:fill="auto"/>
            <w:vAlign w:val="center"/>
          </w:tcPr>
          <w:p>
            <w:pPr>
              <w:widowControl/>
              <w:jc w:val="center"/>
              <w:rPr>
                <w:b/>
                <w:bCs/>
                <w:szCs w:val="21"/>
                <w:highlight w:val="yellow"/>
              </w:rPr>
            </w:pPr>
            <w:r>
              <w:rPr>
                <w:b/>
                <w:bCs/>
                <w:szCs w:val="21"/>
              </w:rPr>
              <w:t>张庄村</w:t>
            </w:r>
          </w:p>
        </w:tc>
        <w:tc>
          <w:tcPr>
            <w:tcW w:w="458" w:type="pct"/>
            <w:shd w:val="clear" w:color="auto" w:fill="auto"/>
            <w:vAlign w:val="center"/>
          </w:tcPr>
          <w:p>
            <w:pPr>
              <w:widowControl/>
              <w:jc w:val="center"/>
              <w:rPr>
                <w:szCs w:val="21"/>
              </w:rPr>
            </w:pPr>
            <w:r>
              <w:rPr>
                <w:szCs w:val="21"/>
              </w:rPr>
              <w:t>2023.04.07</w:t>
            </w:r>
          </w:p>
        </w:tc>
        <w:tc>
          <w:tcPr>
            <w:tcW w:w="388"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0.09</w:t>
            </w:r>
          </w:p>
        </w:tc>
        <w:tc>
          <w:tcPr>
            <w:tcW w:w="322" w:type="pct"/>
            <w:shd w:val="clear" w:color="auto" w:fill="auto"/>
            <w:vAlign w:val="center"/>
          </w:tcPr>
          <w:p>
            <w:pPr>
              <w:widowControl/>
              <w:snapToGrid w:val="0"/>
              <w:jc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szCs w:val="21"/>
              </w:rPr>
            </w:pPr>
            <w:r>
              <w:rPr>
                <w:rFonts w:hint="eastAsia"/>
                <w:szCs w:val="21"/>
              </w:rPr>
              <w:t>8</w:t>
            </w:r>
            <w:r>
              <w:rPr>
                <w:szCs w:val="21"/>
              </w:rPr>
              <w:t>53</w:t>
            </w:r>
          </w:p>
        </w:tc>
        <w:tc>
          <w:tcPr>
            <w:tcW w:w="410" w:type="pct"/>
            <w:shd w:val="clear" w:color="auto" w:fill="auto"/>
            <w:vAlign w:val="center"/>
          </w:tcPr>
          <w:p>
            <w:pPr>
              <w:widowControl/>
              <w:jc w:val="center"/>
              <w:rPr>
                <w:szCs w:val="21"/>
              </w:rPr>
            </w:pPr>
            <w:r>
              <w:rPr>
                <w:szCs w:val="21"/>
              </w:rPr>
              <w:t>1.34</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ascii="宋体" w:hAnsi="宋体" w:cs="宋体"/>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szCs w:val="21"/>
              </w:rPr>
            </w:pPr>
            <w:r>
              <w:rPr>
                <w:szCs w:val="21"/>
              </w:rPr>
              <w:t>2023.04.08</w:t>
            </w:r>
          </w:p>
        </w:tc>
        <w:tc>
          <w:tcPr>
            <w:tcW w:w="388"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0.12</w:t>
            </w:r>
          </w:p>
        </w:tc>
        <w:tc>
          <w:tcPr>
            <w:tcW w:w="322" w:type="pct"/>
            <w:shd w:val="clear" w:color="auto" w:fill="auto"/>
            <w:vAlign w:val="center"/>
          </w:tcPr>
          <w:p>
            <w:pPr>
              <w:widowControl/>
              <w:snapToGrid w:val="0"/>
              <w:jc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szCs w:val="21"/>
              </w:rPr>
            </w:pPr>
            <w:r>
              <w:rPr>
                <w:rFonts w:hint="eastAsia"/>
                <w:szCs w:val="21"/>
              </w:rPr>
              <w:t>8</w:t>
            </w:r>
            <w:r>
              <w:rPr>
                <w:szCs w:val="21"/>
              </w:rPr>
              <w:t>67</w:t>
            </w:r>
          </w:p>
        </w:tc>
        <w:tc>
          <w:tcPr>
            <w:tcW w:w="410" w:type="pct"/>
            <w:shd w:val="clear" w:color="auto" w:fill="auto"/>
            <w:vAlign w:val="center"/>
          </w:tcPr>
          <w:p>
            <w:pPr>
              <w:widowControl/>
              <w:jc w:val="center"/>
              <w:rPr>
                <w:szCs w:val="21"/>
              </w:rPr>
            </w:pPr>
            <w:r>
              <w:rPr>
                <w:szCs w:val="21"/>
              </w:rPr>
              <w:t>1.27</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ascii="宋体" w:hAnsi="宋体" w:cs="宋体"/>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szCs w:val="21"/>
              </w:rPr>
            </w:pPr>
            <w:r>
              <w:rPr>
                <w:szCs w:val="21"/>
              </w:rPr>
              <w:t>2023.04.09</w:t>
            </w:r>
          </w:p>
        </w:tc>
        <w:tc>
          <w:tcPr>
            <w:tcW w:w="388"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0.14</w:t>
            </w:r>
          </w:p>
        </w:tc>
        <w:tc>
          <w:tcPr>
            <w:tcW w:w="322" w:type="pct"/>
            <w:shd w:val="clear" w:color="auto" w:fill="auto"/>
            <w:vAlign w:val="center"/>
          </w:tcPr>
          <w:p>
            <w:pPr>
              <w:widowControl/>
              <w:snapToGrid w:val="0"/>
              <w:jc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szCs w:val="21"/>
              </w:rPr>
            </w:pPr>
            <w:r>
              <w:rPr>
                <w:rFonts w:hint="eastAsia"/>
                <w:szCs w:val="21"/>
              </w:rPr>
              <w:t>8</w:t>
            </w:r>
            <w:r>
              <w:rPr>
                <w:szCs w:val="21"/>
              </w:rPr>
              <w:t>42</w:t>
            </w:r>
          </w:p>
        </w:tc>
        <w:tc>
          <w:tcPr>
            <w:tcW w:w="410" w:type="pct"/>
            <w:shd w:val="clear" w:color="auto" w:fill="auto"/>
            <w:vAlign w:val="center"/>
          </w:tcPr>
          <w:p>
            <w:pPr>
              <w:widowControl/>
              <w:jc w:val="center"/>
              <w:rPr>
                <w:szCs w:val="21"/>
              </w:rPr>
            </w:pPr>
            <w:r>
              <w:rPr>
                <w:szCs w:val="21"/>
              </w:rPr>
              <w:t>1.38</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ascii="宋体" w:hAnsi="宋体" w:cs="宋体"/>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restart"/>
            <w:shd w:val="clear" w:color="auto" w:fill="auto"/>
            <w:vAlign w:val="center"/>
          </w:tcPr>
          <w:p>
            <w:pPr>
              <w:widowControl/>
              <w:jc w:val="center"/>
              <w:rPr>
                <w:b/>
                <w:bCs/>
                <w:szCs w:val="21"/>
                <w:highlight w:val="yellow"/>
              </w:rPr>
            </w:pPr>
            <w:r>
              <w:rPr>
                <w:b/>
                <w:bCs/>
                <w:szCs w:val="21"/>
              </w:rPr>
              <w:t>范堤口村</w:t>
            </w:r>
          </w:p>
        </w:tc>
        <w:tc>
          <w:tcPr>
            <w:tcW w:w="458" w:type="pct"/>
            <w:shd w:val="clear" w:color="auto" w:fill="auto"/>
            <w:vAlign w:val="center"/>
          </w:tcPr>
          <w:p>
            <w:pPr>
              <w:widowControl/>
              <w:jc w:val="center"/>
              <w:rPr>
                <w:szCs w:val="21"/>
              </w:rPr>
            </w:pPr>
            <w:r>
              <w:rPr>
                <w:szCs w:val="21"/>
              </w:rPr>
              <w:t>2023.04.07</w:t>
            </w:r>
          </w:p>
        </w:tc>
        <w:tc>
          <w:tcPr>
            <w:tcW w:w="388"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0.30</w:t>
            </w:r>
          </w:p>
        </w:tc>
        <w:tc>
          <w:tcPr>
            <w:tcW w:w="322" w:type="pct"/>
            <w:shd w:val="clear" w:color="auto" w:fill="auto"/>
            <w:vAlign w:val="center"/>
          </w:tcPr>
          <w:p>
            <w:pPr>
              <w:widowControl/>
              <w:snapToGrid w:val="0"/>
              <w:jc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szCs w:val="21"/>
              </w:rPr>
            </w:pPr>
            <w:r>
              <w:rPr>
                <w:rFonts w:hint="eastAsia"/>
                <w:szCs w:val="21"/>
              </w:rPr>
              <w:t>8</w:t>
            </w:r>
            <w:r>
              <w:rPr>
                <w:szCs w:val="21"/>
              </w:rPr>
              <w:t>73</w:t>
            </w:r>
          </w:p>
        </w:tc>
        <w:tc>
          <w:tcPr>
            <w:tcW w:w="410" w:type="pct"/>
            <w:shd w:val="clear" w:color="auto" w:fill="auto"/>
            <w:vAlign w:val="center"/>
          </w:tcPr>
          <w:p>
            <w:pPr>
              <w:widowControl/>
              <w:jc w:val="center"/>
              <w:rPr>
                <w:szCs w:val="21"/>
              </w:rPr>
            </w:pPr>
            <w:r>
              <w:rPr>
                <w:szCs w:val="21"/>
              </w:rPr>
              <w:t>1.12</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ascii="宋体" w:hAnsi="宋体" w:cs="宋体"/>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szCs w:val="21"/>
              </w:rPr>
            </w:pPr>
            <w:r>
              <w:rPr>
                <w:szCs w:val="21"/>
              </w:rPr>
              <w:t>2023.04.08</w:t>
            </w:r>
          </w:p>
        </w:tc>
        <w:tc>
          <w:tcPr>
            <w:tcW w:w="388"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0.27</w:t>
            </w:r>
          </w:p>
        </w:tc>
        <w:tc>
          <w:tcPr>
            <w:tcW w:w="322" w:type="pct"/>
            <w:shd w:val="clear" w:color="auto" w:fill="auto"/>
            <w:vAlign w:val="center"/>
          </w:tcPr>
          <w:p>
            <w:pPr>
              <w:widowControl/>
              <w:snapToGrid w:val="0"/>
              <w:jc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szCs w:val="21"/>
              </w:rPr>
            </w:pPr>
            <w:r>
              <w:rPr>
                <w:rFonts w:hint="eastAsia"/>
                <w:szCs w:val="21"/>
              </w:rPr>
              <w:t>8</w:t>
            </w:r>
            <w:r>
              <w:rPr>
                <w:szCs w:val="21"/>
              </w:rPr>
              <w:t>82</w:t>
            </w:r>
          </w:p>
        </w:tc>
        <w:tc>
          <w:tcPr>
            <w:tcW w:w="410" w:type="pct"/>
            <w:shd w:val="clear" w:color="auto" w:fill="auto"/>
            <w:vAlign w:val="center"/>
          </w:tcPr>
          <w:p>
            <w:pPr>
              <w:widowControl/>
              <w:jc w:val="center"/>
              <w:rPr>
                <w:szCs w:val="21"/>
              </w:rPr>
            </w:pPr>
            <w:r>
              <w:rPr>
                <w:szCs w:val="21"/>
              </w:rPr>
              <w:t>1.05</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ascii="宋体" w:hAnsi="宋体" w:cs="宋体"/>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9" w:type="pct"/>
            <w:vMerge w:val="continue"/>
            <w:shd w:val="clear" w:color="auto" w:fill="auto"/>
            <w:vAlign w:val="center"/>
          </w:tcPr>
          <w:p>
            <w:pPr>
              <w:widowControl/>
              <w:jc w:val="center"/>
              <w:rPr>
                <w:b/>
                <w:bCs/>
                <w:szCs w:val="21"/>
                <w:highlight w:val="yellow"/>
              </w:rPr>
            </w:pPr>
          </w:p>
        </w:tc>
        <w:tc>
          <w:tcPr>
            <w:tcW w:w="458" w:type="pct"/>
            <w:shd w:val="clear" w:color="auto" w:fill="auto"/>
            <w:vAlign w:val="center"/>
          </w:tcPr>
          <w:p>
            <w:pPr>
              <w:widowControl/>
              <w:jc w:val="center"/>
              <w:rPr>
                <w:szCs w:val="21"/>
              </w:rPr>
            </w:pPr>
            <w:r>
              <w:rPr>
                <w:szCs w:val="21"/>
              </w:rPr>
              <w:t>2023.04.09</w:t>
            </w:r>
          </w:p>
        </w:tc>
        <w:tc>
          <w:tcPr>
            <w:tcW w:w="388"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60" w:type="pct"/>
            <w:shd w:val="clear" w:color="auto" w:fill="auto"/>
            <w:vAlign w:val="center"/>
          </w:tcPr>
          <w:p>
            <w:pPr>
              <w:widowControl/>
              <w:jc w:val="center"/>
              <w:textAlignment w:val="center"/>
              <w:rPr>
                <w:kern w:val="0"/>
                <w:szCs w:val="21"/>
                <w:highlight w:val="yellow"/>
                <w:lang w:bidi="ar"/>
              </w:rPr>
            </w:pPr>
            <w:r>
              <w:rPr>
                <w:szCs w:val="21"/>
              </w:rPr>
              <w:t>0.34</w:t>
            </w:r>
          </w:p>
        </w:tc>
        <w:tc>
          <w:tcPr>
            <w:tcW w:w="322" w:type="pct"/>
            <w:shd w:val="clear" w:color="auto" w:fill="auto"/>
            <w:vAlign w:val="center"/>
          </w:tcPr>
          <w:p>
            <w:pPr>
              <w:widowControl/>
              <w:snapToGrid w:val="0"/>
              <w:jc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未检出</w:t>
            </w:r>
          </w:p>
        </w:tc>
        <w:tc>
          <w:tcPr>
            <w:tcW w:w="322" w:type="pct"/>
            <w:shd w:val="clear" w:color="auto" w:fill="auto"/>
            <w:vAlign w:val="center"/>
          </w:tcPr>
          <w:p>
            <w:pPr>
              <w:widowControl/>
              <w:jc w:val="center"/>
              <w:textAlignment w:val="center"/>
              <w:rPr>
                <w:szCs w:val="21"/>
              </w:rPr>
            </w:pPr>
            <w:r>
              <w:rPr>
                <w:rFonts w:hint="eastAsia"/>
                <w:szCs w:val="21"/>
              </w:rPr>
              <w:t>8</w:t>
            </w:r>
            <w:r>
              <w:rPr>
                <w:szCs w:val="21"/>
              </w:rPr>
              <w:t>64</w:t>
            </w:r>
          </w:p>
        </w:tc>
        <w:tc>
          <w:tcPr>
            <w:tcW w:w="410" w:type="pct"/>
            <w:shd w:val="clear" w:color="auto" w:fill="auto"/>
            <w:vAlign w:val="center"/>
          </w:tcPr>
          <w:p>
            <w:pPr>
              <w:widowControl/>
              <w:jc w:val="center"/>
              <w:rPr>
                <w:szCs w:val="21"/>
              </w:rPr>
            </w:pPr>
            <w:r>
              <w:rPr>
                <w:szCs w:val="21"/>
              </w:rPr>
              <w:t>1.17</w:t>
            </w:r>
          </w:p>
        </w:tc>
        <w:tc>
          <w:tcPr>
            <w:tcW w:w="693" w:type="pct"/>
            <w:shd w:val="clear" w:color="auto" w:fill="auto"/>
            <w:vAlign w:val="center"/>
          </w:tcPr>
          <w:p>
            <w:pPr>
              <w:widowControl/>
              <w:jc w:val="center"/>
              <w:textAlignment w:val="center"/>
              <w:rPr>
                <w:rFonts w:eastAsia="Times New Roman"/>
                <w:szCs w:val="21"/>
                <w:highlight w:val="yellow"/>
              </w:rPr>
            </w:pPr>
            <w:r>
              <w:rPr>
                <w:szCs w:val="21"/>
              </w:rPr>
              <w:t>未检出</w:t>
            </w:r>
          </w:p>
        </w:tc>
        <w:tc>
          <w:tcPr>
            <w:tcW w:w="547" w:type="pct"/>
            <w:shd w:val="clear" w:color="auto" w:fill="auto"/>
            <w:vAlign w:val="center"/>
          </w:tcPr>
          <w:p>
            <w:pPr>
              <w:widowControl/>
              <w:jc w:val="center"/>
              <w:rPr>
                <w:rFonts w:ascii="宋体" w:hAnsi="宋体" w:cs="宋体"/>
                <w:szCs w:val="21"/>
                <w:highlight w:val="yellow"/>
              </w:rPr>
            </w:pPr>
            <w:r>
              <w:rPr>
                <w:szCs w:val="21"/>
              </w:rPr>
              <w:t>未检出</w:t>
            </w:r>
          </w:p>
        </w:tc>
        <w:tc>
          <w:tcPr>
            <w:tcW w:w="417" w:type="pct"/>
            <w:shd w:val="clear" w:color="auto" w:fill="auto"/>
            <w:vAlign w:val="center"/>
          </w:tcPr>
          <w:p>
            <w:pPr>
              <w:widowControl/>
              <w:jc w:val="center"/>
              <w:rPr>
                <w:rFonts w:eastAsia="Times New Roman"/>
                <w:szCs w:val="21"/>
                <w:highlight w:val="yellow"/>
              </w:rPr>
            </w:pPr>
            <w:r>
              <w:rPr>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7" w:type="pct"/>
            <w:gridSpan w:val="2"/>
            <w:shd w:val="clear" w:color="auto" w:fill="auto"/>
            <w:vAlign w:val="center"/>
          </w:tcPr>
          <w:p>
            <w:pPr>
              <w:widowControl/>
              <w:jc w:val="center"/>
              <w:rPr>
                <w:rFonts w:eastAsia="Times New Roman"/>
                <w:szCs w:val="21"/>
              </w:rPr>
            </w:pPr>
            <w:r>
              <w:rPr>
                <w:rFonts w:hint="eastAsia" w:ascii="宋体" w:hAnsi="宋体" w:cs="宋体"/>
                <w:szCs w:val="21"/>
              </w:rPr>
              <w:t>检测最大值</w:t>
            </w:r>
          </w:p>
        </w:tc>
        <w:tc>
          <w:tcPr>
            <w:tcW w:w="388" w:type="pct"/>
            <w:shd w:val="clear" w:color="auto" w:fill="auto"/>
            <w:vAlign w:val="center"/>
          </w:tcPr>
          <w:p>
            <w:pPr>
              <w:widowControl/>
              <w:jc w:val="center"/>
              <w:textAlignment w:val="center"/>
              <w:rPr>
                <w:szCs w:val="21"/>
              </w:rPr>
            </w:pPr>
            <w:r>
              <w:rPr>
                <w:rFonts w:hint="eastAsia"/>
                <w:szCs w:val="21"/>
              </w:rPr>
              <w:t>/</w:t>
            </w:r>
          </w:p>
        </w:tc>
        <w:tc>
          <w:tcPr>
            <w:tcW w:w="360" w:type="pct"/>
            <w:shd w:val="clear" w:color="auto" w:fill="auto"/>
            <w:vAlign w:val="center"/>
          </w:tcPr>
          <w:p>
            <w:pPr>
              <w:widowControl/>
              <w:jc w:val="center"/>
              <w:textAlignment w:val="center"/>
              <w:rPr>
                <w:szCs w:val="21"/>
              </w:rPr>
            </w:pPr>
            <w:r>
              <w:rPr>
                <w:rFonts w:hint="eastAsia"/>
                <w:szCs w:val="21"/>
              </w:rPr>
              <w:t>0.3</w:t>
            </w:r>
            <w:r>
              <w:rPr>
                <w:szCs w:val="21"/>
              </w:rPr>
              <w:t>4</w:t>
            </w:r>
          </w:p>
        </w:tc>
        <w:tc>
          <w:tcPr>
            <w:tcW w:w="322" w:type="pct"/>
            <w:shd w:val="clear" w:color="auto" w:fill="auto"/>
            <w:vAlign w:val="center"/>
          </w:tcPr>
          <w:p>
            <w:pPr>
              <w:widowControl/>
              <w:snapToGrid w:val="0"/>
              <w:jc w:val="center"/>
              <w:rPr>
                <w:szCs w:val="21"/>
              </w:rPr>
            </w:pPr>
            <w:r>
              <w:rPr>
                <w:rFonts w:hint="eastAsia"/>
                <w:szCs w:val="21"/>
              </w:rPr>
              <w:t>/</w:t>
            </w:r>
          </w:p>
        </w:tc>
        <w:tc>
          <w:tcPr>
            <w:tcW w:w="322" w:type="pct"/>
            <w:shd w:val="clear" w:color="auto" w:fill="auto"/>
            <w:vAlign w:val="center"/>
          </w:tcPr>
          <w:p>
            <w:pPr>
              <w:widowControl/>
              <w:jc w:val="center"/>
              <w:textAlignment w:val="center"/>
              <w:rPr>
                <w:szCs w:val="21"/>
              </w:rPr>
            </w:pPr>
            <w:r>
              <w:rPr>
                <w:rFonts w:hint="eastAsia"/>
                <w:szCs w:val="21"/>
              </w:rPr>
              <w:t>/</w:t>
            </w:r>
          </w:p>
        </w:tc>
        <w:tc>
          <w:tcPr>
            <w:tcW w:w="322" w:type="pct"/>
            <w:shd w:val="clear" w:color="auto" w:fill="auto"/>
            <w:vAlign w:val="center"/>
          </w:tcPr>
          <w:p>
            <w:pPr>
              <w:widowControl/>
              <w:jc w:val="center"/>
              <w:textAlignment w:val="center"/>
              <w:rPr>
                <w:szCs w:val="21"/>
              </w:rPr>
            </w:pPr>
            <w:r>
              <w:rPr>
                <w:rFonts w:hint="eastAsia"/>
                <w:szCs w:val="21"/>
              </w:rPr>
              <w:t>/</w:t>
            </w:r>
          </w:p>
        </w:tc>
        <w:tc>
          <w:tcPr>
            <w:tcW w:w="322" w:type="pct"/>
            <w:shd w:val="clear" w:color="auto" w:fill="auto"/>
            <w:vAlign w:val="center"/>
          </w:tcPr>
          <w:p>
            <w:pPr>
              <w:widowControl/>
              <w:jc w:val="center"/>
              <w:textAlignment w:val="center"/>
              <w:rPr>
                <w:szCs w:val="21"/>
              </w:rPr>
            </w:pPr>
            <w:r>
              <w:rPr>
                <w:szCs w:val="21"/>
              </w:rPr>
              <w:t>971</w:t>
            </w:r>
          </w:p>
        </w:tc>
        <w:tc>
          <w:tcPr>
            <w:tcW w:w="410" w:type="pct"/>
            <w:shd w:val="clear" w:color="auto" w:fill="auto"/>
            <w:vAlign w:val="center"/>
          </w:tcPr>
          <w:p>
            <w:pPr>
              <w:widowControl/>
              <w:jc w:val="center"/>
              <w:rPr>
                <w:szCs w:val="21"/>
              </w:rPr>
            </w:pPr>
            <w:r>
              <w:rPr>
                <w:rFonts w:hint="eastAsia"/>
                <w:szCs w:val="21"/>
              </w:rPr>
              <w:t>1.</w:t>
            </w:r>
            <w:r>
              <w:rPr>
                <w:szCs w:val="21"/>
              </w:rPr>
              <w:t>72</w:t>
            </w:r>
          </w:p>
        </w:tc>
        <w:tc>
          <w:tcPr>
            <w:tcW w:w="693" w:type="pct"/>
            <w:shd w:val="clear" w:color="auto" w:fill="auto"/>
            <w:vAlign w:val="center"/>
          </w:tcPr>
          <w:p>
            <w:pPr>
              <w:widowControl/>
              <w:jc w:val="center"/>
              <w:textAlignment w:val="center"/>
              <w:rPr>
                <w:szCs w:val="21"/>
              </w:rPr>
            </w:pPr>
            <w:r>
              <w:rPr>
                <w:szCs w:val="21"/>
              </w:rPr>
              <w:t>/</w:t>
            </w:r>
          </w:p>
        </w:tc>
        <w:tc>
          <w:tcPr>
            <w:tcW w:w="547" w:type="pct"/>
            <w:shd w:val="clear" w:color="auto" w:fill="auto"/>
            <w:vAlign w:val="center"/>
          </w:tcPr>
          <w:p>
            <w:pPr>
              <w:widowControl/>
              <w:jc w:val="center"/>
              <w:rPr>
                <w:szCs w:val="21"/>
              </w:rPr>
            </w:pPr>
            <w:r>
              <w:rPr>
                <w:rFonts w:hint="eastAsia"/>
                <w:szCs w:val="21"/>
              </w:rPr>
              <w:t>/</w:t>
            </w:r>
          </w:p>
        </w:tc>
        <w:tc>
          <w:tcPr>
            <w:tcW w:w="417" w:type="pct"/>
            <w:shd w:val="clear" w:color="auto" w:fill="auto"/>
            <w:vAlign w:val="center"/>
          </w:tcPr>
          <w:p>
            <w:pPr>
              <w:widowControl/>
              <w:jc w:val="center"/>
              <w:rPr>
                <w:szCs w:val="21"/>
              </w:rPr>
            </w:pPr>
            <w:r>
              <w:rPr>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7" w:type="pct"/>
            <w:gridSpan w:val="2"/>
            <w:shd w:val="clear" w:color="auto" w:fill="auto"/>
            <w:vAlign w:val="center"/>
          </w:tcPr>
          <w:p>
            <w:pPr>
              <w:widowControl/>
              <w:jc w:val="center"/>
              <w:rPr>
                <w:rFonts w:eastAsia="Times New Roman"/>
                <w:szCs w:val="21"/>
              </w:rPr>
            </w:pPr>
            <w:r>
              <w:rPr>
                <w:rFonts w:hint="eastAsia" w:ascii="宋体" w:hAnsi="宋体" w:cs="宋体"/>
                <w:szCs w:val="21"/>
              </w:rPr>
              <w:t>检测最小值</w:t>
            </w:r>
          </w:p>
        </w:tc>
        <w:tc>
          <w:tcPr>
            <w:tcW w:w="388" w:type="pct"/>
            <w:shd w:val="clear" w:color="auto" w:fill="auto"/>
            <w:vAlign w:val="center"/>
          </w:tcPr>
          <w:p>
            <w:pPr>
              <w:widowControl/>
              <w:jc w:val="center"/>
              <w:textAlignment w:val="center"/>
              <w:rPr>
                <w:szCs w:val="21"/>
              </w:rPr>
            </w:pPr>
            <w:r>
              <w:rPr>
                <w:rFonts w:hint="eastAsia"/>
                <w:szCs w:val="21"/>
              </w:rPr>
              <w:t>/</w:t>
            </w:r>
          </w:p>
        </w:tc>
        <w:tc>
          <w:tcPr>
            <w:tcW w:w="360" w:type="pct"/>
            <w:shd w:val="clear" w:color="auto" w:fill="auto"/>
            <w:vAlign w:val="center"/>
          </w:tcPr>
          <w:p>
            <w:pPr>
              <w:widowControl/>
              <w:jc w:val="center"/>
              <w:textAlignment w:val="center"/>
              <w:rPr>
                <w:szCs w:val="21"/>
              </w:rPr>
            </w:pPr>
            <w:r>
              <w:rPr>
                <w:rFonts w:hint="eastAsia"/>
                <w:szCs w:val="21"/>
              </w:rPr>
              <w:t>0.1</w:t>
            </w:r>
          </w:p>
        </w:tc>
        <w:tc>
          <w:tcPr>
            <w:tcW w:w="322" w:type="pct"/>
            <w:shd w:val="clear" w:color="auto" w:fill="auto"/>
            <w:vAlign w:val="center"/>
          </w:tcPr>
          <w:p>
            <w:pPr>
              <w:widowControl/>
              <w:snapToGrid w:val="0"/>
              <w:jc w:val="center"/>
              <w:rPr>
                <w:szCs w:val="21"/>
              </w:rPr>
            </w:pPr>
            <w:r>
              <w:rPr>
                <w:rFonts w:hint="eastAsia"/>
                <w:szCs w:val="21"/>
              </w:rPr>
              <w:t>/</w:t>
            </w:r>
          </w:p>
        </w:tc>
        <w:tc>
          <w:tcPr>
            <w:tcW w:w="322" w:type="pct"/>
            <w:shd w:val="clear" w:color="auto" w:fill="auto"/>
            <w:vAlign w:val="center"/>
          </w:tcPr>
          <w:p>
            <w:pPr>
              <w:widowControl/>
              <w:jc w:val="center"/>
              <w:textAlignment w:val="center"/>
              <w:rPr>
                <w:szCs w:val="21"/>
              </w:rPr>
            </w:pPr>
            <w:r>
              <w:rPr>
                <w:rFonts w:hint="eastAsia"/>
                <w:szCs w:val="21"/>
              </w:rPr>
              <w:t>/</w:t>
            </w:r>
          </w:p>
        </w:tc>
        <w:tc>
          <w:tcPr>
            <w:tcW w:w="322" w:type="pct"/>
            <w:shd w:val="clear" w:color="auto" w:fill="auto"/>
            <w:vAlign w:val="center"/>
          </w:tcPr>
          <w:p>
            <w:pPr>
              <w:widowControl/>
              <w:jc w:val="center"/>
              <w:textAlignment w:val="center"/>
              <w:rPr>
                <w:szCs w:val="21"/>
              </w:rPr>
            </w:pPr>
            <w:r>
              <w:rPr>
                <w:rFonts w:hint="eastAsia"/>
                <w:szCs w:val="21"/>
              </w:rPr>
              <w:t>/</w:t>
            </w:r>
          </w:p>
        </w:tc>
        <w:tc>
          <w:tcPr>
            <w:tcW w:w="322" w:type="pct"/>
            <w:shd w:val="clear" w:color="auto" w:fill="auto"/>
            <w:vAlign w:val="center"/>
          </w:tcPr>
          <w:p>
            <w:pPr>
              <w:widowControl/>
              <w:jc w:val="center"/>
              <w:textAlignment w:val="center"/>
              <w:rPr>
                <w:szCs w:val="21"/>
              </w:rPr>
            </w:pPr>
            <w:r>
              <w:rPr>
                <w:szCs w:val="21"/>
              </w:rPr>
              <w:t>816</w:t>
            </w:r>
          </w:p>
        </w:tc>
        <w:tc>
          <w:tcPr>
            <w:tcW w:w="410" w:type="pct"/>
            <w:shd w:val="clear" w:color="auto" w:fill="auto"/>
            <w:vAlign w:val="center"/>
          </w:tcPr>
          <w:p>
            <w:pPr>
              <w:widowControl/>
              <w:jc w:val="center"/>
              <w:rPr>
                <w:szCs w:val="21"/>
              </w:rPr>
            </w:pPr>
            <w:r>
              <w:rPr>
                <w:rFonts w:hint="eastAsia"/>
                <w:szCs w:val="21"/>
              </w:rPr>
              <w:t>1</w:t>
            </w:r>
          </w:p>
        </w:tc>
        <w:tc>
          <w:tcPr>
            <w:tcW w:w="693" w:type="pct"/>
            <w:shd w:val="clear" w:color="auto" w:fill="auto"/>
            <w:vAlign w:val="center"/>
          </w:tcPr>
          <w:p>
            <w:pPr>
              <w:widowControl/>
              <w:jc w:val="center"/>
              <w:textAlignment w:val="center"/>
              <w:rPr>
                <w:szCs w:val="21"/>
              </w:rPr>
            </w:pPr>
            <w:r>
              <w:rPr>
                <w:szCs w:val="21"/>
              </w:rPr>
              <w:t>/</w:t>
            </w:r>
          </w:p>
        </w:tc>
        <w:tc>
          <w:tcPr>
            <w:tcW w:w="547" w:type="pct"/>
            <w:shd w:val="clear" w:color="auto" w:fill="auto"/>
            <w:vAlign w:val="center"/>
          </w:tcPr>
          <w:p>
            <w:pPr>
              <w:widowControl/>
              <w:jc w:val="center"/>
              <w:rPr>
                <w:szCs w:val="21"/>
              </w:rPr>
            </w:pPr>
            <w:r>
              <w:rPr>
                <w:rFonts w:hint="eastAsia"/>
                <w:szCs w:val="21"/>
              </w:rPr>
              <w:t>/</w:t>
            </w:r>
          </w:p>
        </w:tc>
        <w:tc>
          <w:tcPr>
            <w:tcW w:w="417" w:type="pct"/>
            <w:shd w:val="clear" w:color="auto" w:fill="auto"/>
            <w:vAlign w:val="center"/>
          </w:tcPr>
          <w:p>
            <w:pPr>
              <w:widowControl/>
              <w:jc w:val="center"/>
              <w:rPr>
                <w:szCs w:val="21"/>
              </w:rPr>
            </w:pPr>
            <w:r>
              <w:rPr>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97" w:type="pct"/>
            <w:gridSpan w:val="2"/>
            <w:shd w:val="clear" w:color="auto" w:fill="auto"/>
            <w:vAlign w:val="center"/>
          </w:tcPr>
          <w:p>
            <w:pPr>
              <w:widowControl/>
              <w:jc w:val="center"/>
              <w:rPr>
                <w:rFonts w:eastAsia="Times New Roman"/>
                <w:szCs w:val="21"/>
              </w:rPr>
            </w:pPr>
            <w:r>
              <w:rPr>
                <w:rFonts w:hint="eastAsia" w:ascii="宋体" w:hAnsi="宋体" w:cs="宋体"/>
                <w:szCs w:val="21"/>
              </w:rPr>
              <w:t>检出率</w:t>
            </w:r>
          </w:p>
        </w:tc>
        <w:tc>
          <w:tcPr>
            <w:tcW w:w="388" w:type="pct"/>
            <w:shd w:val="clear" w:color="auto" w:fill="auto"/>
            <w:vAlign w:val="center"/>
          </w:tcPr>
          <w:p>
            <w:pPr>
              <w:widowControl/>
              <w:jc w:val="center"/>
              <w:textAlignment w:val="center"/>
              <w:rPr>
                <w:szCs w:val="21"/>
              </w:rPr>
            </w:pPr>
            <w:r>
              <w:rPr>
                <w:szCs w:val="21"/>
              </w:rPr>
              <w:t>0</w:t>
            </w:r>
          </w:p>
        </w:tc>
        <w:tc>
          <w:tcPr>
            <w:tcW w:w="360" w:type="pct"/>
            <w:shd w:val="clear" w:color="auto" w:fill="auto"/>
            <w:vAlign w:val="center"/>
          </w:tcPr>
          <w:p>
            <w:pPr>
              <w:widowControl/>
              <w:jc w:val="center"/>
              <w:textAlignment w:val="center"/>
              <w:rPr>
                <w:kern w:val="0"/>
                <w:szCs w:val="21"/>
                <w:highlight w:val="yellow"/>
                <w:lang w:bidi="ar"/>
              </w:rPr>
            </w:pPr>
            <w:r>
              <w:rPr>
                <w:szCs w:val="21"/>
              </w:rPr>
              <w:t>100%</w:t>
            </w:r>
          </w:p>
        </w:tc>
        <w:tc>
          <w:tcPr>
            <w:tcW w:w="322" w:type="pct"/>
            <w:shd w:val="clear" w:color="auto" w:fill="auto"/>
            <w:vAlign w:val="center"/>
          </w:tcPr>
          <w:p>
            <w:pPr>
              <w:widowControl/>
              <w:snapToGrid w:val="0"/>
              <w:jc w:val="center"/>
              <w:rPr>
                <w:szCs w:val="21"/>
              </w:rPr>
            </w:pPr>
            <w:r>
              <w:rPr>
                <w:szCs w:val="21"/>
              </w:rPr>
              <w:t>0</w:t>
            </w:r>
          </w:p>
        </w:tc>
        <w:tc>
          <w:tcPr>
            <w:tcW w:w="322" w:type="pct"/>
            <w:shd w:val="clear" w:color="auto" w:fill="auto"/>
            <w:vAlign w:val="center"/>
          </w:tcPr>
          <w:p>
            <w:pPr>
              <w:widowControl/>
              <w:jc w:val="center"/>
              <w:textAlignment w:val="center"/>
              <w:rPr>
                <w:szCs w:val="21"/>
              </w:rPr>
            </w:pPr>
            <w:r>
              <w:rPr>
                <w:szCs w:val="21"/>
              </w:rPr>
              <w:t>0</w:t>
            </w:r>
          </w:p>
        </w:tc>
        <w:tc>
          <w:tcPr>
            <w:tcW w:w="322" w:type="pct"/>
            <w:shd w:val="clear" w:color="auto" w:fill="auto"/>
            <w:vAlign w:val="center"/>
          </w:tcPr>
          <w:p>
            <w:pPr>
              <w:widowControl/>
              <w:jc w:val="center"/>
              <w:textAlignment w:val="center"/>
              <w:rPr>
                <w:szCs w:val="21"/>
              </w:rPr>
            </w:pPr>
            <w:r>
              <w:rPr>
                <w:szCs w:val="21"/>
              </w:rPr>
              <w:t>0</w:t>
            </w:r>
          </w:p>
        </w:tc>
        <w:tc>
          <w:tcPr>
            <w:tcW w:w="322" w:type="pct"/>
            <w:shd w:val="clear" w:color="auto" w:fill="auto"/>
            <w:vAlign w:val="center"/>
          </w:tcPr>
          <w:p>
            <w:pPr>
              <w:widowControl/>
              <w:jc w:val="center"/>
              <w:textAlignment w:val="center"/>
              <w:rPr>
                <w:kern w:val="0"/>
                <w:szCs w:val="21"/>
                <w:lang w:bidi="ar"/>
              </w:rPr>
            </w:pPr>
            <w:r>
              <w:rPr>
                <w:szCs w:val="21"/>
              </w:rPr>
              <w:t>100%</w:t>
            </w:r>
          </w:p>
        </w:tc>
        <w:tc>
          <w:tcPr>
            <w:tcW w:w="410" w:type="pct"/>
            <w:shd w:val="clear" w:color="auto" w:fill="auto"/>
            <w:vAlign w:val="center"/>
          </w:tcPr>
          <w:p>
            <w:pPr>
              <w:widowControl/>
              <w:jc w:val="center"/>
              <w:rPr>
                <w:szCs w:val="21"/>
              </w:rPr>
            </w:pPr>
            <w:r>
              <w:rPr>
                <w:szCs w:val="21"/>
              </w:rPr>
              <w:t>100%</w:t>
            </w:r>
          </w:p>
        </w:tc>
        <w:tc>
          <w:tcPr>
            <w:tcW w:w="693" w:type="pct"/>
            <w:shd w:val="clear" w:color="auto" w:fill="auto"/>
            <w:vAlign w:val="center"/>
          </w:tcPr>
          <w:p>
            <w:pPr>
              <w:widowControl/>
              <w:jc w:val="center"/>
              <w:textAlignment w:val="center"/>
              <w:rPr>
                <w:rFonts w:eastAsia="Times New Roman"/>
                <w:szCs w:val="21"/>
              </w:rPr>
            </w:pPr>
            <w:r>
              <w:rPr>
                <w:szCs w:val="21"/>
              </w:rPr>
              <w:t>0</w:t>
            </w:r>
          </w:p>
        </w:tc>
        <w:tc>
          <w:tcPr>
            <w:tcW w:w="547" w:type="pct"/>
            <w:shd w:val="clear" w:color="auto" w:fill="auto"/>
            <w:vAlign w:val="center"/>
          </w:tcPr>
          <w:p>
            <w:pPr>
              <w:widowControl/>
              <w:jc w:val="center"/>
              <w:rPr>
                <w:szCs w:val="21"/>
              </w:rPr>
            </w:pPr>
            <w:r>
              <w:rPr>
                <w:szCs w:val="21"/>
              </w:rPr>
              <w:t>0</w:t>
            </w:r>
          </w:p>
        </w:tc>
        <w:tc>
          <w:tcPr>
            <w:tcW w:w="417" w:type="pct"/>
            <w:shd w:val="clear" w:color="auto" w:fill="auto"/>
            <w:vAlign w:val="center"/>
          </w:tcPr>
          <w:p>
            <w:pPr>
              <w:widowControl/>
              <w:jc w:val="center"/>
              <w:rPr>
                <w:rFonts w:eastAsia="Times New Roman"/>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7" w:type="pct"/>
            <w:gridSpan w:val="2"/>
            <w:shd w:val="clear" w:color="auto" w:fill="auto"/>
            <w:vAlign w:val="center"/>
          </w:tcPr>
          <w:p>
            <w:pPr>
              <w:widowControl/>
              <w:jc w:val="center"/>
              <w:rPr>
                <w:rFonts w:ascii="宋体" w:hAnsi="宋体" w:cs="宋体"/>
                <w:szCs w:val="21"/>
              </w:rPr>
            </w:pPr>
            <w:r>
              <w:rPr>
                <w:rFonts w:hint="eastAsia" w:ascii="宋体" w:hAnsi="宋体" w:cs="宋体"/>
                <w:szCs w:val="21"/>
              </w:rPr>
              <w:t>标准值</w:t>
            </w:r>
          </w:p>
        </w:tc>
        <w:tc>
          <w:tcPr>
            <w:tcW w:w="388" w:type="pct"/>
            <w:shd w:val="clear" w:color="auto" w:fill="auto"/>
            <w:vAlign w:val="center"/>
          </w:tcPr>
          <w:p>
            <w:pPr>
              <w:widowControl/>
              <w:jc w:val="center"/>
              <w:textAlignment w:val="center"/>
              <w:rPr>
                <w:szCs w:val="21"/>
              </w:rPr>
            </w:pPr>
            <w:r>
              <w:rPr>
                <w:rFonts w:hint="eastAsia"/>
                <w:szCs w:val="21"/>
              </w:rPr>
              <w:t>0</w:t>
            </w:r>
            <w:r>
              <w:rPr>
                <w:szCs w:val="21"/>
              </w:rPr>
              <w:t>.01</w:t>
            </w:r>
          </w:p>
        </w:tc>
        <w:tc>
          <w:tcPr>
            <w:tcW w:w="360" w:type="pct"/>
            <w:shd w:val="clear" w:color="auto" w:fill="auto"/>
            <w:vAlign w:val="center"/>
          </w:tcPr>
          <w:p>
            <w:pPr>
              <w:widowControl/>
              <w:jc w:val="center"/>
              <w:textAlignment w:val="center"/>
              <w:rPr>
                <w:szCs w:val="21"/>
              </w:rPr>
            </w:pPr>
            <w:r>
              <w:rPr>
                <w:rFonts w:hint="eastAsia"/>
                <w:szCs w:val="21"/>
              </w:rPr>
              <w:t>1</w:t>
            </w:r>
            <w:r>
              <w:rPr>
                <w:szCs w:val="21"/>
              </w:rPr>
              <w:t>.0</w:t>
            </w:r>
          </w:p>
        </w:tc>
        <w:tc>
          <w:tcPr>
            <w:tcW w:w="322" w:type="pct"/>
            <w:shd w:val="clear" w:color="auto" w:fill="auto"/>
            <w:vAlign w:val="center"/>
          </w:tcPr>
          <w:p>
            <w:pPr>
              <w:widowControl/>
              <w:snapToGrid w:val="0"/>
              <w:jc w:val="center"/>
              <w:rPr>
                <w:szCs w:val="21"/>
              </w:rPr>
            </w:pPr>
            <w:r>
              <w:rPr>
                <w:rFonts w:hint="eastAsia"/>
                <w:szCs w:val="21"/>
              </w:rPr>
              <w:t>0</w:t>
            </w:r>
            <w:r>
              <w:rPr>
                <w:szCs w:val="21"/>
              </w:rPr>
              <w:t>.005</w:t>
            </w:r>
          </w:p>
        </w:tc>
        <w:tc>
          <w:tcPr>
            <w:tcW w:w="322" w:type="pct"/>
            <w:shd w:val="clear" w:color="auto" w:fill="auto"/>
            <w:vAlign w:val="center"/>
          </w:tcPr>
          <w:p>
            <w:pPr>
              <w:widowControl/>
              <w:jc w:val="center"/>
              <w:textAlignment w:val="center"/>
              <w:rPr>
                <w:szCs w:val="21"/>
              </w:rPr>
            </w:pPr>
            <w:r>
              <w:rPr>
                <w:rFonts w:hint="eastAsia"/>
                <w:szCs w:val="21"/>
              </w:rPr>
              <w:t>0</w:t>
            </w:r>
            <w:r>
              <w:rPr>
                <w:szCs w:val="21"/>
              </w:rPr>
              <w:t>.3</w:t>
            </w:r>
          </w:p>
        </w:tc>
        <w:tc>
          <w:tcPr>
            <w:tcW w:w="322" w:type="pct"/>
            <w:shd w:val="clear" w:color="auto" w:fill="auto"/>
            <w:vAlign w:val="center"/>
          </w:tcPr>
          <w:p>
            <w:pPr>
              <w:widowControl/>
              <w:jc w:val="center"/>
              <w:textAlignment w:val="center"/>
              <w:rPr>
                <w:szCs w:val="21"/>
              </w:rPr>
            </w:pPr>
            <w:r>
              <w:rPr>
                <w:rFonts w:hint="eastAsia"/>
                <w:szCs w:val="21"/>
              </w:rPr>
              <w:t>0</w:t>
            </w:r>
            <w:r>
              <w:rPr>
                <w:szCs w:val="21"/>
              </w:rPr>
              <w:t>.10</w:t>
            </w:r>
          </w:p>
        </w:tc>
        <w:tc>
          <w:tcPr>
            <w:tcW w:w="322" w:type="pct"/>
            <w:shd w:val="clear" w:color="auto" w:fill="auto"/>
            <w:vAlign w:val="center"/>
          </w:tcPr>
          <w:p>
            <w:pPr>
              <w:widowControl/>
              <w:jc w:val="center"/>
              <w:textAlignment w:val="center"/>
              <w:rPr>
                <w:szCs w:val="21"/>
              </w:rPr>
            </w:pPr>
            <w:r>
              <w:rPr>
                <w:rFonts w:hint="eastAsia"/>
                <w:szCs w:val="21"/>
              </w:rPr>
              <w:t>1</w:t>
            </w:r>
            <w:r>
              <w:rPr>
                <w:szCs w:val="21"/>
              </w:rPr>
              <w:t>000</w:t>
            </w:r>
          </w:p>
        </w:tc>
        <w:tc>
          <w:tcPr>
            <w:tcW w:w="410" w:type="pct"/>
            <w:shd w:val="clear" w:color="auto" w:fill="auto"/>
            <w:vAlign w:val="center"/>
          </w:tcPr>
          <w:p>
            <w:pPr>
              <w:widowControl/>
              <w:jc w:val="center"/>
              <w:rPr>
                <w:szCs w:val="21"/>
              </w:rPr>
            </w:pPr>
            <w:r>
              <w:rPr>
                <w:rFonts w:hint="eastAsia"/>
                <w:szCs w:val="21"/>
              </w:rPr>
              <w:t>3</w:t>
            </w:r>
            <w:r>
              <w:rPr>
                <w:szCs w:val="21"/>
              </w:rPr>
              <w:t>.0</w:t>
            </w:r>
          </w:p>
        </w:tc>
        <w:tc>
          <w:tcPr>
            <w:tcW w:w="693" w:type="pct"/>
            <w:shd w:val="clear" w:color="auto" w:fill="auto"/>
            <w:vAlign w:val="center"/>
          </w:tcPr>
          <w:p>
            <w:pPr>
              <w:widowControl/>
              <w:jc w:val="center"/>
              <w:textAlignment w:val="center"/>
              <w:rPr>
                <w:szCs w:val="21"/>
              </w:rPr>
            </w:pPr>
            <w:r>
              <w:rPr>
                <w:szCs w:val="21"/>
              </w:rPr>
              <w:t>/</w:t>
            </w:r>
          </w:p>
        </w:tc>
        <w:tc>
          <w:tcPr>
            <w:tcW w:w="547" w:type="pct"/>
            <w:shd w:val="clear" w:color="auto" w:fill="auto"/>
            <w:vAlign w:val="center"/>
          </w:tcPr>
          <w:p>
            <w:pPr>
              <w:widowControl/>
              <w:jc w:val="center"/>
              <w:rPr>
                <w:szCs w:val="21"/>
              </w:rPr>
            </w:pPr>
            <w:r>
              <w:rPr>
                <w:rFonts w:hint="eastAsia"/>
                <w:szCs w:val="21"/>
              </w:rPr>
              <w:t>3</w:t>
            </w:r>
            <w:r>
              <w:rPr>
                <w:szCs w:val="21"/>
              </w:rPr>
              <w:t>.0</w:t>
            </w:r>
          </w:p>
        </w:tc>
        <w:tc>
          <w:tcPr>
            <w:tcW w:w="417" w:type="pct"/>
            <w:shd w:val="clear" w:color="auto" w:fill="auto"/>
            <w:vAlign w:val="center"/>
          </w:tcPr>
          <w:p>
            <w:pPr>
              <w:widowControl/>
              <w:jc w:val="center"/>
              <w:rPr>
                <w:szCs w:val="21"/>
              </w:rPr>
            </w:pPr>
            <w:r>
              <w:rPr>
                <w:rFonts w:hint="eastAsia"/>
                <w:szCs w:val="21"/>
              </w:rPr>
              <w:t>1</w:t>
            </w:r>
            <w:r>
              <w:rPr>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7" w:type="pct"/>
            <w:gridSpan w:val="2"/>
            <w:shd w:val="clear" w:color="auto" w:fill="auto"/>
            <w:vAlign w:val="center"/>
          </w:tcPr>
          <w:p>
            <w:pPr>
              <w:widowControl/>
              <w:jc w:val="center"/>
              <w:rPr>
                <w:rFonts w:ascii="宋体" w:hAnsi="宋体" w:cs="宋体"/>
                <w:szCs w:val="21"/>
              </w:rPr>
            </w:pPr>
            <w:r>
              <w:rPr>
                <w:rFonts w:hint="eastAsia" w:ascii="宋体" w:hAnsi="宋体" w:cs="宋体"/>
                <w:szCs w:val="21"/>
              </w:rPr>
              <w:t>标准指数</w:t>
            </w:r>
          </w:p>
        </w:tc>
        <w:tc>
          <w:tcPr>
            <w:tcW w:w="388" w:type="pct"/>
            <w:shd w:val="clear" w:color="auto" w:fill="auto"/>
            <w:vAlign w:val="center"/>
          </w:tcPr>
          <w:p>
            <w:pPr>
              <w:widowControl/>
              <w:jc w:val="center"/>
              <w:textAlignment w:val="center"/>
              <w:rPr>
                <w:szCs w:val="21"/>
              </w:rPr>
            </w:pPr>
            <w:r>
              <w:rPr>
                <w:rFonts w:hint="eastAsia"/>
                <w:szCs w:val="21"/>
              </w:rPr>
              <w:t>/</w:t>
            </w:r>
          </w:p>
        </w:tc>
        <w:tc>
          <w:tcPr>
            <w:tcW w:w="360" w:type="pct"/>
            <w:shd w:val="clear" w:color="auto" w:fill="auto"/>
            <w:vAlign w:val="center"/>
          </w:tcPr>
          <w:p>
            <w:pPr>
              <w:widowControl/>
              <w:jc w:val="center"/>
              <w:textAlignment w:val="center"/>
              <w:rPr>
                <w:szCs w:val="21"/>
              </w:rPr>
            </w:pPr>
            <w:r>
              <w:rPr>
                <w:rFonts w:hint="eastAsia"/>
                <w:szCs w:val="21"/>
              </w:rPr>
              <w:t>0</w:t>
            </w:r>
            <w:r>
              <w:rPr>
                <w:szCs w:val="21"/>
              </w:rPr>
              <w:t>.1</w:t>
            </w:r>
            <w:r>
              <w:rPr>
                <w:rFonts w:hint="eastAsia"/>
                <w:szCs w:val="21"/>
              </w:rPr>
              <w:t>~</w:t>
            </w:r>
            <w:r>
              <w:rPr>
                <w:szCs w:val="21"/>
              </w:rPr>
              <w:t>0.34</w:t>
            </w:r>
          </w:p>
        </w:tc>
        <w:tc>
          <w:tcPr>
            <w:tcW w:w="322" w:type="pct"/>
            <w:shd w:val="clear" w:color="auto" w:fill="auto"/>
            <w:vAlign w:val="center"/>
          </w:tcPr>
          <w:p>
            <w:pPr>
              <w:widowControl/>
              <w:snapToGrid w:val="0"/>
              <w:jc w:val="center"/>
              <w:rPr>
                <w:szCs w:val="21"/>
              </w:rPr>
            </w:pPr>
            <w:r>
              <w:rPr>
                <w:rFonts w:hint="eastAsia"/>
                <w:szCs w:val="21"/>
              </w:rPr>
              <w:t>/</w:t>
            </w:r>
          </w:p>
        </w:tc>
        <w:tc>
          <w:tcPr>
            <w:tcW w:w="322" w:type="pct"/>
            <w:shd w:val="clear" w:color="auto" w:fill="auto"/>
            <w:vAlign w:val="center"/>
          </w:tcPr>
          <w:p>
            <w:pPr>
              <w:widowControl/>
              <w:jc w:val="center"/>
              <w:textAlignment w:val="center"/>
              <w:rPr>
                <w:szCs w:val="21"/>
              </w:rPr>
            </w:pPr>
            <w:r>
              <w:rPr>
                <w:rFonts w:hint="eastAsia"/>
                <w:szCs w:val="21"/>
              </w:rPr>
              <w:t>/</w:t>
            </w:r>
          </w:p>
        </w:tc>
        <w:tc>
          <w:tcPr>
            <w:tcW w:w="322" w:type="pct"/>
            <w:shd w:val="clear" w:color="auto" w:fill="auto"/>
            <w:vAlign w:val="center"/>
          </w:tcPr>
          <w:p>
            <w:pPr>
              <w:widowControl/>
              <w:jc w:val="center"/>
              <w:textAlignment w:val="center"/>
              <w:rPr>
                <w:szCs w:val="21"/>
              </w:rPr>
            </w:pPr>
            <w:r>
              <w:rPr>
                <w:rFonts w:hint="eastAsia"/>
                <w:szCs w:val="21"/>
              </w:rPr>
              <w:t>/</w:t>
            </w:r>
          </w:p>
        </w:tc>
        <w:tc>
          <w:tcPr>
            <w:tcW w:w="322" w:type="pct"/>
            <w:shd w:val="clear" w:color="auto" w:fill="auto"/>
            <w:vAlign w:val="center"/>
          </w:tcPr>
          <w:p>
            <w:pPr>
              <w:widowControl/>
              <w:jc w:val="center"/>
              <w:textAlignment w:val="center"/>
              <w:rPr>
                <w:szCs w:val="21"/>
              </w:rPr>
            </w:pPr>
            <w:r>
              <w:rPr>
                <w:rFonts w:hint="eastAsia"/>
                <w:szCs w:val="21"/>
              </w:rPr>
              <w:t>0</w:t>
            </w:r>
            <w:r>
              <w:rPr>
                <w:szCs w:val="21"/>
              </w:rPr>
              <w:t>.816</w:t>
            </w:r>
            <w:r>
              <w:rPr>
                <w:rFonts w:hint="eastAsia"/>
                <w:szCs w:val="21"/>
              </w:rPr>
              <w:t>~</w:t>
            </w:r>
          </w:p>
          <w:p>
            <w:pPr>
              <w:widowControl/>
              <w:jc w:val="center"/>
              <w:textAlignment w:val="center"/>
              <w:rPr>
                <w:szCs w:val="21"/>
              </w:rPr>
            </w:pPr>
            <w:r>
              <w:rPr>
                <w:rFonts w:hint="eastAsia"/>
                <w:szCs w:val="21"/>
              </w:rPr>
              <w:t>0</w:t>
            </w:r>
            <w:r>
              <w:rPr>
                <w:szCs w:val="21"/>
              </w:rPr>
              <w:t>.971</w:t>
            </w:r>
          </w:p>
        </w:tc>
        <w:tc>
          <w:tcPr>
            <w:tcW w:w="410" w:type="pct"/>
            <w:shd w:val="clear" w:color="auto" w:fill="auto"/>
            <w:vAlign w:val="center"/>
          </w:tcPr>
          <w:p>
            <w:pPr>
              <w:widowControl/>
              <w:jc w:val="center"/>
              <w:rPr>
                <w:szCs w:val="21"/>
              </w:rPr>
            </w:pPr>
            <w:r>
              <w:rPr>
                <w:rFonts w:hint="eastAsia"/>
                <w:szCs w:val="21"/>
              </w:rPr>
              <w:t>0</w:t>
            </w:r>
            <w:r>
              <w:rPr>
                <w:szCs w:val="21"/>
              </w:rPr>
              <w:t>.33</w:t>
            </w:r>
            <w:r>
              <w:rPr>
                <w:rFonts w:hint="eastAsia"/>
                <w:szCs w:val="21"/>
              </w:rPr>
              <w:t>~</w:t>
            </w:r>
            <w:r>
              <w:rPr>
                <w:szCs w:val="21"/>
              </w:rPr>
              <w:t>0.57</w:t>
            </w:r>
          </w:p>
        </w:tc>
        <w:tc>
          <w:tcPr>
            <w:tcW w:w="693" w:type="pct"/>
            <w:shd w:val="clear" w:color="auto" w:fill="auto"/>
            <w:vAlign w:val="center"/>
          </w:tcPr>
          <w:p>
            <w:pPr>
              <w:widowControl/>
              <w:jc w:val="center"/>
              <w:textAlignment w:val="center"/>
              <w:rPr>
                <w:szCs w:val="21"/>
              </w:rPr>
            </w:pPr>
            <w:r>
              <w:rPr>
                <w:rFonts w:hint="eastAsia"/>
                <w:szCs w:val="21"/>
              </w:rPr>
              <w:t>/</w:t>
            </w:r>
          </w:p>
        </w:tc>
        <w:tc>
          <w:tcPr>
            <w:tcW w:w="547" w:type="pct"/>
            <w:shd w:val="clear" w:color="auto" w:fill="auto"/>
            <w:vAlign w:val="center"/>
          </w:tcPr>
          <w:p>
            <w:pPr>
              <w:widowControl/>
              <w:jc w:val="center"/>
              <w:rPr>
                <w:szCs w:val="21"/>
              </w:rPr>
            </w:pPr>
            <w:r>
              <w:rPr>
                <w:rFonts w:hint="eastAsia"/>
                <w:szCs w:val="21"/>
              </w:rPr>
              <w:t>/</w:t>
            </w:r>
          </w:p>
        </w:tc>
        <w:tc>
          <w:tcPr>
            <w:tcW w:w="417" w:type="pct"/>
            <w:shd w:val="clear" w:color="auto" w:fill="auto"/>
            <w:vAlign w:val="center"/>
          </w:tcPr>
          <w:p>
            <w:pPr>
              <w:widowControl/>
              <w:jc w:val="center"/>
              <w:rPr>
                <w:szCs w:val="21"/>
              </w:rPr>
            </w:pPr>
            <w:r>
              <w:rPr>
                <w:rFonts w:hint="eastAsia"/>
                <w:szCs w:val="21"/>
              </w:rPr>
              <w:t>0</w:t>
            </w:r>
            <w:r>
              <w:rPr>
                <w:szCs w:val="21"/>
              </w:rPr>
              <w:t>.25</w:t>
            </w:r>
            <w:r>
              <w:rPr>
                <w:rFonts w:hint="eastAsia"/>
                <w:szCs w:val="21"/>
              </w:rPr>
              <w:t>~</w:t>
            </w:r>
            <w:r>
              <w:rPr>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7" w:type="pct"/>
            <w:gridSpan w:val="2"/>
            <w:shd w:val="clear" w:color="auto" w:fill="auto"/>
            <w:vAlign w:val="center"/>
          </w:tcPr>
          <w:p>
            <w:pPr>
              <w:widowControl/>
              <w:jc w:val="center"/>
              <w:rPr>
                <w:rFonts w:ascii="宋体" w:hAnsi="宋体" w:cs="宋体"/>
                <w:szCs w:val="21"/>
              </w:rPr>
            </w:pPr>
            <w:r>
              <w:rPr>
                <w:rFonts w:hint="eastAsia" w:ascii="宋体" w:hAnsi="宋体" w:cs="宋体"/>
                <w:szCs w:val="21"/>
              </w:rPr>
              <w:t>超标率</w:t>
            </w:r>
            <w:r>
              <w:rPr>
                <w:szCs w:val="21"/>
              </w:rPr>
              <w:t>（%）</w:t>
            </w:r>
          </w:p>
        </w:tc>
        <w:tc>
          <w:tcPr>
            <w:tcW w:w="388" w:type="pct"/>
            <w:shd w:val="clear" w:color="auto" w:fill="auto"/>
            <w:vAlign w:val="center"/>
          </w:tcPr>
          <w:p>
            <w:pPr>
              <w:widowControl/>
              <w:jc w:val="center"/>
              <w:textAlignment w:val="center"/>
              <w:rPr>
                <w:szCs w:val="21"/>
              </w:rPr>
            </w:pPr>
            <w:r>
              <w:rPr>
                <w:rFonts w:hint="eastAsia"/>
                <w:szCs w:val="21"/>
              </w:rPr>
              <w:t>0</w:t>
            </w:r>
          </w:p>
        </w:tc>
        <w:tc>
          <w:tcPr>
            <w:tcW w:w="360" w:type="pct"/>
            <w:shd w:val="clear" w:color="auto" w:fill="auto"/>
            <w:vAlign w:val="center"/>
          </w:tcPr>
          <w:p>
            <w:pPr>
              <w:widowControl/>
              <w:jc w:val="center"/>
              <w:textAlignment w:val="center"/>
              <w:rPr>
                <w:szCs w:val="21"/>
              </w:rPr>
            </w:pPr>
            <w:r>
              <w:rPr>
                <w:rFonts w:hint="eastAsia"/>
                <w:szCs w:val="21"/>
              </w:rPr>
              <w:t>0</w:t>
            </w:r>
          </w:p>
        </w:tc>
        <w:tc>
          <w:tcPr>
            <w:tcW w:w="322" w:type="pct"/>
            <w:shd w:val="clear" w:color="auto" w:fill="auto"/>
            <w:vAlign w:val="center"/>
          </w:tcPr>
          <w:p>
            <w:pPr>
              <w:widowControl/>
              <w:snapToGrid w:val="0"/>
              <w:jc w:val="center"/>
              <w:rPr>
                <w:szCs w:val="21"/>
              </w:rPr>
            </w:pPr>
            <w:r>
              <w:rPr>
                <w:rFonts w:hint="eastAsia"/>
                <w:szCs w:val="21"/>
              </w:rPr>
              <w:t>0</w:t>
            </w:r>
          </w:p>
        </w:tc>
        <w:tc>
          <w:tcPr>
            <w:tcW w:w="322" w:type="pct"/>
            <w:shd w:val="clear" w:color="auto" w:fill="auto"/>
            <w:vAlign w:val="center"/>
          </w:tcPr>
          <w:p>
            <w:pPr>
              <w:widowControl/>
              <w:jc w:val="center"/>
              <w:textAlignment w:val="center"/>
              <w:rPr>
                <w:szCs w:val="21"/>
              </w:rPr>
            </w:pPr>
            <w:r>
              <w:rPr>
                <w:rFonts w:hint="eastAsia"/>
                <w:szCs w:val="21"/>
              </w:rPr>
              <w:t>0</w:t>
            </w:r>
          </w:p>
        </w:tc>
        <w:tc>
          <w:tcPr>
            <w:tcW w:w="322" w:type="pct"/>
            <w:shd w:val="clear" w:color="auto" w:fill="auto"/>
            <w:vAlign w:val="center"/>
          </w:tcPr>
          <w:p>
            <w:pPr>
              <w:widowControl/>
              <w:jc w:val="center"/>
              <w:textAlignment w:val="center"/>
              <w:rPr>
                <w:szCs w:val="21"/>
              </w:rPr>
            </w:pPr>
            <w:r>
              <w:rPr>
                <w:rFonts w:hint="eastAsia"/>
                <w:szCs w:val="21"/>
              </w:rPr>
              <w:t>0</w:t>
            </w:r>
          </w:p>
        </w:tc>
        <w:tc>
          <w:tcPr>
            <w:tcW w:w="322" w:type="pct"/>
            <w:shd w:val="clear" w:color="auto" w:fill="auto"/>
            <w:vAlign w:val="center"/>
          </w:tcPr>
          <w:p>
            <w:pPr>
              <w:widowControl/>
              <w:jc w:val="center"/>
              <w:textAlignment w:val="center"/>
              <w:rPr>
                <w:szCs w:val="21"/>
              </w:rPr>
            </w:pPr>
            <w:r>
              <w:rPr>
                <w:rFonts w:hint="eastAsia"/>
                <w:szCs w:val="21"/>
              </w:rPr>
              <w:t>0</w:t>
            </w:r>
          </w:p>
        </w:tc>
        <w:tc>
          <w:tcPr>
            <w:tcW w:w="410" w:type="pct"/>
            <w:shd w:val="clear" w:color="auto" w:fill="auto"/>
            <w:vAlign w:val="center"/>
          </w:tcPr>
          <w:p>
            <w:pPr>
              <w:widowControl/>
              <w:jc w:val="center"/>
              <w:rPr>
                <w:szCs w:val="21"/>
              </w:rPr>
            </w:pPr>
            <w:r>
              <w:rPr>
                <w:rFonts w:hint="eastAsia"/>
                <w:szCs w:val="21"/>
              </w:rPr>
              <w:t>0</w:t>
            </w:r>
          </w:p>
        </w:tc>
        <w:tc>
          <w:tcPr>
            <w:tcW w:w="693" w:type="pct"/>
            <w:shd w:val="clear" w:color="auto" w:fill="auto"/>
            <w:vAlign w:val="center"/>
          </w:tcPr>
          <w:p>
            <w:pPr>
              <w:widowControl/>
              <w:jc w:val="center"/>
              <w:textAlignment w:val="center"/>
              <w:rPr>
                <w:szCs w:val="21"/>
              </w:rPr>
            </w:pPr>
            <w:r>
              <w:rPr>
                <w:szCs w:val="21"/>
              </w:rPr>
              <w:t>/</w:t>
            </w:r>
          </w:p>
        </w:tc>
        <w:tc>
          <w:tcPr>
            <w:tcW w:w="547" w:type="pct"/>
            <w:shd w:val="clear" w:color="auto" w:fill="auto"/>
            <w:vAlign w:val="center"/>
          </w:tcPr>
          <w:p>
            <w:pPr>
              <w:widowControl/>
              <w:jc w:val="center"/>
              <w:rPr>
                <w:szCs w:val="21"/>
              </w:rPr>
            </w:pPr>
            <w:r>
              <w:rPr>
                <w:rFonts w:hint="eastAsia"/>
                <w:szCs w:val="21"/>
              </w:rPr>
              <w:t>0</w:t>
            </w:r>
          </w:p>
        </w:tc>
        <w:tc>
          <w:tcPr>
            <w:tcW w:w="417" w:type="pct"/>
            <w:shd w:val="clear" w:color="auto" w:fill="auto"/>
            <w:vAlign w:val="center"/>
          </w:tcPr>
          <w:p>
            <w:pPr>
              <w:widowControl/>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7" w:type="pct"/>
            <w:gridSpan w:val="2"/>
            <w:shd w:val="clear" w:color="auto" w:fill="auto"/>
            <w:vAlign w:val="center"/>
          </w:tcPr>
          <w:p>
            <w:pPr>
              <w:widowControl/>
              <w:jc w:val="center"/>
              <w:rPr>
                <w:rFonts w:ascii="宋体" w:hAnsi="宋体" w:cs="宋体"/>
                <w:szCs w:val="21"/>
              </w:rPr>
            </w:pPr>
            <w:r>
              <w:rPr>
                <w:rFonts w:ascii="宋体" w:hAnsi="宋体" w:cs="宋体"/>
                <w:szCs w:val="21"/>
              </w:rPr>
              <w:t>最大超标倍数</w:t>
            </w:r>
          </w:p>
        </w:tc>
        <w:tc>
          <w:tcPr>
            <w:tcW w:w="388" w:type="pct"/>
            <w:shd w:val="clear" w:color="auto" w:fill="auto"/>
            <w:vAlign w:val="center"/>
          </w:tcPr>
          <w:p>
            <w:pPr>
              <w:widowControl/>
              <w:jc w:val="center"/>
              <w:textAlignment w:val="center"/>
              <w:rPr>
                <w:rFonts w:ascii="宋体" w:hAnsi="宋体" w:cs="宋体"/>
                <w:szCs w:val="21"/>
                <w:highlight w:val="yellow"/>
              </w:rPr>
            </w:pPr>
            <w:r>
              <w:rPr>
                <w:rFonts w:hint="eastAsia" w:ascii="宋体" w:hAnsi="宋体" w:cs="宋体"/>
                <w:szCs w:val="21"/>
              </w:rPr>
              <w:t>0</w:t>
            </w:r>
          </w:p>
        </w:tc>
        <w:tc>
          <w:tcPr>
            <w:tcW w:w="360" w:type="pct"/>
            <w:shd w:val="clear" w:color="auto" w:fill="auto"/>
            <w:vAlign w:val="center"/>
          </w:tcPr>
          <w:p>
            <w:pPr>
              <w:widowControl/>
              <w:jc w:val="center"/>
              <w:textAlignment w:val="center"/>
              <w:rPr>
                <w:kern w:val="0"/>
                <w:szCs w:val="21"/>
                <w:highlight w:val="yellow"/>
                <w:lang w:bidi="ar"/>
              </w:rPr>
            </w:pPr>
            <w:r>
              <w:rPr>
                <w:rFonts w:hint="eastAsia" w:ascii="宋体" w:hAnsi="宋体" w:cs="宋体"/>
                <w:szCs w:val="21"/>
              </w:rPr>
              <w:t>0</w:t>
            </w:r>
          </w:p>
        </w:tc>
        <w:tc>
          <w:tcPr>
            <w:tcW w:w="322" w:type="pct"/>
            <w:shd w:val="clear" w:color="auto" w:fill="auto"/>
            <w:vAlign w:val="center"/>
          </w:tcPr>
          <w:p>
            <w:pPr>
              <w:widowControl/>
              <w:snapToGrid w:val="0"/>
              <w:jc w:val="center"/>
              <w:rPr>
                <w:rFonts w:ascii="宋体" w:hAnsi="宋体" w:cs="宋体"/>
                <w:szCs w:val="21"/>
                <w:highlight w:val="yellow"/>
              </w:rPr>
            </w:pPr>
            <w:r>
              <w:rPr>
                <w:rFonts w:hint="eastAsia" w:ascii="宋体" w:hAnsi="宋体" w:cs="宋体"/>
                <w:szCs w:val="21"/>
              </w:rPr>
              <w:t>0</w:t>
            </w:r>
          </w:p>
        </w:tc>
        <w:tc>
          <w:tcPr>
            <w:tcW w:w="322" w:type="pct"/>
            <w:shd w:val="clear" w:color="auto" w:fill="auto"/>
            <w:vAlign w:val="center"/>
          </w:tcPr>
          <w:p>
            <w:pPr>
              <w:widowControl/>
              <w:jc w:val="center"/>
              <w:textAlignment w:val="center"/>
              <w:rPr>
                <w:rFonts w:ascii="宋体" w:hAnsi="宋体" w:cs="宋体"/>
                <w:szCs w:val="21"/>
                <w:highlight w:val="yellow"/>
              </w:rPr>
            </w:pPr>
            <w:r>
              <w:rPr>
                <w:rFonts w:hint="eastAsia" w:ascii="宋体" w:hAnsi="宋体" w:cs="宋体"/>
                <w:szCs w:val="21"/>
              </w:rPr>
              <w:t>0</w:t>
            </w:r>
          </w:p>
        </w:tc>
        <w:tc>
          <w:tcPr>
            <w:tcW w:w="322" w:type="pct"/>
            <w:shd w:val="clear" w:color="auto" w:fill="auto"/>
            <w:vAlign w:val="center"/>
          </w:tcPr>
          <w:p>
            <w:pPr>
              <w:widowControl/>
              <w:jc w:val="center"/>
              <w:textAlignment w:val="center"/>
              <w:rPr>
                <w:rFonts w:ascii="宋体" w:hAnsi="宋体" w:cs="宋体"/>
                <w:szCs w:val="21"/>
                <w:highlight w:val="yellow"/>
              </w:rPr>
            </w:pPr>
            <w:r>
              <w:rPr>
                <w:rFonts w:hint="eastAsia" w:ascii="宋体" w:hAnsi="宋体" w:cs="宋体"/>
                <w:szCs w:val="21"/>
              </w:rPr>
              <w:t>0</w:t>
            </w:r>
          </w:p>
        </w:tc>
        <w:tc>
          <w:tcPr>
            <w:tcW w:w="322" w:type="pct"/>
            <w:shd w:val="clear" w:color="auto" w:fill="auto"/>
            <w:vAlign w:val="center"/>
          </w:tcPr>
          <w:p>
            <w:pPr>
              <w:widowControl/>
              <w:jc w:val="center"/>
              <w:textAlignment w:val="center"/>
              <w:rPr>
                <w:kern w:val="0"/>
                <w:szCs w:val="21"/>
                <w:highlight w:val="yellow"/>
                <w:lang w:bidi="ar"/>
              </w:rPr>
            </w:pPr>
            <w:r>
              <w:rPr>
                <w:rFonts w:hint="eastAsia" w:ascii="宋体" w:hAnsi="宋体" w:cs="宋体"/>
                <w:szCs w:val="21"/>
              </w:rPr>
              <w:t>0</w:t>
            </w:r>
          </w:p>
        </w:tc>
        <w:tc>
          <w:tcPr>
            <w:tcW w:w="410" w:type="pct"/>
            <w:shd w:val="clear" w:color="auto" w:fill="auto"/>
            <w:vAlign w:val="center"/>
          </w:tcPr>
          <w:p>
            <w:pPr>
              <w:widowControl/>
              <w:jc w:val="center"/>
              <w:rPr>
                <w:szCs w:val="21"/>
                <w:highlight w:val="yellow"/>
              </w:rPr>
            </w:pPr>
            <w:r>
              <w:rPr>
                <w:rFonts w:hint="eastAsia" w:ascii="宋体" w:hAnsi="宋体" w:cs="宋体"/>
                <w:szCs w:val="21"/>
              </w:rPr>
              <w:t>0</w:t>
            </w:r>
          </w:p>
        </w:tc>
        <w:tc>
          <w:tcPr>
            <w:tcW w:w="693" w:type="pct"/>
            <w:shd w:val="clear" w:color="auto" w:fill="auto"/>
            <w:vAlign w:val="center"/>
          </w:tcPr>
          <w:p>
            <w:pPr>
              <w:widowControl/>
              <w:jc w:val="center"/>
              <w:textAlignment w:val="center"/>
              <w:rPr>
                <w:rFonts w:eastAsia="等线"/>
                <w:szCs w:val="21"/>
              </w:rPr>
            </w:pPr>
            <w:r>
              <w:rPr>
                <w:rFonts w:hint="eastAsia" w:eastAsia="等线"/>
                <w:szCs w:val="21"/>
              </w:rPr>
              <w:t>/</w:t>
            </w:r>
          </w:p>
        </w:tc>
        <w:tc>
          <w:tcPr>
            <w:tcW w:w="547" w:type="pct"/>
            <w:shd w:val="clear" w:color="auto" w:fill="auto"/>
            <w:vAlign w:val="center"/>
          </w:tcPr>
          <w:p>
            <w:pPr>
              <w:widowControl/>
              <w:jc w:val="center"/>
              <w:rPr>
                <w:rFonts w:ascii="宋体" w:hAnsi="宋体" w:cs="宋体"/>
                <w:szCs w:val="21"/>
              </w:rPr>
            </w:pPr>
            <w:r>
              <w:rPr>
                <w:rFonts w:hint="eastAsia" w:ascii="宋体" w:hAnsi="宋体" w:cs="宋体"/>
                <w:szCs w:val="21"/>
              </w:rPr>
              <w:t>0</w:t>
            </w:r>
          </w:p>
        </w:tc>
        <w:tc>
          <w:tcPr>
            <w:tcW w:w="417" w:type="pct"/>
            <w:shd w:val="clear" w:color="auto" w:fill="auto"/>
            <w:vAlign w:val="center"/>
          </w:tcPr>
          <w:p>
            <w:pPr>
              <w:widowControl/>
              <w:jc w:val="center"/>
              <w:rPr>
                <w:rFonts w:eastAsia="等线"/>
                <w:szCs w:val="21"/>
              </w:rPr>
            </w:pPr>
            <w:r>
              <w:rPr>
                <w:rFonts w:hint="eastAsia" w:eastAsia="等线"/>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7" w:type="pct"/>
            <w:gridSpan w:val="2"/>
            <w:shd w:val="clear" w:color="auto" w:fill="auto"/>
            <w:vAlign w:val="center"/>
          </w:tcPr>
          <w:p>
            <w:pPr>
              <w:widowControl/>
              <w:jc w:val="center"/>
              <w:rPr>
                <w:rFonts w:ascii="宋体" w:hAnsi="宋体" w:cs="宋体"/>
                <w:szCs w:val="21"/>
              </w:rPr>
            </w:pPr>
            <w:r>
              <w:rPr>
                <w:rFonts w:hint="eastAsia" w:ascii="宋体" w:hAnsi="宋体" w:cs="宋体"/>
                <w:szCs w:val="21"/>
              </w:rPr>
              <w:t>达标情况</w:t>
            </w:r>
          </w:p>
        </w:tc>
        <w:tc>
          <w:tcPr>
            <w:tcW w:w="388" w:type="pct"/>
            <w:shd w:val="clear" w:color="auto" w:fill="auto"/>
            <w:vAlign w:val="center"/>
          </w:tcPr>
          <w:p>
            <w:pPr>
              <w:widowControl/>
              <w:jc w:val="center"/>
              <w:textAlignment w:val="center"/>
              <w:rPr>
                <w:rFonts w:ascii="宋体" w:hAnsi="宋体" w:cs="宋体"/>
                <w:szCs w:val="21"/>
              </w:rPr>
            </w:pPr>
            <w:r>
              <w:rPr>
                <w:rFonts w:hint="eastAsia"/>
                <w:szCs w:val="21"/>
              </w:rPr>
              <w:t>达标</w:t>
            </w:r>
          </w:p>
        </w:tc>
        <w:tc>
          <w:tcPr>
            <w:tcW w:w="360" w:type="pct"/>
            <w:shd w:val="clear" w:color="auto" w:fill="auto"/>
            <w:vAlign w:val="center"/>
          </w:tcPr>
          <w:p>
            <w:pPr>
              <w:widowControl/>
              <w:jc w:val="center"/>
              <w:textAlignment w:val="center"/>
              <w:rPr>
                <w:kern w:val="0"/>
                <w:szCs w:val="21"/>
                <w:lang w:bidi="ar"/>
              </w:rPr>
            </w:pPr>
            <w:r>
              <w:rPr>
                <w:rFonts w:hint="eastAsia"/>
                <w:szCs w:val="21"/>
              </w:rPr>
              <w:t>达标</w:t>
            </w:r>
          </w:p>
        </w:tc>
        <w:tc>
          <w:tcPr>
            <w:tcW w:w="322" w:type="pct"/>
            <w:shd w:val="clear" w:color="auto" w:fill="auto"/>
            <w:vAlign w:val="center"/>
          </w:tcPr>
          <w:p>
            <w:pPr>
              <w:widowControl/>
              <w:snapToGrid w:val="0"/>
              <w:jc w:val="center"/>
              <w:rPr>
                <w:rFonts w:ascii="宋体" w:hAnsi="宋体" w:cs="宋体"/>
                <w:szCs w:val="21"/>
              </w:rPr>
            </w:pPr>
            <w:r>
              <w:rPr>
                <w:rFonts w:hint="eastAsia"/>
                <w:szCs w:val="21"/>
              </w:rPr>
              <w:t>达标</w:t>
            </w:r>
          </w:p>
        </w:tc>
        <w:tc>
          <w:tcPr>
            <w:tcW w:w="322" w:type="pct"/>
            <w:shd w:val="clear" w:color="auto" w:fill="auto"/>
            <w:vAlign w:val="center"/>
          </w:tcPr>
          <w:p>
            <w:pPr>
              <w:widowControl/>
              <w:jc w:val="center"/>
              <w:textAlignment w:val="center"/>
              <w:rPr>
                <w:rFonts w:ascii="宋体" w:hAnsi="宋体" w:cs="宋体"/>
                <w:szCs w:val="21"/>
              </w:rPr>
            </w:pPr>
            <w:r>
              <w:rPr>
                <w:rFonts w:hint="eastAsia"/>
                <w:szCs w:val="21"/>
              </w:rPr>
              <w:t>达标</w:t>
            </w:r>
          </w:p>
        </w:tc>
        <w:tc>
          <w:tcPr>
            <w:tcW w:w="322" w:type="pct"/>
            <w:shd w:val="clear" w:color="auto" w:fill="auto"/>
            <w:vAlign w:val="center"/>
          </w:tcPr>
          <w:p>
            <w:pPr>
              <w:widowControl/>
              <w:jc w:val="center"/>
              <w:textAlignment w:val="center"/>
              <w:rPr>
                <w:rFonts w:ascii="宋体" w:hAnsi="宋体" w:cs="宋体"/>
                <w:szCs w:val="21"/>
              </w:rPr>
            </w:pPr>
            <w:r>
              <w:rPr>
                <w:rFonts w:hint="eastAsia"/>
                <w:szCs w:val="21"/>
              </w:rPr>
              <w:t>达标</w:t>
            </w:r>
          </w:p>
        </w:tc>
        <w:tc>
          <w:tcPr>
            <w:tcW w:w="322" w:type="pct"/>
            <w:shd w:val="clear" w:color="auto" w:fill="auto"/>
            <w:vAlign w:val="center"/>
          </w:tcPr>
          <w:p>
            <w:pPr>
              <w:widowControl/>
              <w:jc w:val="center"/>
              <w:textAlignment w:val="center"/>
              <w:rPr>
                <w:kern w:val="0"/>
                <w:szCs w:val="21"/>
                <w:lang w:bidi="ar"/>
              </w:rPr>
            </w:pPr>
            <w:r>
              <w:rPr>
                <w:rFonts w:hint="eastAsia"/>
                <w:szCs w:val="21"/>
              </w:rPr>
              <w:t>达标</w:t>
            </w:r>
          </w:p>
        </w:tc>
        <w:tc>
          <w:tcPr>
            <w:tcW w:w="410" w:type="pct"/>
            <w:shd w:val="clear" w:color="auto" w:fill="auto"/>
            <w:vAlign w:val="center"/>
          </w:tcPr>
          <w:p>
            <w:pPr>
              <w:widowControl/>
              <w:jc w:val="center"/>
              <w:rPr>
                <w:szCs w:val="21"/>
              </w:rPr>
            </w:pPr>
            <w:r>
              <w:rPr>
                <w:rFonts w:hint="eastAsia"/>
                <w:szCs w:val="21"/>
              </w:rPr>
              <w:t>达标</w:t>
            </w:r>
          </w:p>
        </w:tc>
        <w:tc>
          <w:tcPr>
            <w:tcW w:w="693" w:type="pct"/>
            <w:shd w:val="clear" w:color="auto" w:fill="auto"/>
            <w:vAlign w:val="center"/>
          </w:tcPr>
          <w:p>
            <w:pPr>
              <w:widowControl/>
              <w:jc w:val="center"/>
              <w:textAlignment w:val="center"/>
              <w:rPr>
                <w:rFonts w:eastAsia="Times New Roman"/>
                <w:szCs w:val="21"/>
              </w:rPr>
            </w:pPr>
            <w:r>
              <w:rPr>
                <w:rFonts w:hint="eastAsia"/>
                <w:szCs w:val="21"/>
              </w:rPr>
              <w:t>/</w:t>
            </w:r>
          </w:p>
        </w:tc>
        <w:tc>
          <w:tcPr>
            <w:tcW w:w="547" w:type="pct"/>
            <w:shd w:val="clear" w:color="auto" w:fill="auto"/>
            <w:vAlign w:val="center"/>
          </w:tcPr>
          <w:p>
            <w:pPr>
              <w:widowControl/>
              <w:jc w:val="center"/>
              <w:rPr>
                <w:rFonts w:ascii="宋体" w:hAnsi="宋体" w:cs="宋体"/>
                <w:szCs w:val="21"/>
              </w:rPr>
            </w:pPr>
            <w:r>
              <w:rPr>
                <w:rFonts w:hint="eastAsia"/>
                <w:szCs w:val="21"/>
              </w:rPr>
              <w:t>达标</w:t>
            </w:r>
          </w:p>
        </w:tc>
        <w:tc>
          <w:tcPr>
            <w:tcW w:w="417" w:type="pct"/>
            <w:shd w:val="clear" w:color="auto" w:fill="auto"/>
            <w:vAlign w:val="center"/>
          </w:tcPr>
          <w:p>
            <w:pPr>
              <w:widowControl/>
              <w:jc w:val="center"/>
              <w:rPr>
                <w:rFonts w:eastAsia="Times New Roman"/>
                <w:szCs w:val="21"/>
              </w:rPr>
            </w:pPr>
            <w:r>
              <w:rPr>
                <w:rFonts w:hint="eastAsia"/>
                <w:szCs w:val="21"/>
              </w:rPr>
              <w:t>达标</w:t>
            </w:r>
          </w:p>
        </w:tc>
      </w:tr>
    </w:tbl>
    <w:p>
      <w:pPr>
        <w:spacing w:line="520" w:lineRule="exact"/>
        <w:ind w:firstLine="480" w:firstLineChars="200"/>
        <w:rPr>
          <w:sz w:val="24"/>
          <w:szCs w:val="24"/>
        </w:rPr>
      </w:pPr>
      <w:r>
        <w:rPr>
          <w:sz w:val="24"/>
          <w:szCs w:val="24"/>
        </w:rPr>
        <w:t>由上表可知，各监测点的pH、氨氮、硝酸盐、亚硝酸盐、挥发性酚类、氰化物、总硬度、耗氧量、溶解性总固体、总大肠菌群、菌落总数、</w:t>
      </w:r>
      <w:r>
        <w:rPr>
          <w:rFonts w:hint="eastAsia"/>
          <w:sz w:val="24"/>
          <w:szCs w:val="24"/>
        </w:rPr>
        <w:t>硫化物、</w:t>
      </w:r>
      <w:r>
        <w:rPr>
          <w:sz w:val="24"/>
          <w:szCs w:val="24"/>
        </w:rPr>
        <w:t>氟化物、铬（六价）、铅、镉、砷、汞、铁、锰</w:t>
      </w:r>
      <w:r>
        <w:rPr>
          <w:rFonts w:hint="eastAsia"/>
          <w:sz w:val="24"/>
          <w:szCs w:val="24"/>
        </w:rPr>
        <w:t>、可萃取石油烃</w:t>
      </w:r>
      <w:r>
        <w:rPr>
          <w:sz w:val="24"/>
          <w:szCs w:val="24"/>
        </w:rPr>
        <w:t>等监测值均可以满足《地下水质量标准》（GB/T14848-2017）III类标准要求。</w:t>
      </w:r>
    </w:p>
    <w:p>
      <w:pPr>
        <w:spacing w:line="360" w:lineRule="auto"/>
        <w:ind w:firstLine="480" w:firstLineChars="200"/>
        <w:rPr>
          <w:sz w:val="24"/>
          <w:szCs w:val="24"/>
          <w:highlight w:val="yellow"/>
        </w:rPr>
        <w:sectPr>
          <w:pgSz w:w="16838" w:h="11906" w:orient="landscape"/>
          <w:pgMar w:top="1588" w:right="1701" w:bottom="1588" w:left="1701" w:header="851" w:footer="1134" w:gutter="0"/>
          <w:cols w:space="720" w:num="1"/>
          <w:docGrid w:type="lines" w:linePitch="312" w:charSpace="0"/>
        </w:sectPr>
      </w:pPr>
    </w:p>
    <w:p>
      <w:pPr>
        <w:keepNext/>
        <w:keepLines/>
        <w:spacing w:line="520" w:lineRule="exact"/>
        <w:outlineLvl w:val="2"/>
        <w:rPr>
          <w:rFonts w:eastAsia="黑体"/>
          <w:bCs/>
          <w:sz w:val="28"/>
          <w:szCs w:val="28"/>
        </w:rPr>
      </w:pPr>
      <w:r>
        <w:rPr>
          <w:rFonts w:eastAsia="黑体"/>
          <w:bCs/>
          <w:sz w:val="28"/>
          <w:szCs w:val="28"/>
        </w:rPr>
        <w:t>4.3.5 土壤质量现状监测与评价</w:t>
      </w:r>
    </w:p>
    <w:p>
      <w:pPr>
        <w:spacing w:line="520" w:lineRule="exact"/>
        <w:outlineLvl w:val="3"/>
        <w:rPr>
          <w:sz w:val="24"/>
          <w:szCs w:val="24"/>
        </w:rPr>
      </w:pPr>
      <w:r>
        <w:rPr>
          <w:sz w:val="24"/>
          <w:szCs w:val="24"/>
        </w:rPr>
        <w:t>4.3.5.1 监测点位及监测因子</w:t>
      </w:r>
    </w:p>
    <w:p>
      <w:pPr>
        <w:spacing w:line="520" w:lineRule="exact"/>
        <w:ind w:firstLine="480" w:firstLineChars="200"/>
        <w:rPr>
          <w:sz w:val="24"/>
          <w:szCs w:val="24"/>
        </w:rPr>
      </w:pPr>
      <w:r>
        <w:rPr>
          <w:rFonts w:hint="eastAsia"/>
          <w:sz w:val="24"/>
          <w:szCs w:val="24"/>
        </w:rPr>
        <w:t>河南羽佳金门实业</w:t>
      </w:r>
      <w:r>
        <w:rPr>
          <w:sz w:val="24"/>
          <w:szCs w:val="24"/>
        </w:rPr>
        <w:t>有限公司委托河南永飞检测科技有限公司对于2023年7月1日项目厂区</w:t>
      </w:r>
      <w:r>
        <w:rPr>
          <w:rFonts w:hint="eastAsia"/>
          <w:sz w:val="24"/>
          <w:szCs w:val="24"/>
        </w:rPr>
        <w:t>内外</w:t>
      </w:r>
      <w:r>
        <w:rPr>
          <w:sz w:val="24"/>
          <w:szCs w:val="24"/>
        </w:rPr>
        <w:t>土壤进行了取样检测。考虑项目的评价等级、工程特点及区域土壤环境现状，评价共设置6个监测点位。土壤监测点位及监测因子情况见表4.3-15。</w:t>
      </w:r>
    </w:p>
    <w:p>
      <w:pPr>
        <w:spacing w:line="360" w:lineRule="auto"/>
        <w:ind w:firstLine="480" w:firstLineChars="200"/>
        <w:rPr>
          <w:rFonts w:eastAsia="黑体"/>
          <w:sz w:val="24"/>
          <w:szCs w:val="24"/>
        </w:rPr>
      </w:pPr>
      <w:r>
        <w:rPr>
          <w:rFonts w:eastAsia="黑体"/>
          <w:sz w:val="24"/>
          <w:szCs w:val="24"/>
        </w:rPr>
        <w:t>表4.3-15        土壤监测点位及监测因子情况一览表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76"/>
        <w:gridCol w:w="426"/>
        <w:gridCol w:w="1417"/>
        <w:gridCol w:w="4112"/>
        <w:gridCol w:w="231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8" w:type="pct"/>
            <w:vAlign w:val="center"/>
          </w:tcPr>
          <w:p>
            <w:pPr>
              <w:jc w:val="center"/>
              <w:rPr>
                <w:b/>
                <w:bCs/>
                <w:szCs w:val="21"/>
              </w:rPr>
            </w:pPr>
            <w:r>
              <w:rPr>
                <w:b/>
                <w:bCs/>
                <w:szCs w:val="21"/>
              </w:rPr>
              <w:t>序号</w:t>
            </w:r>
          </w:p>
        </w:tc>
        <w:tc>
          <w:tcPr>
            <w:tcW w:w="1030" w:type="pct"/>
            <w:gridSpan w:val="2"/>
            <w:vAlign w:val="center"/>
          </w:tcPr>
          <w:p>
            <w:pPr>
              <w:jc w:val="center"/>
              <w:rPr>
                <w:b/>
                <w:bCs/>
                <w:szCs w:val="21"/>
              </w:rPr>
            </w:pPr>
            <w:r>
              <w:rPr>
                <w:b/>
                <w:bCs/>
                <w:szCs w:val="21"/>
              </w:rPr>
              <w:t>监测点</w:t>
            </w:r>
          </w:p>
        </w:tc>
        <w:tc>
          <w:tcPr>
            <w:tcW w:w="2298" w:type="pct"/>
            <w:vAlign w:val="center"/>
          </w:tcPr>
          <w:p>
            <w:pPr>
              <w:jc w:val="center"/>
              <w:rPr>
                <w:b/>
                <w:bCs/>
                <w:szCs w:val="21"/>
              </w:rPr>
            </w:pPr>
            <w:r>
              <w:rPr>
                <w:b/>
                <w:bCs/>
                <w:szCs w:val="21"/>
              </w:rPr>
              <w:t>监测因子</w:t>
            </w:r>
          </w:p>
        </w:tc>
        <w:tc>
          <w:tcPr>
            <w:tcW w:w="1294" w:type="pct"/>
            <w:vAlign w:val="center"/>
          </w:tcPr>
          <w:p>
            <w:pPr>
              <w:jc w:val="center"/>
              <w:rPr>
                <w:b/>
                <w:bCs/>
                <w:szCs w:val="21"/>
              </w:rPr>
            </w:pPr>
            <w:r>
              <w:rPr>
                <w:b/>
                <w:bCs/>
                <w:szCs w:val="21"/>
              </w:rPr>
              <w:t>采样深度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8" w:type="pct"/>
            <w:vMerge w:val="restart"/>
            <w:vAlign w:val="center"/>
          </w:tcPr>
          <w:p>
            <w:pPr>
              <w:jc w:val="center"/>
              <w:rPr>
                <w:szCs w:val="21"/>
              </w:rPr>
            </w:pPr>
            <w:r>
              <w:rPr>
                <w:szCs w:val="21"/>
              </w:rPr>
              <w:t>1</w:t>
            </w:r>
          </w:p>
        </w:tc>
        <w:tc>
          <w:tcPr>
            <w:tcW w:w="238" w:type="pct"/>
            <w:vMerge w:val="restart"/>
            <w:vAlign w:val="center"/>
          </w:tcPr>
          <w:p>
            <w:pPr>
              <w:jc w:val="center"/>
              <w:rPr>
                <w:szCs w:val="21"/>
              </w:rPr>
            </w:pPr>
            <w:r>
              <w:rPr>
                <w:szCs w:val="21"/>
              </w:rPr>
              <w:t>厂区内</w:t>
            </w:r>
          </w:p>
        </w:tc>
        <w:tc>
          <w:tcPr>
            <w:tcW w:w="792" w:type="pct"/>
            <w:vMerge w:val="restart"/>
            <w:vAlign w:val="center"/>
          </w:tcPr>
          <w:p>
            <w:pPr>
              <w:jc w:val="center"/>
              <w:rPr>
                <w:szCs w:val="21"/>
              </w:rPr>
            </w:pPr>
            <w:r>
              <w:rPr>
                <w:rFonts w:hint="eastAsia"/>
                <w:szCs w:val="21"/>
              </w:rPr>
              <w:t>污水处理站处</w:t>
            </w:r>
          </w:p>
        </w:tc>
        <w:tc>
          <w:tcPr>
            <w:tcW w:w="2298" w:type="pct"/>
            <w:vMerge w:val="restart"/>
            <w:vAlign w:val="center"/>
          </w:tcPr>
          <w:p>
            <w:pPr>
              <w:jc w:val="center"/>
              <w:rPr>
                <w:szCs w:val="21"/>
              </w:rPr>
            </w:pPr>
            <w:r>
              <w:rPr>
                <w:szCs w:val="21"/>
              </w:rPr>
              <w:t>pH值、砷、镉、六价铬、铜、铅、汞、镍、四氯化碳、氯仿、氯甲烷、1,1-二氯乙烷、1,2-二氯乙烷、1,1-二氯乙烯、顺1,2-二氯乙烯、反-1,2-二氯乙烯、二氯甲烷、1,2-二氯甲烷、1,1,1,2-四氯乙烷、1,1,2,2-四氯乙烷、四氯乙烯、1,1,1-三氯乙烷、1,1,2-三氯乙烷、三氯乙烯、1,2,3-三氯丙烷、氯乙烯、苯、氯苯、1,2-二氯苯、1,4-二氯苯、乙苯、苯乙烯、甲苯、间+对-二甲苯、邻二甲苯、硝基苯、苯胺、2-氯酚、苯并[a]蒽、苯并[a]芘、苯并[b]荧蒽、苯并[k]荧蒽、䓛、二苯并[a，h]蒽、茚并[1,2,3-cd]芘、萘</w:t>
            </w:r>
            <w:r>
              <w:rPr>
                <w:rFonts w:hint="eastAsia"/>
                <w:szCs w:val="21"/>
              </w:rPr>
              <w:t>、石油烃</w:t>
            </w:r>
          </w:p>
        </w:tc>
        <w:tc>
          <w:tcPr>
            <w:tcW w:w="1294" w:type="pct"/>
            <w:vAlign w:val="center"/>
          </w:tcPr>
          <w:p>
            <w:pPr>
              <w:jc w:val="center"/>
              <w:rPr>
                <w:szCs w:val="21"/>
              </w:rPr>
            </w:pPr>
            <w:r>
              <w:rPr>
                <w:szCs w:val="21"/>
              </w:rPr>
              <w:t>0-0.5m取1个样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8" w:type="pct"/>
            <w:vMerge w:val="continue"/>
            <w:vAlign w:val="center"/>
          </w:tcPr>
          <w:p>
            <w:pPr>
              <w:jc w:val="center"/>
              <w:rPr>
                <w:szCs w:val="21"/>
              </w:rPr>
            </w:pPr>
          </w:p>
        </w:tc>
        <w:tc>
          <w:tcPr>
            <w:tcW w:w="238" w:type="pct"/>
            <w:vMerge w:val="continue"/>
            <w:vAlign w:val="center"/>
          </w:tcPr>
          <w:p>
            <w:pPr>
              <w:jc w:val="center"/>
              <w:rPr>
                <w:szCs w:val="21"/>
              </w:rPr>
            </w:pPr>
          </w:p>
        </w:tc>
        <w:tc>
          <w:tcPr>
            <w:tcW w:w="792" w:type="pct"/>
            <w:vMerge w:val="continue"/>
            <w:vAlign w:val="center"/>
          </w:tcPr>
          <w:p>
            <w:pPr>
              <w:jc w:val="center"/>
              <w:rPr>
                <w:szCs w:val="21"/>
              </w:rPr>
            </w:pPr>
          </w:p>
        </w:tc>
        <w:tc>
          <w:tcPr>
            <w:tcW w:w="2298" w:type="pct"/>
            <w:vMerge w:val="continue"/>
            <w:vAlign w:val="center"/>
          </w:tcPr>
          <w:p>
            <w:pPr>
              <w:jc w:val="center"/>
              <w:rPr>
                <w:szCs w:val="21"/>
              </w:rPr>
            </w:pPr>
          </w:p>
        </w:tc>
        <w:tc>
          <w:tcPr>
            <w:tcW w:w="1294" w:type="pct"/>
            <w:vAlign w:val="center"/>
          </w:tcPr>
          <w:p>
            <w:pPr>
              <w:jc w:val="center"/>
              <w:rPr>
                <w:szCs w:val="21"/>
              </w:rPr>
            </w:pPr>
            <w:r>
              <w:rPr>
                <w:szCs w:val="21"/>
              </w:rPr>
              <w:t>0.5-1.5m取1个样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8" w:type="pct"/>
            <w:vMerge w:val="continue"/>
            <w:vAlign w:val="center"/>
          </w:tcPr>
          <w:p>
            <w:pPr>
              <w:jc w:val="center"/>
              <w:rPr>
                <w:szCs w:val="21"/>
              </w:rPr>
            </w:pPr>
          </w:p>
        </w:tc>
        <w:tc>
          <w:tcPr>
            <w:tcW w:w="238" w:type="pct"/>
            <w:vMerge w:val="continue"/>
            <w:vAlign w:val="center"/>
          </w:tcPr>
          <w:p>
            <w:pPr>
              <w:jc w:val="center"/>
              <w:rPr>
                <w:szCs w:val="21"/>
              </w:rPr>
            </w:pPr>
          </w:p>
        </w:tc>
        <w:tc>
          <w:tcPr>
            <w:tcW w:w="792" w:type="pct"/>
            <w:vMerge w:val="continue"/>
            <w:vAlign w:val="center"/>
          </w:tcPr>
          <w:p>
            <w:pPr>
              <w:jc w:val="center"/>
              <w:rPr>
                <w:szCs w:val="21"/>
              </w:rPr>
            </w:pPr>
          </w:p>
        </w:tc>
        <w:tc>
          <w:tcPr>
            <w:tcW w:w="2298" w:type="pct"/>
            <w:vMerge w:val="continue"/>
            <w:vAlign w:val="center"/>
          </w:tcPr>
          <w:p>
            <w:pPr>
              <w:jc w:val="center"/>
              <w:rPr>
                <w:szCs w:val="21"/>
              </w:rPr>
            </w:pPr>
          </w:p>
        </w:tc>
        <w:tc>
          <w:tcPr>
            <w:tcW w:w="1294" w:type="pct"/>
            <w:vAlign w:val="center"/>
          </w:tcPr>
          <w:p>
            <w:pPr>
              <w:jc w:val="center"/>
              <w:rPr>
                <w:szCs w:val="21"/>
              </w:rPr>
            </w:pPr>
            <w:r>
              <w:rPr>
                <w:szCs w:val="21"/>
              </w:rPr>
              <w:t>1.5-3m取1个样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8" w:type="pct"/>
            <w:vAlign w:val="center"/>
          </w:tcPr>
          <w:p>
            <w:pPr>
              <w:jc w:val="center"/>
              <w:rPr>
                <w:szCs w:val="21"/>
              </w:rPr>
            </w:pPr>
            <w:r>
              <w:rPr>
                <w:szCs w:val="21"/>
              </w:rPr>
              <w:t>2</w:t>
            </w:r>
          </w:p>
        </w:tc>
        <w:tc>
          <w:tcPr>
            <w:tcW w:w="238" w:type="pct"/>
            <w:vMerge w:val="continue"/>
            <w:vAlign w:val="center"/>
          </w:tcPr>
          <w:p>
            <w:pPr>
              <w:jc w:val="center"/>
              <w:rPr>
                <w:szCs w:val="21"/>
              </w:rPr>
            </w:pPr>
          </w:p>
        </w:tc>
        <w:tc>
          <w:tcPr>
            <w:tcW w:w="792" w:type="pct"/>
            <w:vAlign w:val="center"/>
          </w:tcPr>
          <w:p>
            <w:pPr>
              <w:jc w:val="center"/>
              <w:rPr>
                <w:szCs w:val="21"/>
              </w:rPr>
            </w:pPr>
            <w:r>
              <w:rPr>
                <w:rFonts w:hint="eastAsia"/>
                <w:szCs w:val="21"/>
              </w:rPr>
              <w:t>厂区西南角空地附近</w:t>
            </w:r>
          </w:p>
        </w:tc>
        <w:tc>
          <w:tcPr>
            <w:tcW w:w="2298" w:type="pct"/>
            <w:vMerge w:val="continue"/>
            <w:vAlign w:val="center"/>
          </w:tcPr>
          <w:p>
            <w:pPr>
              <w:jc w:val="center"/>
              <w:rPr>
                <w:szCs w:val="21"/>
              </w:rPr>
            </w:pPr>
          </w:p>
        </w:tc>
        <w:tc>
          <w:tcPr>
            <w:tcW w:w="1294" w:type="pct"/>
            <w:vAlign w:val="center"/>
          </w:tcPr>
          <w:p>
            <w:pPr>
              <w:jc w:val="center"/>
              <w:rPr>
                <w:szCs w:val="21"/>
              </w:rPr>
            </w:pPr>
            <w:r>
              <w:rPr>
                <w:szCs w:val="21"/>
              </w:rPr>
              <w:t>0-0.2m取1个样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8" w:type="pct"/>
            <w:vMerge w:val="restart"/>
            <w:vAlign w:val="center"/>
          </w:tcPr>
          <w:p>
            <w:pPr>
              <w:jc w:val="center"/>
              <w:rPr>
                <w:szCs w:val="21"/>
              </w:rPr>
            </w:pPr>
            <w:r>
              <w:rPr>
                <w:szCs w:val="21"/>
              </w:rPr>
              <w:t>3</w:t>
            </w:r>
          </w:p>
        </w:tc>
        <w:tc>
          <w:tcPr>
            <w:tcW w:w="238" w:type="pct"/>
            <w:vMerge w:val="continue"/>
            <w:vAlign w:val="center"/>
          </w:tcPr>
          <w:p>
            <w:pPr>
              <w:jc w:val="center"/>
              <w:rPr>
                <w:szCs w:val="21"/>
              </w:rPr>
            </w:pPr>
          </w:p>
        </w:tc>
        <w:tc>
          <w:tcPr>
            <w:tcW w:w="792" w:type="pct"/>
            <w:vMerge w:val="restart"/>
            <w:vAlign w:val="center"/>
          </w:tcPr>
          <w:p>
            <w:pPr>
              <w:jc w:val="center"/>
              <w:rPr>
                <w:szCs w:val="21"/>
              </w:rPr>
            </w:pPr>
            <w:r>
              <w:rPr>
                <w:rFonts w:hint="eastAsia"/>
                <w:szCs w:val="21"/>
              </w:rPr>
              <w:t>厂区东侧空地</w:t>
            </w:r>
          </w:p>
        </w:tc>
        <w:tc>
          <w:tcPr>
            <w:tcW w:w="2298" w:type="pct"/>
            <w:vMerge w:val="restart"/>
            <w:vAlign w:val="center"/>
          </w:tcPr>
          <w:p>
            <w:pPr>
              <w:jc w:val="center"/>
              <w:rPr>
                <w:szCs w:val="21"/>
              </w:rPr>
            </w:pPr>
            <w:r>
              <w:rPr>
                <w:szCs w:val="21"/>
              </w:rPr>
              <w:t>pH值、</w:t>
            </w:r>
            <w:r>
              <w:rPr>
                <w:rFonts w:hint="eastAsia"/>
                <w:szCs w:val="21"/>
              </w:rPr>
              <w:t>石油烃</w:t>
            </w:r>
          </w:p>
        </w:tc>
        <w:tc>
          <w:tcPr>
            <w:tcW w:w="1294" w:type="pct"/>
            <w:vAlign w:val="center"/>
          </w:tcPr>
          <w:p>
            <w:pPr>
              <w:jc w:val="center"/>
              <w:rPr>
                <w:szCs w:val="21"/>
              </w:rPr>
            </w:pPr>
            <w:r>
              <w:rPr>
                <w:szCs w:val="21"/>
              </w:rPr>
              <w:t>0-0.5m取1个样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8" w:type="pct"/>
            <w:vMerge w:val="continue"/>
            <w:vAlign w:val="center"/>
          </w:tcPr>
          <w:p>
            <w:pPr>
              <w:jc w:val="center"/>
              <w:rPr>
                <w:szCs w:val="21"/>
              </w:rPr>
            </w:pPr>
          </w:p>
        </w:tc>
        <w:tc>
          <w:tcPr>
            <w:tcW w:w="238" w:type="pct"/>
            <w:vMerge w:val="continue"/>
            <w:vAlign w:val="center"/>
          </w:tcPr>
          <w:p>
            <w:pPr>
              <w:jc w:val="center"/>
              <w:rPr>
                <w:szCs w:val="21"/>
              </w:rPr>
            </w:pPr>
          </w:p>
        </w:tc>
        <w:tc>
          <w:tcPr>
            <w:tcW w:w="792" w:type="pct"/>
            <w:vMerge w:val="continue"/>
            <w:vAlign w:val="center"/>
          </w:tcPr>
          <w:p>
            <w:pPr>
              <w:jc w:val="center"/>
              <w:rPr>
                <w:szCs w:val="21"/>
              </w:rPr>
            </w:pPr>
          </w:p>
        </w:tc>
        <w:tc>
          <w:tcPr>
            <w:tcW w:w="2298" w:type="pct"/>
            <w:vMerge w:val="continue"/>
            <w:vAlign w:val="center"/>
          </w:tcPr>
          <w:p>
            <w:pPr>
              <w:jc w:val="center"/>
              <w:rPr>
                <w:szCs w:val="21"/>
              </w:rPr>
            </w:pPr>
          </w:p>
        </w:tc>
        <w:tc>
          <w:tcPr>
            <w:tcW w:w="1294" w:type="pct"/>
            <w:vAlign w:val="center"/>
          </w:tcPr>
          <w:p>
            <w:pPr>
              <w:jc w:val="center"/>
              <w:rPr>
                <w:szCs w:val="21"/>
              </w:rPr>
            </w:pPr>
            <w:r>
              <w:rPr>
                <w:szCs w:val="21"/>
              </w:rPr>
              <w:t>0.5-1.5m取1个样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8" w:type="pct"/>
            <w:vMerge w:val="continue"/>
            <w:vAlign w:val="center"/>
          </w:tcPr>
          <w:p>
            <w:pPr>
              <w:jc w:val="center"/>
              <w:rPr>
                <w:szCs w:val="21"/>
              </w:rPr>
            </w:pPr>
          </w:p>
        </w:tc>
        <w:tc>
          <w:tcPr>
            <w:tcW w:w="238" w:type="pct"/>
            <w:vMerge w:val="continue"/>
            <w:vAlign w:val="center"/>
          </w:tcPr>
          <w:p>
            <w:pPr>
              <w:jc w:val="center"/>
              <w:rPr>
                <w:szCs w:val="21"/>
              </w:rPr>
            </w:pPr>
          </w:p>
        </w:tc>
        <w:tc>
          <w:tcPr>
            <w:tcW w:w="792" w:type="pct"/>
            <w:vMerge w:val="continue"/>
            <w:vAlign w:val="center"/>
          </w:tcPr>
          <w:p>
            <w:pPr>
              <w:jc w:val="center"/>
              <w:rPr>
                <w:szCs w:val="21"/>
              </w:rPr>
            </w:pPr>
          </w:p>
        </w:tc>
        <w:tc>
          <w:tcPr>
            <w:tcW w:w="2298" w:type="pct"/>
            <w:vMerge w:val="continue"/>
            <w:vAlign w:val="center"/>
          </w:tcPr>
          <w:p>
            <w:pPr>
              <w:jc w:val="center"/>
              <w:rPr>
                <w:szCs w:val="21"/>
              </w:rPr>
            </w:pPr>
          </w:p>
        </w:tc>
        <w:tc>
          <w:tcPr>
            <w:tcW w:w="1294" w:type="pct"/>
            <w:vAlign w:val="center"/>
          </w:tcPr>
          <w:p>
            <w:pPr>
              <w:jc w:val="center"/>
              <w:rPr>
                <w:szCs w:val="21"/>
              </w:rPr>
            </w:pPr>
            <w:r>
              <w:rPr>
                <w:szCs w:val="21"/>
              </w:rPr>
              <w:t>1.5-3m取1个样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8" w:type="pct"/>
            <w:vMerge w:val="restart"/>
            <w:vAlign w:val="center"/>
          </w:tcPr>
          <w:p>
            <w:pPr>
              <w:jc w:val="center"/>
              <w:rPr>
                <w:szCs w:val="21"/>
              </w:rPr>
            </w:pPr>
            <w:r>
              <w:rPr>
                <w:rFonts w:hint="eastAsia"/>
                <w:szCs w:val="21"/>
              </w:rPr>
              <w:t>4</w:t>
            </w:r>
          </w:p>
        </w:tc>
        <w:tc>
          <w:tcPr>
            <w:tcW w:w="238" w:type="pct"/>
            <w:vMerge w:val="continue"/>
            <w:vAlign w:val="center"/>
          </w:tcPr>
          <w:p>
            <w:pPr>
              <w:jc w:val="center"/>
              <w:rPr>
                <w:szCs w:val="21"/>
              </w:rPr>
            </w:pPr>
          </w:p>
        </w:tc>
        <w:tc>
          <w:tcPr>
            <w:tcW w:w="792" w:type="pct"/>
            <w:vMerge w:val="restart"/>
            <w:vAlign w:val="center"/>
          </w:tcPr>
          <w:p>
            <w:pPr>
              <w:jc w:val="center"/>
              <w:rPr>
                <w:szCs w:val="21"/>
              </w:rPr>
            </w:pPr>
            <w:r>
              <w:rPr>
                <w:rFonts w:hint="eastAsia"/>
                <w:szCs w:val="21"/>
              </w:rPr>
              <w:t>厂区中心空地</w:t>
            </w:r>
          </w:p>
        </w:tc>
        <w:tc>
          <w:tcPr>
            <w:tcW w:w="2298" w:type="pct"/>
            <w:vMerge w:val="continue"/>
            <w:vAlign w:val="center"/>
          </w:tcPr>
          <w:p>
            <w:pPr>
              <w:jc w:val="center"/>
              <w:rPr>
                <w:szCs w:val="21"/>
              </w:rPr>
            </w:pPr>
          </w:p>
        </w:tc>
        <w:tc>
          <w:tcPr>
            <w:tcW w:w="1294" w:type="pct"/>
            <w:vAlign w:val="center"/>
          </w:tcPr>
          <w:p>
            <w:pPr>
              <w:jc w:val="center"/>
              <w:rPr>
                <w:szCs w:val="21"/>
              </w:rPr>
            </w:pPr>
            <w:r>
              <w:rPr>
                <w:szCs w:val="21"/>
              </w:rPr>
              <w:t>0-0.5m取1个样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8" w:type="pct"/>
            <w:vMerge w:val="continue"/>
            <w:vAlign w:val="center"/>
          </w:tcPr>
          <w:p>
            <w:pPr>
              <w:jc w:val="center"/>
              <w:rPr>
                <w:szCs w:val="21"/>
              </w:rPr>
            </w:pPr>
          </w:p>
        </w:tc>
        <w:tc>
          <w:tcPr>
            <w:tcW w:w="238" w:type="pct"/>
            <w:vMerge w:val="continue"/>
            <w:vAlign w:val="center"/>
          </w:tcPr>
          <w:p>
            <w:pPr>
              <w:jc w:val="center"/>
              <w:rPr>
                <w:szCs w:val="21"/>
              </w:rPr>
            </w:pPr>
          </w:p>
        </w:tc>
        <w:tc>
          <w:tcPr>
            <w:tcW w:w="792" w:type="pct"/>
            <w:vMerge w:val="continue"/>
            <w:vAlign w:val="center"/>
          </w:tcPr>
          <w:p>
            <w:pPr>
              <w:jc w:val="center"/>
              <w:rPr>
                <w:szCs w:val="21"/>
              </w:rPr>
            </w:pPr>
          </w:p>
        </w:tc>
        <w:tc>
          <w:tcPr>
            <w:tcW w:w="2298" w:type="pct"/>
            <w:vMerge w:val="continue"/>
            <w:vAlign w:val="center"/>
          </w:tcPr>
          <w:p>
            <w:pPr>
              <w:jc w:val="center"/>
              <w:rPr>
                <w:szCs w:val="21"/>
              </w:rPr>
            </w:pPr>
          </w:p>
        </w:tc>
        <w:tc>
          <w:tcPr>
            <w:tcW w:w="1294" w:type="pct"/>
            <w:vAlign w:val="center"/>
          </w:tcPr>
          <w:p>
            <w:pPr>
              <w:jc w:val="center"/>
              <w:rPr>
                <w:szCs w:val="21"/>
              </w:rPr>
            </w:pPr>
            <w:r>
              <w:rPr>
                <w:szCs w:val="21"/>
              </w:rPr>
              <w:t>0.5-1.5m取1个样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8" w:type="pct"/>
            <w:vMerge w:val="continue"/>
            <w:vAlign w:val="center"/>
          </w:tcPr>
          <w:p>
            <w:pPr>
              <w:jc w:val="center"/>
              <w:rPr>
                <w:szCs w:val="21"/>
              </w:rPr>
            </w:pPr>
          </w:p>
        </w:tc>
        <w:tc>
          <w:tcPr>
            <w:tcW w:w="238" w:type="pct"/>
            <w:vMerge w:val="continue"/>
            <w:vAlign w:val="center"/>
          </w:tcPr>
          <w:p>
            <w:pPr>
              <w:jc w:val="center"/>
              <w:rPr>
                <w:szCs w:val="21"/>
              </w:rPr>
            </w:pPr>
          </w:p>
        </w:tc>
        <w:tc>
          <w:tcPr>
            <w:tcW w:w="792" w:type="pct"/>
            <w:vMerge w:val="continue"/>
            <w:vAlign w:val="center"/>
          </w:tcPr>
          <w:p>
            <w:pPr>
              <w:jc w:val="center"/>
              <w:rPr>
                <w:szCs w:val="21"/>
              </w:rPr>
            </w:pPr>
          </w:p>
        </w:tc>
        <w:tc>
          <w:tcPr>
            <w:tcW w:w="2298" w:type="pct"/>
            <w:vMerge w:val="continue"/>
            <w:vAlign w:val="center"/>
          </w:tcPr>
          <w:p>
            <w:pPr>
              <w:jc w:val="center"/>
              <w:rPr>
                <w:szCs w:val="21"/>
              </w:rPr>
            </w:pPr>
          </w:p>
        </w:tc>
        <w:tc>
          <w:tcPr>
            <w:tcW w:w="1294" w:type="pct"/>
            <w:vAlign w:val="center"/>
          </w:tcPr>
          <w:p>
            <w:pPr>
              <w:jc w:val="center"/>
              <w:rPr>
                <w:szCs w:val="21"/>
              </w:rPr>
            </w:pPr>
            <w:r>
              <w:rPr>
                <w:szCs w:val="21"/>
              </w:rPr>
              <w:t>1.5-3m取1个样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8" w:type="pct"/>
            <w:vAlign w:val="center"/>
          </w:tcPr>
          <w:p>
            <w:pPr>
              <w:jc w:val="center"/>
              <w:rPr>
                <w:szCs w:val="21"/>
              </w:rPr>
            </w:pPr>
            <w:r>
              <w:rPr>
                <w:rFonts w:hint="eastAsia"/>
                <w:szCs w:val="21"/>
              </w:rPr>
              <w:t>5</w:t>
            </w:r>
          </w:p>
        </w:tc>
        <w:tc>
          <w:tcPr>
            <w:tcW w:w="238" w:type="pct"/>
            <w:vMerge w:val="restart"/>
            <w:vAlign w:val="center"/>
          </w:tcPr>
          <w:p>
            <w:pPr>
              <w:jc w:val="center"/>
              <w:rPr>
                <w:szCs w:val="21"/>
              </w:rPr>
            </w:pPr>
            <w:r>
              <w:rPr>
                <w:szCs w:val="21"/>
              </w:rPr>
              <w:t>厂区</w:t>
            </w:r>
            <w:r>
              <w:rPr>
                <w:rFonts w:hint="eastAsia"/>
                <w:szCs w:val="21"/>
              </w:rPr>
              <w:t>外</w:t>
            </w:r>
          </w:p>
        </w:tc>
        <w:tc>
          <w:tcPr>
            <w:tcW w:w="792" w:type="pct"/>
            <w:vAlign w:val="center"/>
          </w:tcPr>
          <w:p>
            <w:pPr>
              <w:jc w:val="center"/>
              <w:rPr>
                <w:szCs w:val="21"/>
              </w:rPr>
            </w:pPr>
            <w:r>
              <w:rPr>
                <w:rFonts w:hint="eastAsia"/>
                <w:szCs w:val="21"/>
              </w:rPr>
              <w:t>小庄村</w:t>
            </w:r>
          </w:p>
        </w:tc>
        <w:tc>
          <w:tcPr>
            <w:tcW w:w="2298" w:type="pct"/>
            <w:vMerge w:val="continue"/>
            <w:vAlign w:val="center"/>
          </w:tcPr>
          <w:p>
            <w:pPr>
              <w:jc w:val="center"/>
              <w:rPr>
                <w:szCs w:val="21"/>
              </w:rPr>
            </w:pPr>
          </w:p>
        </w:tc>
        <w:tc>
          <w:tcPr>
            <w:tcW w:w="1294" w:type="pct"/>
            <w:vAlign w:val="center"/>
          </w:tcPr>
          <w:p>
            <w:pPr>
              <w:jc w:val="center"/>
              <w:rPr>
                <w:szCs w:val="21"/>
              </w:rPr>
            </w:pPr>
            <w:r>
              <w:rPr>
                <w:szCs w:val="21"/>
              </w:rPr>
              <w:t>0-0.2m取1个样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8" w:type="pct"/>
            <w:vAlign w:val="center"/>
          </w:tcPr>
          <w:p>
            <w:pPr>
              <w:jc w:val="center"/>
              <w:rPr>
                <w:szCs w:val="21"/>
              </w:rPr>
            </w:pPr>
            <w:r>
              <w:rPr>
                <w:rFonts w:hint="eastAsia"/>
                <w:szCs w:val="21"/>
              </w:rPr>
              <w:t>6</w:t>
            </w:r>
          </w:p>
        </w:tc>
        <w:tc>
          <w:tcPr>
            <w:tcW w:w="238" w:type="pct"/>
            <w:vMerge w:val="continue"/>
            <w:vAlign w:val="center"/>
          </w:tcPr>
          <w:p>
            <w:pPr>
              <w:jc w:val="center"/>
              <w:rPr>
                <w:szCs w:val="21"/>
              </w:rPr>
            </w:pPr>
          </w:p>
        </w:tc>
        <w:tc>
          <w:tcPr>
            <w:tcW w:w="792" w:type="pct"/>
            <w:vAlign w:val="center"/>
          </w:tcPr>
          <w:p>
            <w:pPr>
              <w:jc w:val="center"/>
              <w:rPr>
                <w:szCs w:val="21"/>
              </w:rPr>
            </w:pPr>
            <w:r>
              <w:rPr>
                <w:rFonts w:hint="eastAsia"/>
                <w:szCs w:val="21"/>
              </w:rPr>
              <w:t>厂区外西南方向农田</w:t>
            </w:r>
          </w:p>
        </w:tc>
        <w:tc>
          <w:tcPr>
            <w:tcW w:w="2298" w:type="pct"/>
            <w:vMerge w:val="continue"/>
            <w:vAlign w:val="center"/>
          </w:tcPr>
          <w:p>
            <w:pPr>
              <w:jc w:val="center"/>
              <w:rPr>
                <w:szCs w:val="21"/>
              </w:rPr>
            </w:pPr>
          </w:p>
        </w:tc>
        <w:tc>
          <w:tcPr>
            <w:tcW w:w="1294" w:type="pct"/>
            <w:vAlign w:val="center"/>
          </w:tcPr>
          <w:p>
            <w:pPr>
              <w:jc w:val="center"/>
              <w:rPr>
                <w:szCs w:val="21"/>
              </w:rPr>
            </w:pPr>
            <w:r>
              <w:rPr>
                <w:szCs w:val="21"/>
              </w:rPr>
              <w:t>0-0.2m取1个样</w:t>
            </w:r>
          </w:p>
        </w:tc>
      </w:tr>
    </w:tbl>
    <w:p>
      <w:pPr>
        <w:spacing w:line="520" w:lineRule="exact"/>
        <w:outlineLvl w:val="3"/>
        <w:rPr>
          <w:sz w:val="24"/>
          <w:szCs w:val="24"/>
        </w:rPr>
      </w:pPr>
      <w:r>
        <w:rPr>
          <w:sz w:val="24"/>
          <w:szCs w:val="24"/>
        </w:rPr>
        <w:t>4.3.5.2 评价标准</w:t>
      </w:r>
    </w:p>
    <w:p>
      <w:pPr>
        <w:adjustRightInd w:val="0"/>
        <w:snapToGrid w:val="0"/>
        <w:spacing w:line="520" w:lineRule="exact"/>
        <w:ind w:firstLine="480" w:firstLineChars="200"/>
        <w:rPr>
          <w:sz w:val="24"/>
          <w:szCs w:val="24"/>
        </w:rPr>
      </w:pPr>
      <w:r>
        <w:rPr>
          <w:sz w:val="24"/>
          <w:szCs w:val="24"/>
        </w:rPr>
        <w:t>项目厂区内</w:t>
      </w:r>
      <w:r>
        <w:rPr>
          <w:rFonts w:hint="eastAsia"/>
          <w:sz w:val="24"/>
          <w:szCs w:val="24"/>
        </w:rPr>
        <w:t>和厂区外小庄村</w:t>
      </w:r>
      <w:r>
        <w:rPr>
          <w:sz w:val="24"/>
          <w:szCs w:val="24"/>
        </w:rPr>
        <w:t>土壤执行《土壤环境质量 建设用地土壤污染风险管控标准（试行）》（GB36600-2018）建设用地第二类用地风险筛选值。</w:t>
      </w:r>
    </w:p>
    <w:p>
      <w:pPr>
        <w:spacing w:line="520" w:lineRule="exact"/>
        <w:outlineLvl w:val="3"/>
        <w:rPr>
          <w:sz w:val="24"/>
          <w:szCs w:val="24"/>
        </w:rPr>
      </w:pPr>
      <w:r>
        <w:rPr>
          <w:sz w:val="24"/>
          <w:szCs w:val="24"/>
        </w:rPr>
        <w:t>4.3.5.3 监测方法</w:t>
      </w:r>
    </w:p>
    <w:p>
      <w:pPr>
        <w:adjustRightInd w:val="0"/>
        <w:snapToGrid w:val="0"/>
        <w:spacing w:line="520" w:lineRule="exact"/>
        <w:ind w:firstLine="480" w:firstLineChars="200"/>
        <w:rPr>
          <w:sz w:val="24"/>
          <w:szCs w:val="24"/>
        </w:rPr>
      </w:pPr>
      <w:r>
        <w:rPr>
          <w:sz w:val="24"/>
          <w:szCs w:val="24"/>
        </w:rPr>
        <w:t>项目土壤监测因子的监测方法如下。</w:t>
      </w:r>
    </w:p>
    <w:p>
      <w:pPr>
        <w:spacing w:line="360" w:lineRule="auto"/>
        <w:ind w:firstLine="480" w:firstLineChars="200"/>
        <w:rPr>
          <w:rFonts w:eastAsia="黑体"/>
          <w:sz w:val="24"/>
          <w:szCs w:val="24"/>
        </w:rPr>
      </w:pPr>
      <w:r>
        <w:rPr>
          <w:rFonts w:eastAsia="黑体"/>
          <w:sz w:val="24"/>
          <w:szCs w:val="24"/>
        </w:rPr>
        <w:t>表4.3-16            土壤检测分析方法及仪器一览表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41"/>
        <w:gridCol w:w="421"/>
        <w:gridCol w:w="1438"/>
        <w:gridCol w:w="2676"/>
        <w:gridCol w:w="2556"/>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306" w:type="pct"/>
            <w:vAlign w:val="center"/>
          </w:tcPr>
          <w:p>
            <w:pPr>
              <w:snapToGrid w:val="0"/>
              <w:jc w:val="center"/>
              <w:rPr>
                <w:b/>
                <w:bCs/>
                <w:szCs w:val="21"/>
              </w:rPr>
            </w:pPr>
            <w:r>
              <w:rPr>
                <w:b/>
                <w:bCs/>
                <w:szCs w:val="21"/>
              </w:rPr>
              <w:t>序号</w:t>
            </w:r>
          </w:p>
        </w:tc>
        <w:tc>
          <w:tcPr>
            <w:tcW w:w="1051" w:type="pct"/>
            <w:gridSpan w:val="2"/>
            <w:vAlign w:val="center"/>
          </w:tcPr>
          <w:p>
            <w:pPr>
              <w:snapToGrid w:val="0"/>
              <w:jc w:val="center"/>
              <w:rPr>
                <w:b/>
                <w:bCs/>
                <w:szCs w:val="21"/>
              </w:rPr>
            </w:pPr>
            <w:r>
              <w:rPr>
                <w:b/>
                <w:bCs/>
                <w:szCs w:val="21"/>
              </w:rPr>
              <w:t>检测因子</w:t>
            </w:r>
          </w:p>
        </w:tc>
        <w:tc>
          <w:tcPr>
            <w:tcW w:w="1513" w:type="pct"/>
            <w:vAlign w:val="center"/>
          </w:tcPr>
          <w:p>
            <w:pPr>
              <w:snapToGrid w:val="0"/>
              <w:jc w:val="center"/>
              <w:rPr>
                <w:b/>
                <w:bCs/>
                <w:szCs w:val="21"/>
              </w:rPr>
            </w:pPr>
            <w:r>
              <w:rPr>
                <w:b/>
                <w:bCs/>
                <w:szCs w:val="21"/>
              </w:rPr>
              <w:t>检测方法及编号</w:t>
            </w:r>
          </w:p>
        </w:tc>
        <w:tc>
          <w:tcPr>
            <w:tcW w:w="1445" w:type="pct"/>
            <w:vAlign w:val="center"/>
          </w:tcPr>
          <w:p>
            <w:pPr>
              <w:snapToGrid w:val="0"/>
              <w:jc w:val="center"/>
              <w:rPr>
                <w:b/>
                <w:bCs/>
                <w:szCs w:val="21"/>
              </w:rPr>
            </w:pPr>
            <w:r>
              <w:rPr>
                <w:b/>
                <w:bCs/>
                <w:szCs w:val="21"/>
              </w:rPr>
              <w:t>检测仪器型号及编号</w:t>
            </w:r>
          </w:p>
        </w:tc>
        <w:tc>
          <w:tcPr>
            <w:tcW w:w="685" w:type="pct"/>
            <w:vAlign w:val="center"/>
          </w:tcPr>
          <w:p>
            <w:pPr>
              <w:snapToGrid w:val="0"/>
              <w:jc w:val="center"/>
              <w:rPr>
                <w:b/>
                <w:bCs/>
                <w:szCs w:val="21"/>
              </w:rPr>
            </w:pPr>
            <w:r>
              <w:rPr>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1</w:t>
            </w:r>
          </w:p>
        </w:tc>
        <w:tc>
          <w:tcPr>
            <w:tcW w:w="1051" w:type="pct"/>
            <w:gridSpan w:val="2"/>
            <w:vAlign w:val="center"/>
          </w:tcPr>
          <w:p>
            <w:pPr>
              <w:snapToGrid w:val="0"/>
              <w:jc w:val="center"/>
              <w:rPr>
                <w:szCs w:val="21"/>
              </w:rPr>
            </w:pPr>
            <w:r>
              <w:rPr>
                <w:szCs w:val="21"/>
              </w:rPr>
              <w:t>镉</w:t>
            </w:r>
          </w:p>
        </w:tc>
        <w:tc>
          <w:tcPr>
            <w:tcW w:w="1513" w:type="pct"/>
            <w:vAlign w:val="center"/>
          </w:tcPr>
          <w:p>
            <w:pPr>
              <w:snapToGrid w:val="0"/>
              <w:jc w:val="center"/>
              <w:rPr>
                <w:szCs w:val="21"/>
                <w:lang w:bidi="ar"/>
              </w:rPr>
            </w:pPr>
            <w:r>
              <w:rPr>
                <w:szCs w:val="21"/>
              </w:rPr>
              <w:t>《土壤质量 铅、镉的测定 石墨炉原子吸收分光光度法》</w:t>
            </w:r>
            <w:r>
              <w:rPr>
                <w:szCs w:val="21"/>
                <w:lang w:bidi="ar"/>
              </w:rPr>
              <w:t>GB/T 17141-1997</w:t>
            </w:r>
          </w:p>
        </w:tc>
        <w:tc>
          <w:tcPr>
            <w:tcW w:w="1445" w:type="pct"/>
            <w:vAlign w:val="center"/>
          </w:tcPr>
          <w:p>
            <w:pPr>
              <w:snapToGrid w:val="0"/>
              <w:jc w:val="center"/>
              <w:textAlignment w:val="center"/>
              <w:rPr>
                <w:szCs w:val="21"/>
                <w:lang w:bidi="ar"/>
              </w:rPr>
            </w:pPr>
            <w:r>
              <w:rPr>
                <w:szCs w:val="21"/>
                <w:lang w:bidi="ar"/>
              </w:rPr>
              <w:t>原子吸收分光光度计TAS-990AFG</w:t>
            </w:r>
          </w:p>
          <w:p>
            <w:pPr>
              <w:snapToGrid w:val="0"/>
              <w:jc w:val="center"/>
              <w:textAlignment w:val="center"/>
              <w:rPr>
                <w:szCs w:val="21"/>
              </w:rPr>
            </w:pPr>
            <w:r>
              <w:rPr>
                <w:szCs w:val="21"/>
                <w:lang w:bidi="ar"/>
              </w:rPr>
              <w:t>YFYQ-001-2020</w:t>
            </w:r>
          </w:p>
        </w:tc>
        <w:tc>
          <w:tcPr>
            <w:tcW w:w="685" w:type="pct"/>
            <w:vAlign w:val="center"/>
          </w:tcPr>
          <w:p>
            <w:pPr>
              <w:snapToGrid w:val="0"/>
              <w:jc w:val="center"/>
              <w:textAlignment w:val="center"/>
              <w:rPr>
                <w:szCs w:val="21"/>
              </w:rPr>
            </w:pPr>
            <w:r>
              <w:rPr>
                <w:szCs w:val="21"/>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2</w:t>
            </w:r>
          </w:p>
        </w:tc>
        <w:tc>
          <w:tcPr>
            <w:tcW w:w="1051" w:type="pct"/>
            <w:gridSpan w:val="2"/>
            <w:vAlign w:val="center"/>
          </w:tcPr>
          <w:p>
            <w:pPr>
              <w:snapToGrid w:val="0"/>
              <w:jc w:val="center"/>
              <w:rPr>
                <w:szCs w:val="21"/>
              </w:rPr>
            </w:pPr>
            <w:r>
              <w:rPr>
                <w:szCs w:val="21"/>
              </w:rPr>
              <w:t>镍</w:t>
            </w:r>
          </w:p>
        </w:tc>
        <w:tc>
          <w:tcPr>
            <w:tcW w:w="1513" w:type="pct"/>
            <w:vMerge w:val="restart"/>
            <w:vAlign w:val="center"/>
          </w:tcPr>
          <w:p>
            <w:pPr>
              <w:snapToGrid w:val="0"/>
              <w:jc w:val="center"/>
              <w:rPr>
                <w:szCs w:val="21"/>
              </w:rPr>
            </w:pPr>
            <w:r>
              <w:rPr>
                <w:szCs w:val="21"/>
              </w:rPr>
              <w:t>《土壤和沉积物  铜、锌、铅、镍、铬的测定 火焰原子吸收分光光度法》</w:t>
            </w:r>
          </w:p>
          <w:p>
            <w:pPr>
              <w:snapToGrid w:val="0"/>
              <w:jc w:val="center"/>
              <w:rPr>
                <w:szCs w:val="21"/>
                <w:lang w:bidi="ar"/>
              </w:rPr>
            </w:pPr>
            <w:r>
              <w:rPr>
                <w:szCs w:val="21"/>
              </w:rPr>
              <w:t>HJ 491-2019</w:t>
            </w:r>
          </w:p>
        </w:tc>
        <w:tc>
          <w:tcPr>
            <w:tcW w:w="1445" w:type="pct"/>
            <w:vMerge w:val="restart"/>
            <w:vAlign w:val="center"/>
          </w:tcPr>
          <w:p>
            <w:pPr>
              <w:snapToGrid w:val="0"/>
              <w:jc w:val="center"/>
              <w:textAlignment w:val="center"/>
              <w:rPr>
                <w:szCs w:val="21"/>
                <w:lang w:bidi="ar"/>
              </w:rPr>
            </w:pPr>
            <w:r>
              <w:rPr>
                <w:szCs w:val="21"/>
                <w:lang w:bidi="ar"/>
              </w:rPr>
              <w:t>原子吸收分光光度计TAS-990AFG</w:t>
            </w:r>
          </w:p>
          <w:p>
            <w:pPr>
              <w:snapToGrid w:val="0"/>
              <w:jc w:val="center"/>
              <w:textAlignment w:val="center"/>
              <w:rPr>
                <w:szCs w:val="21"/>
                <w:highlight w:val="yellow"/>
              </w:rPr>
            </w:pPr>
            <w:r>
              <w:rPr>
                <w:szCs w:val="21"/>
                <w:lang w:bidi="ar"/>
              </w:rPr>
              <w:t>YFYQ-001-2020</w:t>
            </w:r>
          </w:p>
        </w:tc>
        <w:tc>
          <w:tcPr>
            <w:tcW w:w="685" w:type="pct"/>
            <w:vAlign w:val="center"/>
          </w:tcPr>
          <w:p>
            <w:pPr>
              <w:snapToGrid w:val="0"/>
              <w:jc w:val="center"/>
              <w:textAlignment w:val="center"/>
              <w:rPr>
                <w:szCs w:val="21"/>
              </w:rPr>
            </w:pPr>
            <w:r>
              <w:rPr>
                <w:szCs w:val="21"/>
              </w:rPr>
              <w:t>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3</w:t>
            </w:r>
          </w:p>
        </w:tc>
        <w:tc>
          <w:tcPr>
            <w:tcW w:w="1051" w:type="pct"/>
            <w:gridSpan w:val="2"/>
            <w:vAlign w:val="center"/>
          </w:tcPr>
          <w:p>
            <w:pPr>
              <w:snapToGrid w:val="0"/>
              <w:jc w:val="center"/>
              <w:rPr>
                <w:szCs w:val="21"/>
              </w:rPr>
            </w:pPr>
            <w:r>
              <w:rPr>
                <w:szCs w:val="21"/>
              </w:rPr>
              <w:t>铅</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textAlignment w:val="center"/>
              <w:rPr>
                <w:szCs w:val="21"/>
              </w:rPr>
            </w:pPr>
            <w:r>
              <w:rPr>
                <w:szCs w:val="21"/>
              </w:rPr>
              <w:t>10mg/kg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4</w:t>
            </w:r>
          </w:p>
        </w:tc>
        <w:tc>
          <w:tcPr>
            <w:tcW w:w="1051" w:type="pct"/>
            <w:gridSpan w:val="2"/>
            <w:vAlign w:val="center"/>
          </w:tcPr>
          <w:p>
            <w:pPr>
              <w:snapToGrid w:val="0"/>
              <w:jc w:val="center"/>
              <w:rPr>
                <w:szCs w:val="21"/>
              </w:rPr>
            </w:pPr>
            <w:r>
              <w:rPr>
                <w:szCs w:val="21"/>
              </w:rPr>
              <w:t>铜</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textAlignment w:val="center"/>
              <w:rPr>
                <w:szCs w:val="21"/>
              </w:rPr>
            </w:pPr>
            <w:r>
              <w:rPr>
                <w:szCs w:val="21"/>
              </w:rPr>
              <w:t>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5</w:t>
            </w:r>
          </w:p>
        </w:tc>
        <w:tc>
          <w:tcPr>
            <w:tcW w:w="1051" w:type="pct"/>
            <w:gridSpan w:val="2"/>
            <w:vAlign w:val="center"/>
          </w:tcPr>
          <w:p>
            <w:pPr>
              <w:snapToGrid w:val="0"/>
              <w:jc w:val="center"/>
              <w:rPr>
                <w:szCs w:val="21"/>
                <w:highlight w:val="yellow"/>
              </w:rPr>
            </w:pPr>
            <w:r>
              <w:rPr>
                <w:rFonts w:hint="eastAsia"/>
                <w:szCs w:val="21"/>
              </w:rPr>
              <w:t>六价</w:t>
            </w:r>
            <w:r>
              <w:rPr>
                <w:szCs w:val="21"/>
              </w:rPr>
              <w:t>铬</w:t>
            </w:r>
          </w:p>
        </w:tc>
        <w:tc>
          <w:tcPr>
            <w:tcW w:w="1513" w:type="pct"/>
            <w:vAlign w:val="center"/>
          </w:tcPr>
          <w:p>
            <w:pPr>
              <w:snapToGrid w:val="0"/>
              <w:jc w:val="center"/>
              <w:rPr>
                <w:szCs w:val="21"/>
              </w:rPr>
            </w:pPr>
            <w:r>
              <w:rPr>
                <w:szCs w:val="21"/>
              </w:rPr>
              <w:t>《</w:t>
            </w:r>
            <w:r>
              <w:rPr>
                <w:szCs w:val="21"/>
                <w:lang w:bidi="ar"/>
              </w:rPr>
              <w:t>土壤和沉积物 六价铬的测定 碱溶液提取-火焰原子吸收分光光度法</w:t>
            </w:r>
            <w:r>
              <w:rPr>
                <w:szCs w:val="21"/>
              </w:rPr>
              <w:t>》</w:t>
            </w:r>
          </w:p>
          <w:p>
            <w:pPr>
              <w:snapToGrid w:val="0"/>
              <w:jc w:val="center"/>
              <w:rPr>
                <w:szCs w:val="21"/>
              </w:rPr>
            </w:pPr>
            <w:r>
              <w:rPr>
                <w:szCs w:val="21"/>
              </w:rPr>
              <w:t>HJ 1082-2019</w:t>
            </w:r>
          </w:p>
        </w:tc>
        <w:tc>
          <w:tcPr>
            <w:tcW w:w="1445" w:type="pct"/>
            <w:vAlign w:val="center"/>
          </w:tcPr>
          <w:p>
            <w:pPr>
              <w:jc w:val="center"/>
              <w:rPr>
                <w:bCs/>
                <w:szCs w:val="21"/>
              </w:rPr>
            </w:pPr>
            <w:r>
              <w:rPr>
                <w:bCs/>
                <w:szCs w:val="21"/>
              </w:rPr>
              <w:t>原子吸收分光光度计TAS-990AFG</w:t>
            </w:r>
          </w:p>
          <w:p>
            <w:pPr>
              <w:snapToGrid w:val="0"/>
              <w:jc w:val="center"/>
              <w:textAlignment w:val="center"/>
              <w:rPr>
                <w:szCs w:val="21"/>
                <w:lang w:bidi="ar"/>
              </w:rPr>
            </w:pPr>
            <w:r>
              <w:rPr>
                <w:bCs/>
                <w:szCs w:val="21"/>
              </w:rPr>
              <w:t>YFYQ-001-2020</w:t>
            </w:r>
          </w:p>
        </w:tc>
        <w:tc>
          <w:tcPr>
            <w:tcW w:w="685" w:type="pct"/>
            <w:vAlign w:val="center"/>
          </w:tcPr>
          <w:p>
            <w:pPr>
              <w:snapToGrid w:val="0"/>
              <w:jc w:val="center"/>
              <w:rPr>
                <w:szCs w:val="21"/>
              </w:rPr>
            </w:pPr>
            <w:r>
              <w:rPr>
                <w:szCs w:val="21"/>
              </w:rPr>
              <w:t>0.5mg/kg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6</w:t>
            </w:r>
          </w:p>
        </w:tc>
        <w:tc>
          <w:tcPr>
            <w:tcW w:w="1051" w:type="pct"/>
            <w:gridSpan w:val="2"/>
            <w:vAlign w:val="center"/>
          </w:tcPr>
          <w:p>
            <w:pPr>
              <w:snapToGrid w:val="0"/>
              <w:jc w:val="center"/>
              <w:rPr>
                <w:szCs w:val="21"/>
              </w:rPr>
            </w:pPr>
            <w:r>
              <w:rPr>
                <w:szCs w:val="21"/>
              </w:rPr>
              <w:t>砷</w:t>
            </w:r>
          </w:p>
        </w:tc>
        <w:tc>
          <w:tcPr>
            <w:tcW w:w="1513" w:type="pct"/>
            <w:vMerge w:val="restart"/>
            <w:vAlign w:val="center"/>
          </w:tcPr>
          <w:p>
            <w:pPr>
              <w:snapToGrid w:val="0"/>
              <w:jc w:val="center"/>
              <w:rPr>
                <w:szCs w:val="21"/>
              </w:rPr>
            </w:pPr>
            <w:r>
              <w:rPr>
                <w:szCs w:val="21"/>
              </w:rPr>
              <w:t>《土壤和沉积物 汞、砷、硒、锑、铋的测定 微波消解/原子荧光法》HJ</w:t>
            </w:r>
            <w:r>
              <w:rPr>
                <w:szCs w:val="21"/>
                <w:lang w:bidi="ar"/>
              </w:rPr>
              <w:t>680-2013</w:t>
            </w:r>
          </w:p>
        </w:tc>
        <w:tc>
          <w:tcPr>
            <w:tcW w:w="1445" w:type="pct"/>
            <w:vMerge w:val="restart"/>
            <w:vAlign w:val="center"/>
          </w:tcPr>
          <w:p>
            <w:pPr>
              <w:snapToGrid w:val="0"/>
              <w:jc w:val="center"/>
              <w:textAlignment w:val="center"/>
              <w:rPr>
                <w:szCs w:val="21"/>
                <w:lang w:bidi="ar"/>
              </w:rPr>
            </w:pPr>
            <w:r>
              <w:rPr>
                <w:szCs w:val="21"/>
                <w:lang w:bidi="ar"/>
              </w:rPr>
              <w:t>原子荧光光度计AFS-8220</w:t>
            </w:r>
          </w:p>
          <w:p>
            <w:pPr>
              <w:snapToGrid w:val="0"/>
              <w:jc w:val="center"/>
              <w:textAlignment w:val="center"/>
              <w:rPr>
                <w:szCs w:val="21"/>
                <w:lang w:bidi="ar"/>
              </w:rPr>
            </w:pPr>
            <w:r>
              <w:rPr>
                <w:szCs w:val="21"/>
                <w:lang w:bidi="ar"/>
              </w:rPr>
              <w:t>YFYQ-003-2020</w:t>
            </w:r>
          </w:p>
        </w:tc>
        <w:tc>
          <w:tcPr>
            <w:tcW w:w="685" w:type="pct"/>
            <w:vAlign w:val="center"/>
          </w:tcPr>
          <w:p>
            <w:pPr>
              <w:snapToGrid w:val="0"/>
              <w:jc w:val="center"/>
              <w:rPr>
                <w:szCs w:val="21"/>
              </w:rPr>
            </w:pPr>
            <w:r>
              <w:rPr>
                <w:szCs w:val="21"/>
                <w:lang w:bidi="ar"/>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7</w:t>
            </w:r>
          </w:p>
        </w:tc>
        <w:tc>
          <w:tcPr>
            <w:tcW w:w="1051" w:type="pct"/>
            <w:gridSpan w:val="2"/>
            <w:vAlign w:val="center"/>
          </w:tcPr>
          <w:p>
            <w:pPr>
              <w:snapToGrid w:val="0"/>
              <w:jc w:val="center"/>
              <w:rPr>
                <w:szCs w:val="21"/>
              </w:rPr>
            </w:pPr>
            <w:r>
              <w:rPr>
                <w:szCs w:val="21"/>
              </w:rPr>
              <w:t>汞</w:t>
            </w:r>
          </w:p>
        </w:tc>
        <w:tc>
          <w:tcPr>
            <w:tcW w:w="1513" w:type="pct"/>
            <w:vMerge w:val="continue"/>
            <w:vAlign w:val="center"/>
          </w:tcPr>
          <w:p>
            <w:pPr>
              <w:snapToGrid w:val="0"/>
              <w:jc w:val="center"/>
              <w:rPr>
                <w:szCs w:val="21"/>
              </w:rPr>
            </w:pPr>
          </w:p>
        </w:tc>
        <w:tc>
          <w:tcPr>
            <w:tcW w:w="1445" w:type="pct"/>
            <w:vMerge w:val="continue"/>
            <w:vAlign w:val="center"/>
          </w:tcPr>
          <w:p>
            <w:pPr>
              <w:snapToGrid w:val="0"/>
              <w:jc w:val="center"/>
              <w:textAlignment w:val="center"/>
              <w:rPr>
                <w:szCs w:val="21"/>
                <w:lang w:bidi="ar"/>
              </w:rPr>
            </w:pPr>
          </w:p>
        </w:tc>
        <w:tc>
          <w:tcPr>
            <w:tcW w:w="685" w:type="pct"/>
            <w:vAlign w:val="center"/>
          </w:tcPr>
          <w:p>
            <w:pPr>
              <w:snapToGrid w:val="0"/>
              <w:jc w:val="center"/>
              <w:rPr>
                <w:szCs w:val="21"/>
              </w:rPr>
            </w:pPr>
            <w:r>
              <w:rPr>
                <w:szCs w:val="21"/>
              </w:rPr>
              <w:t>0.002mg/kg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8</w:t>
            </w:r>
          </w:p>
        </w:tc>
        <w:tc>
          <w:tcPr>
            <w:tcW w:w="1051" w:type="pct"/>
            <w:gridSpan w:val="2"/>
            <w:vAlign w:val="center"/>
          </w:tcPr>
          <w:p>
            <w:pPr>
              <w:snapToGrid w:val="0"/>
              <w:jc w:val="center"/>
              <w:rPr>
                <w:szCs w:val="21"/>
              </w:rPr>
            </w:pPr>
            <w:r>
              <w:rPr>
                <w:szCs w:val="21"/>
              </w:rPr>
              <w:t>pH值</w:t>
            </w:r>
          </w:p>
        </w:tc>
        <w:tc>
          <w:tcPr>
            <w:tcW w:w="1513" w:type="pct"/>
            <w:vAlign w:val="center"/>
          </w:tcPr>
          <w:p>
            <w:pPr>
              <w:jc w:val="center"/>
              <w:textAlignment w:val="center"/>
              <w:rPr>
                <w:szCs w:val="21"/>
              </w:rPr>
            </w:pPr>
            <w:r>
              <w:rPr>
                <w:szCs w:val="21"/>
              </w:rPr>
              <w:t>《</w:t>
            </w:r>
            <w:r>
              <w:rPr>
                <w:szCs w:val="21"/>
                <w:lang w:bidi="ar"/>
              </w:rPr>
              <w:t>土壤  pH 值的测定 电位法</w:t>
            </w:r>
            <w:r>
              <w:rPr>
                <w:szCs w:val="21"/>
              </w:rPr>
              <w:t>》</w:t>
            </w:r>
            <w:r>
              <w:rPr>
                <w:szCs w:val="21"/>
                <w:lang w:bidi="ar"/>
              </w:rPr>
              <w:t>HJ 962-2018</w:t>
            </w:r>
          </w:p>
        </w:tc>
        <w:tc>
          <w:tcPr>
            <w:tcW w:w="1445" w:type="pct"/>
            <w:vAlign w:val="center"/>
          </w:tcPr>
          <w:p>
            <w:pPr>
              <w:jc w:val="center"/>
              <w:textAlignment w:val="center"/>
              <w:rPr>
                <w:szCs w:val="21"/>
                <w:lang w:bidi="ar"/>
              </w:rPr>
            </w:pPr>
            <w:r>
              <w:rPr>
                <w:szCs w:val="21"/>
                <w:lang w:bidi="ar"/>
              </w:rPr>
              <w:t>PH计</w:t>
            </w:r>
            <w:r>
              <w:rPr>
                <w:rFonts w:hint="eastAsia"/>
                <w:szCs w:val="21"/>
                <w:lang w:bidi="ar"/>
              </w:rPr>
              <w:t xml:space="preserve"> </w:t>
            </w:r>
            <w:r>
              <w:rPr>
                <w:szCs w:val="21"/>
                <w:lang w:bidi="ar"/>
              </w:rPr>
              <w:t>PHS-25</w:t>
            </w:r>
          </w:p>
          <w:p>
            <w:pPr>
              <w:snapToGrid w:val="0"/>
              <w:jc w:val="center"/>
              <w:rPr>
                <w:szCs w:val="21"/>
                <w:lang w:bidi="ar"/>
              </w:rPr>
            </w:pPr>
            <w:r>
              <w:rPr>
                <w:szCs w:val="21"/>
                <w:lang w:bidi="ar"/>
              </w:rPr>
              <w:t>YFYQ-022-2020</w:t>
            </w:r>
          </w:p>
        </w:tc>
        <w:tc>
          <w:tcPr>
            <w:tcW w:w="685" w:type="pct"/>
            <w:vAlign w:val="center"/>
          </w:tcPr>
          <w:p>
            <w:pPr>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9</w:t>
            </w:r>
          </w:p>
        </w:tc>
        <w:tc>
          <w:tcPr>
            <w:tcW w:w="1051" w:type="pct"/>
            <w:gridSpan w:val="2"/>
            <w:vAlign w:val="center"/>
          </w:tcPr>
          <w:p>
            <w:pPr>
              <w:snapToGrid w:val="0"/>
              <w:jc w:val="center"/>
              <w:rPr>
                <w:szCs w:val="21"/>
              </w:rPr>
            </w:pPr>
            <w:r>
              <w:rPr>
                <w:szCs w:val="21"/>
              </w:rPr>
              <w:t>四氯化碳</w:t>
            </w:r>
          </w:p>
        </w:tc>
        <w:tc>
          <w:tcPr>
            <w:tcW w:w="1513" w:type="pct"/>
            <w:vMerge w:val="restart"/>
            <w:vAlign w:val="center"/>
          </w:tcPr>
          <w:p>
            <w:pPr>
              <w:snapToGrid w:val="0"/>
              <w:jc w:val="center"/>
              <w:rPr>
                <w:szCs w:val="21"/>
              </w:rPr>
            </w:pPr>
            <w:r>
              <w:rPr>
                <w:szCs w:val="21"/>
              </w:rPr>
              <w:t>《</w:t>
            </w:r>
            <w:r>
              <w:rPr>
                <w:szCs w:val="21"/>
                <w:lang w:bidi="ar"/>
              </w:rPr>
              <w:t>土壤和沉积物 挥发性有机物的测定 顶空/气相色谱法</w:t>
            </w:r>
            <w:r>
              <w:rPr>
                <w:szCs w:val="21"/>
              </w:rPr>
              <w:t>》HJ 741-2015</w:t>
            </w:r>
          </w:p>
        </w:tc>
        <w:tc>
          <w:tcPr>
            <w:tcW w:w="1445" w:type="pct"/>
            <w:vMerge w:val="restart"/>
            <w:vAlign w:val="center"/>
          </w:tcPr>
          <w:p>
            <w:pPr>
              <w:snapToGrid w:val="0"/>
              <w:jc w:val="center"/>
              <w:textAlignment w:val="center"/>
              <w:rPr>
                <w:szCs w:val="21"/>
                <w:lang w:bidi="ar"/>
              </w:rPr>
            </w:pPr>
            <w:r>
              <w:rPr>
                <w:szCs w:val="21"/>
                <w:lang w:bidi="ar"/>
              </w:rPr>
              <w:t>气相色谱仪</w:t>
            </w:r>
          </w:p>
          <w:p>
            <w:pPr>
              <w:snapToGrid w:val="0"/>
              <w:jc w:val="center"/>
              <w:textAlignment w:val="center"/>
              <w:rPr>
                <w:szCs w:val="21"/>
                <w:lang w:bidi="ar"/>
              </w:rPr>
            </w:pPr>
            <w:r>
              <w:rPr>
                <w:szCs w:val="21"/>
                <w:lang w:bidi="ar"/>
              </w:rPr>
              <w:t>GC9790Plus</w:t>
            </w:r>
          </w:p>
          <w:p>
            <w:pPr>
              <w:snapToGrid w:val="0"/>
              <w:jc w:val="center"/>
              <w:textAlignment w:val="center"/>
              <w:rPr>
                <w:szCs w:val="21"/>
                <w:lang w:bidi="ar"/>
              </w:rPr>
            </w:pPr>
            <w:r>
              <w:rPr>
                <w:szCs w:val="21"/>
                <w:lang w:bidi="ar"/>
              </w:rPr>
              <w:t>YFYQ-004-2020</w:t>
            </w:r>
          </w:p>
        </w:tc>
        <w:tc>
          <w:tcPr>
            <w:tcW w:w="685" w:type="pct"/>
            <w:vAlign w:val="center"/>
          </w:tcPr>
          <w:p>
            <w:pPr>
              <w:snapToGrid w:val="0"/>
              <w:jc w:val="center"/>
              <w:rPr>
                <w:szCs w:val="21"/>
              </w:rPr>
            </w:pPr>
            <w:r>
              <w:rPr>
                <w:szCs w:val="21"/>
              </w:rPr>
              <w:t>0.03mg/kg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10</w:t>
            </w:r>
          </w:p>
        </w:tc>
        <w:tc>
          <w:tcPr>
            <w:tcW w:w="1051" w:type="pct"/>
            <w:gridSpan w:val="2"/>
            <w:vAlign w:val="center"/>
          </w:tcPr>
          <w:p>
            <w:pPr>
              <w:snapToGrid w:val="0"/>
              <w:jc w:val="center"/>
              <w:rPr>
                <w:szCs w:val="21"/>
              </w:rPr>
            </w:pPr>
            <w:r>
              <w:rPr>
                <w:szCs w:val="21"/>
              </w:rPr>
              <w:t>氯仿</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11</w:t>
            </w:r>
          </w:p>
        </w:tc>
        <w:tc>
          <w:tcPr>
            <w:tcW w:w="1051" w:type="pct"/>
            <w:gridSpan w:val="2"/>
            <w:vAlign w:val="center"/>
          </w:tcPr>
          <w:p>
            <w:pPr>
              <w:snapToGrid w:val="0"/>
              <w:jc w:val="center"/>
              <w:rPr>
                <w:szCs w:val="21"/>
              </w:rPr>
            </w:pPr>
            <w:r>
              <w:rPr>
                <w:szCs w:val="21"/>
              </w:rPr>
              <w:t>1,1-二氯乙烷</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12</w:t>
            </w:r>
          </w:p>
        </w:tc>
        <w:tc>
          <w:tcPr>
            <w:tcW w:w="1051" w:type="pct"/>
            <w:gridSpan w:val="2"/>
            <w:vAlign w:val="center"/>
          </w:tcPr>
          <w:p>
            <w:pPr>
              <w:snapToGrid w:val="0"/>
              <w:jc w:val="center"/>
              <w:rPr>
                <w:szCs w:val="21"/>
              </w:rPr>
            </w:pPr>
            <w:r>
              <w:rPr>
                <w:szCs w:val="21"/>
              </w:rPr>
              <w:t>1,2-二氯乙烷+苯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13</w:t>
            </w:r>
          </w:p>
        </w:tc>
        <w:tc>
          <w:tcPr>
            <w:tcW w:w="1051" w:type="pct"/>
            <w:gridSpan w:val="2"/>
            <w:vAlign w:val="center"/>
          </w:tcPr>
          <w:p>
            <w:pPr>
              <w:snapToGrid w:val="0"/>
              <w:jc w:val="center"/>
              <w:rPr>
                <w:szCs w:val="21"/>
              </w:rPr>
            </w:pPr>
            <w:r>
              <w:rPr>
                <w:szCs w:val="21"/>
              </w:rPr>
              <w:t>1,1-二氯乙烯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14</w:t>
            </w:r>
          </w:p>
        </w:tc>
        <w:tc>
          <w:tcPr>
            <w:tcW w:w="1051" w:type="pct"/>
            <w:gridSpan w:val="2"/>
            <w:vAlign w:val="center"/>
          </w:tcPr>
          <w:p>
            <w:pPr>
              <w:snapToGrid w:val="0"/>
              <w:jc w:val="center"/>
              <w:rPr>
                <w:szCs w:val="21"/>
              </w:rPr>
            </w:pPr>
            <w:r>
              <w:rPr>
                <w:szCs w:val="21"/>
              </w:rPr>
              <w:t>顺-1,2-二氯乙烯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0.008mg/kg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15</w:t>
            </w:r>
          </w:p>
        </w:tc>
        <w:tc>
          <w:tcPr>
            <w:tcW w:w="1051" w:type="pct"/>
            <w:gridSpan w:val="2"/>
            <w:vAlign w:val="center"/>
          </w:tcPr>
          <w:p>
            <w:pPr>
              <w:snapToGrid w:val="0"/>
              <w:jc w:val="center"/>
              <w:rPr>
                <w:szCs w:val="21"/>
              </w:rPr>
            </w:pPr>
            <w:r>
              <w:rPr>
                <w:szCs w:val="21"/>
              </w:rPr>
              <w:t>反-1,2-二氯乙烯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16</w:t>
            </w:r>
          </w:p>
        </w:tc>
        <w:tc>
          <w:tcPr>
            <w:tcW w:w="1051" w:type="pct"/>
            <w:gridSpan w:val="2"/>
            <w:vAlign w:val="center"/>
          </w:tcPr>
          <w:p>
            <w:pPr>
              <w:snapToGrid w:val="0"/>
              <w:jc w:val="center"/>
              <w:rPr>
                <w:szCs w:val="21"/>
              </w:rPr>
            </w:pPr>
            <w:r>
              <w:rPr>
                <w:szCs w:val="21"/>
              </w:rPr>
              <w:t>二氯甲烷</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17</w:t>
            </w:r>
          </w:p>
        </w:tc>
        <w:tc>
          <w:tcPr>
            <w:tcW w:w="1051" w:type="pct"/>
            <w:gridSpan w:val="2"/>
            <w:vAlign w:val="center"/>
          </w:tcPr>
          <w:p>
            <w:pPr>
              <w:snapToGrid w:val="0"/>
              <w:jc w:val="center"/>
              <w:rPr>
                <w:szCs w:val="21"/>
              </w:rPr>
            </w:pPr>
            <w:r>
              <w:rPr>
                <w:szCs w:val="21"/>
              </w:rPr>
              <w:t>1,2-二氯丙烷</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0.008mg/kg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18</w:t>
            </w:r>
          </w:p>
        </w:tc>
        <w:tc>
          <w:tcPr>
            <w:tcW w:w="1051" w:type="pct"/>
            <w:gridSpan w:val="2"/>
            <w:vAlign w:val="center"/>
          </w:tcPr>
          <w:p>
            <w:pPr>
              <w:snapToGrid w:val="0"/>
              <w:jc w:val="center"/>
              <w:rPr>
                <w:szCs w:val="21"/>
              </w:rPr>
            </w:pPr>
            <w:r>
              <w:rPr>
                <w:szCs w:val="21"/>
              </w:rPr>
              <w:t>1,1,1,2-四氯乙烷</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19</w:t>
            </w:r>
          </w:p>
        </w:tc>
        <w:tc>
          <w:tcPr>
            <w:tcW w:w="1051" w:type="pct"/>
            <w:gridSpan w:val="2"/>
            <w:vAlign w:val="center"/>
          </w:tcPr>
          <w:p>
            <w:pPr>
              <w:snapToGrid w:val="0"/>
              <w:jc w:val="center"/>
              <w:rPr>
                <w:szCs w:val="21"/>
              </w:rPr>
            </w:pPr>
            <w:r>
              <w:rPr>
                <w:szCs w:val="21"/>
              </w:rPr>
              <w:t>1,1,2,2-四氯乙烷</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20</w:t>
            </w:r>
          </w:p>
        </w:tc>
        <w:tc>
          <w:tcPr>
            <w:tcW w:w="1051" w:type="pct"/>
            <w:gridSpan w:val="2"/>
            <w:vAlign w:val="center"/>
          </w:tcPr>
          <w:p>
            <w:pPr>
              <w:snapToGrid w:val="0"/>
              <w:jc w:val="center"/>
              <w:rPr>
                <w:szCs w:val="21"/>
              </w:rPr>
            </w:pPr>
            <w:r>
              <w:rPr>
                <w:szCs w:val="21"/>
              </w:rPr>
              <w:t>四氯乙烯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21</w:t>
            </w:r>
          </w:p>
        </w:tc>
        <w:tc>
          <w:tcPr>
            <w:tcW w:w="1051" w:type="pct"/>
            <w:gridSpan w:val="2"/>
            <w:vAlign w:val="center"/>
          </w:tcPr>
          <w:p>
            <w:pPr>
              <w:snapToGrid w:val="0"/>
              <w:jc w:val="center"/>
              <w:rPr>
                <w:szCs w:val="21"/>
              </w:rPr>
            </w:pPr>
            <w:r>
              <w:rPr>
                <w:szCs w:val="21"/>
              </w:rPr>
              <w:t>1,1,1-三氯乙烷</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22</w:t>
            </w:r>
          </w:p>
        </w:tc>
        <w:tc>
          <w:tcPr>
            <w:tcW w:w="1051" w:type="pct"/>
            <w:gridSpan w:val="2"/>
            <w:vAlign w:val="center"/>
          </w:tcPr>
          <w:p>
            <w:pPr>
              <w:snapToGrid w:val="0"/>
              <w:jc w:val="center"/>
              <w:rPr>
                <w:szCs w:val="21"/>
              </w:rPr>
            </w:pPr>
            <w:r>
              <w:rPr>
                <w:szCs w:val="21"/>
              </w:rPr>
              <w:t>1,1,2-三氯乙烷</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23</w:t>
            </w:r>
          </w:p>
        </w:tc>
        <w:tc>
          <w:tcPr>
            <w:tcW w:w="1051" w:type="pct"/>
            <w:gridSpan w:val="2"/>
            <w:vAlign w:val="center"/>
          </w:tcPr>
          <w:p>
            <w:pPr>
              <w:snapToGrid w:val="0"/>
              <w:jc w:val="center"/>
              <w:rPr>
                <w:szCs w:val="21"/>
              </w:rPr>
            </w:pPr>
            <w:r>
              <w:rPr>
                <w:szCs w:val="21"/>
              </w:rPr>
              <w:t>三氯乙烯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24</w:t>
            </w:r>
          </w:p>
        </w:tc>
        <w:tc>
          <w:tcPr>
            <w:tcW w:w="1051" w:type="pct"/>
            <w:gridSpan w:val="2"/>
            <w:vAlign w:val="center"/>
          </w:tcPr>
          <w:p>
            <w:pPr>
              <w:snapToGrid w:val="0"/>
              <w:jc w:val="center"/>
              <w:rPr>
                <w:szCs w:val="21"/>
              </w:rPr>
            </w:pPr>
            <w:r>
              <w:rPr>
                <w:szCs w:val="21"/>
              </w:rPr>
              <w:t>1,2,3-三氯丙烷</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25</w:t>
            </w:r>
          </w:p>
        </w:tc>
        <w:tc>
          <w:tcPr>
            <w:tcW w:w="1051" w:type="pct"/>
            <w:gridSpan w:val="2"/>
            <w:vAlign w:val="center"/>
          </w:tcPr>
          <w:p>
            <w:pPr>
              <w:snapToGrid w:val="0"/>
              <w:jc w:val="center"/>
              <w:rPr>
                <w:szCs w:val="21"/>
              </w:rPr>
            </w:pPr>
            <w:r>
              <w:rPr>
                <w:szCs w:val="21"/>
              </w:rPr>
              <w:t>氯乙烯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26</w:t>
            </w:r>
          </w:p>
        </w:tc>
        <w:tc>
          <w:tcPr>
            <w:tcW w:w="1051" w:type="pct"/>
            <w:gridSpan w:val="2"/>
            <w:vAlign w:val="center"/>
          </w:tcPr>
          <w:p>
            <w:pPr>
              <w:snapToGrid w:val="0"/>
              <w:jc w:val="center"/>
              <w:rPr>
                <w:szCs w:val="21"/>
              </w:rPr>
            </w:pPr>
            <w:r>
              <w:rPr>
                <w:szCs w:val="21"/>
              </w:rPr>
              <w:t>氯苯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0.005mg/kg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27</w:t>
            </w:r>
          </w:p>
        </w:tc>
        <w:tc>
          <w:tcPr>
            <w:tcW w:w="1051" w:type="pct"/>
            <w:gridSpan w:val="2"/>
            <w:vAlign w:val="center"/>
          </w:tcPr>
          <w:p>
            <w:pPr>
              <w:snapToGrid w:val="0"/>
              <w:jc w:val="center"/>
              <w:rPr>
                <w:szCs w:val="21"/>
              </w:rPr>
            </w:pPr>
            <w:r>
              <w:rPr>
                <w:szCs w:val="21"/>
              </w:rPr>
              <w:t>1,2-二氯苯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28</w:t>
            </w:r>
          </w:p>
        </w:tc>
        <w:tc>
          <w:tcPr>
            <w:tcW w:w="1051" w:type="pct"/>
            <w:gridSpan w:val="2"/>
            <w:vAlign w:val="center"/>
          </w:tcPr>
          <w:p>
            <w:pPr>
              <w:snapToGrid w:val="0"/>
              <w:jc w:val="center"/>
              <w:rPr>
                <w:szCs w:val="21"/>
              </w:rPr>
            </w:pPr>
            <w:r>
              <w:rPr>
                <w:szCs w:val="21"/>
              </w:rPr>
              <w:t>1,4-二氯苯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0.008mg/kg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29</w:t>
            </w:r>
          </w:p>
        </w:tc>
        <w:tc>
          <w:tcPr>
            <w:tcW w:w="1051" w:type="pct"/>
            <w:gridSpan w:val="2"/>
            <w:vAlign w:val="center"/>
          </w:tcPr>
          <w:p>
            <w:pPr>
              <w:snapToGrid w:val="0"/>
              <w:jc w:val="center"/>
              <w:rPr>
                <w:szCs w:val="21"/>
              </w:rPr>
            </w:pPr>
            <w:r>
              <w:rPr>
                <w:szCs w:val="21"/>
              </w:rPr>
              <w:t>乙苯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0.006mg/kg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30</w:t>
            </w:r>
          </w:p>
        </w:tc>
        <w:tc>
          <w:tcPr>
            <w:tcW w:w="1051" w:type="pct"/>
            <w:gridSpan w:val="2"/>
            <w:vAlign w:val="center"/>
          </w:tcPr>
          <w:p>
            <w:pPr>
              <w:snapToGrid w:val="0"/>
              <w:jc w:val="center"/>
              <w:rPr>
                <w:szCs w:val="21"/>
              </w:rPr>
            </w:pPr>
            <w:r>
              <w:rPr>
                <w:szCs w:val="21"/>
              </w:rPr>
              <w:t>甲苯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0.006mg/kg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31</w:t>
            </w:r>
          </w:p>
        </w:tc>
        <w:tc>
          <w:tcPr>
            <w:tcW w:w="1051" w:type="pct"/>
            <w:gridSpan w:val="2"/>
            <w:vAlign w:val="center"/>
          </w:tcPr>
          <w:p>
            <w:pPr>
              <w:snapToGrid w:val="0"/>
              <w:jc w:val="center"/>
              <w:rPr>
                <w:szCs w:val="21"/>
              </w:rPr>
            </w:pPr>
            <w:r>
              <w:rPr>
                <w:szCs w:val="21"/>
              </w:rPr>
              <w:t>间+对-二甲苯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snapToGrid w:val="0"/>
              <w:jc w:val="center"/>
              <w:rPr>
                <w:szCs w:val="21"/>
              </w:rPr>
            </w:pPr>
            <w:r>
              <w:rPr>
                <w:szCs w:val="21"/>
              </w:rPr>
              <w:t>32</w:t>
            </w:r>
          </w:p>
        </w:tc>
        <w:tc>
          <w:tcPr>
            <w:tcW w:w="1051" w:type="pct"/>
            <w:gridSpan w:val="2"/>
            <w:vAlign w:val="center"/>
          </w:tcPr>
          <w:p>
            <w:pPr>
              <w:snapToGrid w:val="0"/>
              <w:jc w:val="center"/>
              <w:rPr>
                <w:szCs w:val="21"/>
              </w:rPr>
            </w:pPr>
            <w:r>
              <w:rPr>
                <w:szCs w:val="21"/>
              </w:rPr>
              <w:t>邻-二甲苯+苯乙烯</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lang w:bidi="ar"/>
              </w:rPr>
            </w:pPr>
            <w:r>
              <w:rPr>
                <w:szCs w:val="21"/>
              </w:rPr>
              <w:t>33</w:t>
            </w:r>
          </w:p>
        </w:tc>
        <w:tc>
          <w:tcPr>
            <w:tcW w:w="1051" w:type="pct"/>
            <w:gridSpan w:val="2"/>
            <w:vAlign w:val="center"/>
          </w:tcPr>
          <w:p>
            <w:pPr>
              <w:jc w:val="center"/>
              <w:textAlignment w:val="center"/>
              <w:rPr>
                <w:szCs w:val="21"/>
              </w:rPr>
            </w:pPr>
            <w:r>
              <w:rPr>
                <w:szCs w:val="21"/>
                <w:lang w:bidi="ar"/>
              </w:rPr>
              <w:t>氯甲烷</w:t>
            </w:r>
            <w:r>
              <w:rPr>
                <w:szCs w:val="21"/>
                <w:vertAlign w:val="superscript"/>
                <w:lang w:bidi="ar"/>
              </w:rPr>
              <w:t>@</w:t>
            </w:r>
          </w:p>
        </w:tc>
        <w:tc>
          <w:tcPr>
            <w:tcW w:w="1513" w:type="pct"/>
            <w:vAlign w:val="center"/>
          </w:tcPr>
          <w:p>
            <w:pPr>
              <w:jc w:val="center"/>
              <w:textAlignment w:val="center"/>
              <w:rPr>
                <w:szCs w:val="21"/>
              </w:rPr>
            </w:pPr>
            <w:r>
              <w:rPr>
                <w:szCs w:val="21"/>
                <w:lang w:bidi="ar"/>
              </w:rPr>
              <w:t>《土壤和沉积物 挥发性有机物的测定 吹扫捕集/气相色谱-质谱法》HJ 605-2011</w:t>
            </w:r>
          </w:p>
        </w:tc>
        <w:tc>
          <w:tcPr>
            <w:tcW w:w="1445" w:type="pct"/>
            <w:vAlign w:val="center"/>
          </w:tcPr>
          <w:p>
            <w:pPr>
              <w:jc w:val="center"/>
              <w:textAlignment w:val="center"/>
              <w:rPr>
                <w:szCs w:val="21"/>
                <w:lang w:bidi="ar"/>
              </w:rPr>
            </w:pPr>
            <w:r>
              <w:rPr>
                <w:szCs w:val="21"/>
                <w:lang w:bidi="ar"/>
              </w:rPr>
              <w:t>吹扫捕集-气相色谱-质谱联用仪AtomxXYZ-8860(G2790A)</w:t>
            </w:r>
          </w:p>
          <w:p>
            <w:pPr>
              <w:jc w:val="center"/>
              <w:textAlignment w:val="center"/>
              <w:rPr>
                <w:szCs w:val="21"/>
                <w:highlight w:val="yellow"/>
                <w:lang w:bidi="ar"/>
              </w:rPr>
            </w:pPr>
            <w:r>
              <w:rPr>
                <w:szCs w:val="21"/>
                <w:lang w:bidi="ar"/>
              </w:rPr>
              <w:t>-G7081B YLYQ-1-008-1</w:t>
            </w:r>
          </w:p>
        </w:tc>
        <w:tc>
          <w:tcPr>
            <w:tcW w:w="685" w:type="pct"/>
            <w:vAlign w:val="center"/>
          </w:tcPr>
          <w:p>
            <w:pPr>
              <w:snapToGrid w:val="0"/>
              <w:jc w:val="center"/>
              <w:rPr>
                <w:szCs w:val="21"/>
              </w:rPr>
            </w:pPr>
            <w:r>
              <w:rPr>
                <w:szCs w:val="21"/>
              </w:rPr>
              <w:t>1.0μg/kg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lang w:bidi="ar"/>
              </w:rPr>
            </w:pPr>
            <w:r>
              <w:rPr>
                <w:szCs w:val="21"/>
              </w:rPr>
              <w:t>34</w:t>
            </w:r>
          </w:p>
        </w:tc>
        <w:tc>
          <w:tcPr>
            <w:tcW w:w="238" w:type="pct"/>
            <w:vMerge w:val="restart"/>
            <w:vAlign w:val="center"/>
          </w:tcPr>
          <w:p>
            <w:pPr>
              <w:jc w:val="center"/>
              <w:textAlignment w:val="center"/>
              <w:rPr>
                <w:szCs w:val="21"/>
              </w:rPr>
            </w:pPr>
            <w:r>
              <w:rPr>
                <w:szCs w:val="21"/>
                <w:lang w:bidi="ar"/>
              </w:rPr>
              <w:t>苯胺</w:t>
            </w:r>
            <w:r>
              <w:rPr>
                <w:szCs w:val="21"/>
                <w:vertAlign w:val="superscript"/>
                <w:lang w:bidi="ar"/>
              </w:rPr>
              <w:t>@</w:t>
            </w:r>
          </w:p>
        </w:tc>
        <w:tc>
          <w:tcPr>
            <w:tcW w:w="813" w:type="pct"/>
            <w:vAlign w:val="center"/>
          </w:tcPr>
          <w:p>
            <w:pPr>
              <w:jc w:val="center"/>
              <w:textAlignment w:val="center"/>
              <w:rPr>
                <w:szCs w:val="21"/>
                <w:highlight w:val="yellow"/>
              </w:rPr>
            </w:pPr>
            <w:r>
              <w:rPr>
                <w:kern w:val="0"/>
                <w:szCs w:val="21"/>
              </w:rPr>
              <w:t>4-氯苯胺</w:t>
            </w:r>
            <w:r>
              <w:rPr>
                <w:szCs w:val="21"/>
                <w:vertAlign w:val="superscript"/>
                <w:lang w:bidi="ar"/>
              </w:rPr>
              <w:t>@</w:t>
            </w:r>
          </w:p>
        </w:tc>
        <w:tc>
          <w:tcPr>
            <w:tcW w:w="1513" w:type="pct"/>
            <w:vMerge w:val="restart"/>
            <w:vAlign w:val="center"/>
          </w:tcPr>
          <w:p>
            <w:pPr>
              <w:jc w:val="center"/>
              <w:textAlignment w:val="center"/>
              <w:rPr>
                <w:szCs w:val="21"/>
              </w:rPr>
            </w:pPr>
            <w:r>
              <w:rPr>
                <w:szCs w:val="21"/>
                <w:lang w:bidi="ar"/>
              </w:rPr>
              <w:t>《土壤和沉积物 半挥发性有机物的测定 气相色谱-质谱法》HJ 834-2017</w:t>
            </w:r>
          </w:p>
        </w:tc>
        <w:tc>
          <w:tcPr>
            <w:tcW w:w="1445" w:type="pct"/>
            <w:vMerge w:val="restart"/>
            <w:vAlign w:val="center"/>
          </w:tcPr>
          <w:p>
            <w:pPr>
              <w:jc w:val="center"/>
              <w:textAlignment w:val="center"/>
              <w:rPr>
                <w:szCs w:val="21"/>
                <w:lang w:bidi="ar"/>
              </w:rPr>
            </w:pPr>
            <w:r>
              <w:rPr>
                <w:szCs w:val="21"/>
                <w:lang w:bidi="ar"/>
              </w:rPr>
              <w:t>气相色谱-质谱联用仪</w:t>
            </w:r>
          </w:p>
          <w:p>
            <w:pPr>
              <w:jc w:val="center"/>
              <w:textAlignment w:val="center"/>
              <w:rPr>
                <w:szCs w:val="21"/>
                <w:lang w:bidi="ar"/>
              </w:rPr>
            </w:pPr>
            <w:r>
              <w:rPr>
                <w:szCs w:val="21"/>
                <w:lang w:bidi="ar"/>
              </w:rPr>
              <w:t>8860(G2790A)-G7081B</w:t>
            </w:r>
          </w:p>
          <w:p>
            <w:pPr>
              <w:jc w:val="center"/>
              <w:textAlignment w:val="center"/>
              <w:rPr>
                <w:szCs w:val="21"/>
                <w:lang w:bidi="ar"/>
              </w:rPr>
            </w:pPr>
            <w:r>
              <w:rPr>
                <w:szCs w:val="21"/>
                <w:lang w:bidi="ar"/>
              </w:rPr>
              <w:t>YLYQ-1-008-1</w:t>
            </w:r>
          </w:p>
        </w:tc>
        <w:tc>
          <w:tcPr>
            <w:tcW w:w="685" w:type="pct"/>
            <w:vAlign w:val="center"/>
          </w:tcPr>
          <w:p>
            <w:pPr>
              <w:snapToGrid w:val="0"/>
              <w:jc w:val="center"/>
              <w:rPr>
                <w:szCs w:val="21"/>
                <w:highlight w:val="yellow"/>
              </w:rPr>
            </w:pPr>
            <w:r>
              <w:rPr>
                <w:szCs w:val="21"/>
              </w:rPr>
              <w:t>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lang w:bidi="ar"/>
              </w:rPr>
            </w:pPr>
            <w:r>
              <w:rPr>
                <w:szCs w:val="21"/>
                <w:lang w:bidi="ar"/>
              </w:rPr>
              <w:t>35</w:t>
            </w:r>
          </w:p>
        </w:tc>
        <w:tc>
          <w:tcPr>
            <w:tcW w:w="238" w:type="pct"/>
            <w:vMerge w:val="continue"/>
            <w:vAlign w:val="center"/>
          </w:tcPr>
          <w:p>
            <w:pPr>
              <w:jc w:val="center"/>
              <w:textAlignment w:val="center"/>
              <w:rPr>
                <w:szCs w:val="21"/>
                <w:lang w:bidi="ar"/>
              </w:rPr>
            </w:pPr>
          </w:p>
        </w:tc>
        <w:tc>
          <w:tcPr>
            <w:tcW w:w="813" w:type="pct"/>
            <w:vAlign w:val="center"/>
          </w:tcPr>
          <w:p>
            <w:pPr>
              <w:jc w:val="center"/>
              <w:textAlignment w:val="center"/>
              <w:rPr>
                <w:szCs w:val="21"/>
                <w:highlight w:val="yellow"/>
                <w:lang w:bidi="ar"/>
              </w:rPr>
            </w:pPr>
            <w:r>
              <w:rPr>
                <w:kern w:val="0"/>
                <w:szCs w:val="21"/>
              </w:rPr>
              <w:t>2-硝基苯胺</w:t>
            </w:r>
            <w:r>
              <w:rPr>
                <w:szCs w:val="21"/>
                <w:vertAlign w:val="superscript"/>
                <w:lang w:bidi="ar"/>
              </w:rPr>
              <w:t>@</w:t>
            </w:r>
          </w:p>
        </w:tc>
        <w:tc>
          <w:tcPr>
            <w:tcW w:w="1513" w:type="pct"/>
            <w:vMerge w:val="continue"/>
            <w:vAlign w:val="center"/>
          </w:tcPr>
          <w:p>
            <w:pPr>
              <w:jc w:val="center"/>
              <w:textAlignment w:val="center"/>
              <w:rPr>
                <w:szCs w:val="21"/>
                <w:highlight w:val="yellow"/>
                <w:lang w:bidi="ar"/>
              </w:rPr>
            </w:pPr>
          </w:p>
        </w:tc>
        <w:tc>
          <w:tcPr>
            <w:tcW w:w="1445" w:type="pct"/>
            <w:vMerge w:val="continue"/>
            <w:vAlign w:val="center"/>
          </w:tcPr>
          <w:p>
            <w:pPr>
              <w:jc w:val="center"/>
              <w:textAlignment w:val="center"/>
              <w:rPr>
                <w:szCs w:val="21"/>
                <w:highlight w:val="yellow"/>
                <w:lang w:bidi="ar"/>
              </w:rPr>
            </w:pPr>
          </w:p>
        </w:tc>
        <w:tc>
          <w:tcPr>
            <w:tcW w:w="685" w:type="pct"/>
            <w:vAlign w:val="center"/>
          </w:tcPr>
          <w:p>
            <w:pPr>
              <w:snapToGrid w:val="0"/>
              <w:jc w:val="center"/>
              <w:rPr>
                <w:szCs w:val="21"/>
                <w:highlight w:val="yellow"/>
              </w:rPr>
            </w:pPr>
            <w:r>
              <w:rPr>
                <w:szCs w:val="21"/>
              </w:rPr>
              <w:t>0.08mg/kg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lang w:bidi="ar"/>
              </w:rPr>
            </w:pPr>
            <w:r>
              <w:rPr>
                <w:szCs w:val="21"/>
                <w:lang w:bidi="ar"/>
              </w:rPr>
              <w:t>36</w:t>
            </w:r>
          </w:p>
        </w:tc>
        <w:tc>
          <w:tcPr>
            <w:tcW w:w="238" w:type="pct"/>
            <w:vMerge w:val="continue"/>
            <w:vAlign w:val="center"/>
          </w:tcPr>
          <w:p>
            <w:pPr>
              <w:jc w:val="center"/>
              <w:textAlignment w:val="center"/>
              <w:rPr>
                <w:szCs w:val="21"/>
                <w:lang w:bidi="ar"/>
              </w:rPr>
            </w:pPr>
          </w:p>
        </w:tc>
        <w:tc>
          <w:tcPr>
            <w:tcW w:w="813" w:type="pct"/>
            <w:vAlign w:val="center"/>
          </w:tcPr>
          <w:p>
            <w:pPr>
              <w:jc w:val="center"/>
              <w:textAlignment w:val="center"/>
              <w:rPr>
                <w:szCs w:val="21"/>
                <w:highlight w:val="yellow"/>
                <w:lang w:bidi="ar"/>
              </w:rPr>
            </w:pPr>
            <w:r>
              <w:rPr>
                <w:kern w:val="0"/>
                <w:szCs w:val="21"/>
              </w:rPr>
              <w:t>3-硝基苯胺</w:t>
            </w:r>
            <w:r>
              <w:rPr>
                <w:szCs w:val="21"/>
                <w:vertAlign w:val="superscript"/>
                <w:lang w:bidi="ar"/>
              </w:rPr>
              <w:t>@</w:t>
            </w:r>
          </w:p>
        </w:tc>
        <w:tc>
          <w:tcPr>
            <w:tcW w:w="1513" w:type="pct"/>
            <w:vMerge w:val="continue"/>
            <w:vAlign w:val="center"/>
          </w:tcPr>
          <w:p>
            <w:pPr>
              <w:jc w:val="center"/>
              <w:textAlignment w:val="center"/>
              <w:rPr>
                <w:szCs w:val="21"/>
                <w:highlight w:val="yellow"/>
                <w:lang w:bidi="ar"/>
              </w:rPr>
            </w:pPr>
          </w:p>
        </w:tc>
        <w:tc>
          <w:tcPr>
            <w:tcW w:w="1445" w:type="pct"/>
            <w:vMerge w:val="continue"/>
            <w:vAlign w:val="center"/>
          </w:tcPr>
          <w:p>
            <w:pPr>
              <w:jc w:val="center"/>
              <w:textAlignment w:val="center"/>
              <w:rPr>
                <w:szCs w:val="21"/>
                <w:highlight w:val="yellow"/>
                <w:lang w:bidi="ar"/>
              </w:rPr>
            </w:pPr>
          </w:p>
        </w:tc>
        <w:tc>
          <w:tcPr>
            <w:tcW w:w="685" w:type="pct"/>
            <w:vAlign w:val="center"/>
          </w:tcPr>
          <w:p>
            <w:pPr>
              <w:snapToGrid w:val="0"/>
              <w:jc w:val="center"/>
              <w:rPr>
                <w:szCs w:val="21"/>
                <w:highlight w:val="yellow"/>
              </w:rPr>
            </w:pPr>
            <w:r>
              <w:rPr>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lang w:bidi="ar"/>
              </w:rPr>
            </w:pPr>
            <w:r>
              <w:rPr>
                <w:szCs w:val="21"/>
                <w:lang w:bidi="ar"/>
              </w:rPr>
              <w:t>37</w:t>
            </w:r>
          </w:p>
        </w:tc>
        <w:tc>
          <w:tcPr>
            <w:tcW w:w="238" w:type="pct"/>
            <w:vMerge w:val="continue"/>
            <w:vAlign w:val="center"/>
          </w:tcPr>
          <w:p>
            <w:pPr>
              <w:jc w:val="center"/>
              <w:textAlignment w:val="center"/>
              <w:rPr>
                <w:szCs w:val="21"/>
                <w:lang w:bidi="ar"/>
              </w:rPr>
            </w:pPr>
          </w:p>
        </w:tc>
        <w:tc>
          <w:tcPr>
            <w:tcW w:w="813" w:type="pct"/>
            <w:vAlign w:val="center"/>
          </w:tcPr>
          <w:p>
            <w:pPr>
              <w:jc w:val="center"/>
              <w:textAlignment w:val="center"/>
              <w:rPr>
                <w:szCs w:val="21"/>
                <w:highlight w:val="yellow"/>
                <w:lang w:bidi="ar"/>
              </w:rPr>
            </w:pPr>
            <w:r>
              <w:rPr>
                <w:kern w:val="0"/>
                <w:szCs w:val="21"/>
              </w:rPr>
              <w:t>4-硝基苯胺</w:t>
            </w:r>
            <w:r>
              <w:rPr>
                <w:szCs w:val="21"/>
                <w:vertAlign w:val="superscript"/>
                <w:lang w:bidi="ar"/>
              </w:rPr>
              <w:t>@</w:t>
            </w:r>
          </w:p>
        </w:tc>
        <w:tc>
          <w:tcPr>
            <w:tcW w:w="1513" w:type="pct"/>
            <w:vMerge w:val="continue"/>
            <w:vAlign w:val="center"/>
          </w:tcPr>
          <w:p>
            <w:pPr>
              <w:jc w:val="center"/>
              <w:textAlignment w:val="center"/>
              <w:rPr>
                <w:szCs w:val="21"/>
                <w:highlight w:val="yellow"/>
                <w:lang w:bidi="ar"/>
              </w:rPr>
            </w:pPr>
          </w:p>
        </w:tc>
        <w:tc>
          <w:tcPr>
            <w:tcW w:w="1445" w:type="pct"/>
            <w:vMerge w:val="continue"/>
            <w:vAlign w:val="center"/>
          </w:tcPr>
          <w:p>
            <w:pPr>
              <w:jc w:val="center"/>
              <w:textAlignment w:val="center"/>
              <w:rPr>
                <w:szCs w:val="21"/>
                <w:highlight w:val="yellow"/>
                <w:lang w:bidi="ar"/>
              </w:rPr>
            </w:pPr>
          </w:p>
        </w:tc>
        <w:tc>
          <w:tcPr>
            <w:tcW w:w="685" w:type="pct"/>
            <w:vAlign w:val="center"/>
          </w:tcPr>
          <w:p>
            <w:pPr>
              <w:snapToGrid w:val="0"/>
              <w:jc w:val="center"/>
              <w:rPr>
                <w:szCs w:val="21"/>
                <w:highlight w:val="yellow"/>
              </w:rPr>
            </w:pPr>
            <w:r>
              <w:rPr>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lang w:bidi="ar"/>
              </w:rPr>
            </w:pPr>
            <w:r>
              <w:rPr>
                <w:szCs w:val="21"/>
                <w:lang w:bidi="ar"/>
              </w:rPr>
              <w:t>38</w:t>
            </w:r>
          </w:p>
        </w:tc>
        <w:tc>
          <w:tcPr>
            <w:tcW w:w="1051" w:type="pct"/>
            <w:gridSpan w:val="2"/>
            <w:vAlign w:val="center"/>
          </w:tcPr>
          <w:p>
            <w:pPr>
              <w:jc w:val="center"/>
              <w:textAlignment w:val="center"/>
              <w:rPr>
                <w:szCs w:val="21"/>
                <w:highlight w:val="yellow"/>
              </w:rPr>
            </w:pPr>
            <w:r>
              <w:rPr>
                <w:szCs w:val="21"/>
                <w:lang w:bidi="ar"/>
              </w:rPr>
              <w:t>硝基苯</w:t>
            </w:r>
            <w:r>
              <w:rPr>
                <w:szCs w:val="21"/>
                <w:vertAlign w:val="superscript"/>
                <w:lang w:bidi="ar"/>
              </w:rPr>
              <w:t>@</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rPr>
                <w:szCs w:val="21"/>
                <w:lang w:bidi="ar"/>
              </w:rPr>
            </w:pPr>
            <w:r>
              <w:rPr>
                <w:szCs w:val="21"/>
                <w:lang w:bidi="ar"/>
              </w:rPr>
              <w:t>39</w:t>
            </w:r>
          </w:p>
        </w:tc>
        <w:tc>
          <w:tcPr>
            <w:tcW w:w="1051" w:type="pct"/>
            <w:gridSpan w:val="2"/>
            <w:vAlign w:val="center"/>
          </w:tcPr>
          <w:p>
            <w:pPr>
              <w:jc w:val="center"/>
              <w:rPr>
                <w:szCs w:val="21"/>
              </w:rPr>
            </w:pPr>
            <w:r>
              <w:rPr>
                <w:szCs w:val="21"/>
                <w:lang w:bidi="ar"/>
              </w:rPr>
              <w:t>2-氯酚</w:t>
            </w:r>
            <w:r>
              <w:rPr>
                <w:szCs w:val="21"/>
                <w:vertAlign w:val="superscript"/>
                <w:lang w:bidi="ar"/>
              </w:rPr>
              <w:t>@</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lang w:bidi="ar"/>
              </w:rPr>
            </w:pPr>
            <w:r>
              <w:rPr>
                <w:szCs w:val="21"/>
              </w:rPr>
              <w:t>40</w:t>
            </w:r>
          </w:p>
        </w:tc>
        <w:tc>
          <w:tcPr>
            <w:tcW w:w="1051" w:type="pct"/>
            <w:gridSpan w:val="2"/>
            <w:vAlign w:val="center"/>
          </w:tcPr>
          <w:p>
            <w:pPr>
              <w:jc w:val="center"/>
              <w:textAlignment w:val="center"/>
              <w:rPr>
                <w:szCs w:val="21"/>
              </w:rPr>
            </w:pPr>
            <w:r>
              <w:rPr>
                <w:szCs w:val="21"/>
                <w:lang w:bidi="ar"/>
              </w:rPr>
              <w:t>苯并[a]蒽</w:t>
            </w:r>
            <w:r>
              <w:rPr>
                <w:szCs w:val="21"/>
                <w:vertAlign w:val="superscript"/>
                <w:lang w:bidi="ar"/>
              </w:rPr>
              <w:t>@</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rPr>
            </w:pPr>
            <w:r>
              <w:rPr>
                <w:szCs w:val="21"/>
              </w:rPr>
              <w:t>41</w:t>
            </w:r>
          </w:p>
        </w:tc>
        <w:tc>
          <w:tcPr>
            <w:tcW w:w="1051" w:type="pct"/>
            <w:gridSpan w:val="2"/>
            <w:vAlign w:val="center"/>
          </w:tcPr>
          <w:p>
            <w:pPr>
              <w:jc w:val="center"/>
              <w:textAlignment w:val="center"/>
              <w:rPr>
                <w:szCs w:val="21"/>
              </w:rPr>
            </w:pPr>
            <w:r>
              <w:rPr>
                <w:szCs w:val="21"/>
              </w:rPr>
              <w:t>苯并</w:t>
            </w:r>
            <w:r>
              <w:rPr>
                <w:bCs/>
                <w:szCs w:val="21"/>
              </w:rPr>
              <w:t>[</w:t>
            </w:r>
            <w:r>
              <w:rPr>
                <w:szCs w:val="21"/>
              </w:rPr>
              <w:t>a</w:t>
            </w:r>
            <w:r>
              <w:rPr>
                <w:bCs/>
                <w:szCs w:val="21"/>
              </w:rPr>
              <w:t>]</w:t>
            </w:r>
            <w:r>
              <w:rPr>
                <w:szCs w:val="21"/>
              </w:rPr>
              <w:t>芘</w:t>
            </w:r>
            <w:r>
              <w:rPr>
                <w:szCs w:val="21"/>
                <w:vertAlign w:val="superscript"/>
                <w:lang w:bidi="ar"/>
              </w:rPr>
              <w:t>@</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rPr>
            </w:pPr>
            <w:r>
              <w:rPr>
                <w:szCs w:val="21"/>
              </w:rPr>
              <w:t>42</w:t>
            </w:r>
          </w:p>
        </w:tc>
        <w:tc>
          <w:tcPr>
            <w:tcW w:w="1051" w:type="pct"/>
            <w:gridSpan w:val="2"/>
            <w:vAlign w:val="center"/>
          </w:tcPr>
          <w:p>
            <w:pPr>
              <w:jc w:val="center"/>
              <w:textAlignment w:val="center"/>
              <w:rPr>
                <w:szCs w:val="21"/>
              </w:rPr>
            </w:pPr>
            <w:r>
              <w:rPr>
                <w:szCs w:val="21"/>
              </w:rPr>
              <w:t>苯并</w:t>
            </w:r>
            <w:r>
              <w:rPr>
                <w:bCs/>
                <w:szCs w:val="21"/>
              </w:rPr>
              <w:t>[</w:t>
            </w:r>
            <w:r>
              <w:rPr>
                <w:szCs w:val="21"/>
              </w:rPr>
              <w:t>b</w:t>
            </w:r>
            <w:r>
              <w:rPr>
                <w:bCs/>
                <w:szCs w:val="21"/>
              </w:rPr>
              <w:t>]</w:t>
            </w:r>
            <w:r>
              <w:rPr>
                <w:szCs w:val="21"/>
              </w:rPr>
              <w:t>荧蒽</w:t>
            </w:r>
            <w:r>
              <w:rPr>
                <w:szCs w:val="21"/>
                <w:vertAlign w:val="superscript"/>
                <w:lang w:bidi="ar"/>
              </w:rPr>
              <w:t>@</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rPr>
            </w:pPr>
            <w:r>
              <w:rPr>
                <w:szCs w:val="21"/>
              </w:rPr>
              <w:t>43</w:t>
            </w:r>
          </w:p>
        </w:tc>
        <w:tc>
          <w:tcPr>
            <w:tcW w:w="1051" w:type="pct"/>
            <w:gridSpan w:val="2"/>
            <w:vAlign w:val="center"/>
          </w:tcPr>
          <w:p>
            <w:pPr>
              <w:jc w:val="center"/>
              <w:textAlignment w:val="center"/>
              <w:rPr>
                <w:szCs w:val="21"/>
              </w:rPr>
            </w:pPr>
            <w:r>
              <w:rPr>
                <w:szCs w:val="21"/>
              </w:rPr>
              <w:t>苯并</w:t>
            </w:r>
            <w:r>
              <w:rPr>
                <w:bCs/>
                <w:szCs w:val="21"/>
              </w:rPr>
              <w:t>[</w:t>
            </w:r>
            <w:r>
              <w:rPr>
                <w:szCs w:val="21"/>
              </w:rPr>
              <w:t>k</w:t>
            </w:r>
            <w:r>
              <w:rPr>
                <w:bCs/>
                <w:szCs w:val="21"/>
              </w:rPr>
              <w:t>]</w:t>
            </w:r>
            <w:r>
              <w:rPr>
                <w:szCs w:val="21"/>
              </w:rPr>
              <w:t>荧蒽</w:t>
            </w:r>
            <w:r>
              <w:rPr>
                <w:szCs w:val="21"/>
                <w:vertAlign w:val="superscript"/>
                <w:lang w:bidi="ar"/>
              </w:rPr>
              <w:t>@</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rPr>
            </w:pPr>
            <w:r>
              <w:rPr>
                <w:szCs w:val="21"/>
              </w:rPr>
              <w:t>44</w:t>
            </w:r>
          </w:p>
        </w:tc>
        <w:tc>
          <w:tcPr>
            <w:tcW w:w="1051" w:type="pct"/>
            <w:gridSpan w:val="2"/>
            <w:vAlign w:val="center"/>
          </w:tcPr>
          <w:p>
            <w:pPr>
              <w:jc w:val="center"/>
              <w:textAlignment w:val="center"/>
              <w:rPr>
                <w:szCs w:val="21"/>
              </w:rPr>
            </w:pPr>
            <w:r>
              <w:rPr>
                <w:szCs w:val="21"/>
              </w:rPr>
              <w:t>䓛</w:t>
            </w:r>
            <w:r>
              <w:rPr>
                <w:szCs w:val="21"/>
                <w:vertAlign w:val="superscript"/>
                <w:lang w:bidi="ar"/>
              </w:rPr>
              <w:t>@</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rPr>
            </w:pPr>
            <w:r>
              <w:rPr>
                <w:szCs w:val="21"/>
              </w:rPr>
              <w:t>45</w:t>
            </w:r>
          </w:p>
        </w:tc>
        <w:tc>
          <w:tcPr>
            <w:tcW w:w="1051" w:type="pct"/>
            <w:gridSpan w:val="2"/>
            <w:vAlign w:val="center"/>
          </w:tcPr>
          <w:p>
            <w:pPr>
              <w:jc w:val="center"/>
              <w:textAlignment w:val="center"/>
              <w:rPr>
                <w:bCs/>
                <w:szCs w:val="21"/>
              </w:rPr>
            </w:pPr>
            <w:r>
              <w:rPr>
                <w:szCs w:val="21"/>
              </w:rPr>
              <w:t>二苯并</w:t>
            </w:r>
            <w:r>
              <w:rPr>
                <w:bCs/>
                <w:szCs w:val="21"/>
              </w:rPr>
              <w:t>[</w:t>
            </w:r>
            <w:r>
              <w:rPr>
                <w:szCs w:val="21"/>
              </w:rPr>
              <w:t>a, h</w:t>
            </w:r>
            <w:r>
              <w:rPr>
                <w:bCs/>
                <w:szCs w:val="21"/>
              </w:rPr>
              <w:t>]</w:t>
            </w:r>
          </w:p>
          <w:p>
            <w:pPr>
              <w:jc w:val="center"/>
              <w:textAlignment w:val="center"/>
              <w:rPr>
                <w:szCs w:val="21"/>
              </w:rPr>
            </w:pPr>
            <w:r>
              <w:rPr>
                <w:szCs w:val="21"/>
              </w:rPr>
              <w:t>蒽</w:t>
            </w:r>
            <w:r>
              <w:rPr>
                <w:szCs w:val="21"/>
                <w:vertAlign w:val="superscript"/>
                <w:lang w:bidi="ar"/>
              </w:rPr>
              <w:t>@</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rPr>
            </w:pPr>
            <w:r>
              <w:rPr>
                <w:rFonts w:hint="eastAsia"/>
                <w:szCs w:val="21"/>
              </w:rPr>
              <w:t>4</w:t>
            </w:r>
            <w:r>
              <w:rPr>
                <w:szCs w:val="21"/>
              </w:rPr>
              <w:t>6</w:t>
            </w:r>
          </w:p>
        </w:tc>
        <w:tc>
          <w:tcPr>
            <w:tcW w:w="1051" w:type="pct"/>
            <w:gridSpan w:val="2"/>
            <w:vAlign w:val="center"/>
          </w:tcPr>
          <w:p>
            <w:pPr>
              <w:jc w:val="center"/>
              <w:textAlignment w:val="center"/>
              <w:rPr>
                <w:szCs w:val="21"/>
              </w:rPr>
            </w:pPr>
            <w:r>
              <w:rPr>
                <w:szCs w:val="21"/>
              </w:rPr>
              <w:t>茚并</w:t>
            </w:r>
            <w:r>
              <w:rPr>
                <w:bCs/>
                <w:szCs w:val="21"/>
              </w:rPr>
              <w:t>[</w:t>
            </w:r>
            <w:r>
              <w:rPr>
                <w:szCs w:val="21"/>
              </w:rPr>
              <w:t>1,2,3-cd</w:t>
            </w:r>
            <w:r>
              <w:rPr>
                <w:bCs/>
                <w:szCs w:val="21"/>
              </w:rPr>
              <w:t>]</w:t>
            </w:r>
            <w:r>
              <w:rPr>
                <w:szCs w:val="21"/>
              </w:rPr>
              <w:t>芘</w:t>
            </w:r>
            <w:r>
              <w:rPr>
                <w:szCs w:val="21"/>
                <w:vertAlign w:val="superscript"/>
                <w:lang w:bidi="ar"/>
              </w:rPr>
              <w:t>@</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lang w:bidi="ar"/>
              </w:rPr>
            </w:pPr>
            <w:r>
              <w:rPr>
                <w:rFonts w:hint="eastAsia"/>
                <w:szCs w:val="21"/>
                <w:lang w:bidi="ar"/>
              </w:rPr>
              <w:t>4</w:t>
            </w:r>
            <w:r>
              <w:rPr>
                <w:szCs w:val="21"/>
                <w:lang w:bidi="ar"/>
              </w:rPr>
              <w:t>7</w:t>
            </w:r>
          </w:p>
        </w:tc>
        <w:tc>
          <w:tcPr>
            <w:tcW w:w="1051" w:type="pct"/>
            <w:gridSpan w:val="2"/>
            <w:vAlign w:val="center"/>
          </w:tcPr>
          <w:p>
            <w:pPr>
              <w:jc w:val="center"/>
              <w:textAlignment w:val="center"/>
              <w:rPr>
                <w:szCs w:val="21"/>
              </w:rPr>
            </w:pPr>
            <w:r>
              <w:rPr>
                <w:szCs w:val="21"/>
                <w:lang w:bidi="ar"/>
              </w:rPr>
              <w:t>萘</w:t>
            </w:r>
            <w:r>
              <w:rPr>
                <w:szCs w:val="21"/>
                <w:vertAlign w:val="superscript"/>
                <w:lang w:bidi="ar"/>
              </w:rPr>
              <w:t>@</w:t>
            </w:r>
          </w:p>
        </w:tc>
        <w:tc>
          <w:tcPr>
            <w:tcW w:w="1513" w:type="pct"/>
            <w:vMerge w:val="continue"/>
            <w:vAlign w:val="center"/>
          </w:tcPr>
          <w:p>
            <w:pPr>
              <w:snapToGrid w:val="0"/>
              <w:jc w:val="center"/>
              <w:rPr>
                <w:szCs w:val="21"/>
                <w:highlight w:val="yellow"/>
              </w:rPr>
            </w:pPr>
          </w:p>
        </w:tc>
        <w:tc>
          <w:tcPr>
            <w:tcW w:w="1445" w:type="pct"/>
            <w:vMerge w:val="continue"/>
            <w:vAlign w:val="center"/>
          </w:tcPr>
          <w:p>
            <w:pPr>
              <w:snapToGrid w:val="0"/>
              <w:jc w:val="center"/>
              <w:textAlignment w:val="center"/>
              <w:rPr>
                <w:szCs w:val="21"/>
                <w:highlight w:val="yellow"/>
                <w:lang w:bidi="ar"/>
              </w:rPr>
            </w:pPr>
          </w:p>
        </w:tc>
        <w:tc>
          <w:tcPr>
            <w:tcW w:w="685" w:type="pct"/>
            <w:vAlign w:val="center"/>
          </w:tcPr>
          <w:p>
            <w:pPr>
              <w:snapToGrid w:val="0"/>
              <w:jc w:val="center"/>
              <w:rPr>
                <w:szCs w:val="21"/>
              </w:rPr>
            </w:pPr>
            <w:r>
              <w:rPr>
                <w:szCs w:val="21"/>
              </w:rPr>
              <w:t>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06" w:type="pct"/>
            <w:vAlign w:val="center"/>
          </w:tcPr>
          <w:p>
            <w:pPr>
              <w:jc w:val="center"/>
              <w:textAlignment w:val="center"/>
              <w:rPr>
                <w:szCs w:val="21"/>
              </w:rPr>
            </w:pPr>
            <w:r>
              <w:rPr>
                <w:rFonts w:hint="eastAsia"/>
                <w:szCs w:val="21"/>
              </w:rPr>
              <w:t>4</w:t>
            </w:r>
            <w:r>
              <w:rPr>
                <w:szCs w:val="21"/>
              </w:rPr>
              <w:t>8</w:t>
            </w:r>
          </w:p>
        </w:tc>
        <w:tc>
          <w:tcPr>
            <w:tcW w:w="1051" w:type="pct"/>
            <w:gridSpan w:val="2"/>
            <w:vAlign w:val="center"/>
          </w:tcPr>
          <w:p>
            <w:pPr>
              <w:jc w:val="center"/>
              <w:textAlignment w:val="center"/>
              <w:rPr>
                <w:szCs w:val="21"/>
                <w:lang w:bidi="ar"/>
              </w:rPr>
            </w:pPr>
            <w:r>
              <w:rPr>
                <w:rFonts w:hint="eastAsia"/>
                <w:szCs w:val="21"/>
              </w:rPr>
              <w:t>石油烃（C</w:t>
            </w:r>
            <w:r>
              <w:rPr>
                <w:rFonts w:hint="eastAsia"/>
                <w:szCs w:val="21"/>
                <w:vertAlign w:val="subscript"/>
              </w:rPr>
              <w:t>10</w:t>
            </w:r>
            <w:r>
              <w:rPr>
                <w:rFonts w:hint="eastAsia"/>
                <w:szCs w:val="21"/>
              </w:rPr>
              <w:t>-C</w:t>
            </w:r>
            <w:r>
              <w:rPr>
                <w:rFonts w:hint="eastAsia"/>
                <w:szCs w:val="21"/>
                <w:vertAlign w:val="subscript"/>
              </w:rPr>
              <w:t>40</w:t>
            </w:r>
            <w:r>
              <w:rPr>
                <w:rFonts w:hint="eastAsia"/>
                <w:szCs w:val="21"/>
              </w:rPr>
              <w:t>）</w:t>
            </w:r>
          </w:p>
        </w:tc>
        <w:tc>
          <w:tcPr>
            <w:tcW w:w="1513" w:type="pct"/>
            <w:vAlign w:val="center"/>
          </w:tcPr>
          <w:p>
            <w:pPr>
              <w:snapToGrid w:val="0"/>
              <w:jc w:val="center"/>
              <w:rPr>
                <w:szCs w:val="21"/>
                <w:highlight w:val="yellow"/>
              </w:rPr>
            </w:pPr>
            <w:r>
              <w:rPr>
                <w:rFonts w:hint="eastAsia"/>
                <w:szCs w:val="21"/>
              </w:rPr>
              <w:t>《土壤和沉积物 石油烃（C</w:t>
            </w:r>
            <w:r>
              <w:rPr>
                <w:rFonts w:hint="eastAsia"/>
                <w:szCs w:val="21"/>
                <w:vertAlign w:val="subscript"/>
              </w:rPr>
              <w:t>10</w:t>
            </w:r>
            <w:r>
              <w:rPr>
                <w:rFonts w:hint="eastAsia"/>
                <w:szCs w:val="21"/>
              </w:rPr>
              <w:t>-C</w:t>
            </w:r>
            <w:r>
              <w:rPr>
                <w:rFonts w:hint="eastAsia"/>
                <w:szCs w:val="21"/>
                <w:vertAlign w:val="subscript"/>
              </w:rPr>
              <w:t>40</w:t>
            </w:r>
            <w:r>
              <w:rPr>
                <w:rFonts w:hint="eastAsia"/>
                <w:szCs w:val="21"/>
              </w:rPr>
              <w:t>）的测定 气相色谱法》HJ 1021-2019</w:t>
            </w:r>
          </w:p>
        </w:tc>
        <w:tc>
          <w:tcPr>
            <w:tcW w:w="1445" w:type="pct"/>
            <w:vAlign w:val="center"/>
          </w:tcPr>
          <w:p>
            <w:pPr>
              <w:snapToGrid w:val="0"/>
              <w:jc w:val="center"/>
              <w:textAlignment w:val="center"/>
              <w:rPr>
                <w:szCs w:val="21"/>
              </w:rPr>
            </w:pPr>
            <w:r>
              <w:rPr>
                <w:rFonts w:hint="eastAsia"/>
                <w:szCs w:val="21"/>
              </w:rPr>
              <w:t>气相色谱仪PANNA A60</w:t>
            </w:r>
          </w:p>
          <w:p>
            <w:pPr>
              <w:snapToGrid w:val="0"/>
              <w:jc w:val="center"/>
              <w:textAlignment w:val="center"/>
              <w:rPr>
                <w:szCs w:val="21"/>
                <w:highlight w:val="yellow"/>
                <w:lang w:bidi="ar"/>
              </w:rPr>
            </w:pPr>
            <w:r>
              <w:rPr>
                <w:rFonts w:hint="eastAsia"/>
                <w:szCs w:val="21"/>
              </w:rPr>
              <w:t>YFYQ-004-01-2020</w:t>
            </w:r>
          </w:p>
        </w:tc>
        <w:tc>
          <w:tcPr>
            <w:tcW w:w="685" w:type="pct"/>
            <w:vAlign w:val="center"/>
          </w:tcPr>
          <w:p>
            <w:pPr>
              <w:snapToGrid w:val="0"/>
              <w:jc w:val="center"/>
              <w:rPr>
                <w:szCs w:val="21"/>
              </w:rPr>
            </w:pPr>
            <w:r>
              <w:rPr>
                <w:rFonts w:hint="eastAsia"/>
                <w:szCs w:val="21"/>
              </w:rPr>
              <w:t>6mg/kg</w:t>
            </w:r>
          </w:p>
        </w:tc>
      </w:tr>
    </w:tbl>
    <w:p>
      <w:pPr>
        <w:spacing w:line="500" w:lineRule="exact"/>
        <w:outlineLvl w:val="3"/>
        <w:rPr>
          <w:sz w:val="24"/>
          <w:szCs w:val="24"/>
        </w:rPr>
      </w:pPr>
      <w:r>
        <w:rPr>
          <w:sz w:val="24"/>
          <w:szCs w:val="24"/>
        </w:rPr>
        <w:t>4.3.5.4 监测结果</w:t>
      </w:r>
    </w:p>
    <w:p>
      <w:pPr>
        <w:spacing w:line="520" w:lineRule="exact"/>
        <w:ind w:firstLine="480" w:firstLineChars="200"/>
        <w:rPr>
          <w:kern w:val="0"/>
          <w:sz w:val="24"/>
          <w:szCs w:val="24"/>
        </w:rPr>
      </w:pPr>
      <w:r>
        <w:rPr>
          <w:kern w:val="0"/>
          <w:sz w:val="24"/>
          <w:szCs w:val="24"/>
        </w:rPr>
        <w:t>土壤监测结果见下表。</w:t>
      </w:r>
    </w:p>
    <w:p>
      <w:pPr>
        <w:snapToGrid w:val="0"/>
        <w:spacing w:line="520" w:lineRule="exact"/>
        <w:jc w:val="center"/>
        <w:rPr>
          <w:rFonts w:eastAsia="黑体"/>
          <w:sz w:val="24"/>
          <w:szCs w:val="24"/>
        </w:rPr>
      </w:pPr>
      <w:r>
        <w:rPr>
          <w:rFonts w:eastAsia="黑体"/>
          <w:sz w:val="24"/>
          <w:szCs w:val="24"/>
        </w:rPr>
        <w:t xml:space="preserve">表4.3-17          土壤检测结果（一）       单位：mg/kg（另注除外） </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96"/>
        <w:gridCol w:w="1699"/>
        <w:gridCol w:w="1169"/>
        <w:gridCol w:w="1242"/>
        <w:gridCol w:w="1418"/>
        <w:gridCol w:w="1276"/>
        <w:gridCol w:w="13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339" w:type="pct"/>
            <w:vMerge w:val="restart"/>
            <w:shd w:val="clear" w:color="auto" w:fill="auto"/>
            <w:vAlign w:val="center"/>
          </w:tcPr>
          <w:p>
            <w:pPr>
              <w:widowControl/>
              <w:snapToGrid w:val="0"/>
              <w:jc w:val="center"/>
              <w:rPr>
                <w:b/>
                <w:bCs/>
                <w:szCs w:val="21"/>
              </w:rPr>
            </w:pPr>
            <w:r>
              <w:rPr>
                <w:b/>
                <w:bCs/>
                <w:szCs w:val="21"/>
              </w:rPr>
              <w:t>序号</w:t>
            </w:r>
          </w:p>
        </w:tc>
        <w:tc>
          <w:tcPr>
            <w:tcW w:w="967" w:type="pct"/>
            <w:vMerge w:val="restart"/>
            <w:shd w:val="clear" w:color="auto" w:fill="auto"/>
            <w:vAlign w:val="center"/>
          </w:tcPr>
          <w:p>
            <w:pPr>
              <w:widowControl/>
              <w:snapToGrid w:val="0"/>
              <w:jc w:val="center"/>
              <w:rPr>
                <w:b/>
                <w:bCs/>
                <w:szCs w:val="21"/>
              </w:rPr>
            </w:pPr>
            <w:r>
              <w:rPr>
                <w:b/>
                <w:bCs/>
                <w:szCs w:val="21"/>
              </w:rPr>
              <w:t>检测因子</w:t>
            </w:r>
          </w:p>
        </w:tc>
        <w:tc>
          <w:tcPr>
            <w:tcW w:w="665" w:type="pct"/>
            <w:vMerge w:val="restart"/>
            <w:shd w:val="clear" w:color="auto" w:fill="auto"/>
            <w:vAlign w:val="center"/>
          </w:tcPr>
          <w:p>
            <w:pPr>
              <w:widowControl/>
              <w:snapToGrid w:val="0"/>
              <w:jc w:val="center"/>
              <w:rPr>
                <w:b/>
                <w:bCs/>
                <w:szCs w:val="21"/>
              </w:rPr>
            </w:pPr>
            <w:r>
              <w:rPr>
                <w:b/>
                <w:bCs/>
                <w:szCs w:val="21"/>
              </w:rPr>
              <w:t>采样时间</w:t>
            </w:r>
          </w:p>
        </w:tc>
        <w:tc>
          <w:tcPr>
            <w:tcW w:w="3029" w:type="pct"/>
            <w:gridSpan w:val="4"/>
            <w:shd w:val="clear" w:color="auto" w:fill="auto"/>
            <w:vAlign w:val="center"/>
          </w:tcPr>
          <w:p>
            <w:pPr>
              <w:widowControl/>
              <w:jc w:val="center"/>
              <w:textAlignment w:val="center"/>
              <w:rPr>
                <w:rFonts w:eastAsia="Times New Roman"/>
                <w:b/>
                <w:bCs/>
                <w:color w:val="000000"/>
                <w:kern w:val="0"/>
                <w:szCs w:val="21"/>
                <w:lang w:bidi="ar"/>
              </w:rPr>
            </w:pPr>
            <w:r>
              <w:rPr>
                <w:b/>
                <w:bCs/>
                <w:color w:val="000000"/>
                <w:kern w:val="0"/>
                <w:szCs w:val="21"/>
                <w:lang w:bidi="ar"/>
              </w:rPr>
              <w:t>检测结果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339" w:type="pct"/>
            <w:vMerge w:val="continue"/>
            <w:shd w:val="clear" w:color="auto" w:fill="auto"/>
            <w:vAlign w:val="center"/>
          </w:tcPr>
          <w:p>
            <w:pPr>
              <w:widowControl/>
              <w:jc w:val="center"/>
              <w:rPr>
                <w:b/>
                <w:bCs/>
                <w:szCs w:val="21"/>
              </w:rPr>
            </w:pPr>
          </w:p>
        </w:tc>
        <w:tc>
          <w:tcPr>
            <w:tcW w:w="967" w:type="pct"/>
            <w:vMerge w:val="continue"/>
            <w:shd w:val="clear" w:color="auto" w:fill="auto"/>
            <w:vAlign w:val="center"/>
          </w:tcPr>
          <w:p>
            <w:pPr>
              <w:widowControl/>
              <w:jc w:val="center"/>
              <w:rPr>
                <w:b/>
                <w:bCs/>
                <w:szCs w:val="21"/>
              </w:rPr>
            </w:pPr>
          </w:p>
        </w:tc>
        <w:tc>
          <w:tcPr>
            <w:tcW w:w="665" w:type="pct"/>
            <w:vMerge w:val="continue"/>
            <w:shd w:val="clear" w:color="auto" w:fill="auto"/>
            <w:vAlign w:val="center"/>
          </w:tcPr>
          <w:p>
            <w:pPr>
              <w:widowControl/>
              <w:jc w:val="center"/>
              <w:rPr>
                <w:b/>
                <w:bCs/>
                <w:szCs w:val="21"/>
              </w:rPr>
            </w:pPr>
          </w:p>
        </w:tc>
        <w:tc>
          <w:tcPr>
            <w:tcW w:w="2240" w:type="pct"/>
            <w:gridSpan w:val="3"/>
            <w:shd w:val="clear" w:color="auto" w:fill="auto"/>
            <w:tcMar>
              <w:top w:w="0" w:type="dxa"/>
              <w:left w:w="6" w:type="dxa"/>
              <w:bottom w:w="0" w:type="dxa"/>
              <w:right w:w="6" w:type="dxa"/>
            </w:tcMar>
            <w:vAlign w:val="center"/>
          </w:tcPr>
          <w:p>
            <w:pPr>
              <w:jc w:val="center"/>
              <w:rPr>
                <w:b/>
                <w:bCs/>
                <w:szCs w:val="21"/>
              </w:rPr>
            </w:pPr>
            <w:r>
              <w:rPr>
                <w:b/>
                <w:bCs/>
                <w:szCs w:val="21"/>
              </w:rPr>
              <w:t>污水处理站处</w:t>
            </w:r>
          </w:p>
        </w:tc>
        <w:tc>
          <w:tcPr>
            <w:tcW w:w="789" w:type="pct"/>
            <w:vMerge w:val="restart"/>
            <w:shd w:val="clear" w:color="auto" w:fill="auto"/>
            <w:tcMar>
              <w:top w:w="0" w:type="dxa"/>
              <w:left w:w="6" w:type="dxa"/>
              <w:bottom w:w="0" w:type="dxa"/>
              <w:right w:w="6" w:type="dxa"/>
            </w:tcMar>
            <w:vAlign w:val="center"/>
          </w:tcPr>
          <w:p>
            <w:pPr>
              <w:tabs>
                <w:tab w:val="center" w:pos="4153"/>
                <w:tab w:val="right" w:pos="8306"/>
              </w:tabs>
              <w:snapToGrid w:val="0"/>
              <w:jc w:val="center"/>
              <w:rPr>
                <w:b/>
                <w:bCs/>
                <w:szCs w:val="21"/>
              </w:rPr>
            </w:pPr>
            <w:r>
              <w:rPr>
                <w:b/>
                <w:bCs/>
                <w:szCs w:val="21"/>
              </w:rPr>
              <w:t>厂区西南角</w:t>
            </w:r>
          </w:p>
          <w:p>
            <w:pPr>
              <w:tabs>
                <w:tab w:val="center" w:pos="4153"/>
                <w:tab w:val="right" w:pos="8306"/>
              </w:tabs>
              <w:snapToGrid w:val="0"/>
              <w:jc w:val="center"/>
              <w:rPr>
                <w:b/>
                <w:bCs/>
                <w:szCs w:val="21"/>
              </w:rPr>
            </w:pPr>
            <w:r>
              <w:rPr>
                <w:b/>
                <w:bCs/>
                <w:szCs w:val="21"/>
              </w:rPr>
              <w:t>空地附近（0-0.2m）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339" w:type="pct"/>
            <w:vMerge w:val="continue"/>
            <w:shd w:val="clear" w:color="auto" w:fill="auto"/>
            <w:vAlign w:val="center"/>
          </w:tcPr>
          <w:p>
            <w:pPr>
              <w:tabs>
                <w:tab w:val="center" w:pos="4153"/>
                <w:tab w:val="right" w:pos="8306"/>
              </w:tabs>
              <w:snapToGrid w:val="0"/>
              <w:jc w:val="center"/>
              <w:rPr>
                <w:szCs w:val="21"/>
                <w:lang w:val="zh-CN"/>
              </w:rPr>
            </w:pPr>
          </w:p>
        </w:tc>
        <w:tc>
          <w:tcPr>
            <w:tcW w:w="967" w:type="pct"/>
            <w:vMerge w:val="continue"/>
            <w:shd w:val="clear" w:color="auto" w:fill="auto"/>
            <w:vAlign w:val="center"/>
          </w:tcPr>
          <w:p>
            <w:pPr>
              <w:tabs>
                <w:tab w:val="center" w:pos="4153"/>
                <w:tab w:val="right" w:pos="8306"/>
              </w:tabs>
              <w:snapToGrid w:val="0"/>
              <w:jc w:val="center"/>
              <w:rPr>
                <w:szCs w:val="21"/>
                <w:lang w:val="zh-CN"/>
              </w:rPr>
            </w:pPr>
          </w:p>
        </w:tc>
        <w:tc>
          <w:tcPr>
            <w:tcW w:w="665" w:type="pct"/>
            <w:vMerge w:val="continue"/>
            <w:shd w:val="clear" w:color="auto" w:fill="auto"/>
            <w:vAlign w:val="center"/>
          </w:tcPr>
          <w:p>
            <w:pPr>
              <w:tabs>
                <w:tab w:val="center" w:pos="4153"/>
                <w:tab w:val="right" w:pos="8306"/>
              </w:tabs>
              <w:snapToGrid w:val="0"/>
              <w:jc w:val="center"/>
              <w:rPr>
                <w:szCs w:val="21"/>
                <w:lang w:val="zh-CN"/>
              </w:rPr>
            </w:pPr>
          </w:p>
        </w:tc>
        <w:tc>
          <w:tcPr>
            <w:tcW w:w="707" w:type="pct"/>
            <w:shd w:val="clear" w:color="auto" w:fill="auto"/>
            <w:tcMar>
              <w:top w:w="0" w:type="dxa"/>
              <w:left w:w="6" w:type="dxa"/>
              <w:bottom w:w="0" w:type="dxa"/>
              <w:right w:w="6" w:type="dxa"/>
            </w:tcMar>
            <w:vAlign w:val="center"/>
          </w:tcPr>
          <w:p>
            <w:pPr>
              <w:tabs>
                <w:tab w:val="center" w:pos="4153"/>
                <w:tab w:val="right" w:pos="8306"/>
              </w:tabs>
              <w:snapToGrid w:val="0"/>
              <w:jc w:val="center"/>
              <w:rPr>
                <w:b/>
                <w:bCs/>
                <w:szCs w:val="21"/>
              </w:rPr>
            </w:pPr>
            <w:r>
              <w:rPr>
                <w:b/>
                <w:bCs/>
                <w:szCs w:val="21"/>
              </w:rPr>
              <w:t>0~0.5m</w:t>
            </w:r>
          </w:p>
        </w:tc>
        <w:tc>
          <w:tcPr>
            <w:tcW w:w="807" w:type="pct"/>
            <w:shd w:val="clear" w:color="auto" w:fill="auto"/>
            <w:tcMar>
              <w:top w:w="0" w:type="dxa"/>
              <w:left w:w="6" w:type="dxa"/>
              <w:bottom w:w="0" w:type="dxa"/>
              <w:right w:w="6" w:type="dxa"/>
            </w:tcMar>
            <w:vAlign w:val="center"/>
          </w:tcPr>
          <w:p>
            <w:pPr>
              <w:tabs>
                <w:tab w:val="center" w:pos="4153"/>
                <w:tab w:val="right" w:pos="8306"/>
              </w:tabs>
              <w:snapToGrid w:val="0"/>
              <w:jc w:val="center"/>
              <w:rPr>
                <w:b/>
                <w:bCs/>
                <w:szCs w:val="21"/>
              </w:rPr>
            </w:pPr>
            <w:r>
              <w:rPr>
                <w:b/>
                <w:bCs/>
                <w:szCs w:val="21"/>
              </w:rPr>
              <w:t>0.5~1.5m</w:t>
            </w:r>
          </w:p>
        </w:tc>
        <w:tc>
          <w:tcPr>
            <w:tcW w:w="726" w:type="pct"/>
            <w:shd w:val="clear" w:color="auto" w:fill="auto"/>
            <w:tcMar>
              <w:top w:w="0" w:type="dxa"/>
              <w:left w:w="6" w:type="dxa"/>
              <w:bottom w:w="0" w:type="dxa"/>
              <w:right w:w="6" w:type="dxa"/>
            </w:tcMar>
            <w:vAlign w:val="center"/>
          </w:tcPr>
          <w:p>
            <w:pPr>
              <w:tabs>
                <w:tab w:val="center" w:pos="4153"/>
                <w:tab w:val="right" w:pos="8306"/>
              </w:tabs>
              <w:snapToGrid w:val="0"/>
              <w:jc w:val="center"/>
              <w:rPr>
                <w:b/>
                <w:bCs/>
                <w:szCs w:val="21"/>
              </w:rPr>
            </w:pPr>
            <w:r>
              <w:rPr>
                <w:b/>
                <w:bCs/>
                <w:szCs w:val="21"/>
              </w:rPr>
              <w:t>1.5~3m</w:t>
            </w:r>
          </w:p>
        </w:tc>
        <w:tc>
          <w:tcPr>
            <w:tcW w:w="789" w:type="pct"/>
            <w:vMerge w:val="continue"/>
            <w:shd w:val="clear" w:color="auto" w:fill="auto"/>
            <w:tcMar>
              <w:top w:w="0" w:type="dxa"/>
              <w:left w:w="6" w:type="dxa"/>
              <w:bottom w:w="0" w:type="dxa"/>
              <w:right w:w="6" w:type="dxa"/>
            </w:tcMar>
            <w:vAlign w:val="center"/>
          </w:tcPr>
          <w:p>
            <w:pPr>
              <w:tabs>
                <w:tab w:val="center" w:pos="4153"/>
                <w:tab w:val="right" w:pos="8306"/>
              </w:tabs>
              <w:snapToGrid w:val="0"/>
              <w:jc w:val="center"/>
              <w:rPr>
                <w:b/>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1</w:t>
            </w:r>
          </w:p>
        </w:tc>
        <w:tc>
          <w:tcPr>
            <w:tcW w:w="967" w:type="pct"/>
            <w:shd w:val="clear" w:color="auto" w:fill="auto"/>
            <w:vAlign w:val="center"/>
          </w:tcPr>
          <w:p>
            <w:pPr>
              <w:widowControl/>
              <w:snapToGrid w:val="0"/>
              <w:jc w:val="center"/>
              <w:rPr>
                <w:szCs w:val="21"/>
              </w:rPr>
            </w:pPr>
            <w:r>
              <w:rPr>
                <w:szCs w:val="21"/>
              </w:rPr>
              <w:t>pH值（无量纲）</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7.84</w:t>
            </w:r>
          </w:p>
        </w:tc>
        <w:tc>
          <w:tcPr>
            <w:tcW w:w="807" w:type="pct"/>
            <w:shd w:val="clear" w:color="auto" w:fill="auto"/>
            <w:vAlign w:val="center"/>
          </w:tcPr>
          <w:p>
            <w:pPr>
              <w:widowControl/>
              <w:jc w:val="center"/>
              <w:rPr>
                <w:color w:val="000000"/>
                <w:szCs w:val="21"/>
              </w:rPr>
            </w:pPr>
            <w:r>
              <w:rPr>
                <w:color w:val="000000"/>
                <w:szCs w:val="21"/>
              </w:rPr>
              <w:t>7.75</w:t>
            </w:r>
          </w:p>
        </w:tc>
        <w:tc>
          <w:tcPr>
            <w:tcW w:w="726" w:type="pct"/>
            <w:shd w:val="clear" w:color="auto" w:fill="auto"/>
            <w:vAlign w:val="center"/>
          </w:tcPr>
          <w:p>
            <w:pPr>
              <w:jc w:val="center"/>
              <w:rPr>
                <w:color w:val="000000"/>
                <w:szCs w:val="21"/>
              </w:rPr>
            </w:pPr>
            <w:r>
              <w:rPr>
                <w:color w:val="000000"/>
                <w:szCs w:val="21"/>
              </w:rPr>
              <w:t>7.66</w:t>
            </w:r>
          </w:p>
        </w:tc>
        <w:tc>
          <w:tcPr>
            <w:tcW w:w="789" w:type="pct"/>
            <w:shd w:val="clear" w:color="auto" w:fill="auto"/>
            <w:vAlign w:val="center"/>
          </w:tcPr>
          <w:p>
            <w:pPr>
              <w:jc w:val="center"/>
              <w:rPr>
                <w:color w:val="000000"/>
                <w:szCs w:val="21"/>
              </w:rPr>
            </w:pPr>
            <w:r>
              <w:rPr>
                <w:color w:val="000000"/>
                <w:szCs w:val="21"/>
              </w:rPr>
              <w:t>7.71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2</w:t>
            </w:r>
          </w:p>
        </w:tc>
        <w:tc>
          <w:tcPr>
            <w:tcW w:w="967" w:type="pct"/>
            <w:shd w:val="clear" w:color="auto" w:fill="auto"/>
            <w:vAlign w:val="center"/>
          </w:tcPr>
          <w:p>
            <w:pPr>
              <w:widowControl/>
              <w:snapToGrid w:val="0"/>
              <w:jc w:val="center"/>
              <w:rPr>
                <w:szCs w:val="21"/>
              </w:rPr>
            </w:pPr>
            <w:r>
              <w:rPr>
                <w:szCs w:val="21"/>
              </w:rPr>
              <w:t>镉</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szCs w:val="21"/>
              </w:rPr>
            </w:pPr>
            <w:r>
              <w:rPr>
                <w:color w:val="000000"/>
                <w:szCs w:val="21"/>
              </w:rPr>
              <w:t>0.20</w:t>
            </w:r>
          </w:p>
        </w:tc>
        <w:tc>
          <w:tcPr>
            <w:tcW w:w="807" w:type="pct"/>
            <w:shd w:val="clear" w:color="auto" w:fill="auto"/>
            <w:vAlign w:val="center"/>
          </w:tcPr>
          <w:p>
            <w:pPr>
              <w:jc w:val="center"/>
              <w:rPr>
                <w:szCs w:val="21"/>
              </w:rPr>
            </w:pPr>
            <w:r>
              <w:rPr>
                <w:color w:val="000000"/>
                <w:szCs w:val="21"/>
              </w:rPr>
              <w:t>0.19</w:t>
            </w:r>
          </w:p>
        </w:tc>
        <w:tc>
          <w:tcPr>
            <w:tcW w:w="726" w:type="pct"/>
            <w:shd w:val="clear" w:color="auto" w:fill="auto"/>
            <w:vAlign w:val="center"/>
          </w:tcPr>
          <w:p>
            <w:pPr>
              <w:jc w:val="center"/>
              <w:rPr>
                <w:szCs w:val="21"/>
              </w:rPr>
            </w:pPr>
            <w:r>
              <w:rPr>
                <w:color w:val="000000"/>
                <w:szCs w:val="21"/>
              </w:rPr>
              <w:t>0.17</w:t>
            </w:r>
          </w:p>
        </w:tc>
        <w:tc>
          <w:tcPr>
            <w:tcW w:w="789" w:type="pct"/>
            <w:shd w:val="clear" w:color="auto" w:fill="auto"/>
            <w:vAlign w:val="center"/>
          </w:tcPr>
          <w:p>
            <w:pPr>
              <w:jc w:val="center"/>
              <w:rPr>
                <w:szCs w:val="21"/>
              </w:rPr>
            </w:pPr>
            <w:r>
              <w:rPr>
                <w:color w:val="000000"/>
                <w:szCs w:val="21"/>
              </w:rPr>
              <w:t>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3</w:t>
            </w:r>
          </w:p>
        </w:tc>
        <w:tc>
          <w:tcPr>
            <w:tcW w:w="967" w:type="pct"/>
            <w:shd w:val="clear" w:color="auto" w:fill="auto"/>
            <w:vAlign w:val="center"/>
          </w:tcPr>
          <w:p>
            <w:pPr>
              <w:widowControl/>
              <w:snapToGrid w:val="0"/>
              <w:jc w:val="center"/>
              <w:rPr>
                <w:szCs w:val="21"/>
              </w:rPr>
            </w:pPr>
            <w:r>
              <w:rPr>
                <w:szCs w:val="21"/>
              </w:rPr>
              <w:t>镍</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szCs w:val="21"/>
              </w:rPr>
            </w:pPr>
            <w:r>
              <w:rPr>
                <w:color w:val="000000"/>
                <w:szCs w:val="21"/>
              </w:rPr>
              <w:t>82</w:t>
            </w:r>
          </w:p>
        </w:tc>
        <w:tc>
          <w:tcPr>
            <w:tcW w:w="807" w:type="pct"/>
            <w:shd w:val="clear" w:color="auto" w:fill="auto"/>
            <w:vAlign w:val="center"/>
          </w:tcPr>
          <w:p>
            <w:pPr>
              <w:jc w:val="center"/>
              <w:rPr>
                <w:szCs w:val="21"/>
              </w:rPr>
            </w:pPr>
            <w:r>
              <w:rPr>
                <w:color w:val="000000"/>
                <w:szCs w:val="21"/>
              </w:rPr>
              <w:t>69</w:t>
            </w:r>
          </w:p>
        </w:tc>
        <w:tc>
          <w:tcPr>
            <w:tcW w:w="726" w:type="pct"/>
            <w:shd w:val="clear" w:color="auto" w:fill="auto"/>
            <w:vAlign w:val="center"/>
          </w:tcPr>
          <w:p>
            <w:pPr>
              <w:jc w:val="center"/>
              <w:rPr>
                <w:szCs w:val="21"/>
              </w:rPr>
            </w:pPr>
            <w:r>
              <w:rPr>
                <w:color w:val="000000"/>
                <w:szCs w:val="21"/>
              </w:rPr>
              <w:t>62</w:t>
            </w:r>
          </w:p>
        </w:tc>
        <w:tc>
          <w:tcPr>
            <w:tcW w:w="789" w:type="pct"/>
            <w:shd w:val="clear" w:color="auto" w:fill="auto"/>
            <w:vAlign w:val="center"/>
          </w:tcPr>
          <w:p>
            <w:pPr>
              <w:jc w:val="center"/>
              <w:rPr>
                <w:szCs w:val="21"/>
              </w:rPr>
            </w:pPr>
            <w:r>
              <w:rPr>
                <w:szCs w:val="21"/>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4</w:t>
            </w:r>
          </w:p>
        </w:tc>
        <w:tc>
          <w:tcPr>
            <w:tcW w:w="967" w:type="pct"/>
            <w:shd w:val="clear" w:color="auto" w:fill="auto"/>
            <w:vAlign w:val="center"/>
          </w:tcPr>
          <w:p>
            <w:pPr>
              <w:widowControl/>
              <w:snapToGrid w:val="0"/>
              <w:jc w:val="center"/>
              <w:rPr>
                <w:szCs w:val="21"/>
              </w:rPr>
            </w:pPr>
            <w:r>
              <w:rPr>
                <w:szCs w:val="21"/>
              </w:rPr>
              <w:t>铅</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szCs w:val="21"/>
              </w:rPr>
            </w:pPr>
            <w:r>
              <w:rPr>
                <w:color w:val="000000"/>
                <w:szCs w:val="21"/>
              </w:rPr>
              <w:t>76</w:t>
            </w:r>
          </w:p>
        </w:tc>
        <w:tc>
          <w:tcPr>
            <w:tcW w:w="807" w:type="pct"/>
            <w:shd w:val="clear" w:color="auto" w:fill="auto"/>
            <w:vAlign w:val="center"/>
          </w:tcPr>
          <w:p>
            <w:pPr>
              <w:jc w:val="center"/>
              <w:rPr>
                <w:szCs w:val="21"/>
              </w:rPr>
            </w:pPr>
            <w:r>
              <w:rPr>
                <w:color w:val="000000"/>
                <w:szCs w:val="21"/>
              </w:rPr>
              <w:t>73</w:t>
            </w:r>
          </w:p>
        </w:tc>
        <w:tc>
          <w:tcPr>
            <w:tcW w:w="726" w:type="pct"/>
            <w:shd w:val="clear" w:color="auto" w:fill="auto"/>
            <w:vAlign w:val="center"/>
          </w:tcPr>
          <w:p>
            <w:pPr>
              <w:jc w:val="center"/>
              <w:rPr>
                <w:szCs w:val="21"/>
              </w:rPr>
            </w:pPr>
            <w:r>
              <w:rPr>
                <w:color w:val="000000"/>
                <w:szCs w:val="21"/>
              </w:rPr>
              <w:t>63</w:t>
            </w:r>
          </w:p>
        </w:tc>
        <w:tc>
          <w:tcPr>
            <w:tcW w:w="789" w:type="pct"/>
            <w:shd w:val="clear" w:color="auto" w:fill="auto"/>
            <w:vAlign w:val="center"/>
          </w:tcPr>
          <w:p>
            <w:pPr>
              <w:jc w:val="center"/>
              <w:rPr>
                <w:szCs w:val="21"/>
              </w:rPr>
            </w:pPr>
            <w:r>
              <w:rPr>
                <w:szCs w:val="21"/>
              </w:rPr>
              <w:t>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5</w:t>
            </w:r>
          </w:p>
        </w:tc>
        <w:tc>
          <w:tcPr>
            <w:tcW w:w="967" w:type="pct"/>
            <w:shd w:val="clear" w:color="auto" w:fill="auto"/>
            <w:vAlign w:val="center"/>
          </w:tcPr>
          <w:p>
            <w:pPr>
              <w:widowControl/>
              <w:snapToGrid w:val="0"/>
              <w:jc w:val="center"/>
              <w:rPr>
                <w:szCs w:val="21"/>
              </w:rPr>
            </w:pPr>
            <w:r>
              <w:rPr>
                <w:szCs w:val="21"/>
              </w:rPr>
              <w:t>铜</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szCs w:val="21"/>
              </w:rPr>
            </w:pPr>
            <w:r>
              <w:rPr>
                <w:color w:val="000000"/>
                <w:szCs w:val="21"/>
              </w:rPr>
              <w:t>77</w:t>
            </w:r>
          </w:p>
        </w:tc>
        <w:tc>
          <w:tcPr>
            <w:tcW w:w="807" w:type="pct"/>
            <w:shd w:val="clear" w:color="auto" w:fill="auto"/>
            <w:vAlign w:val="center"/>
          </w:tcPr>
          <w:p>
            <w:pPr>
              <w:jc w:val="center"/>
              <w:rPr>
                <w:szCs w:val="21"/>
              </w:rPr>
            </w:pPr>
            <w:r>
              <w:rPr>
                <w:color w:val="000000"/>
                <w:szCs w:val="21"/>
              </w:rPr>
              <w:t>59</w:t>
            </w:r>
          </w:p>
        </w:tc>
        <w:tc>
          <w:tcPr>
            <w:tcW w:w="726" w:type="pct"/>
            <w:shd w:val="clear" w:color="auto" w:fill="auto"/>
            <w:vAlign w:val="center"/>
          </w:tcPr>
          <w:p>
            <w:pPr>
              <w:jc w:val="center"/>
              <w:rPr>
                <w:szCs w:val="21"/>
              </w:rPr>
            </w:pPr>
            <w:r>
              <w:rPr>
                <w:color w:val="000000"/>
                <w:szCs w:val="21"/>
              </w:rPr>
              <w:t>48</w:t>
            </w:r>
          </w:p>
        </w:tc>
        <w:tc>
          <w:tcPr>
            <w:tcW w:w="789" w:type="pct"/>
            <w:shd w:val="clear" w:color="auto" w:fill="auto"/>
            <w:vAlign w:val="center"/>
          </w:tcPr>
          <w:p>
            <w:pPr>
              <w:jc w:val="center"/>
              <w:rPr>
                <w:szCs w:val="21"/>
              </w:rPr>
            </w:pPr>
            <w:r>
              <w:rPr>
                <w:szCs w:val="21"/>
              </w:rPr>
              <w:t>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6</w:t>
            </w:r>
          </w:p>
        </w:tc>
        <w:tc>
          <w:tcPr>
            <w:tcW w:w="967" w:type="pct"/>
            <w:shd w:val="clear" w:color="auto" w:fill="auto"/>
            <w:vAlign w:val="center"/>
          </w:tcPr>
          <w:p>
            <w:pPr>
              <w:widowControl/>
              <w:snapToGrid w:val="0"/>
              <w:jc w:val="center"/>
              <w:rPr>
                <w:szCs w:val="21"/>
              </w:rPr>
            </w:pPr>
            <w:r>
              <w:rPr>
                <w:szCs w:val="21"/>
              </w:rPr>
              <w:t>砷</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szCs w:val="21"/>
              </w:rPr>
            </w:pPr>
            <w:r>
              <w:rPr>
                <w:color w:val="000000"/>
                <w:szCs w:val="21"/>
              </w:rPr>
              <w:t>8.45</w:t>
            </w:r>
          </w:p>
        </w:tc>
        <w:tc>
          <w:tcPr>
            <w:tcW w:w="807" w:type="pct"/>
            <w:shd w:val="clear" w:color="auto" w:fill="auto"/>
            <w:vAlign w:val="center"/>
          </w:tcPr>
          <w:p>
            <w:pPr>
              <w:jc w:val="center"/>
              <w:rPr>
                <w:szCs w:val="21"/>
              </w:rPr>
            </w:pPr>
            <w:r>
              <w:rPr>
                <w:color w:val="000000"/>
                <w:szCs w:val="21"/>
              </w:rPr>
              <w:t>8.02</w:t>
            </w:r>
          </w:p>
        </w:tc>
        <w:tc>
          <w:tcPr>
            <w:tcW w:w="726" w:type="pct"/>
            <w:shd w:val="clear" w:color="auto" w:fill="auto"/>
            <w:vAlign w:val="center"/>
          </w:tcPr>
          <w:p>
            <w:pPr>
              <w:jc w:val="center"/>
              <w:rPr>
                <w:szCs w:val="21"/>
              </w:rPr>
            </w:pPr>
            <w:r>
              <w:rPr>
                <w:color w:val="000000"/>
                <w:szCs w:val="21"/>
              </w:rPr>
              <w:t>6.44</w:t>
            </w:r>
          </w:p>
        </w:tc>
        <w:tc>
          <w:tcPr>
            <w:tcW w:w="789" w:type="pct"/>
            <w:shd w:val="clear" w:color="auto" w:fill="auto"/>
            <w:vAlign w:val="center"/>
          </w:tcPr>
          <w:p>
            <w:pPr>
              <w:jc w:val="center"/>
              <w:rPr>
                <w:szCs w:val="21"/>
              </w:rPr>
            </w:pPr>
            <w:r>
              <w:rPr>
                <w:color w:val="000000"/>
                <w:szCs w:val="21"/>
              </w:rPr>
              <w:t>6.80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7</w:t>
            </w:r>
          </w:p>
        </w:tc>
        <w:tc>
          <w:tcPr>
            <w:tcW w:w="967" w:type="pct"/>
            <w:shd w:val="clear" w:color="auto" w:fill="auto"/>
            <w:vAlign w:val="center"/>
          </w:tcPr>
          <w:p>
            <w:pPr>
              <w:widowControl/>
              <w:snapToGrid w:val="0"/>
              <w:jc w:val="center"/>
              <w:rPr>
                <w:szCs w:val="21"/>
              </w:rPr>
            </w:pPr>
            <w:r>
              <w:rPr>
                <w:szCs w:val="21"/>
              </w:rPr>
              <w:t>汞</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szCs w:val="21"/>
              </w:rPr>
            </w:pPr>
            <w:r>
              <w:rPr>
                <w:color w:val="000000"/>
                <w:szCs w:val="21"/>
              </w:rPr>
              <w:t>0.090</w:t>
            </w:r>
          </w:p>
        </w:tc>
        <w:tc>
          <w:tcPr>
            <w:tcW w:w="807" w:type="pct"/>
            <w:shd w:val="clear" w:color="auto" w:fill="auto"/>
            <w:vAlign w:val="center"/>
          </w:tcPr>
          <w:p>
            <w:pPr>
              <w:jc w:val="center"/>
              <w:rPr>
                <w:szCs w:val="21"/>
              </w:rPr>
            </w:pPr>
            <w:r>
              <w:rPr>
                <w:color w:val="000000"/>
                <w:szCs w:val="21"/>
              </w:rPr>
              <w:t>0.085</w:t>
            </w:r>
          </w:p>
        </w:tc>
        <w:tc>
          <w:tcPr>
            <w:tcW w:w="726" w:type="pct"/>
            <w:shd w:val="clear" w:color="auto" w:fill="auto"/>
            <w:vAlign w:val="center"/>
          </w:tcPr>
          <w:p>
            <w:pPr>
              <w:jc w:val="center"/>
              <w:rPr>
                <w:szCs w:val="21"/>
              </w:rPr>
            </w:pPr>
            <w:r>
              <w:rPr>
                <w:color w:val="000000"/>
                <w:szCs w:val="21"/>
              </w:rPr>
              <w:t>0.069</w:t>
            </w:r>
          </w:p>
        </w:tc>
        <w:tc>
          <w:tcPr>
            <w:tcW w:w="789" w:type="pct"/>
            <w:shd w:val="clear" w:color="auto" w:fill="auto"/>
            <w:vAlign w:val="center"/>
          </w:tcPr>
          <w:p>
            <w:pPr>
              <w:jc w:val="center"/>
              <w:rPr>
                <w:szCs w:val="21"/>
              </w:rPr>
            </w:pPr>
            <w:r>
              <w:rPr>
                <w:szCs w:val="21"/>
              </w:rPr>
              <w:t>0.075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8</w:t>
            </w:r>
          </w:p>
        </w:tc>
        <w:tc>
          <w:tcPr>
            <w:tcW w:w="967" w:type="pct"/>
            <w:shd w:val="clear" w:color="auto" w:fill="auto"/>
            <w:vAlign w:val="center"/>
          </w:tcPr>
          <w:p>
            <w:pPr>
              <w:widowControl/>
              <w:snapToGrid w:val="0"/>
              <w:jc w:val="center"/>
              <w:rPr>
                <w:szCs w:val="21"/>
              </w:rPr>
            </w:pPr>
            <w:r>
              <w:rPr>
                <w:szCs w:val="21"/>
              </w:rPr>
              <w:t>六价铬</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szCs w:val="21"/>
              </w:rPr>
            </w:pPr>
            <w:r>
              <w:rPr>
                <w:color w:val="000000"/>
                <w:szCs w:val="21"/>
              </w:rPr>
              <w:t>未检出</w:t>
            </w:r>
          </w:p>
        </w:tc>
        <w:tc>
          <w:tcPr>
            <w:tcW w:w="807" w:type="pct"/>
            <w:shd w:val="clear" w:color="auto" w:fill="auto"/>
            <w:vAlign w:val="center"/>
          </w:tcPr>
          <w:p>
            <w:pPr>
              <w:jc w:val="center"/>
              <w:rPr>
                <w:szCs w:val="21"/>
              </w:rPr>
            </w:pPr>
            <w:r>
              <w:rPr>
                <w:color w:val="000000"/>
                <w:szCs w:val="21"/>
              </w:rPr>
              <w:t>未检出</w:t>
            </w:r>
          </w:p>
        </w:tc>
        <w:tc>
          <w:tcPr>
            <w:tcW w:w="726" w:type="pct"/>
            <w:shd w:val="clear" w:color="auto" w:fill="auto"/>
            <w:vAlign w:val="center"/>
          </w:tcPr>
          <w:p>
            <w:pPr>
              <w:jc w:val="center"/>
              <w:rPr>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9</w:t>
            </w:r>
          </w:p>
        </w:tc>
        <w:tc>
          <w:tcPr>
            <w:tcW w:w="967" w:type="pct"/>
            <w:shd w:val="clear" w:color="auto" w:fill="auto"/>
            <w:vAlign w:val="center"/>
          </w:tcPr>
          <w:p>
            <w:pPr>
              <w:widowControl/>
              <w:snapToGrid w:val="0"/>
              <w:jc w:val="center"/>
              <w:rPr>
                <w:szCs w:val="21"/>
              </w:rPr>
            </w:pPr>
            <w:r>
              <w:rPr>
                <w:szCs w:val="21"/>
              </w:rPr>
              <w:t>四氯化碳</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10</w:t>
            </w:r>
          </w:p>
        </w:tc>
        <w:tc>
          <w:tcPr>
            <w:tcW w:w="967" w:type="pct"/>
            <w:shd w:val="clear" w:color="auto" w:fill="auto"/>
            <w:vAlign w:val="center"/>
          </w:tcPr>
          <w:p>
            <w:pPr>
              <w:snapToGrid w:val="0"/>
              <w:jc w:val="center"/>
              <w:rPr>
                <w:szCs w:val="21"/>
              </w:rPr>
            </w:pPr>
            <w:r>
              <w:rPr>
                <w:szCs w:val="21"/>
              </w:rPr>
              <w:t>氯仿</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11</w:t>
            </w:r>
          </w:p>
        </w:tc>
        <w:tc>
          <w:tcPr>
            <w:tcW w:w="967" w:type="pct"/>
            <w:shd w:val="clear" w:color="auto" w:fill="auto"/>
            <w:vAlign w:val="center"/>
          </w:tcPr>
          <w:p>
            <w:pPr>
              <w:snapToGrid w:val="0"/>
              <w:jc w:val="center"/>
              <w:rPr>
                <w:szCs w:val="21"/>
              </w:rPr>
            </w:pPr>
            <w:r>
              <w:rPr>
                <w:szCs w:val="21"/>
              </w:rPr>
              <w:t>1,1-二氯乙烷</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12</w:t>
            </w:r>
          </w:p>
        </w:tc>
        <w:tc>
          <w:tcPr>
            <w:tcW w:w="967" w:type="pct"/>
            <w:shd w:val="clear" w:color="auto" w:fill="auto"/>
            <w:vAlign w:val="center"/>
          </w:tcPr>
          <w:p>
            <w:pPr>
              <w:snapToGrid w:val="0"/>
              <w:jc w:val="center"/>
              <w:rPr>
                <w:szCs w:val="21"/>
              </w:rPr>
            </w:pPr>
            <w:r>
              <w:rPr>
                <w:szCs w:val="21"/>
              </w:rPr>
              <w:t>1,2-二氯乙烷</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13</w:t>
            </w:r>
          </w:p>
        </w:tc>
        <w:tc>
          <w:tcPr>
            <w:tcW w:w="967" w:type="pct"/>
            <w:shd w:val="clear" w:color="auto" w:fill="auto"/>
            <w:vAlign w:val="center"/>
          </w:tcPr>
          <w:p>
            <w:pPr>
              <w:snapToGrid w:val="0"/>
              <w:jc w:val="center"/>
              <w:rPr>
                <w:szCs w:val="21"/>
              </w:rPr>
            </w:pPr>
            <w:r>
              <w:rPr>
                <w:szCs w:val="21"/>
              </w:rPr>
              <w:t>1,1-二氯乙烯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14</w:t>
            </w:r>
          </w:p>
        </w:tc>
        <w:tc>
          <w:tcPr>
            <w:tcW w:w="967" w:type="pct"/>
            <w:shd w:val="clear" w:color="auto" w:fill="auto"/>
            <w:vAlign w:val="center"/>
          </w:tcPr>
          <w:p>
            <w:pPr>
              <w:snapToGrid w:val="0"/>
              <w:jc w:val="center"/>
              <w:rPr>
                <w:szCs w:val="21"/>
              </w:rPr>
            </w:pPr>
            <w:r>
              <w:rPr>
                <w:szCs w:val="21"/>
              </w:rPr>
              <w:t>顺-1,2-二氯乙烯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15</w:t>
            </w:r>
          </w:p>
        </w:tc>
        <w:tc>
          <w:tcPr>
            <w:tcW w:w="967" w:type="pct"/>
            <w:shd w:val="clear" w:color="auto" w:fill="auto"/>
            <w:vAlign w:val="center"/>
          </w:tcPr>
          <w:p>
            <w:pPr>
              <w:snapToGrid w:val="0"/>
              <w:jc w:val="center"/>
              <w:rPr>
                <w:szCs w:val="21"/>
              </w:rPr>
            </w:pPr>
            <w:r>
              <w:rPr>
                <w:szCs w:val="21"/>
              </w:rPr>
              <w:t>反-1,2-二氯乙烯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16</w:t>
            </w:r>
          </w:p>
        </w:tc>
        <w:tc>
          <w:tcPr>
            <w:tcW w:w="967" w:type="pct"/>
            <w:shd w:val="clear" w:color="auto" w:fill="auto"/>
            <w:vAlign w:val="center"/>
          </w:tcPr>
          <w:p>
            <w:pPr>
              <w:snapToGrid w:val="0"/>
              <w:jc w:val="center"/>
              <w:rPr>
                <w:szCs w:val="21"/>
              </w:rPr>
            </w:pPr>
            <w:r>
              <w:rPr>
                <w:szCs w:val="21"/>
              </w:rPr>
              <w:t>二氯甲烷</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17</w:t>
            </w:r>
          </w:p>
        </w:tc>
        <w:tc>
          <w:tcPr>
            <w:tcW w:w="967" w:type="pct"/>
            <w:shd w:val="clear" w:color="auto" w:fill="auto"/>
            <w:vAlign w:val="center"/>
          </w:tcPr>
          <w:p>
            <w:pPr>
              <w:snapToGrid w:val="0"/>
              <w:jc w:val="center"/>
              <w:rPr>
                <w:szCs w:val="21"/>
              </w:rPr>
            </w:pPr>
            <w:r>
              <w:rPr>
                <w:szCs w:val="21"/>
              </w:rPr>
              <w:t>1,2-二氯丙烷</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18</w:t>
            </w:r>
          </w:p>
        </w:tc>
        <w:tc>
          <w:tcPr>
            <w:tcW w:w="967" w:type="pct"/>
            <w:shd w:val="clear" w:color="auto" w:fill="auto"/>
            <w:vAlign w:val="center"/>
          </w:tcPr>
          <w:p>
            <w:pPr>
              <w:snapToGrid w:val="0"/>
              <w:jc w:val="center"/>
              <w:rPr>
                <w:szCs w:val="21"/>
              </w:rPr>
            </w:pPr>
            <w:r>
              <w:rPr>
                <w:szCs w:val="21"/>
              </w:rPr>
              <w:t>1,1,1,2-四氯乙烷</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19</w:t>
            </w:r>
          </w:p>
        </w:tc>
        <w:tc>
          <w:tcPr>
            <w:tcW w:w="967" w:type="pct"/>
            <w:shd w:val="clear" w:color="auto" w:fill="auto"/>
            <w:vAlign w:val="center"/>
          </w:tcPr>
          <w:p>
            <w:pPr>
              <w:snapToGrid w:val="0"/>
              <w:jc w:val="center"/>
              <w:rPr>
                <w:szCs w:val="21"/>
              </w:rPr>
            </w:pPr>
            <w:r>
              <w:rPr>
                <w:szCs w:val="21"/>
              </w:rPr>
              <w:t>1,1,2,2-四氯乙烷</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20</w:t>
            </w:r>
          </w:p>
        </w:tc>
        <w:tc>
          <w:tcPr>
            <w:tcW w:w="967" w:type="pct"/>
            <w:shd w:val="clear" w:color="auto" w:fill="auto"/>
            <w:vAlign w:val="center"/>
          </w:tcPr>
          <w:p>
            <w:pPr>
              <w:snapToGrid w:val="0"/>
              <w:jc w:val="center"/>
              <w:rPr>
                <w:szCs w:val="21"/>
              </w:rPr>
            </w:pPr>
            <w:r>
              <w:rPr>
                <w:szCs w:val="21"/>
              </w:rPr>
              <w:t>四氯乙烯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21</w:t>
            </w:r>
          </w:p>
        </w:tc>
        <w:tc>
          <w:tcPr>
            <w:tcW w:w="967" w:type="pct"/>
            <w:shd w:val="clear" w:color="auto" w:fill="auto"/>
            <w:vAlign w:val="center"/>
          </w:tcPr>
          <w:p>
            <w:pPr>
              <w:snapToGrid w:val="0"/>
              <w:jc w:val="center"/>
              <w:rPr>
                <w:szCs w:val="21"/>
              </w:rPr>
            </w:pPr>
            <w:r>
              <w:rPr>
                <w:szCs w:val="21"/>
              </w:rPr>
              <w:t>1,1,1-三氯乙烷</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22</w:t>
            </w:r>
          </w:p>
        </w:tc>
        <w:tc>
          <w:tcPr>
            <w:tcW w:w="967" w:type="pct"/>
            <w:shd w:val="clear" w:color="auto" w:fill="auto"/>
            <w:vAlign w:val="center"/>
          </w:tcPr>
          <w:p>
            <w:pPr>
              <w:snapToGrid w:val="0"/>
              <w:jc w:val="center"/>
              <w:rPr>
                <w:szCs w:val="21"/>
              </w:rPr>
            </w:pPr>
            <w:r>
              <w:rPr>
                <w:szCs w:val="21"/>
              </w:rPr>
              <w:t>1,1,2-三氯乙烷</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23</w:t>
            </w:r>
          </w:p>
        </w:tc>
        <w:tc>
          <w:tcPr>
            <w:tcW w:w="967" w:type="pct"/>
            <w:shd w:val="clear" w:color="auto" w:fill="auto"/>
            <w:vAlign w:val="center"/>
          </w:tcPr>
          <w:p>
            <w:pPr>
              <w:snapToGrid w:val="0"/>
              <w:jc w:val="center"/>
              <w:rPr>
                <w:szCs w:val="21"/>
              </w:rPr>
            </w:pPr>
            <w:r>
              <w:rPr>
                <w:szCs w:val="21"/>
              </w:rPr>
              <w:t>三氯乙烯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24</w:t>
            </w:r>
          </w:p>
        </w:tc>
        <w:tc>
          <w:tcPr>
            <w:tcW w:w="967" w:type="pct"/>
            <w:shd w:val="clear" w:color="auto" w:fill="auto"/>
            <w:vAlign w:val="center"/>
          </w:tcPr>
          <w:p>
            <w:pPr>
              <w:snapToGrid w:val="0"/>
              <w:jc w:val="center"/>
              <w:rPr>
                <w:szCs w:val="21"/>
              </w:rPr>
            </w:pPr>
            <w:r>
              <w:rPr>
                <w:szCs w:val="21"/>
              </w:rPr>
              <w:t>1,2,3-三氯丙烷</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25</w:t>
            </w:r>
          </w:p>
        </w:tc>
        <w:tc>
          <w:tcPr>
            <w:tcW w:w="967" w:type="pct"/>
            <w:shd w:val="clear" w:color="auto" w:fill="auto"/>
            <w:vAlign w:val="center"/>
          </w:tcPr>
          <w:p>
            <w:pPr>
              <w:snapToGrid w:val="0"/>
              <w:jc w:val="center"/>
              <w:rPr>
                <w:szCs w:val="21"/>
              </w:rPr>
            </w:pPr>
            <w:r>
              <w:rPr>
                <w:szCs w:val="21"/>
              </w:rPr>
              <w:t>氯乙烯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26</w:t>
            </w:r>
          </w:p>
        </w:tc>
        <w:tc>
          <w:tcPr>
            <w:tcW w:w="967" w:type="pct"/>
            <w:shd w:val="clear" w:color="auto" w:fill="auto"/>
            <w:vAlign w:val="center"/>
          </w:tcPr>
          <w:p>
            <w:pPr>
              <w:snapToGrid w:val="0"/>
              <w:jc w:val="center"/>
              <w:rPr>
                <w:szCs w:val="21"/>
              </w:rPr>
            </w:pPr>
            <w:r>
              <w:rPr>
                <w:szCs w:val="21"/>
              </w:rPr>
              <w:t>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27</w:t>
            </w:r>
          </w:p>
        </w:tc>
        <w:tc>
          <w:tcPr>
            <w:tcW w:w="967" w:type="pct"/>
            <w:shd w:val="clear" w:color="auto" w:fill="auto"/>
            <w:vAlign w:val="center"/>
          </w:tcPr>
          <w:p>
            <w:pPr>
              <w:snapToGrid w:val="0"/>
              <w:jc w:val="center"/>
              <w:rPr>
                <w:szCs w:val="21"/>
              </w:rPr>
            </w:pPr>
            <w:r>
              <w:rPr>
                <w:szCs w:val="21"/>
              </w:rPr>
              <w:t>氯苯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28</w:t>
            </w:r>
          </w:p>
        </w:tc>
        <w:tc>
          <w:tcPr>
            <w:tcW w:w="967" w:type="pct"/>
            <w:shd w:val="clear" w:color="auto" w:fill="auto"/>
            <w:vAlign w:val="center"/>
          </w:tcPr>
          <w:p>
            <w:pPr>
              <w:snapToGrid w:val="0"/>
              <w:jc w:val="center"/>
              <w:rPr>
                <w:szCs w:val="21"/>
              </w:rPr>
            </w:pPr>
            <w:r>
              <w:rPr>
                <w:szCs w:val="21"/>
              </w:rPr>
              <w:t>1,2-二氯苯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339" w:type="pct"/>
            <w:shd w:val="clear" w:color="auto" w:fill="auto"/>
            <w:vAlign w:val="center"/>
          </w:tcPr>
          <w:p>
            <w:pPr>
              <w:widowControl/>
              <w:snapToGrid w:val="0"/>
              <w:jc w:val="center"/>
              <w:rPr>
                <w:szCs w:val="21"/>
              </w:rPr>
            </w:pPr>
            <w:r>
              <w:rPr>
                <w:szCs w:val="21"/>
              </w:rPr>
              <w:t>29</w:t>
            </w:r>
          </w:p>
        </w:tc>
        <w:tc>
          <w:tcPr>
            <w:tcW w:w="967" w:type="pct"/>
            <w:shd w:val="clear" w:color="auto" w:fill="auto"/>
            <w:vAlign w:val="center"/>
          </w:tcPr>
          <w:p>
            <w:pPr>
              <w:snapToGrid w:val="0"/>
              <w:jc w:val="center"/>
              <w:rPr>
                <w:szCs w:val="21"/>
              </w:rPr>
            </w:pPr>
            <w:r>
              <w:rPr>
                <w:szCs w:val="21"/>
              </w:rPr>
              <w:t>1,4-二氯苯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30</w:t>
            </w:r>
          </w:p>
        </w:tc>
        <w:tc>
          <w:tcPr>
            <w:tcW w:w="967" w:type="pct"/>
            <w:shd w:val="clear" w:color="auto" w:fill="auto"/>
            <w:vAlign w:val="center"/>
          </w:tcPr>
          <w:p>
            <w:pPr>
              <w:snapToGrid w:val="0"/>
              <w:jc w:val="center"/>
              <w:rPr>
                <w:szCs w:val="21"/>
              </w:rPr>
            </w:pPr>
            <w:r>
              <w:rPr>
                <w:szCs w:val="21"/>
              </w:rPr>
              <w:t>乙苯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31</w:t>
            </w:r>
          </w:p>
        </w:tc>
        <w:tc>
          <w:tcPr>
            <w:tcW w:w="967" w:type="pct"/>
            <w:shd w:val="clear" w:color="auto" w:fill="auto"/>
            <w:vAlign w:val="center"/>
          </w:tcPr>
          <w:p>
            <w:pPr>
              <w:snapToGrid w:val="0"/>
              <w:jc w:val="center"/>
              <w:rPr>
                <w:szCs w:val="21"/>
              </w:rPr>
            </w:pPr>
            <w:r>
              <w:rPr>
                <w:szCs w:val="21"/>
              </w:rPr>
              <w:t>苯乙烯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32</w:t>
            </w:r>
          </w:p>
        </w:tc>
        <w:tc>
          <w:tcPr>
            <w:tcW w:w="967" w:type="pct"/>
            <w:shd w:val="clear" w:color="auto" w:fill="auto"/>
            <w:vAlign w:val="center"/>
          </w:tcPr>
          <w:p>
            <w:pPr>
              <w:snapToGrid w:val="0"/>
              <w:jc w:val="center"/>
              <w:rPr>
                <w:szCs w:val="21"/>
              </w:rPr>
            </w:pPr>
            <w:r>
              <w:rPr>
                <w:szCs w:val="21"/>
              </w:rPr>
              <w:t>甲苯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33</w:t>
            </w:r>
          </w:p>
        </w:tc>
        <w:tc>
          <w:tcPr>
            <w:tcW w:w="967" w:type="pct"/>
            <w:shd w:val="clear" w:color="auto" w:fill="auto"/>
            <w:vAlign w:val="center"/>
          </w:tcPr>
          <w:p>
            <w:pPr>
              <w:snapToGrid w:val="0"/>
              <w:jc w:val="center"/>
              <w:rPr>
                <w:szCs w:val="21"/>
              </w:rPr>
            </w:pPr>
            <w:r>
              <w:rPr>
                <w:szCs w:val="21"/>
              </w:rPr>
              <w:t>间+对-二甲苯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34</w:t>
            </w:r>
          </w:p>
        </w:tc>
        <w:tc>
          <w:tcPr>
            <w:tcW w:w="967" w:type="pct"/>
            <w:shd w:val="clear" w:color="auto" w:fill="auto"/>
            <w:vAlign w:val="center"/>
          </w:tcPr>
          <w:p>
            <w:pPr>
              <w:snapToGrid w:val="0"/>
              <w:jc w:val="center"/>
              <w:rPr>
                <w:szCs w:val="21"/>
              </w:rPr>
            </w:pPr>
            <w:r>
              <w:rPr>
                <w:szCs w:val="21"/>
              </w:rPr>
              <w:t>邻-二甲苯</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35</w:t>
            </w:r>
          </w:p>
        </w:tc>
        <w:tc>
          <w:tcPr>
            <w:tcW w:w="967" w:type="pct"/>
            <w:shd w:val="clear" w:color="auto" w:fill="auto"/>
            <w:vAlign w:val="center"/>
          </w:tcPr>
          <w:p>
            <w:pPr>
              <w:snapToGrid w:val="0"/>
              <w:jc w:val="center"/>
              <w:rPr>
                <w:szCs w:val="21"/>
              </w:rPr>
            </w:pPr>
            <w:r>
              <w:rPr>
                <w:szCs w:val="21"/>
              </w:rPr>
              <w:t>氯甲烷</w:t>
            </w:r>
            <w:r>
              <w:rPr>
                <w:szCs w:val="21"/>
                <w:vertAlign w:val="superscript"/>
              </w:rPr>
              <w:t>@</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36</w:t>
            </w:r>
          </w:p>
        </w:tc>
        <w:tc>
          <w:tcPr>
            <w:tcW w:w="967" w:type="pct"/>
            <w:shd w:val="clear" w:color="auto" w:fill="auto"/>
            <w:vAlign w:val="center"/>
          </w:tcPr>
          <w:p>
            <w:pPr>
              <w:snapToGrid w:val="0"/>
              <w:jc w:val="center"/>
              <w:rPr>
                <w:szCs w:val="21"/>
              </w:rPr>
            </w:pPr>
            <w:r>
              <w:rPr>
                <w:szCs w:val="21"/>
              </w:rPr>
              <w:t>硝基苯</w:t>
            </w:r>
            <w:r>
              <w:rPr>
                <w:szCs w:val="21"/>
                <w:vertAlign w:val="superscript"/>
              </w:rPr>
              <w:t>@</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37</w:t>
            </w:r>
          </w:p>
        </w:tc>
        <w:tc>
          <w:tcPr>
            <w:tcW w:w="967" w:type="pct"/>
            <w:shd w:val="clear" w:color="auto" w:fill="auto"/>
            <w:vAlign w:val="center"/>
          </w:tcPr>
          <w:p>
            <w:pPr>
              <w:jc w:val="center"/>
              <w:rPr>
                <w:szCs w:val="21"/>
              </w:rPr>
            </w:pPr>
            <w:r>
              <w:rPr>
                <w:szCs w:val="21"/>
              </w:rPr>
              <w:t>苯胺</w:t>
            </w:r>
            <w:r>
              <w:rPr>
                <w:szCs w:val="21"/>
                <w:vertAlign w:val="superscript"/>
              </w:rPr>
              <w:t>@</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38</w:t>
            </w:r>
          </w:p>
        </w:tc>
        <w:tc>
          <w:tcPr>
            <w:tcW w:w="967" w:type="pct"/>
            <w:shd w:val="clear" w:color="auto" w:fill="auto"/>
            <w:vAlign w:val="center"/>
          </w:tcPr>
          <w:p>
            <w:pPr>
              <w:snapToGrid w:val="0"/>
              <w:jc w:val="center"/>
              <w:rPr>
                <w:szCs w:val="21"/>
              </w:rPr>
            </w:pPr>
            <w:r>
              <w:rPr>
                <w:szCs w:val="21"/>
              </w:rPr>
              <w:t>2-氯酚</w:t>
            </w:r>
            <w:r>
              <w:rPr>
                <w:szCs w:val="21"/>
                <w:vertAlign w:val="superscript"/>
              </w:rPr>
              <w:t>@</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widowControl/>
              <w:snapToGrid w:val="0"/>
              <w:jc w:val="center"/>
              <w:rPr>
                <w:szCs w:val="21"/>
              </w:rPr>
            </w:pPr>
            <w:r>
              <w:rPr>
                <w:szCs w:val="21"/>
              </w:rPr>
              <w:t>39</w:t>
            </w:r>
          </w:p>
        </w:tc>
        <w:tc>
          <w:tcPr>
            <w:tcW w:w="967" w:type="pct"/>
            <w:shd w:val="clear" w:color="auto" w:fill="auto"/>
            <w:vAlign w:val="center"/>
          </w:tcPr>
          <w:p>
            <w:pPr>
              <w:snapToGrid w:val="0"/>
              <w:jc w:val="center"/>
              <w:rPr>
                <w:szCs w:val="21"/>
              </w:rPr>
            </w:pPr>
            <w:r>
              <w:rPr>
                <w:szCs w:val="21"/>
              </w:rPr>
              <w:t>苯并[a]蒽</w:t>
            </w:r>
            <w:r>
              <w:rPr>
                <w:szCs w:val="21"/>
                <w:vertAlign w:val="superscript"/>
              </w:rPr>
              <w:t>@</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snapToGrid w:val="0"/>
              <w:jc w:val="center"/>
              <w:rPr>
                <w:szCs w:val="21"/>
              </w:rPr>
            </w:pPr>
            <w:r>
              <w:rPr>
                <w:szCs w:val="21"/>
              </w:rPr>
              <w:t>40</w:t>
            </w:r>
          </w:p>
        </w:tc>
        <w:tc>
          <w:tcPr>
            <w:tcW w:w="967" w:type="pct"/>
            <w:shd w:val="clear" w:color="auto" w:fill="auto"/>
            <w:vAlign w:val="center"/>
          </w:tcPr>
          <w:p>
            <w:pPr>
              <w:snapToGrid w:val="0"/>
              <w:jc w:val="center"/>
              <w:rPr>
                <w:szCs w:val="21"/>
              </w:rPr>
            </w:pPr>
            <w:r>
              <w:rPr>
                <w:szCs w:val="21"/>
              </w:rPr>
              <w:t>苯并[a]芘</w:t>
            </w:r>
            <w:r>
              <w:rPr>
                <w:szCs w:val="21"/>
                <w:vertAlign w:val="superscript"/>
              </w:rPr>
              <w:t>@</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snapToGrid w:val="0"/>
              <w:jc w:val="center"/>
              <w:rPr>
                <w:szCs w:val="21"/>
              </w:rPr>
            </w:pPr>
            <w:r>
              <w:rPr>
                <w:szCs w:val="21"/>
              </w:rPr>
              <w:t>41</w:t>
            </w:r>
          </w:p>
        </w:tc>
        <w:tc>
          <w:tcPr>
            <w:tcW w:w="967" w:type="pct"/>
            <w:shd w:val="clear" w:color="auto" w:fill="auto"/>
            <w:vAlign w:val="center"/>
          </w:tcPr>
          <w:p>
            <w:pPr>
              <w:snapToGrid w:val="0"/>
              <w:jc w:val="center"/>
              <w:rPr>
                <w:szCs w:val="21"/>
              </w:rPr>
            </w:pPr>
            <w:r>
              <w:rPr>
                <w:szCs w:val="21"/>
              </w:rPr>
              <w:t>苯并[b]荧蒽</w:t>
            </w:r>
            <w:r>
              <w:rPr>
                <w:szCs w:val="21"/>
                <w:vertAlign w:val="superscript"/>
              </w:rPr>
              <w:t>@</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snapToGrid w:val="0"/>
              <w:jc w:val="center"/>
              <w:rPr>
                <w:szCs w:val="21"/>
              </w:rPr>
            </w:pPr>
            <w:r>
              <w:rPr>
                <w:szCs w:val="21"/>
              </w:rPr>
              <w:t>42</w:t>
            </w:r>
          </w:p>
        </w:tc>
        <w:tc>
          <w:tcPr>
            <w:tcW w:w="967" w:type="pct"/>
            <w:shd w:val="clear" w:color="auto" w:fill="auto"/>
            <w:vAlign w:val="center"/>
          </w:tcPr>
          <w:p>
            <w:pPr>
              <w:snapToGrid w:val="0"/>
              <w:jc w:val="center"/>
              <w:rPr>
                <w:szCs w:val="21"/>
              </w:rPr>
            </w:pPr>
            <w:r>
              <w:rPr>
                <w:szCs w:val="21"/>
              </w:rPr>
              <w:t>苯并[k]荧蒽</w:t>
            </w:r>
            <w:r>
              <w:rPr>
                <w:szCs w:val="21"/>
                <w:vertAlign w:val="superscript"/>
              </w:rPr>
              <w:t>@</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snapToGrid w:val="0"/>
              <w:jc w:val="center"/>
              <w:rPr>
                <w:szCs w:val="21"/>
              </w:rPr>
            </w:pPr>
            <w:r>
              <w:rPr>
                <w:szCs w:val="21"/>
              </w:rPr>
              <w:t>43</w:t>
            </w:r>
          </w:p>
        </w:tc>
        <w:tc>
          <w:tcPr>
            <w:tcW w:w="967" w:type="pct"/>
            <w:shd w:val="clear" w:color="auto" w:fill="auto"/>
            <w:vAlign w:val="center"/>
          </w:tcPr>
          <w:p>
            <w:pPr>
              <w:snapToGrid w:val="0"/>
              <w:jc w:val="center"/>
              <w:rPr>
                <w:szCs w:val="21"/>
              </w:rPr>
            </w:pPr>
            <w:r>
              <w:rPr>
                <w:szCs w:val="21"/>
              </w:rPr>
              <w:t>䓛</w:t>
            </w:r>
            <w:r>
              <w:rPr>
                <w:szCs w:val="21"/>
                <w:vertAlign w:val="superscript"/>
              </w:rPr>
              <w:t>@</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snapToGrid w:val="0"/>
              <w:jc w:val="center"/>
              <w:rPr>
                <w:szCs w:val="21"/>
              </w:rPr>
            </w:pPr>
            <w:r>
              <w:rPr>
                <w:szCs w:val="21"/>
              </w:rPr>
              <w:t>44</w:t>
            </w:r>
          </w:p>
        </w:tc>
        <w:tc>
          <w:tcPr>
            <w:tcW w:w="967" w:type="pct"/>
            <w:shd w:val="clear" w:color="auto" w:fill="auto"/>
            <w:vAlign w:val="center"/>
          </w:tcPr>
          <w:p>
            <w:pPr>
              <w:snapToGrid w:val="0"/>
              <w:jc w:val="center"/>
              <w:rPr>
                <w:szCs w:val="21"/>
              </w:rPr>
            </w:pPr>
            <w:r>
              <w:rPr>
                <w:szCs w:val="21"/>
              </w:rPr>
              <w:t>二苯并[a,h]蒽</w:t>
            </w:r>
            <w:r>
              <w:rPr>
                <w:szCs w:val="21"/>
                <w:vertAlign w:val="superscript"/>
              </w:rPr>
              <w:t>@</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snapToGrid w:val="0"/>
              <w:jc w:val="center"/>
              <w:rPr>
                <w:szCs w:val="21"/>
              </w:rPr>
            </w:pPr>
            <w:r>
              <w:rPr>
                <w:szCs w:val="21"/>
              </w:rPr>
              <w:t>45</w:t>
            </w:r>
          </w:p>
        </w:tc>
        <w:tc>
          <w:tcPr>
            <w:tcW w:w="967" w:type="pct"/>
            <w:shd w:val="clear" w:color="auto" w:fill="auto"/>
            <w:vAlign w:val="center"/>
          </w:tcPr>
          <w:p>
            <w:pPr>
              <w:snapToGrid w:val="0"/>
              <w:jc w:val="center"/>
              <w:rPr>
                <w:szCs w:val="21"/>
              </w:rPr>
            </w:pPr>
            <w:r>
              <w:rPr>
                <w:szCs w:val="21"/>
              </w:rPr>
              <w:t>茚并[1,2,3-cd]芘</w:t>
            </w:r>
            <w:r>
              <w:rPr>
                <w:szCs w:val="21"/>
                <w:vertAlign w:val="superscript"/>
              </w:rPr>
              <w:t>@</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snapToGrid w:val="0"/>
              <w:jc w:val="center"/>
              <w:rPr>
                <w:szCs w:val="21"/>
              </w:rPr>
            </w:pPr>
            <w:r>
              <w:rPr>
                <w:szCs w:val="21"/>
              </w:rPr>
              <w:t>46</w:t>
            </w:r>
          </w:p>
        </w:tc>
        <w:tc>
          <w:tcPr>
            <w:tcW w:w="967" w:type="pct"/>
            <w:shd w:val="clear" w:color="auto" w:fill="auto"/>
            <w:vAlign w:val="center"/>
          </w:tcPr>
          <w:p>
            <w:pPr>
              <w:snapToGrid w:val="0"/>
              <w:jc w:val="center"/>
              <w:rPr>
                <w:szCs w:val="21"/>
              </w:rPr>
            </w:pPr>
            <w:r>
              <w:rPr>
                <w:szCs w:val="21"/>
              </w:rPr>
              <w:t>萘</w:t>
            </w:r>
            <w:r>
              <w:rPr>
                <w:szCs w:val="21"/>
                <w:vertAlign w:val="superscript"/>
              </w:rPr>
              <w:t>@</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color w:val="000000"/>
                <w:szCs w:val="21"/>
              </w:rPr>
            </w:pPr>
            <w:r>
              <w:rPr>
                <w:color w:val="000000"/>
                <w:szCs w:val="21"/>
              </w:rPr>
              <w:t>未检出</w:t>
            </w:r>
          </w:p>
        </w:tc>
        <w:tc>
          <w:tcPr>
            <w:tcW w:w="807" w:type="pct"/>
            <w:shd w:val="clear" w:color="auto" w:fill="auto"/>
            <w:vAlign w:val="center"/>
          </w:tcPr>
          <w:p>
            <w:pPr>
              <w:jc w:val="center"/>
              <w:rPr>
                <w:color w:val="000000"/>
                <w:szCs w:val="21"/>
              </w:rPr>
            </w:pPr>
            <w:r>
              <w:rPr>
                <w:color w:val="000000"/>
                <w:szCs w:val="21"/>
              </w:rPr>
              <w:t>未检出</w:t>
            </w:r>
          </w:p>
        </w:tc>
        <w:tc>
          <w:tcPr>
            <w:tcW w:w="726" w:type="pct"/>
            <w:shd w:val="clear" w:color="auto" w:fill="auto"/>
            <w:vAlign w:val="center"/>
          </w:tcPr>
          <w:p>
            <w:pPr>
              <w:jc w:val="center"/>
              <w:rPr>
                <w:color w:val="000000"/>
                <w:szCs w:val="21"/>
              </w:rPr>
            </w:pPr>
            <w:r>
              <w:rPr>
                <w:color w:val="000000"/>
                <w:szCs w:val="21"/>
              </w:rPr>
              <w:t>未检出</w:t>
            </w:r>
          </w:p>
        </w:tc>
        <w:tc>
          <w:tcPr>
            <w:tcW w:w="789" w:type="pct"/>
            <w:shd w:val="clear" w:color="auto" w:fill="auto"/>
            <w:vAlign w:val="center"/>
          </w:tcPr>
          <w:p>
            <w:pPr>
              <w:jc w:val="center"/>
              <w:rPr>
                <w:color w:val="000000"/>
                <w:szCs w:val="21"/>
              </w:rPr>
            </w:pPr>
            <w:r>
              <w:rPr>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39" w:type="pct"/>
            <w:shd w:val="clear" w:color="auto" w:fill="auto"/>
            <w:vAlign w:val="center"/>
          </w:tcPr>
          <w:p>
            <w:pPr>
              <w:snapToGrid w:val="0"/>
              <w:jc w:val="center"/>
              <w:rPr>
                <w:szCs w:val="21"/>
              </w:rPr>
            </w:pPr>
            <w:r>
              <w:rPr>
                <w:szCs w:val="21"/>
              </w:rPr>
              <w:t>47</w:t>
            </w:r>
          </w:p>
        </w:tc>
        <w:tc>
          <w:tcPr>
            <w:tcW w:w="967" w:type="pct"/>
            <w:shd w:val="clear" w:color="auto" w:fill="auto"/>
            <w:vAlign w:val="center"/>
          </w:tcPr>
          <w:p>
            <w:pPr>
              <w:autoSpaceDE w:val="0"/>
              <w:autoSpaceDN w:val="0"/>
              <w:adjustRightInd w:val="0"/>
              <w:jc w:val="center"/>
              <w:rPr>
                <w:color w:val="000000"/>
                <w:kern w:val="0"/>
                <w:szCs w:val="21"/>
              </w:rPr>
            </w:pPr>
            <w:r>
              <w:rPr>
                <w:color w:val="000000"/>
                <w:kern w:val="0"/>
                <w:szCs w:val="21"/>
              </w:rPr>
              <w:t>石油烃（C</w:t>
            </w:r>
            <w:r>
              <w:rPr>
                <w:color w:val="000000"/>
                <w:kern w:val="0"/>
                <w:szCs w:val="21"/>
                <w:vertAlign w:val="subscript"/>
              </w:rPr>
              <w:t>10</w:t>
            </w:r>
            <w:r>
              <w:rPr>
                <w:color w:val="000000"/>
                <w:kern w:val="0"/>
                <w:szCs w:val="21"/>
              </w:rPr>
              <w:t>~C</w:t>
            </w:r>
            <w:r>
              <w:rPr>
                <w:color w:val="000000"/>
                <w:kern w:val="0"/>
                <w:szCs w:val="21"/>
                <w:vertAlign w:val="subscript"/>
              </w:rPr>
              <w:t>40</w:t>
            </w:r>
            <w:r>
              <w:rPr>
                <w:color w:val="000000"/>
                <w:kern w:val="0"/>
                <w:szCs w:val="21"/>
              </w:rPr>
              <w:t>）</w:t>
            </w:r>
          </w:p>
        </w:tc>
        <w:tc>
          <w:tcPr>
            <w:tcW w:w="665" w:type="pct"/>
            <w:shd w:val="clear" w:color="auto" w:fill="auto"/>
            <w:vAlign w:val="center"/>
          </w:tcPr>
          <w:p>
            <w:pPr>
              <w:jc w:val="center"/>
              <w:rPr>
                <w:szCs w:val="21"/>
              </w:rPr>
            </w:pPr>
            <w:r>
              <w:rPr>
                <w:szCs w:val="21"/>
              </w:rPr>
              <w:t>2023.07.01</w:t>
            </w:r>
          </w:p>
        </w:tc>
        <w:tc>
          <w:tcPr>
            <w:tcW w:w="707" w:type="pct"/>
            <w:shd w:val="clear" w:color="auto" w:fill="auto"/>
            <w:vAlign w:val="center"/>
          </w:tcPr>
          <w:p>
            <w:pPr>
              <w:jc w:val="center"/>
              <w:rPr>
                <w:szCs w:val="21"/>
              </w:rPr>
            </w:pPr>
            <w:r>
              <w:rPr>
                <w:szCs w:val="21"/>
              </w:rPr>
              <w:t>135</w:t>
            </w:r>
          </w:p>
        </w:tc>
        <w:tc>
          <w:tcPr>
            <w:tcW w:w="807" w:type="pct"/>
            <w:shd w:val="clear" w:color="auto" w:fill="auto"/>
            <w:vAlign w:val="center"/>
          </w:tcPr>
          <w:p>
            <w:pPr>
              <w:jc w:val="center"/>
              <w:rPr>
                <w:szCs w:val="21"/>
              </w:rPr>
            </w:pPr>
            <w:r>
              <w:rPr>
                <w:szCs w:val="21"/>
              </w:rPr>
              <w:t>122</w:t>
            </w:r>
          </w:p>
        </w:tc>
        <w:tc>
          <w:tcPr>
            <w:tcW w:w="726" w:type="pct"/>
            <w:shd w:val="clear" w:color="auto" w:fill="auto"/>
            <w:vAlign w:val="center"/>
          </w:tcPr>
          <w:p>
            <w:pPr>
              <w:jc w:val="center"/>
              <w:rPr>
                <w:szCs w:val="21"/>
              </w:rPr>
            </w:pPr>
            <w:r>
              <w:rPr>
                <w:szCs w:val="21"/>
              </w:rPr>
              <w:t>105</w:t>
            </w:r>
          </w:p>
        </w:tc>
        <w:tc>
          <w:tcPr>
            <w:tcW w:w="789" w:type="pct"/>
            <w:shd w:val="clear" w:color="auto" w:fill="auto"/>
            <w:vAlign w:val="center"/>
          </w:tcPr>
          <w:p>
            <w:pPr>
              <w:jc w:val="center"/>
              <w:rPr>
                <w:szCs w:val="21"/>
              </w:rPr>
            </w:pPr>
            <w:r>
              <w:rPr>
                <w:szCs w:val="21"/>
              </w:rPr>
              <w:t>86</w:t>
            </w:r>
          </w:p>
        </w:tc>
      </w:tr>
    </w:tbl>
    <w:p>
      <w:pPr>
        <w:snapToGrid w:val="0"/>
        <w:spacing w:line="520" w:lineRule="exact"/>
        <w:jc w:val="center"/>
        <w:rPr>
          <w:rFonts w:eastAsia="黑体"/>
          <w:sz w:val="24"/>
          <w:szCs w:val="24"/>
        </w:rPr>
      </w:pPr>
      <w:r>
        <w:rPr>
          <w:rFonts w:eastAsia="黑体"/>
          <w:sz w:val="24"/>
          <w:szCs w:val="24"/>
        </w:rPr>
        <w:t>表4.3-18         土壤检测结果（二）       单位：mg/kg（另注除外）</w:t>
      </w:r>
    </w:p>
    <w:tbl>
      <w:tblPr>
        <w:tblStyle w:val="49"/>
        <w:tblW w:w="499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626"/>
        <w:gridCol w:w="1984"/>
        <w:gridCol w:w="1733"/>
        <w:gridCol w:w="21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716" w:type="pct"/>
            <w:gridSpan w:val="2"/>
            <w:vMerge w:val="restart"/>
            <w:shd w:val="clear" w:color="auto" w:fill="auto"/>
            <w:vAlign w:val="center"/>
          </w:tcPr>
          <w:p>
            <w:pPr>
              <w:widowControl/>
              <w:snapToGrid w:val="0"/>
              <w:jc w:val="center"/>
              <w:rPr>
                <w:b/>
                <w:bCs/>
                <w:szCs w:val="21"/>
              </w:rPr>
            </w:pPr>
            <w:r>
              <w:rPr>
                <w:rFonts w:hint="eastAsia"/>
                <w:b/>
                <w:bCs/>
                <w:szCs w:val="21"/>
              </w:rPr>
              <w:t>检测点位</w:t>
            </w:r>
          </w:p>
        </w:tc>
        <w:tc>
          <w:tcPr>
            <w:tcW w:w="1110" w:type="pct"/>
            <w:vMerge w:val="restart"/>
            <w:shd w:val="clear" w:color="auto" w:fill="auto"/>
            <w:vAlign w:val="center"/>
          </w:tcPr>
          <w:p>
            <w:pPr>
              <w:widowControl/>
              <w:snapToGrid w:val="0"/>
              <w:jc w:val="center"/>
              <w:rPr>
                <w:b/>
                <w:bCs/>
                <w:szCs w:val="21"/>
              </w:rPr>
            </w:pPr>
            <w:r>
              <w:rPr>
                <w:b/>
                <w:bCs/>
                <w:szCs w:val="21"/>
              </w:rPr>
              <w:t>采样时间</w:t>
            </w:r>
          </w:p>
        </w:tc>
        <w:tc>
          <w:tcPr>
            <w:tcW w:w="2175" w:type="pct"/>
            <w:gridSpan w:val="2"/>
            <w:shd w:val="clear" w:color="auto" w:fill="auto"/>
            <w:vAlign w:val="center"/>
          </w:tcPr>
          <w:p>
            <w:pPr>
              <w:widowControl/>
              <w:jc w:val="center"/>
              <w:textAlignment w:val="center"/>
              <w:rPr>
                <w:b/>
                <w:bCs/>
                <w:kern w:val="0"/>
                <w:szCs w:val="21"/>
                <w:lang w:bidi="ar"/>
              </w:rPr>
            </w:pPr>
            <w:r>
              <w:rPr>
                <w:b/>
                <w:bCs/>
                <w:kern w:val="0"/>
                <w:szCs w:val="21"/>
                <w:lang w:bidi="ar"/>
              </w:rPr>
              <w:t xml:space="preserve">检测结果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716" w:type="pct"/>
            <w:gridSpan w:val="2"/>
            <w:vMerge w:val="continue"/>
            <w:shd w:val="clear" w:color="auto" w:fill="auto"/>
            <w:vAlign w:val="center"/>
          </w:tcPr>
          <w:p>
            <w:pPr>
              <w:widowControl/>
              <w:snapToGrid w:val="0"/>
              <w:jc w:val="center"/>
              <w:rPr>
                <w:b/>
                <w:bCs/>
                <w:szCs w:val="21"/>
              </w:rPr>
            </w:pPr>
          </w:p>
        </w:tc>
        <w:tc>
          <w:tcPr>
            <w:tcW w:w="1110" w:type="pct"/>
            <w:vMerge w:val="continue"/>
            <w:shd w:val="clear" w:color="auto" w:fill="auto"/>
            <w:vAlign w:val="center"/>
          </w:tcPr>
          <w:p>
            <w:pPr>
              <w:widowControl/>
              <w:snapToGrid w:val="0"/>
              <w:jc w:val="center"/>
              <w:rPr>
                <w:b/>
                <w:bCs/>
                <w:szCs w:val="21"/>
              </w:rPr>
            </w:pPr>
          </w:p>
        </w:tc>
        <w:tc>
          <w:tcPr>
            <w:tcW w:w="970" w:type="pct"/>
            <w:shd w:val="clear" w:color="auto" w:fill="auto"/>
            <w:vAlign w:val="center"/>
          </w:tcPr>
          <w:p>
            <w:pPr>
              <w:widowControl/>
              <w:jc w:val="center"/>
              <w:textAlignment w:val="center"/>
              <w:rPr>
                <w:b/>
                <w:bCs/>
                <w:kern w:val="0"/>
                <w:szCs w:val="21"/>
                <w:lang w:bidi="ar"/>
              </w:rPr>
            </w:pPr>
            <w:r>
              <w:rPr>
                <w:b/>
                <w:bCs/>
                <w:szCs w:val="21"/>
              </w:rPr>
              <w:t>pH值</w:t>
            </w:r>
            <w:r>
              <w:rPr>
                <w:rFonts w:hint="eastAsia"/>
                <w:b/>
                <w:bCs/>
                <w:szCs w:val="21"/>
              </w:rPr>
              <w:t>（无量纲）</w:t>
            </w:r>
          </w:p>
        </w:tc>
        <w:tc>
          <w:tcPr>
            <w:tcW w:w="1205" w:type="pct"/>
            <w:shd w:val="clear" w:color="auto" w:fill="auto"/>
            <w:vAlign w:val="center"/>
          </w:tcPr>
          <w:p>
            <w:pPr>
              <w:widowControl/>
              <w:jc w:val="center"/>
              <w:textAlignment w:val="center"/>
              <w:rPr>
                <w:b/>
                <w:bCs/>
                <w:szCs w:val="21"/>
              </w:rPr>
            </w:pPr>
            <w:r>
              <w:rPr>
                <w:b/>
                <w:bCs/>
                <w:szCs w:val="21"/>
              </w:rPr>
              <w:t>石油烃（C</w:t>
            </w:r>
            <w:r>
              <w:rPr>
                <w:b/>
                <w:bCs/>
                <w:szCs w:val="21"/>
                <w:vertAlign w:val="subscript"/>
              </w:rPr>
              <w:t>10</w:t>
            </w:r>
            <w:r>
              <w:rPr>
                <w:b/>
                <w:bCs/>
                <w:szCs w:val="21"/>
              </w:rPr>
              <w:t>-C</w:t>
            </w:r>
            <w:r>
              <w:rPr>
                <w:b/>
                <w:bCs/>
                <w:szCs w:val="21"/>
                <w:vertAlign w:val="subscript"/>
              </w:rPr>
              <w:t>40</w:t>
            </w:r>
            <w:r>
              <w:rPr>
                <w:b/>
                <w:bCs/>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6" w:type="pct"/>
            <w:vMerge w:val="restart"/>
            <w:shd w:val="clear" w:color="auto" w:fill="auto"/>
            <w:vAlign w:val="center"/>
          </w:tcPr>
          <w:p>
            <w:pPr>
              <w:widowControl/>
              <w:jc w:val="center"/>
              <w:rPr>
                <w:kern w:val="0"/>
                <w:szCs w:val="21"/>
                <w:lang w:bidi="ar"/>
              </w:rPr>
            </w:pPr>
            <w:r>
              <w:rPr>
                <w:rFonts w:hint="eastAsia"/>
                <w:szCs w:val="21"/>
              </w:rPr>
              <w:t>厂区东侧空地</w:t>
            </w:r>
          </w:p>
        </w:tc>
        <w:tc>
          <w:tcPr>
            <w:tcW w:w="909" w:type="pct"/>
            <w:shd w:val="clear" w:color="auto" w:fill="auto"/>
            <w:vAlign w:val="center"/>
          </w:tcPr>
          <w:p>
            <w:pPr>
              <w:jc w:val="center"/>
              <w:rPr>
                <w:szCs w:val="21"/>
              </w:rPr>
            </w:pPr>
            <w:r>
              <w:rPr>
                <w:szCs w:val="21"/>
              </w:rPr>
              <w:t>0~0.5m</w:t>
            </w:r>
          </w:p>
        </w:tc>
        <w:tc>
          <w:tcPr>
            <w:tcW w:w="1110" w:type="pct"/>
            <w:shd w:val="clear" w:color="auto" w:fill="auto"/>
            <w:vAlign w:val="center"/>
          </w:tcPr>
          <w:p>
            <w:pPr>
              <w:jc w:val="center"/>
              <w:rPr>
                <w:kern w:val="0"/>
                <w:szCs w:val="21"/>
                <w:lang w:bidi="ar"/>
              </w:rPr>
            </w:pPr>
            <w:r>
              <w:rPr>
                <w:rFonts w:hint="eastAsia"/>
                <w:szCs w:val="21"/>
              </w:rPr>
              <w:t>2023.07.01</w:t>
            </w:r>
          </w:p>
        </w:tc>
        <w:tc>
          <w:tcPr>
            <w:tcW w:w="970" w:type="pct"/>
            <w:shd w:val="clear" w:color="auto" w:fill="auto"/>
            <w:vAlign w:val="center"/>
          </w:tcPr>
          <w:p>
            <w:pPr>
              <w:adjustRightInd w:val="0"/>
              <w:snapToGrid w:val="0"/>
              <w:jc w:val="center"/>
              <w:rPr>
                <w:color w:val="000000"/>
                <w:szCs w:val="21"/>
              </w:rPr>
            </w:pPr>
            <w:r>
              <w:rPr>
                <w:rFonts w:hint="eastAsia"/>
                <w:color w:val="000000"/>
                <w:szCs w:val="21"/>
              </w:rPr>
              <w:t>7.73</w:t>
            </w:r>
          </w:p>
        </w:tc>
        <w:tc>
          <w:tcPr>
            <w:tcW w:w="1205" w:type="pct"/>
            <w:shd w:val="clear" w:color="auto" w:fill="auto"/>
            <w:vAlign w:val="center"/>
          </w:tcPr>
          <w:p>
            <w:pPr>
              <w:adjustRightInd w:val="0"/>
              <w:snapToGrid w:val="0"/>
              <w:jc w:val="center"/>
              <w:rPr>
                <w:color w:val="000000"/>
                <w:szCs w:val="21"/>
              </w:rPr>
            </w:pPr>
            <w:r>
              <w:rPr>
                <w:rFonts w:hint="eastAsia"/>
                <w:color w:val="000000"/>
                <w:szCs w:val="21"/>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6" w:type="pct"/>
            <w:vMerge w:val="continue"/>
            <w:shd w:val="clear" w:color="auto" w:fill="auto"/>
            <w:vAlign w:val="center"/>
          </w:tcPr>
          <w:p>
            <w:pPr>
              <w:widowControl/>
              <w:jc w:val="center"/>
              <w:rPr>
                <w:kern w:val="0"/>
                <w:szCs w:val="21"/>
                <w:lang w:bidi="ar"/>
              </w:rPr>
            </w:pPr>
          </w:p>
        </w:tc>
        <w:tc>
          <w:tcPr>
            <w:tcW w:w="909" w:type="pct"/>
            <w:shd w:val="clear" w:color="auto" w:fill="auto"/>
            <w:vAlign w:val="center"/>
          </w:tcPr>
          <w:p>
            <w:pPr>
              <w:jc w:val="center"/>
              <w:rPr>
                <w:rFonts w:eastAsia="Times New Roman"/>
                <w:szCs w:val="21"/>
              </w:rPr>
            </w:pPr>
            <w:r>
              <w:rPr>
                <w:szCs w:val="21"/>
              </w:rPr>
              <w:t>0.5~1.5m</w:t>
            </w:r>
          </w:p>
        </w:tc>
        <w:tc>
          <w:tcPr>
            <w:tcW w:w="1110" w:type="pct"/>
            <w:shd w:val="clear" w:color="auto" w:fill="auto"/>
            <w:vAlign w:val="center"/>
          </w:tcPr>
          <w:p>
            <w:pPr>
              <w:jc w:val="center"/>
              <w:rPr>
                <w:rFonts w:eastAsia="Times New Roman"/>
                <w:szCs w:val="21"/>
              </w:rPr>
            </w:pPr>
            <w:r>
              <w:rPr>
                <w:rFonts w:hint="eastAsia"/>
                <w:szCs w:val="21"/>
              </w:rPr>
              <w:t>2023.07.01</w:t>
            </w:r>
          </w:p>
        </w:tc>
        <w:tc>
          <w:tcPr>
            <w:tcW w:w="970" w:type="pct"/>
            <w:shd w:val="clear" w:color="auto" w:fill="auto"/>
            <w:vAlign w:val="center"/>
          </w:tcPr>
          <w:p>
            <w:pPr>
              <w:jc w:val="center"/>
              <w:rPr>
                <w:color w:val="000000"/>
                <w:szCs w:val="21"/>
              </w:rPr>
            </w:pPr>
            <w:r>
              <w:rPr>
                <w:rFonts w:hint="eastAsia"/>
                <w:color w:val="000000"/>
                <w:szCs w:val="21"/>
              </w:rPr>
              <w:t>7.62</w:t>
            </w:r>
          </w:p>
        </w:tc>
        <w:tc>
          <w:tcPr>
            <w:tcW w:w="1205" w:type="pct"/>
            <w:shd w:val="clear" w:color="auto" w:fill="auto"/>
            <w:vAlign w:val="center"/>
          </w:tcPr>
          <w:p>
            <w:pPr>
              <w:jc w:val="center"/>
              <w:rPr>
                <w:rFonts w:eastAsia="Times New Roman"/>
                <w:szCs w:val="21"/>
              </w:rPr>
            </w:pPr>
            <w:r>
              <w:rPr>
                <w:rFonts w:hint="eastAsia" w:eastAsia="Times New Roman"/>
                <w:szCs w:val="21"/>
              </w:rPr>
              <w:t>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6" w:type="pct"/>
            <w:vMerge w:val="continue"/>
            <w:shd w:val="clear" w:color="auto" w:fill="auto"/>
            <w:vAlign w:val="center"/>
          </w:tcPr>
          <w:p>
            <w:pPr>
              <w:widowControl/>
              <w:jc w:val="center"/>
              <w:rPr>
                <w:kern w:val="0"/>
                <w:szCs w:val="21"/>
                <w:lang w:bidi="ar"/>
              </w:rPr>
            </w:pPr>
          </w:p>
        </w:tc>
        <w:tc>
          <w:tcPr>
            <w:tcW w:w="909" w:type="pct"/>
            <w:shd w:val="clear" w:color="auto" w:fill="auto"/>
            <w:vAlign w:val="center"/>
          </w:tcPr>
          <w:p>
            <w:pPr>
              <w:jc w:val="center"/>
              <w:rPr>
                <w:rFonts w:eastAsia="Times New Roman"/>
                <w:szCs w:val="21"/>
              </w:rPr>
            </w:pPr>
            <w:r>
              <w:rPr>
                <w:szCs w:val="21"/>
              </w:rPr>
              <w:t>1.5m~3m</w:t>
            </w:r>
          </w:p>
        </w:tc>
        <w:tc>
          <w:tcPr>
            <w:tcW w:w="1110" w:type="pct"/>
            <w:shd w:val="clear" w:color="auto" w:fill="auto"/>
            <w:vAlign w:val="center"/>
          </w:tcPr>
          <w:p>
            <w:pPr>
              <w:jc w:val="center"/>
              <w:rPr>
                <w:rFonts w:eastAsia="Times New Roman"/>
                <w:szCs w:val="21"/>
              </w:rPr>
            </w:pPr>
            <w:r>
              <w:rPr>
                <w:rFonts w:hint="eastAsia"/>
                <w:szCs w:val="21"/>
              </w:rPr>
              <w:t>2023.07.01</w:t>
            </w:r>
          </w:p>
        </w:tc>
        <w:tc>
          <w:tcPr>
            <w:tcW w:w="970" w:type="pct"/>
            <w:shd w:val="clear" w:color="auto" w:fill="auto"/>
            <w:vAlign w:val="center"/>
          </w:tcPr>
          <w:p>
            <w:pPr>
              <w:jc w:val="center"/>
              <w:rPr>
                <w:color w:val="000000"/>
                <w:szCs w:val="21"/>
              </w:rPr>
            </w:pPr>
            <w:r>
              <w:rPr>
                <w:rFonts w:hint="eastAsia"/>
                <w:color w:val="000000"/>
                <w:szCs w:val="21"/>
              </w:rPr>
              <w:t>7.58</w:t>
            </w:r>
          </w:p>
        </w:tc>
        <w:tc>
          <w:tcPr>
            <w:tcW w:w="1205" w:type="pct"/>
            <w:shd w:val="clear" w:color="auto" w:fill="auto"/>
            <w:vAlign w:val="center"/>
          </w:tcPr>
          <w:p>
            <w:pPr>
              <w:jc w:val="center"/>
              <w:rPr>
                <w:rFonts w:eastAsia="Times New Roman"/>
                <w:szCs w:val="21"/>
              </w:rPr>
            </w:pPr>
            <w:r>
              <w:rPr>
                <w:rFonts w:hint="eastAsia" w:eastAsia="Times New Roman"/>
                <w:szCs w:val="21"/>
              </w:rPr>
              <w:t>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6" w:type="pct"/>
            <w:vMerge w:val="restart"/>
            <w:shd w:val="clear" w:color="auto" w:fill="auto"/>
            <w:vAlign w:val="center"/>
          </w:tcPr>
          <w:p>
            <w:pPr>
              <w:widowControl/>
              <w:jc w:val="center"/>
              <w:rPr>
                <w:kern w:val="0"/>
                <w:szCs w:val="21"/>
                <w:lang w:bidi="ar"/>
              </w:rPr>
            </w:pPr>
            <w:r>
              <w:rPr>
                <w:rFonts w:hint="eastAsia"/>
                <w:szCs w:val="21"/>
              </w:rPr>
              <w:t>厂区内中心空地</w:t>
            </w:r>
          </w:p>
        </w:tc>
        <w:tc>
          <w:tcPr>
            <w:tcW w:w="909" w:type="pct"/>
            <w:shd w:val="clear" w:color="auto" w:fill="auto"/>
            <w:vAlign w:val="center"/>
          </w:tcPr>
          <w:p>
            <w:pPr>
              <w:jc w:val="center"/>
              <w:rPr>
                <w:rFonts w:eastAsia="Times New Roman"/>
                <w:szCs w:val="21"/>
              </w:rPr>
            </w:pPr>
            <w:r>
              <w:rPr>
                <w:szCs w:val="21"/>
              </w:rPr>
              <w:t>0~0.5m</w:t>
            </w:r>
          </w:p>
        </w:tc>
        <w:tc>
          <w:tcPr>
            <w:tcW w:w="1110" w:type="pct"/>
            <w:shd w:val="clear" w:color="auto" w:fill="auto"/>
            <w:vAlign w:val="center"/>
          </w:tcPr>
          <w:p>
            <w:pPr>
              <w:jc w:val="center"/>
              <w:rPr>
                <w:rFonts w:eastAsia="Times New Roman"/>
                <w:szCs w:val="21"/>
              </w:rPr>
            </w:pPr>
            <w:r>
              <w:rPr>
                <w:rFonts w:hint="eastAsia"/>
                <w:szCs w:val="21"/>
              </w:rPr>
              <w:t>2023.07.01</w:t>
            </w:r>
          </w:p>
        </w:tc>
        <w:tc>
          <w:tcPr>
            <w:tcW w:w="970" w:type="pct"/>
            <w:shd w:val="clear" w:color="auto" w:fill="auto"/>
            <w:vAlign w:val="center"/>
          </w:tcPr>
          <w:p>
            <w:pPr>
              <w:jc w:val="center"/>
              <w:rPr>
                <w:color w:val="000000"/>
                <w:szCs w:val="21"/>
              </w:rPr>
            </w:pPr>
            <w:r>
              <w:rPr>
                <w:rFonts w:hint="eastAsia"/>
                <w:color w:val="000000"/>
                <w:szCs w:val="21"/>
              </w:rPr>
              <w:t>7.79</w:t>
            </w:r>
          </w:p>
        </w:tc>
        <w:tc>
          <w:tcPr>
            <w:tcW w:w="1205" w:type="pct"/>
            <w:shd w:val="clear" w:color="auto" w:fill="auto"/>
            <w:vAlign w:val="center"/>
          </w:tcPr>
          <w:p>
            <w:pPr>
              <w:jc w:val="center"/>
              <w:rPr>
                <w:rFonts w:eastAsia="Times New Roman"/>
                <w:szCs w:val="21"/>
              </w:rPr>
            </w:pPr>
            <w:r>
              <w:rPr>
                <w:rFonts w:hint="eastAsia" w:eastAsia="Times New Roman"/>
                <w:szCs w:val="21"/>
              </w:rPr>
              <w:t>122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6" w:type="pct"/>
            <w:vMerge w:val="continue"/>
            <w:shd w:val="clear" w:color="auto" w:fill="auto"/>
            <w:vAlign w:val="center"/>
          </w:tcPr>
          <w:p>
            <w:pPr>
              <w:widowControl/>
              <w:jc w:val="center"/>
              <w:rPr>
                <w:kern w:val="0"/>
                <w:szCs w:val="21"/>
                <w:lang w:bidi="ar"/>
              </w:rPr>
            </w:pPr>
          </w:p>
        </w:tc>
        <w:tc>
          <w:tcPr>
            <w:tcW w:w="909" w:type="pct"/>
            <w:shd w:val="clear" w:color="auto" w:fill="auto"/>
            <w:vAlign w:val="center"/>
          </w:tcPr>
          <w:p>
            <w:pPr>
              <w:jc w:val="center"/>
              <w:rPr>
                <w:rFonts w:eastAsia="Times New Roman"/>
                <w:szCs w:val="21"/>
              </w:rPr>
            </w:pPr>
            <w:r>
              <w:rPr>
                <w:szCs w:val="21"/>
              </w:rPr>
              <w:t>0.5~1.5m</w:t>
            </w:r>
          </w:p>
        </w:tc>
        <w:tc>
          <w:tcPr>
            <w:tcW w:w="1110" w:type="pct"/>
            <w:shd w:val="clear" w:color="auto" w:fill="auto"/>
            <w:vAlign w:val="center"/>
          </w:tcPr>
          <w:p>
            <w:pPr>
              <w:jc w:val="center"/>
              <w:rPr>
                <w:rFonts w:eastAsia="Times New Roman"/>
                <w:szCs w:val="21"/>
              </w:rPr>
            </w:pPr>
            <w:r>
              <w:rPr>
                <w:rFonts w:hint="eastAsia"/>
                <w:szCs w:val="21"/>
              </w:rPr>
              <w:t>2023.07.01</w:t>
            </w:r>
          </w:p>
        </w:tc>
        <w:tc>
          <w:tcPr>
            <w:tcW w:w="970" w:type="pct"/>
            <w:shd w:val="clear" w:color="auto" w:fill="auto"/>
            <w:vAlign w:val="center"/>
          </w:tcPr>
          <w:p>
            <w:pPr>
              <w:jc w:val="center"/>
              <w:rPr>
                <w:color w:val="000000"/>
                <w:szCs w:val="21"/>
              </w:rPr>
            </w:pPr>
            <w:r>
              <w:rPr>
                <w:rFonts w:hint="eastAsia"/>
                <w:color w:val="000000"/>
                <w:szCs w:val="21"/>
              </w:rPr>
              <w:t>7.74</w:t>
            </w:r>
          </w:p>
        </w:tc>
        <w:tc>
          <w:tcPr>
            <w:tcW w:w="1205" w:type="pct"/>
            <w:shd w:val="clear" w:color="auto" w:fill="auto"/>
            <w:vAlign w:val="center"/>
          </w:tcPr>
          <w:p>
            <w:pPr>
              <w:jc w:val="center"/>
              <w:rPr>
                <w:rFonts w:eastAsia="Times New Roman"/>
                <w:szCs w:val="21"/>
              </w:rPr>
            </w:pPr>
            <w:r>
              <w:rPr>
                <w:rFonts w:hint="eastAsia" w:eastAsia="Times New Roman"/>
                <w:szCs w:val="21"/>
              </w:rPr>
              <w:t>106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6" w:type="pct"/>
            <w:vMerge w:val="continue"/>
            <w:shd w:val="clear" w:color="auto" w:fill="auto"/>
            <w:vAlign w:val="center"/>
          </w:tcPr>
          <w:p>
            <w:pPr>
              <w:widowControl/>
              <w:jc w:val="center"/>
              <w:rPr>
                <w:kern w:val="0"/>
                <w:szCs w:val="21"/>
                <w:lang w:bidi="ar"/>
              </w:rPr>
            </w:pPr>
          </w:p>
        </w:tc>
        <w:tc>
          <w:tcPr>
            <w:tcW w:w="909" w:type="pct"/>
            <w:shd w:val="clear" w:color="auto" w:fill="auto"/>
            <w:vAlign w:val="center"/>
          </w:tcPr>
          <w:p>
            <w:pPr>
              <w:jc w:val="center"/>
              <w:rPr>
                <w:rFonts w:eastAsia="Times New Roman"/>
                <w:szCs w:val="21"/>
              </w:rPr>
            </w:pPr>
            <w:r>
              <w:rPr>
                <w:szCs w:val="21"/>
              </w:rPr>
              <w:t>1.5m~3m</w:t>
            </w:r>
          </w:p>
        </w:tc>
        <w:tc>
          <w:tcPr>
            <w:tcW w:w="1110" w:type="pct"/>
            <w:shd w:val="clear" w:color="auto" w:fill="auto"/>
            <w:vAlign w:val="center"/>
          </w:tcPr>
          <w:p>
            <w:pPr>
              <w:jc w:val="center"/>
              <w:rPr>
                <w:rFonts w:eastAsia="Times New Roman"/>
                <w:szCs w:val="21"/>
              </w:rPr>
            </w:pPr>
            <w:r>
              <w:rPr>
                <w:rFonts w:hint="eastAsia"/>
                <w:szCs w:val="21"/>
              </w:rPr>
              <w:t>2023.07.01</w:t>
            </w:r>
          </w:p>
        </w:tc>
        <w:tc>
          <w:tcPr>
            <w:tcW w:w="970" w:type="pct"/>
            <w:shd w:val="clear" w:color="auto" w:fill="auto"/>
            <w:vAlign w:val="center"/>
          </w:tcPr>
          <w:p>
            <w:pPr>
              <w:jc w:val="center"/>
              <w:rPr>
                <w:color w:val="000000"/>
                <w:szCs w:val="21"/>
              </w:rPr>
            </w:pPr>
            <w:r>
              <w:rPr>
                <w:rFonts w:hint="eastAsia"/>
                <w:color w:val="000000"/>
                <w:szCs w:val="21"/>
              </w:rPr>
              <w:t>7.62</w:t>
            </w:r>
          </w:p>
        </w:tc>
        <w:tc>
          <w:tcPr>
            <w:tcW w:w="1205" w:type="pct"/>
            <w:shd w:val="clear" w:color="auto" w:fill="auto"/>
            <w:vAlign w:val="center"/>
          </w:tcPr>
          <w:p>
            <w:pPr>
              <w:jc w:val="center"/>
              <w:rPr>
                <w:rFonts w:eastAsia="Times New Roman"/>
                <w:szCs w:val="21"/>
              </w:rPr>
            </w:pPr>
            <w:r>
              <w:rPr>
                <w:rFonts w:hint="eastAsia" w:eastAsia="Times New Roman"/>
                <w:szCs w:val="21"/>
              </w:rPr>
              <w:t>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6" w:type="pct"/>
            <w:gridSpan w:val="2"/>
            <w:shd w:val="clear" w:color="auto" w:fill="auto"/>
            <w:vAlign w:val="center"/>
          </w:tcPr>
          <w:p>
            <w:pPr>
              <w:widowControl/>
              <w:jc w:val="center"/>
              <w:rPr>
                <w:rFonts w:eastAsia="Times New Roman"/>
                <w:szCs w:val="21"/>
              </w:rPr>
            </w:pPr>
            <w:r>
              <w:rPr>
                <w:rFonts w:hint="eastAsia"/>
                <w:szCs w:val="21"/>
              </w:rPr>
              <w:t>小庄村</w:t>
            </w:r>
            <w:r>
              <w:rPr>
                <w:szCs w:val="21"/>
              </w:rPr>
              <w:t>（0-0.2m</w:t>
            </w:r>
            <w:r>
              <w:rPr>
                <w:rFonts w:hint="eastAsia"/>
                <w:szCs w:val="21"/>
              </w:rPr>
              <w:t>）</w:t>
            </w:r>
          </w:p>
        </w:tc>
        <w:tc>
          <w:tcPr>
            <w:tcW w:w="1110" w:type="pct"/>
            <w:shd w:val="clear" w:color="auto" w:fill="auto"/>
            <w:vAlign w:val="center"/>
          </w:tcPr>
          <w:p>
            <w:pPr>
              <w:jc w:val="center"/>
              <w:rPr>
                <w:rFonts w:eastAsia="Times New Roman"/>
                <w:szCs w:val="21"/>
              </w:rPr>
            </w:pPr>
            <w:r>
              <w:rPr>
                <w:rFonts w:hint="eastAsia"/>
                <w:szCs w:val="21"/>
              </w:rPr>
              <w:t>2023.07.01</w:t>
            </w:r>
          </w:p>
        </w:tc>
        <w:tc>
          <w:tcPr>
            <w:tcW w:w="970" w:type="pct"/>
            <w:shd w:val="clear" w:color="auto" w:fill="auto"/>
            <w:vAlign w:val="center"/>
          </w:tcPr>
          <w:p>
            <w:pPr>
              <w:jc w:val="center"/>
              <w:rPr>
                <w:color w:val="000000"/>
                <w:szCs w:val="21"/>
              </w:rPr>
            </w:pPr>
            <w:r>
              <w:rPr>
                <w:rFonts w:hint="eastAsia"/>
                <w:color w:val="000000"/>
                <w:szCs w:val="21"/>
              </w:rPr>
              <w:t>7.70</w:t>
            </w:r>
          </w:p>
        </w:tc>
        <w:tc>
          <w:tcPr>
            <w:tcW w:w="1205" w:type="pct"/>
            <w:shd w:val="clear" w:color="auto" w:fill="auto"/>
            <w:vAlign w:val="center"/>
          </w:tcPr>
          <w:p>
            <w:pPr>
              <w:jc w:val="center"/>
              <w:rPr>
                <w:rFonts w:eastAsia="Times New Roman"/>
                <w:szCs w:val="21"/>
              </w:rPr>
            </w:pPr>
            <w:r>
              <w:rPr>
                <w:rFonts w:hint="eastAsia" w:eastAsia="Times New Roman"/>
                <w:szCs w:val="21"/>
              </w:rPr>
              <w:t>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6" w:type="pct"/>
            <w:gridSpan w:val="2"/>
            <w:shd w:val="clear" w:color="auto" w:fill="auto"/>
            <w:vAlign w:val="center"/>
          </w:tcPr>
          <w:p>
            <w:pPr>
              <w:widowControl/>
              <w:jc w:val="center"/>
              <w:rPr>
                <w:rFonts w:eastAsia="Times New Roman"/>
                <w:szCs w:val="21"/>
              </w:rPr>
            </w:pPr>
            <w:r>
              <w:rPr>
                <w:rFonts w:hint="eastAsia"/>
                <w:szCs w:val="21"/>
              </w:rPr>
              <w:t>厂区外西南方向农田</w:t>
            </w:r>
            <w:r>
              <w:rPr>
                <w:szCs w:val="21"/>
              </w:rPr>
              <w:t>（0-0.2m</w:t>
            </w:r>
            <w:r>
              <w:rPr>
                <w:rFonts w:hint="eastAsia"/>
                <w:szCs w:val="21"/>
              </w:rPr>
              <w:t>）</w:t>
            </w:r>
          </w:p>
        </w:tc>
        <w:tc>
          <w:tcPr>
            <w:tcW w:w="1110" w:type="pct"/>
            <w:shd w:val="clear" w:color="auto" w:fill="auto"/>
            <w:vAlign w:val="center"/>
          </w:tcPr>
          <w:p>
            <w:pPr>
              <w:jc w:val="center"/>
              <w:rPr>
                <w:rFonts w:eastAsia="Times New Roman"/>
                <w:szCs w:val="21"/>
              </w:rPr>
            </w:pPr>
            <w:r>
              <w:rPr>
                <w:rFonts w:hint="eastAsia"/>
                <w:szCs w:val="21"/>
              </w:rPr>
              <w:t>2023.07.01</w:t>
            </w:r>
          </w:p>
        </w:tc>
        <w:tc>
          <w:tcPr>
            <w:tcW w:w="970" w:type="pct"/>
            <w:shd w:val="clear" w:color="auto" w:fill="auto"/>
            <w:vAlign w:val="center"/>
          </w:tcPr>
          <w:p>
            <w:pPr>
              <w:jc w:val="center"/>
              <w:rPr>
                <w:color w:val="000000"/>
                <w:szCs w:val="21"/>
              </w:rPr>
            </w:pPr>
            <w:r>
              <w:rPr>
                <w:rFonts w:hint="eastAsia"/>
                <w:color w:val="000000"/>
                <w:szCs w:val="21"/>
              </w:rPr>
              <w:t>7.66</w:t>
            </w:r>
          </w:p>
        </w:tc>
        <w:tc>
          <w:tcPr>
            <w:tcW w:w="1205" w:type="pct"/>
            <w:shd w:val="clear" w:color="auto" w:fill="auto"/>
            <w:vAlign w:val="center"/>
          </w:tcPr>
          <w:p>
            <w:pPr>
              <w:jc w:val="center"/>
              <w:rPr>
                <w:rFonts w:eastAsia="Times New Roman"/>
                <w:szCs w:val="21"/>
              </w:rPr>
            </w:pPr>
            <w:r>
              <w:rPr>
                <w:rFonts w:hint="eastAsia" w:eastAsia="Times New Roman"/>
                <w:szCs w:val="21"/>
              </w:rPr>
              <w:t>87</w:t>
            </w:r>
          </w:p>
        </w:tc>
      </w:tr>
    </w:tbl>
    <w:p>
      <w:pPr>
        <w:spacing w:line="520" w:lineRule="exact"/>
        <w:rPr>
          <w:kern w:val="0"/>
          <w:sz w:val="24"/>
          <w:szCs w:val="24"/>
          <w:highlight w:val="yellow"/>
        </w:rPr>
        <w:sectPr>
          <w:headerReference r:id="rId18" w:type="default"/>
          <w:pgSz w:w="11906" w:h="16838"/>
          <w:pgMar w:top="1701" w:right="1588" w:bottom="1701" w:left="1588" w:header="851" w:footer="1134" w:gutter="0"/>
          <w:cols w:space="720" w:num="1"/>
          <w:docGrid w:type="lines" w:linePitch="381" w:charSpace="0"/>
        </w:sectPr>
      </w:pPr>
    </w:p>
    <w:p>
      <w:pPr>
        <w:widowControl/>
        <w:ind w:firstLine="480" w:firstLineChars="200"/>
        <w:rPr>
          <w:b/>
          <w:bCs/>
          <w:sz w:val="24"/>
          <w:szCs w:val="24"/>
        </w:rPr>
      </w:pPr>
      <w:r>
        <w:rPr>
          <w:rFonts w:eastAsia="黑体"/>
          <w:sz w:val="24"/>
          <w:szCs w:val="24"/>
        </w:rPr>
        <w:t>表4.3-19                             土壤理化特性调查一览表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42"/>
        <w:gridCol w:w="1270"/>
        <w:gridCol w:w="845"/>
        <w:gridCol w:w="885"/>
        <w:gridCol w:w="885"/>
        <w:gridCol w:w="1128"/>
        <w:gridCol w:w="877"/>
        <w:gridCol w:w="877"/>
        <w:gridCol w:w="1015"/>
        <w:gridCol w:w="1004"/>
        <w:gridCol w:w="1004"/>
        <w:gridCol w:w="1004"/>
        <w:gridCol w:w="1128"/>
        <w:gridCol w:w="11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5" w:type="pct"/>
            <w:gridSpan w:val="2"/>
            <w:vAlign w:val="center"/>
          </w:tcPr>
          <w:p>
            <w:pPr>
              <w:jc w:val="center"/>
              <w:rPr>
                <w:b/>
                <w:bCs/>
                <w:color w:val="FF0000"/>
                <w:szCs w:val="21"/>
                <w:lang w:val="zh-CN"/>
              </w:rPr>
            </w:pPr>
            <w:r>
              <w:rPr>
                <w:b/>
                <w:bCs/>
                <w:szCs w:val="21"/>
                <w:lang w:val="zh-CN"/>
              </w:rPr>
              <w:t>采样点位</w:t>
            </w:r>
          </w:p>
        </w:tc>
        <w:tc>
          <w:tcPr>
            <w:tcW w:w="969" w:type="pct"/>
            <w:gridSpan w:val="3"/>
            <w:vAlign w:val="center"/>
          </w:tcPr>
          <w:p>
            <w:pPr>
              <w:jc w:val="center"/>
              <w:rPr>
                <w:szCs w:val="21"/>
              </w:rPr>
            </w:pPr>
            <w:r>
              <w:rPr>
                <w:szCs w:val="21"/>
              </w:rPr>
              <w:t>污水处理站处</w:t>
            </w:r>
          </w:p>
        </w:tc>
        <w:tc>
          <w:tcPr>
            <w:tcW w:w="418" w:type="pct"/>
            <w:vAlign w:val="center"/>
          </w:tcPr>
          <w:p>
            <w:pPr>
              <w:jc w:val="center"/>
              <w:rPr>
                <w:szCs w:val="21"/>
              </w:rPr>
            </w:pPr>
            <w:r>
              <w:rPr>
                <w:szCs w:val="21"/>
              </w:rPr>
              <w:t>厂区西南角空地附近</w:t>
            </w:r>
          </w:p>
        </w:tc>
        <w:tc>
          <w:tcPr>
            <w:tcW w:w="1026" w:type="pct"/>
            <w:gridSpan w:val="3"/>
            <w:vAlign w:val="center"/>
          </w:tcPr>
          <w:p>
            <w:pPr>
              <w:jc w:val="center"/>
              <w:rPr>
                <w:szCs w:val="21"/>
              </w:rPr>
            </w:pPr>
            <w:r>
              <w:rPr>
                <w:szCs w:val="21"/>
              </w:rPr>
              <w:t>厂区东侧空地</w:t>
            </w:r>
          </w:p>
        </w:tc>
        <w:tc>
          <w:tcPr>
            <w:tcW w:w="1116" w:type="pct"/>
            <w:gridSpan w:val="3"/>
            <w:vAlign w:val="center"/>
          </w:tcPr>
          <w:p>
            <w:pPr>
              <w:jc w:val="center"/>
              <w:rPr>
                <w:szCs w:val="21"/>
              </w:rPr>
            </w:pPr>
            <w:r>
              <w:rPr>
                <w:rFonts w:hint="eastAsia"/>
                <w:szCs w:val="21"/>
              </w:rPr>
              <w:t>厂区内中心空地</w:t>
            </w:r>
          </w:p>
        </w:tc>
        <w:tc>
          <w:tcPr>
            <w:tcW w:w="418" w:type="pct"/>
            <w:vAlign w:val="center"/>
          </w:tcPr>
          <w:p>
            <w:pPr>
              <w:jc w:val="center"/>
              <w:rPr>
                <w:szCs w:val="21"/>
              </w:rPr>
            </w:pPr>
            <w:r>
              <w:rPr>
                <w:rFonts w:hint="eastAsia"/>
                <w:szCs w:val="21"/>
              </w:rPr>
              <w:t>小庄村</w:t>
            </w:r>
          </w:p>
        </w:tc>
        <w:tc>
          <w:tcPr>
            <w:tcW w:w="418" w:type="pct"/>
            <w:vAlign w:val="center"/>
          </w:tcPr>
          <w:p>
            <w:pPr>
              <w:jc w:val="center"/>
              <w:rPr>
                <w:szCs w:val="21"/>
              </w:rPr>
            </w:pPr>
            <w:r>
              <w:rPr>
                <w:rFonts w:hint="eastAsia"/>
                <w:szCs w:val="21"/>
              </w:rPr>
              <w:t>厂区外西南方向农田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5" w:type="pct"/>
            <w:gridSpan w:val="2"/>
            <w:vAlign w:val="center"/>
          </w:tcPr>
          <w:p>
            <w:pPr>
              <w:jc w:val="center"/>
              <w:rPr>
                <w:b/>
                <w:bCs/>
                <w:szCs w:val="21"/>
                <w:lang w:val="zh-CN"/>
              </w:rPr>
            </w:pPr>
            <w:r>
              <w:rPr>
                <w:b/>
                <w:bCs/>
                <w:szCs w:val="21"/>
                <w:lang w:val="zh-CN"/>
              </w:rPr>
              <w:t>坐标</w:t>
            </w:r>
          </w:p>
        </w:tc>
        <w:tc>
          <w:tcPr>
            <w:tcW w:w="969" w:type="pct"/>
            <w:gridSpan w:val="3"/>
            <w:vAlign w:val="center"/>
          </w:tcPr>
          <w:p>
            <w:pPr>
              <w:jc w:val="center"/>
              <w:rPr>
                <w:szCs w:val="21"/>
              </w:rPr>
            </w:pPr>
            <w:r>
              <w:rPr>
                <w:szCs w:val="21"/>
              </w:rPr>
              <w:t>E113°54′48"</w:t>
            </w:r>
          </w:p>
          <w:p>
            <w:pPr>
              <w:jc w:val="center"/>
              <w:rPr>
                <w:szCs w:val="21"/>
              </w:rPr>
            </w:pPr>
            <w:r>
              <w:rPr>
                <w:szCs w:val="21"/>
              </w:rPr>
              <w:t>N35°02′31"</w:t>
            </w:r>
          </w:p>
        </w:tc>
        <w:tc>
          <w:tcPr>
            <w:tcW w:w="418" w:type="pct"/>
            <w:vAlign w:val="center"/>
          </w:tcPr>
          <w:p>
            <w:pPr>
              <w:jc w:val="center"/>
              <w:rPr>
                <w:szCs w:val="21"/>
              </w:rPr>
            </w:pPr>
            <w:r>
              <w:rPr>
                <w:szCs w:val="21"/>
              </w:rPr>
              <w:t>E113°54′42"</w:t>
            </w:r>
          </w:p>
          <w:p>
            <w:pPr>
              <w:jc w:val="center"/>
              <w:rPr>
                <w:szCs w:val="21"/>
              </w:rPr>
            </w:pPr>
            <w:r>
              <w:rPr>
                <w:szCs w:val="21"/>
              </w:rPr>
              <w:t>N35°02′24"</w:t>
            </w:r>
          </w:p>
        </w:tc>
        <w:tc>
          <w:tcPr>
            <w:tcW w:w="1026" w:type="pct"/>
            <w:gridSpan w:val="3"/>
            <w:vAlign w:val="center"/>
          </w:tcPr>
          <w:p>
            <w:pPr>
              <w:jc w:val="center"/>
              <w:rPr>
                <w:szCs w:val="21"/>
              </w:rPr>
            </w:pPr>
            <w:r>
              <w:rPr>
                <w:szCs w:val="21"/>
              </w:rPr>
              <w:t>E113°54′49"</w:t>
            </w:r>
          </w:p>
          <w:p>
            <w:pPr>
              <w:jc w:val="center"/>
              <w:rPr>
                <w:szCs w:val="21"/>
              </w:rPr>
            </w:pPr>
            <w:r>
              <w:rPr>
                <w:szCs w:val="21"/>
              </w:rPr>
              <w:t>N35°02′28"</w:t>
            </w:r>
          </w:p>
        </w:tc>
        <w:tc>
          <w:tcPr>
            <w:tcW w:w="1116" w:type="pct"/>
            <w:gridSpan w:val="3"/>
            <w:vAlign w:val="center"/>
          </w:tcPr>
          <w:p>
            <w:pPr>
              <w:jc w:val="center"/>
              <w:rPr>
                <w:szCs w:val="21"/>
              </w:rPr>
            </w:pPr>
            <w:r>
              <w:rPr>
                <w:szCs w:val="21"/>
              </w:rPr>
              <w:t>E</w:t>
            </w:r>
            <w:r>
              <w:rPr>
                <w:rFonts w:hint="eastAsia"/>
                <w:szCs w:val="21"/>
              </w:rPr>
              <w:t>113</w:t>
            </w:r>
            <w:r>
              <w:rPr>
                <w:szCs w:val="21"/>
              </w:rPr>
              <w:t>°</w:t>
            </w:r>
            <w:r>
              <w:rPr>
                <w:rFonts w:hint="eastAsia"/>
                <w:szCs w:val="21"/>
              </w:rPr>
              <w:t>54</w:t>
            </w:r>
            <w:r>
              <w:rPr>
                <w:szCs w:val="21"/>
              </w:rPr>
              <w:t>′</w:t>
            </w:r>
            <w:r>
              <w:rPr>
                <w:rFonts w:hint="eastAsia"/>
                <w:szCs w:val="21"/>
              </w:rPr>
              <w:t>46</w:t>
            </w:r>
            <w:r>
              <w:rPr>
                <w:szCs w:val="21"/>
              </w:rPr>
              <w:t>"</w:t>
            </w:r>
          </w:p>
          <w:p>
            <w:pPr>
              <w:jc w:val="center"/>
              <w:rPr>
                <w:szCs w:val="21"/>
              </w:rPr>
            </w:pPr>
            <w:r>
              <w:rPr>
                <w:szCs w:val="21"/>
              </w:rPr>
              <w:t>N</w:t>
            </w:r>
            <w:r>
              <w:rPr>
                <w:rFonts w:hint="eastAsia"/>
                <w:szCs w:val="21"/>
              </w:rPr>
              <w:t>35</w:t>
            </w:r>
            <w:r>
              <w:rPr>
                <w:szCs w:val="21"/>
              </w:rPr>
              <w:t>°</w:t>
            </w:r>
            <w:r>
              <w:rPr>
                <w:rFonts w:hint="eastAsia"/>
                <w:szCs w:val="21"/>
              </w:rPr>
              <w:t>02</w:t>
            </w:r>
            <w:r>
              <w:rPr>
                <w:szCs w:val="21"/>
              </w:rPr>
              <w:t>′</w:t>
            </w:r>
            <w:r>
              <w:rPr>
                <w:rFonts w:hint="eastAsia"/>
                <w:szCs w:val="21"/>
              </w:rPr>
              <w:t>28</w:t>
            </w:r>
            <w:r>
              <w:rPr>
                <w:szCs w:val="21"/>
              </w:rPr>
              <w:t>"</w:t>
            </w:r>
          </w:p>
        </w:tc>
        <w:tc>
          <w:tcPr>
            <w:tcW w:w="418" w:type="pct"/>
            <w:vAlign w:val="center"/>
          </w:tcPr>
          <w:p>
            <w:pPr>
              <w:jc w:val="center"/>
              <w:rPr>
                <w:szCs w:val="21"/>
              </w:rPr>
            </w:pPr>
            <w:r>
              <w:rPr>
                <w:szCs w:val="21"/>
              </w:rPr>
              <w:t>E</w:t>
            </w:r>
            <w:r>
              <w:rPr>
                <w:rFonts w:hint="eastAsia"/>
                <w:szCs w:val="21"/>
              </w:rPr>
              <w:t>113</w:t>
            </w:r>
            <w:r>
              <w:rPr>
                <w:szCs w:val="21"/>
              </w:rPr>
              <w:t>°</w:t>
            </w:r>
            <w:r>
              <w:rPr>
                <w:rFonts w:hint="eastAsia"/>
                <w:szCs w:val="21"/>
              </w:rPr>
              <w:t>54</w:t>
            </w:r>
            <w:r>
              <w:rPr>
                <w:szCs w:val="21"/>
              </w:rPr>
              <w:t>′</w:t>
            </w:r>
            <w:r>
              <w:rPr>
                <w:rFonts w:hint="eastAsia"/>
                <w:szCs w:val="21"/>
              </w:rPr>
              <w:t>53</w:t>
            </w:r>
            <w:r>
              <w:rPr>
                <w:szCs w:val="21"/>
              </w:rPr>
              <w:t>"</w:t>
            </w:r>
          </w:p>
          <w:p>
            <w:pPr>
              <w:jc w:val="center"/>
              <w:rPr>
                <w:szCs w:val="21"/>
              </w:rPr>
            </w:pPr>
            <w:r>
              <w:rPr>
                <w:szCs w:val="21"/>
              </w:rPr>
              <w:t>N</w:t>
            </w:r>
            <w:r>
              <w:rPr>
                <w:rFonts w:hint="eastAsia"/>
                <w:szCs w:val="21"/>
              </w:rPr>
              <w:t>35</w:t>
            </w:r>
            <w:r>
              <w:rPr>
                <w:szCs w:val="21"/>
              </w:rPr>
              <w:t>°</w:t>
            </w:r>
            <w:r>
              <w:rPr>
                <w:rFonts w:hint="eastAsia"/>
                <w:szCs w:val="21"/>
              </w:rPr>
              <w:t>02</w:t>
            </w:r>
            <w:r>
              <w:rPr>
                <w:szCs w:val="21"/>
              </w:rPr>
              <w:t>′</w:t>
            </w:r>
            <w:r>
              <w:rPr>
                <w:rFonts w:hint="eastAsia"/>
                <w:szCs w:val="21"/>
              </w:rPr>
              <w:t>29</w:t>
            </w:r>
            <w:r>
              <w:rPr>
                <w:szCs w:val="21"/>
              </w:rPr>
              <w:t>"</w:t>
            </w:r>
          </w:p>
        </w:tc>
        <w:tc>
          <w:tcPr>
            <w:tcW w:w="418" w:type="pct"/>
            <w:vAlign w:val="center"/>
          </w:tcPr>
          <w:p>
            <w:pPr>
              <w:jc w:val="center"/>
              <w:rPr>
                <w:szCs w:val="21"/>
              </w:rPr>
            </w:pPr>
            <w:r>
              <w:rPr>
                <w:szCs w:val="21"/>
              </w:rPr>
              <w:t>E</w:t>
            </w:r>
            <w:r>
              <w:rPr>
                <w:rFonts w:hint="eastAsia"/>
                <w:szCs w:val="21"/>
              </w:rPr>
              <w:t>113</w:t>
            </w:r>
            <w:r>
              <w:rPr>
                <w:szCs w:val="21"/>
              </w:rPr>
              <w:t>°</w:t>
            </w:r>
            <w:r>
              <w:rPr>
                <w:rFonts w:hint="eastAsia"/>
                <w:szCs w:val="21"/>
              </w:rPr>
              <w:t>54</w:t>
            </w:r>
            <w:r>
              <w:rPr>
                <w:szCs w:val="21"/>
              </w:rPr>
              <w:t>′</w:t>
            </w:r>
            <w:r>
              <w:rPr>
                <w:rFonts w:hint="eastAsia"/>
                <w:szCs w:val="21"/>
              </w:rPr>
              <w:t>38</w:t>
            </w:r>
            <w:r>
              <w:rPr>
                <w:szCs w:val="21"/>
              </w:rPr>
              <w:t>"</w:t>
            </w:r>
          </w:p>
          <w:p>
            <w:pPr>
              <w:jc w:val="center"/>
              <w:rPr>
                <w:szCs w:val="21"/>
              </w:rPr>
            </w:pPr>
            <w:r>
              <w:rPr>
                <w:szCs w:val="21"/>
              </w:rPr>
              <w:t>N</w:t>
            </w:r>
            <w:r>
              <w:rPr>
                <w:rFonts w:hint="eastAsia"/>
                <w:szCs w:val="21"/>
              </w:rPr>
              <w:t>35</w:t>
            </w:r>
            <w:r>
              <w:rPr>
                <w:szCs w:val="21"/>
              </w:rPr>
              <w:t>°</w:t>
            </w:r>
            <w:r>
              <w:rPr>
                <w:rFonts w:hint="eastAsia"/>
                <w:szCs w:val="21"/>
              </w:rPr>
              <w:t>02</w:t>
            </w:r>
            <w:r>
              <w:rPr>
                <w:szCs w:val="21"/>
              </w:rPr>
              <w:t>′</w:t>
            </w:r>
            <w:r>
              <w:rPr>
                <w:rFonts w:hint="eastAsia"/>
                <w:szCs w:val="21"/>
              </w:rPr>
              <w:t>24</w:t>
            </w: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5" w:type="pct"/>
            <w:gridSpan w:val="2"/>
            <w:vAlign w:val="center"/>
          </w:tcPr>
          <w:p>
            <w:pPr>
              <w:jc w:val="center"/>
              <w:rPr>
                <w:b/>
                <w:bCs/>
                <w:szCs w:val="21"/>
                <w:lang w:val="zh-CN"/>
              </w:rPr>
            </w:pPr>
            <w:r>
              <w:rPr>
                <w:b/>
                <w:bCs/>
                <w:szCs w:val="21"/>
                <w:lang w:val="zh-CN"/>
              </w:rPr>
              <w:t>采样时间</w:t>
            </w:r>
          </w:p>
        </w:tc>
        <w:tc>
          <w:tcPr>
            <w:tcW w:w="969" w:type="pct"/>
            <w:gridSpan w:val="3"/>
            <w:vAlign w:val="center"/>
          </w:tcPr>
          <w:p>
            <w:pPr>
              <w:jc w:val="center"/>
              <w:rPr>
                <w:szCs w:val="21"/>
              </w:rPr>
            </w:pPr>
            <w:r>
              <w:rPr>
                <w:szCs w:val="21"/>
              </w:rPr>
              <w:t>2023.07.01</w:t>
            </w:r>
          </w:p>
        </w:tc>
        <w:tc>
          <w:tcPr>
            <w:tcW w:w="418" w:type="pct"/>
            <w:vAlign w:val="center"/>
          </w:tcPr>
          <w:p>
            <w:pPr>
              <w:jc w:val="center"/>
              <w:rPr>
                <w:szCs w:val="21"/>
              </w:rPr>
            </w:pPr>
            <w:r>
              <w:rPr>
                <w:szCs w:val="21"/>
              </w:rPr>
              <w:t>2023.07.01</w:t>
            </w:r>
          </w:p>
        </w:tc>
        <w:tc>
          <w:tcPr>
            <w:tcW w:w="1026" w:type="pct"/>
            <w:gridSpan w:val="3"/>
            <w:vAlign w:val="center"/>
          </w:tcPr>
          <w:p>
            <w:pPr>
              <w:jc w:val="center"/>
              <w:rPr>
                <w:szCs w:val="21"/>
              </w:rPr>
            </w:pPr>
            <w:r>
              <w:rPr>
                <w:szCs w:val="21"/>
              </w:rPr>
              <w:t>2023.07.01</w:t>
            </w:r>
          </w:p>
        </w:tc>
        <w:tc>
          <w:tcPr>
            <w:tcW w:w="1116" w:type="pct"/>
            <w:gridSpan w:val="3"/>
            <w:vAlign w:val="center"/>
          </w:tcPr>
          <w:p>
            <w:pPr>
              <w:jc w:val="center"/>
              <w:rPr>
                <w:szCs w:val="21"/>
              </w:rPr>
            </w:pPr>
            <w:r>
              <w:rPr>
                <w:szCs w:val="21"/>
              </w:rPr>
              <w:t>2023.07.01</w:t>
            </w:r>
          </w:p>
        </w:tc>
        <w:tc>
          <w:tcPr>
            <w:tcW w:w="418" w:type="pct"/>
            <w:vAlign w:val="center"/>
          </w:tcPr>
          <w:p>
            <w:pPr>
              <w:jc w:val="center"/>
              <w:rPr>
                <w:szCs w:val="21"/>
              </w:rPr>
            </w:pPr>
            <w:r>
              <w:rPr>
                <w:rFonts w:hint="eastAsia"/>
                <w:szCs w:val="21"/>
              </w:rPr>
              <w:t>2023.07.01</w:t>
            </w:r>
          </w:p>
        </w:tc>
        <w:tc>
          <w:tcPr>
            <w:tcW w:w="418" w:type="pct"/>
            <w:vAlign w:val="center"/>
          </w:tcPr>
          <w:p>
            <w:pPr>
              <w:jc w:val="center"/>
              <w:rPr>
                <w:szCs w:val="21"/>
              </w:rPr>
            </w:pPr>
            <w:r>
              <w:rPr>
                <w:rFonts w:hint="eastAsia"/>
                <w:szCs w:val="21"/>
              </w:rPr>
              <w:t>2023.07.01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5" w:type="pct"/>
            <w:gridSpan w:val="2"/>
            <w:vAlign w:val="center"/>
          </w:tcPr>
          <w:p>
            <w:pPr>
              <w:jc w:val="center"/>
              <w:rPr>
                <w:b/>
                <w:bCs/>
                <w:szCs w:val="21"/>
                <w:lang w:val="zh-CN"/>
              </w:rPr>
            </w:pPr>
            <w:r>
              <w:rPr>
                <w:b/>
                <w:bCs/>
                <w:szCs w:val="21"/>
                <w:lang w:val="zh-CN"/>
              </w:rPr>
              <w:t>层次</w:t>
            </w:r>
          </w:p>
        </w:tc>
        <w:tc>
          <w:tcPr>
            <w:tcW w:w="313" w:type="pct"/>
            <w:vAlign w:val="center"/>
          </w:tcPr>
          <w:p>
            <w:pPr>
              <w:tabs>
                <w:tab w:val="center" w:pos="4153"/>
                <w:tab w:val="right" w:pos="8306"/>
              </w:tabs>
              <w:snapToGrid w:val="0"/>
              <w:jc w:val="center"/>
              <w:rPr>
                <w:szCs w:val="21"/>
              </w:rPr>
            </w:pPr>
            <w:r>
              <w:rPr>
                <w:szCs w:val="21"/>
              </w:rPr>
              <w:t>0~0.5m</w:t>
            </w:r>
          </w:p>
        </w:tc>
        <w:tc>
          <w:tcPr>
            <w:tcW w:w="328" w:type="pct"/>
            <w:vAlign w:val="center"/>
          </w:tcPr>
          <w:p>
            <w:pPr>
              <w:tabs>
                <w:tab w:val="center" w:pos="4153"/>
                <w:tab w:val="right" w:pos="8306"/>
              </w:tabs>
              <w:snapToGrid w:val="0"/>
              <w:jc w:val="center"/>
              <w:rPr>
                <w:szCs w:val="21"/>
              </w:rPr>
            </w:pPr>
            <w:r>
              <w:rPr>
                <w:szCs w:val="21"/>
              </w:rPr>
              <w:t>0.5~1.5m</w:t>
            </w:r>
          </w:p>
        </w:tc>
        <w:tc>
          <w:tcPr>
            <w:tcW w:w="328" w:type="pct"/>
            <w:vAlign w:val="center"/>
          </w:tcPr>
          <w:p>
            <w:pPr>
              <w:tabs>
                <w:tab w:val="center" w:pos="4153"/>
                <w:tab w:val="right" w:pos="8306"/>
              </w:tabs>
              <w:snapToGrid w:val="0"/>
              <w:jc w:val="center"/>
              <w:rPr>
                <w:szCs w:val="21"/>
              </w:rPr>
            </w:pPr>
            <w:r>
              <w:rPr>
                <w:szCs w:val="21"/>
              </w:rPr>
              <w:t>1.5~3m</w:t>
            </w:r>
          </w:p>
        </w:tc>
        <w:tc>
          <w:tcPr>
            <w:tcW w:w="418" w:type="pct"/>
            <w:vAlign w:val="center"/>
          </w:tcPr>
          <w:p>
            <w:pPr>
              <w:tabs>
                <w:tab w:val="center" w:pos="4153"/>
                <w:tab w:val="right" w:pos="8306"/>
              </w:tabs>
              <w:snapToGrid w:val="0"/>
              <w:jc w:val="center"/>
              <w:rPr>
                <w:szCs w:val="21"/>
                <w:lang w:val="zh-CN"/>
              </w:rPr>
            </w:pPr>
            <w:r>
              <w:rPr>
                <w:szCs w:val="21"/>
              </w:rPr>
              <w:t>0~0.2m</w:t>
            </w:r>
          </w:p>
        </w:tc>
        <w:tc>
          <w:tcPr>
            <w:tcW w:w="325" w:type="pct"/>
            <w:vAlign w:val="center"/>
          </w:tcPr>
          <w:p>
            <w:pPr>
              <w:tabs>
                <w:tab w:val="center" w:pos="4153"/>
                <w:tab w:val="right" w:pos="8306"/>
              </w:tabs>
              <w:snapToGrid w:val="0"/>
              <w:jc w:val="center"/>
              <w:rPr>
                <w:szCs w:val="21"/>
              </w:rPr>
            </w:pPr>
            <w:r>
              <w:rPr>
                <w:szCs w:val="21"/>
              </w:rPr>
              <w:t>0</w:t>
            </w:r>
            <w:r>
              <w:rPr>
                <w:rFonts w:hint="eastAsia"/>
                <w:szCs w:val="21"/>
              </w:rPr>
              <w:t>~</w:t>
            </w:r>
            <w:r>
              <w:rPr>
                <w:szCs w:val="21"/>
              </w:rPr>
              <w:t>0.5m</w:t>
            </w:r>
          </w:p>
        </w:tc>
        <w:tc>
          <w:tcPr>
            <w:tcW w:w="325" w:type="pct"/>
            <w:vAlign w:val="center"/>
          </w:tcPr>
          <w:p>
            <w:pPr>
              <w:tabs>
                <w:tab w:val="center" w:pos="4153"/>
                <w:tab w:val="right" w:pos="8306"/>
              </w:tabs>
              <w:snapToGrid w:val="0"/>
              <w:jc w:val="center"/>
              <w:rPr>
                <w:szCs w:val="21"/>
                <w:lang w:val="zh-CN"/>
              </w:rPr>
            </w:pPr>
            <w:r>
              <w:rPr>
                <w:szCs w:val="21"/>
              </w:rPr>
              <w:t>0.5</w:t>
            </w:r>
            <w:r>
              <w:rPr>
                <w:rFonts w:hint="eastAsia"/>
                <w:szCs w:val="21"/>
              </w:rPr>
              <w:t>~</w:t>
            </w:r>
            <w:r>
              <w:rPr>
                <w:szCs w:val="21"/>
              </w:rPr>
              <w:t>1.5m</w:t>
            </w:r>
          </w:p>
        </w:tc>
        <w:tc>
          <w:tcPr>
            <w:tcW w:w="376" w:type="pct"/>
            <w:vAlign w:val="center"/>
          </w:tcPr>
          <w:p>
            <w:pPr>
              <w:tabs>
                <w:tab w:val="center" w:pos="4153"/>
                <w:tab w:val="right" w:pos="8306"/>
              </w:tabs>
              <w:snapToGrid w:val="0"/>
              <w:jc w:val="center"/>
              <w:rPr>
                <w:szCs w:val="21"/>
              </w:rPr>
            </w:pPr>
            <w:r>
              <w:rPr>
                <w:szCs w:val="21"/>
              </w:rPr>
              <w:t>1.5~3m</w:t>
            </w:r>
          </w:p>
        </w:tc>
        <w:tc>
          <w:tcPr>
            <w:tcW w:w="372" w:type="pct"/>
            <w:vAlign w:val="center"/>
          </w:tcPr>
          <w:p>
            <w:pPr>
              <w:tabs>
                <w:tab w:val="center" w:pos="4153"/>
                <w:tab w:val="right" w:pos="8306"/>
              </w:tabs>
              <w:snapToGrid w:val="0"/>
              <w:jc w:val="center"/>
              <w:rPr>
                <w:szCs w:val="21"/>
              </w:rPr>
            </w:pPr>
            <w:r>
              <w:rPr>
                <w:szCs w:val="21"/>
              </w:rPr>
              <w:t>0~0.5m</w:t>
            </w:r>
          </w:p>
        </w:tc>
        <w:tc>
          <w:tcPr>
            <w:tcW w:w="372" w:type="pct"/>
            <w:vAlign w:val="center"/>
          </w:tcPr>
          <w:p>
            <w:pPr>
              <w:tabs>
                <w:tab w:val="center" w:pos="4153"/>
                <w:tab w:val="right" w:pos="8306"/>
              </w:tabs>
              <w:snapToGrid w:val="0"/>
              <w:jc w:val="center"/>
              <w:rPr>
                <w:szCs w:val="21"/>
              </w:rPr>
            </w:pPr>
            <w:r>
              <w:rPr>
                <w:szCs w:val="21"/>
              </w:rPr>
              <w:t>0.5~1.5m</w:t>
            </w:r>
          </w:p>
        </w:tc>
        <w:tc>
          <w:tcPr>
            <w:tcW w:w="372" w:type="pct"/>
            <w:vAlign w:val="center"/>
          </w:tcPr>
          <w:p>
            <w:pPr>
              <w:tabs>
                <w:tab w:val="center" w:pos="4153"/>
                <w:tab w:val="right" w:pos="8306"/>
              </w:tabs>
              <w:snapToGrid w:val="0"/>
              <w:jc w:val="center"/>
              <w:rPr>
                <w:szCs w:val="21"/>
              </w:rPr>
            </w:pPr>
            <w:r>
              <w:rPr>
                <w:szCs w:val="21"/>
              </w:rPr>
              <w:t>1.5~3m</w:t>
            </w:r>
          </w:p>
        </w:tc>
        <w:tc>
          <w:tcPr>
            <w:tcW w:w="418" w:type="pct"/>
            <w:vAlign w:val="center"/>
          </w:tcPr>
          <w:p>
            <w:pPr>
              <w:tabs>
                <w:tab w:val="center" w:pos="4153"/>
                <w:tab w:val="right" w:pos="8306"/>
              </w:tabs>
              <w:snapToGrid w:val="0"/>
              <w:jc w:val="center"/>
              <w:rPr>
                <w:szCs w:val="21"/>
              </w:rPr>
            </w:pPr>
            <w:r>
              <w:rPr>
                <w:szCs w:val="21"/>
              </w:rPr>
              <w:t>0~0.2m</w:t>
            </w:r>
          </w:p>
        </w:tc>
        <w:tc>
          <w:tcPr>
            <w:tcW w:w="418" w:type="pct"/>
            <w:vAlign w:val="center"/>
          </w:tcPr>
          <w:p>
            <w:pPr>
              <w:tabs>
                <w:tab w:val="center" w:pos="4153"/>
                <w:tab w:val="right" w:pos="8306"/>
              </w:tabs>
              <w:snapToGrid w:val="0"/>
              <w:jc w:val="center"/>
              <w:rPr>
                <w:szCs w:val="21"/>
              </w:rPr>
            </w:pPr>
            <w:r>
              <w:rPr>
                <w:szCs w:val="21"/>
              </w:rPr>
              <w:t>0~0.2m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64" w:type="pct"/>
            <w:vMerge w:val="restart"/>
            <w:textDirection w:val="tbRlV"/>
            <w:vAlign w:val="center"/>
          </w:tcPr>
          <w:p>
            <w:pPr>
              <w:jc w:val="center"/>
              <w:rPr>
                <w:b/>
                <w:bCs/>
                <w:szCs w:val="21"/>
                <w:lang w:val="zh-CN"/>
              </w:rPr>
            </w:pPr>
            <w:r>
              <w:rPr>
                <w:b/>
                <w:bCs/>
                <w:szCs w:val="21"/>
                <w:lang w:val="zh-CN"/>
              </w:rPr>
              <w:t>现 场 记 录</w:t>
            </w:r>
          </w:p>
        </w:tc>
        <w:tc>
          <w:tcPr>
            <w:tcW w:w="471" w:type="pct"/>
            <w:vAlign w:val="center"/>
          </w:tcPr>
          <w:p>
            <w:pPr>
              <w:jc w:val="center"/>
              <w:rPr>
                <w:b/>
                <w:bCs/>
                <w:szCs w:val="21"/>
                <w:lang w:val="zh-CN"/>
              </w:rPr>
            </w:pPr>
            <w:r>
              <w:rPr>
                <w:b/>
                <w:bCs/>
                <w:szCs w:val="21"/>
                <w:lang w:val="zh-CN"/>
              </w:rPr>
              <w:t>颜色</w:t>
            </w:r>
          </w:p>
        </w:tc>
        <w:tc>
          <w:tcPr>
            <w:tcW w:w="313" w:type="pct"/>
            <w:vAlign w:val="center"/>
          </w:tcPr>
          <w:p>
            <w:pPr>
              <w:jc w:val="center"/>
              <w:rPr>
                <w:szCs w:val="21"/>
              </w:rPr>
            </w:pPr>
            <w:r>
              <w:rPr>
                <w:szCs w:val="21"/>
              </w:rPr>
              <w:t>黄褐色</w:t>
            </w:r>
          </w:p>
        </w:tc>
        <w:tc>
          <w:tcPr>
            <w:tcW w:w="328" w:type="pct"/>
            <w:vAlign w:val="center"/>
          </w:tcPr>
          <w:p>
            <w:pPr>
              <w:jc w:val="center"/>
              <w:rPr>
                <w:szCs w:val="21"/>
              </w:rPr>
            </w:pPr>
            <w:r>
              <w:rPr>
                <w:szCs w:val="21"/>
              </w:rPr>
              <w:t>黄褐色</w:t>
            </w:r>
          </w:p>
        </w:tc>
        <w:tc>
          <w:tcPr>
            <w:tcW w:w="328" w:type="pct"/>
            <w:vAlign w:val="center"/>
          </w:tcPr>
          <w:p>
            <w:pPr>
              <w:jc w:val="center"/>
              <w:rPr>
                <w:szCs w:val="21"/>
              </w:rPr>
            </w:pPr>
            <w:r>
              <w:rPr>
                <w:szCs w:val="21"/>
              </w:rPr>
              <w:t>黄褐色</w:t>
            </w:r>
          </w:p>
        </w:tc>
        <w:tc>
          <w:tcPr>
            <w:tcW w:w="418" w:type="pct"/>
            <w:vAlign w:val="center"/>
          </w:tcPr>
          <w:p>
            <w:pPr>
              <w:jc w:val="center"/>
              <w:rPr>
                <w:szCs w:val="21"/>
              </w:rPr>
            </w:pPr>
            <w:r>
              <w:rPr>
                <w:rFonts w:hint="eastAsia"/>
                <w:szCs w:val="21"/>
              </w:rPr>
              <w:t>黄褐色</w:t>
            </w:r>
          </w:p>
        </w:tc>
        <w:tc>
          <w:tcPr>
            <w:tcW w:w="325" w:type="pct"/>
            <w:vAlign w:val="center"/>
          </w:tcPr>
          <w:p>
            <w:pPr>
              <w:jc w:val="center"/>
              <w:rPr>
                <w:szCs w:val="21"/>
              </w:rPr>
            </w:pPr>
            <w:r>
              <w:rPr>
                <w:rFonts w:hint="eastAsia"/>
                <w:szCs w:val="21"/>
              </w:rPr>
              <w:t>黄褐色</w:t>
            </w:r>
          </w:p>
        </w:tc>
        <w:tc>
          <w:tcPr>
            <w:tcW w:w="325" w:type="pct"/>
            <w:vAlign w:val="center"/>
          </w:tcPr>
          <w:p>
            <w:pPr>
              <w:jc w:val="center"/>
              <w:rPr>
                <w:szCs w:val="21"/>
              </w:rPr>
            </w:pPr>
            <w:r>
              <w:rPr>
                <w:szCs w:val="21"/>
              </w:rPr>
              <w:t>黄褐色</w:t>
            </w:r>
          </w:p>
        </w:tc>
        <w:tc>
          <w:tcPr>
            <w:tcW w:w="376" w:type="pct"/>
            <w:vAlign w:val="center"/>
          </w:tcPr>
          <w:p>
            <w:pPr>
              <w:jc w:val="center"/>
              <w:rPr>
                <w:szCs w:val="21"/>
              </w:rPr>
            </w:pPr>
            <w:r>
              <w:rPr>
                <w:szCs w:val="21"/>
              </w:rPr>
              <w:t>黄褐色</w:t>
            </w:r>
          </w:p>
        </w:tc>
        <w:tc>
          <w:tcPr>
            <w:tcW w:w="372" w:type="pct"/>
            <w:vAlign w:val="center"/>
          </w:tcPr>
          <w:p>
            <w:pPr>
              <w:jc w:val="center"/>
              <w:rPr>
                <w:szCs w:val="21"/>
              </w:rPr>
            </w:pPr>
            <w:r>
              <w:rPr>
                <w:szCs w:val="21"/>
              </w:rPr>
              <w:t>黄褐色</w:t>
            </w:r>
          </w:p>
        </w:tc>
        <w:tc>
          <w:tcPr>
            <w:tcW w:w="372" w:type="pct"/>
            <w:vAlign w:val="center"/>
          </w:tcPr>
          <w:p>
            <w:pPr>
              <w:jc w:val="center"/>
              <w:rPr>
                <w:szCs w:val="21"/>
              </w:rPr>
            </w:pPr>
            <w:r>
              <w:rPr>
                <w:szCs w:val="21"/>
              </w:rPr>
              <w:t>黄褐色</w:t>
            </w:r>
          </w:p>
        </w:tc>
        <w:tc>
          <w:tcPr>
            <w:tcW w:w="372" w:type="pct"/>
            <w:vAlign w:val="center"/>
          </w:tcPr>
          <w:p>
            <w:pPr>
              <w:jc w:val="center"/>
              <w:rPr>
                <w:szCs w:val="21"/>
              </w:rPr>
            </w:pPr>
            <w:r>
              <w:rPr>
                <w:szCs w:val="21"/>
              </w:rPr>
              <w:t>黄褐色</w:t>
            </w:r>
          </w:p>
        </w:tc>
        <w:tc>
          <w:tcPr>
            <w:tcW w:w="418" w:type="pct"/>
            <w:vAlign w:val="center"/>
          </w:tcPr>
          <w:p>
            <w:pPr>
              <w:jc w:val="center"/>
              <w:rPr>
                <w:szCs w:val="21"/>
              </w:rPr>
            </w:pPr>
            <w:r>
              <w:rPr>
                <w:rFonts w:hint="eastAsia"/>
                <w:szCs w:val="21"/>
              </w:rPr>
              <w:t>黄褐色</w:t>
            </w:r>
          </w:p>
        </w:tc>
        <w:tc>
          <w:tcPr>
            <w:tcW w:w="418" w:type="pct"/>
            <w:vAlign w:val="center"/>
          </w:tcPr>
          <w:p>
            <w:pPr>
              <w:jc w:val="center"/>
              <w:rPr>
                <w:szCs w:val="21"/>
              </w:rPr>
            </w:pPr>
            <w:r>
              <w:rPr>
                <w:rFonts w:hint="eastAsia"/>
                <w:szCs w:val="21"/>
              </w:rPr>
              <w:t>黄褐色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64" w:type="pct"/>
            <w:vMerge w:val="continue"/>
            <w:vAlign w:val="center"/>
          </w:tcPr>
          <w:p>
            <w:pPr>
              <w:jc w:val="center"/>
              <w:rPr>
                <w:b/>
                <w:bCs/>
                <w:szCs w:val="21"/>
                <w:lang w:val="zh-CN"/>
              </w:rPr>
            </w:pPr>
          </w:p>
        </w:tc>
        <w:tc>
          <w:tcPr>
            <w:tcW w:w="471" w:type="pct"/>
            <w:vAlign w:val="center"/>
          </w:tcPr>
          <w:p>
            <w:pPr>
              <w:jc w:val="center"/>
              <w:rPr>
                <w:b/>
                <w:bCs/>
                <w:szCs w:val="21"/>
                <w:lang w:val="zh-CN"/>
              </w:rPr>
            </w:pPr>
            <w:r>
              <w:rPr>
                <w:b/>
                <w:bCs/>
                <w:szCs w:val="21"/>
                <w:lang w:val="zh-CN"/>
              </w:rPr>
              <w:t>质地</w:t>
            </w:r>
          </w:p>
        </w:tc>
        <w:tc>
          <w:tcPr>
            <w:tcW w:w="313" w:type="pct"/>
            <w:vAlign w:val="center"/>
          </w:tcPr>
          <w:p>
            <w:pPr>
              <w:jc w:val="center"/>
              <w:rPr>
                <w:szCs w:val="21"/>
              </w:rPr>
            </w:pPr>
            <w:r>
              <w:rPr>
                <w:szCs w:val="21"/>
              </w:rPr>
              <w:t>壤土</w:t>
            </w:r>
          </w:p>
        </w:tc>
        <w:tc>
          <w:tcPr>
            <w:tcW w:w="328" w:type="pct"/>
            <w:vAlign w:val="center"/>
          </w:tcPr>
          <w:p>
            <w:pPr>
              <w:jc w:val="center"/>
              <w:rPr>
                <w:szCs w:val="21"/>
              </w:rPr>
            </w:pPr>
            <w:r>
              <w:rPr>
                <w:szCs w:val="21"/>
              </w:rPr>
              <w:t>壤土</w:t>
            </w:r>
          </w:p>
        </w:tc>
        <w:tc>
          <w:tcPr>
            <w:tcW w:w="328" w:type="pct"/>
            <w:vAlign w:val="center"/>
          </w:tcPr>
          <w:p>
            <w:pPr>
              <w:jc w:val="center"/>
              <w:rPr>
                <w:szCs w:val="21"/>
              </w:rPr>
            </w:pPr>
            <w:r>
              <w:rPr>
                <w:szCs w:val="21"/>
              </w:rPr>
              <w:t>壤土</w:t>
            </w:r>
          </w:p>
        </w:tc>
        <w:tc>
          <w:tcPr>
            <w:tcW w:w="418" w:type="pct"/>
            <w:vAlign w:val="center"/>
          </w:tcPr>
          <w:p>
            <w:pPr>
              <w:jc w:val="center"/>
              <w:rPr>
                <w:szCs w:val="21"/>
              </w:rPr>
            </w:pPr>
            <w:r>
              <w:rPr>
                <w:rFonts w:hint="eastAsia"/>
                <w:szCs w:val="21"/>
              </w:rPr>
              <w:t>壤土</w:t>
            </w:r>
          </w:p>
        </w:tc>
        <w:tc>
          <w:tcPr>
            <w:tcW w:w="325" w:type="pct"/>
            <w:vAlign w:val="center"/>
          </w:tcPr>
          <w:p>
            <w:pPr>
              <w:jc w:val="center"/>
              <w:rPr>
                <w:szCs w:val="21"/>
              </w:rPr>
            </w:pPr>
            <w:r>
              <w:rPr>
                <w:rFonts w:hint="eastAsia"/>
                <w:szCs w:val="21"/>
              </w:rPr>
              <w:t>壤土</w:t>
            </w:r>
          </w:p>
        </w:tc>
        <w:tc>
          <w:tcPr>
            <w:tcW w:w="325" w:type="pct"/>
            <w:vAlign w:val="center"/>
          </w:tcPr>
          <w:p>
            <w:pPr>
              <w:jc w:val="center"/>
              <w:rPr>
                <w:szCs w:val="21"/>
              </w:rPr>
            </w:pPr>
            <w:r>
              <w:rPr>
                <w:szCs w:val="21"/>
              </w:rPr>
              <w:t>壤土</w:t>
            </w:r>
          </w:p>
        </w:tc>
        <w:tc>
          <w:tcPr>
            <w:tcW w:w="376" w:type="pct"/>
            <w:vAlign w:val="center"/>
          </w:tcPr>
          <w:p>
            <w:pPr>
              <w:jc w:val="center"/>
              <w:rPr>
                <w:szCs w:val="21"/>
              </w:rPr>
            </w:pPr>
            <w:r>
              <w:rPr>
                <w:szCs w:val="21"/>
              </w:rPr>
              <w:t>壤土</w:t>
            </w:r>
          </w:p>
        </w:tc>
        <w:tc>
          <w:tcPr>
            <w:tcW w:w="372" w:type="pct"/>
            <w:vAlign w:val="center"/>
          </w:tcPr>
          <w:p>
            <w:pPr>
              <w:jc w:val="center"/>
              <w:rPr>
                <w:szCs w:val="21"/>
              </w:rPr>
            </w:pPr>
            <w:r>
              <w:rPr>
                <w:szCs w:val="21"/>
              </w:rPr>
              <w:t>壤土</w:t>
            </w:r>
          </w:p>
        </w:tc>
        <w:tc>
          <w:tcPr>
            <w:tcW w:w="372" w:type="pct"/>
            <w:vAlign w:val="center"/>
          </w:tcPr>
          <w:p>
            <w:pPr>
              <w:jc w:val="center"/>
              <w:rPr>
                <w:szCs w:val="21"/>
              </w:rPr>
            </w:pPr>
            <w:r>
              <w:rPr>
                <w:szCs w:val="21"/>
              </w:rPr>
              <w:t>壤土</w:t>
            </w:r>
          </w:p>
        </w:tc>
        <w:tc>
          <w:tcPr>
            <w:tcW w:w="372" w:type="pct"/>
            <w:vAlign w:val="center"/>
          </w:tcPr>
          <w:p>
            <w:pPr>
              <w:jc w:val="center"/>
              <w:rPr>
                <w:szCs w:val="21"/>
              </w:rPr>
            </w:pPr>
            <w:r>
              <w:rPr>
                <w:szCs w:val="21"/>
              </w:rPr>
              <w:t>壤土</w:t>
            </w:r>
          </w:p>
        </w:tc>
        <w:tc>
          <w:tcPr>
            <w:tcW w:w="418" w:type="pct"/>
            <w:vAlign w:val="center"/>
          </w:tcPr>
          <w:p>
            <w:pPr>
              <w:jc w:val="center"/>
              <w:rPr>
                <w:szCs w:val="21"/>
              </w:rPr>
            </w:pPr>
            <w:r>
              <w:rPr>
                <w:szCs w:val="21"/>
              </w:rPr>
              <w:t>壤土</w:t>
            </w:r>
          </w:p>
        </w:tc>
        <w:tc>
          <w:tcPr>
            <w:tcW w:w="418" w:type="pct"/>
            <w:vAlign w:val="center"/>
          </w:tcPr>
          <w:p>
            <w:pPr>
              <w:jc w:val="center"/>
              <w:rPr>
                <w:szCs w:val="21"/>
              </w:rPr>
            </w:pPr>
            <w:r>
              <w:rPr>
                <w:szCs w:val="21"/>
              </w:rPr>
              <w:t>壤土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64" w:type="pct"/>
            <w:vMerge w:val="continue"/>
            <w:vAlign w:val="center"/>
          </w:tcPr>
          <w:p>
            <w:pPr>
              <w:jc w:val="center"/>
              <w:rPr>
                <w:b/>
                <w:bCs/>
                <w:szCs w:val="21"/>
                <w:lang w:val="zh-CN"/>
              </w:rPr>
            </w:pPr>
          </w:p>
        </w:tc>
        <w:tc>
          <w:tcPr>
            <w:tcW w:w="471" w:type="pct"/>
            <w:vAlign w:val="center"/>
          </w:tcPr>
          <w:p>
            <w:pPr>
              <w:jc w:val="center"/>
              <w:rPr>
                <w:b/>
                <w:bCs/>
                <w:szCs w:val="21"/>
                <w:lang w:val="zh-CN"/>
              </w:rPr>
            </w:pPr>
            <w:r>
              <w:rPr>
                <w:b/>
                <w:bCs/>
                <w:szCs w:val="21"/>
                <w:lang w:val="zh-CN"/>
              </w:rPr>
              <w:t>砂砾含量</w:t>
            </w:r>
          </w:p>
        </w:tc>
        <w:tc>
          <w:tcPr>
            <w:tcW w:w="313" w:type="pct"/>
            <w:vAlign w:val="center"/>
          </w:tcPr>
          <w:p>
            <w:pPr>
              <w:jc w:val="center"/>
              <w:rPr>
                <w:szCs w:val="21"/>
              </w:rPr>
            </w:pPr>
            <w:r>
              <w:rPr>
                <w:szCs w:val="21"/>
              </w:rPr>
              <w:t>12%</w:t>
            </w:r>
          </w:p>
        </w:tc>
        <w:tc>
          <w:tcPr>
            <w:tcW w:w="328" w:type="pct"/>
            <w:vAlign w:val="center"/>
          </w:tcPr>
          <w:p>
            <w:pPr>
              <w:jc w:val="center"/>
              <w:rPr>
                <w:szCs w:val="21"/>
              </w:rPr>
            </w:pPr>
            <w:r>
              <w:rPr>
                <w:szCs w:val="21"/>
              </w:rPr>
              <w:t>11%</w:t>
            </w:r>
          </w:p>
        </w:tc>
        <w:tc>
          <w:tcPr>
            <w:tcW w:w="328" w:type="pct"/>
            <w:vAlign w:val="center"/>
          </w:tcPr>
          <w:p>
            <w:pPr>
              <w:jc w:val="center"/>
              <w:rPr>
                <w:szCs w:val="21"/>
              </w:rPr>
            </w:pPr>
            <w:r>
              <w:rPr>
                <w:szCs w:val="21"/>
              </w:rPr>
              <w:t>10%</w:t>
            </w:r>
          </w:p>
        </w:tc>
        <w:tc>
          <w:tcPr>
            <w:tcW w:w="418" w:type="pct"/>
            <w:vAlign w:val="center"/>
          </w:tcPr>
          <w:p>
            <w:pPr>
              <w:jc w:val="center"/>
              <w:rPr>
                <w:szCs w:val="21"/>
              </w:rPr>
            </w:pPr>
            <w:r>
              <w:rPr>
                <w:rFonts w:hint="eastAsia"/>
                <w:szCs w:val="21"/>
              </w:rPr>
              <w:t>1</w:t>
            </w:r>
            <w:r>
              <w:rPr>
                <w:szCs w:val="21"/>
              </w:rPr>
              <w:t>3</w:t>
            </w:r>
            <w:r>
              <w:rPr>
                <w:rFonts w:hint="eastAsia"/>
                <w:szCs w:val="21"/>
              </w:rPr>
              <w:t>%</w:t>
            </w:r>
          </w:p>
        </w:tc>
        <w:tc>
          <w:tcPr>
            <w:tcW w:w="325" w:type="pct"/>
            <w:vAlign w:val="center"/>
          </w:tcPr>
          <w:p>
            <w:pPr>
              <w:jc w:val="center"/>
              <w:rPr>
                <w:szCs w:val="21"/>
              </w:rPr>
            </w:pPr>
            <w:r>
              <w:rPr>
                <w:rFonts w:hint="eastAsia"/>
                <w:szCs w:val="21"/>
              </w:rPr>
              <w:t>1</w:t>
            </w:r>
            <w:r>
              <w:rPr>
                <w:szCs w:val="21"/>
              </w:rPr>
              <w:t>0</w:t>
            </w:r>
            <w:r>
              <w:rPr>
                <w:rFonts w:hint="eastAsia"/>
                <w:szCs w:val="21"/>
              </w:rPr>
              <w:t>%</w:t>
            </w:r>
          </w:p>
        </w:tc>
        <w:tc>
          <w:tcPr>
            <w:tcW w:w="325" w:type="pct"/>
            <w:vAlign w:val="center"/>
          </w:tcPr>
          <w:p>
            <w:pPr>
              <w:jc w:val="center"/>
              <w:rPr>
                <w:szCs w:val="21"/>
              </w:rPr>
            </w:pPr>
            <w:r>
              <w:rPr>
                <w:szCs w:val="21"/>
              </w:rPr>
              <w:t>11%</w:t>
            </w:r>
          </w:p>
        </w:tc>
        <w:tc>
          <w:tcPr>
            <w:tcW w:w="376" w:type="pct"/>
            <w:vAlign w:val="center"/>
          </w:tcPr>
          <w:p>
            <w:pPr>
              <w:jc w:val="center"/>
              <w:rPr>
                <w:szCs w:val="21"/>
              </w:rPr>
            </w:pPr>
            <w:r>
              <w:rPr>
                <w:szCs w:val="21"/>
              </w:rPr>
              <w:t>9%</w:t>
            </w:r>
          </w:p>
        </w:tc>
        <w:tc>
          <w:tcPr>
            <w:tcW w:w="372" w:type="pct"/>
            <w:vAlign w:val="center"/>
          </w:tcPr>
          <w:p>
            <w:pPr>
              <w:jc w:val="center"/>
              <w:rPr>
                <w:szCs w:val="21"/>
              </w:rPr>
            </w:pPr>
            <w:r>
              <w:rPr>
                <w:rFonts w:hint="eastAsia"/>
                <w:szCs w:val="21"/>
              </w:rPr>
              <w:t>14%</w:t>
            </w:r>
          </w:p>
        </w:tc>
        <w:tc>
          <w:tcPr>
            <w:tcW w:w="372" w:type="pct"/>
            <w:vAlign w:val="center"/>
          </w:tcPr>
          <w:p>
            <w:pPr>
              <w:jc w:val="center"/>
              <w:rPr>
                <w:szCs w:val="21"/>
              </w:rPr>
            </w:pPr>
            <w:r>
              <w:rPr>
                <w:rFonts w:hint="eastAsia"/>
                <w:szCs w:val="21"/>
              </w:rPr>
              <w:t>12%</w:t>
            </w:r>
          </w:p>
        </w:tc>
        <w:tc>
          <w:tcPr>
            <w:tcW w:w="372" w:type="pct"/>
            <w:vAlign w:val="center"/>
          </w:tcPr>
          <w:p>
            <w:pPr>
              <w:jc w:val="center"/>
              <w:rPr>
                <w:szCs w:val="21"/>
              </w:rPr>
            </w:pPr>
            <w:r>
              <w:rPr>
                <w:rFonts w:hint="eastAsia"/>
                <w:szCs w:val="21"/>
              </w:rPr>
              <w:t>11%</w:t>
            </w:r>
          </w:p>
        </w:tc>
        <w:tc>
          <w:tcPr>
            <w:tcW w:w="418" w:type="pct"/>
            <w:vAlign w:val="center"/>
          </w:tcPr>
          <w:p>
            <w:pPr>
              <w:jc w:val="center"/>
              <w:rPr>
                <w:szCs w:val="21"/>
              </w:rPr>
            </w:pPr>
            <w:r>
              <w:rPr>
                <w:rFonts w:hint="eastAsia"/>
                <w:szCs w:val="21"/>
              </w:rPr>
              <w:t>12%</w:t>
            </w:r>
          </w:p>
        </w:tc>
        <w:tc>
          <w:tcPr>
            <w:tcW w:w="418" w:type="pct"/>
            <w:vAlign w:val="center"/>
          </w:tcPr>
          <w:p>
            <w:pPr>
              <w:jc w:val="center"/>
              <w:rPr>
                <w:szCs w:val="21"/>
              </w:rPr>
            </w:pPr>
            <w:r>
              <w:rPr>
                <w:rFonts w:hint="eastAsia"/>
                <w:szCs w:val="21"/>
              </w:rPr>
              <w:t>1</w:t>
            </w:r>
            <w:r>
              <w:rPr>
                <w:szCs w:val="21"/>
              </w:rPr>
              <w:t>3</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64" w:type="pct"/>
            <w:vMerge w:val="continue"/>
            <w:vAlign w:val="center"/>
          </w:tcPr>
          <w:p>
            <w:pPr>
              <w:jc w:val="center"/>
              <w:rPr>
                <w:b/>
                <w:bCs/>
                <w:szCs w:val="21"/>
                <w:lang w:val="zh-CN"/>
              </w:rPr>
            </w:pPr>
          </w:p>
        </w:tc>
        <w:tc>
          <w:tcPr>
            <w:tcW w:w="471" w:type="pct"/>
            <w:vAlign w:val="center"/>
          </w:tcPr>
          <w:p>
            <w:pPr>
              <w:jc w:val="center"/>
              <w:rPr>
                <w:b/>
                <w:bCs/>
                <w:szCs w:val="21"/>
                <w:lang w:val="zh-CN"/>
              </w:rPr>
            </w:pPr>
            <w:r>
              <w:rPr>
                <w:b/>
                <w:bCs/>
                <w:szCs w:val="21"/>
                <w:lang w:val="zh-CN"/>
              </w:rPr>
              <w:t>其他异物</w:t>
            </w:r>
          </w:p>
        </w:tc>
        <w:tc>
          <w:tcPr>
            <w:tcW w:w="313" w:type="pct"/>
            <w:vAlign w:val="center"/>
          </w:tcPr>
          <w:p>
            <w:pPr>
              <w:widowControl/>
              <w:jc w:val="center"/>
              <w:rPr>
                <w:szCs w:val="21"/>
              </w:rPr>
            </w:pPr>
            <w:r>
              <w:rPr>
                <w:szCs w:val="21"/>
              </w:rPr>
              <w:t>植物根系、枝叶</w:t>
            </w:r>
          </w:p>
        </w:tc>
        <w:tc>
          <w:tcPr>
            <w:tcW w:w="328" w:type="pct"/>
            <w:vAlign w:val="center"/>
          </w:tcPr>
          <w:p>
            <w:pPr>
              <w:widowControl/>
              <w:jc w:val="center"/>
              <w:rPr>
                <w:szCs w:val="21"/>
              </w:rPr>
            </w:pPr>
            <w:r>
              <w:rPr>
                <w:szCs w:val="21"/>
              </w:rPr>
              <w:t>植物根系、枝叶</w:t>
            </w:r>
          </w:p>
        </w:tc>
        <w:tc>
          <w:tcPr>
            <w:tcW w:w="328" w:type="pct"/>
            <w:vAlign w:val="center"/>
          </w:tcPr>
          <w:p>
            <w:pPr>
              <w:widowControl/>
              <w:jc w:val="center"/>
              <w:rPr>
                <w:szCs w:val="21"/>
              </w:rPr>
            </w:pPr>
            <w:r>
              <w:rPr>
                <w:szCs w:val="21"/>
              </w:rPr>
              <w:t>植物根系</w:t>
            </w:r>
          </w:p>
        </w:tc>
        <w:tc>
          <w:tcPr>
            <w:tcW w:w="418" w:type="pct"/>
            <w:vAlign w:val="center"/>
          </w:tcPr>
          <w:p>
            <w:pPr>
              <w:widowControl/>
              <w:jc w:val="center"/>
              <w:rPr>
                <w:szCs w:val="21"/>
              </w:rPr>
            </w:pPr>
            <w:r>
              <w:rPr>
                <w:szCs w:val="21"/>
              </w:rPr>
              <w:t>植物根系、枝叶</w:t>
            </w:r>
          </w:p>
        </w:tc>
        <w:tc>
          <w:tcPr>
            <w:tcW w:w="325" w:type="pct"/>
            <w:vAlign w:val="center"/>
          </w:tcPr>
          <w:p>
            <w:pPr>
              <w:widowControl/>
              <w:jc w:val="center"/>
              <w:rPr>
                <w:szCs w:val="21"/>
              </w:rPr>
            </w:pPr>
            <w:r>
              <w:rPr>
                <w:szCs w:val="21"/>
              </w:rPr>
              <w:t>植物根系、枝叶</w:t>
            </w:r>
          </w:p>
        </w:tc>
        <w:tc>
          <w:tcPr>
            <w:tcW w:w="325" w:type="pct"/>
            <w:vAlign w:val="center"/>
          </w:tcPr>
          <w:p>
            <w:pPr>
              <w:widowControl/>
              <w:jc w:val="center"/>
              <w:rPr>
                <w:szCs w:val="21"/>
              </w:rPr>
            </w:pPr>
            <w:r>
              <w:rPr>
                <w:szCs w:val="21"/>
              </w:rPr>
              <w:t>植物根系、枝叶</w:t>
            </w:r>
          </w:p>
        </w:tc>
        <w:tc>
          <w:tcPr>
            <w:tcW w:w="376" w:type="pct"/>
            <w:vAlign w:val="center"/>
          </w:tcPr>
          <w:p>
            <w:pPr>
              <w:widowControl/>
              <w:jc w:val="center"/>
              <w:rPr>
                <w:szCs w:val="21"/>
              </w:rPr>
            </w:pPr>
            <w:r>
              <w:rPr>
                <w:szCs w:val="21"/>
              </w:rPr>
              <w:t>植物根系</w:t>
            </w:r>
          </w:p>
        </w:tc>
        <w:tc>
          <w:tcPr>
            <w:tcW w:w="372" w:type="pct"/>
            <w:vAlign w:val="center"/>
          </w:tcPr>
          <w:p>
            <w:pPr>
              <w:widowControl/>
              <w:jc w:val="center"/>
              <w:rPr>
                <w:szCs w:val="21"/>
              </w:rPr>
            </w:pPr>
            <w:r>
              <w:rPr>
                <w:rFonts w:hint="eastAsia"/>
                <w:szCs w:val="21"/>
              </w:rPr>
              <w:t>植物根系、枝叶</w:t>
            </w:r>
          </w:p>
        </w:tc>
        <w:tc>
          <w:tcPr>
            <w:tcW w:w="372" w:type="pct"/>
            <w:vAlign w:val="center"/>
          </w:tcPr>
          <w:p>
            <w:pPr>
              <w:widowControl/>
              <w:jc w:val="center"/>
              <w:rPr>
                <w:szCs w:val="21"/>
              </w:rPr>
            </w:pPr>
            <w:r>
              <w:rPr>
                <w:rFonts w:hint="eastAsia"/>
                <w:szCs w:val="21"/>
              </w:rPr>
              <w:t>植物根系、枝叶</w:t>
            </w:r>
          </w:p>
        </w:tc>
        <w:tc>
          <w:tcPr>
            <w:tcW w:w="372" w:type="pct"/>
            <w:vAlign w:val="center"/>
          </w:tcPr>
          <w:p>
            <w:pPr>
              <w:widowControl/>
              <w:jc w:val="center"/>
              <w:rPr>
                <w:szCs w:val="21"/>
              </w:rPr>
            </w:pPr>
            <w:r>
              <w:rPr>
                <w:rFonts w:hint="eastAsia"/>
                <w:szCs w:val="21"/>
              </w:rPr>
              <w:t>植物根系</w:t>
            </w:r>
          </w:p>
        </w:tc>
        <w:tc>
          <w:tcPr>
            <w:tcW w:w="418" w:type="pct"/>
            <w:vAlign w:val="center"/>
          </w:tcPr>
          <w:p>
            <w:pPr>
              <w:widowControl/>
              <w:jc w:val="center"/>
              <w:rPr>
                <w:szCs w:val="21"/>
              </w:rPr>
            </w:pPr>
            <w:r>
              <w:rPr>
                <w:rFonts w:hint="eastAsia"/>
                <w:szCs w:val="21"/>
              </w:rPr>
              <w:t>植物根系、枝叶</w:t>
            </w:r>
          </w:p>
        </w:tc>
        <w:tc>
          <w:tcPr>
            <w:tcW w:w="418" w:type="pct"/>
            <w:vAlign w:val="center"/>
          </w:tcPr>
          <w:p>
            <w:pPr>
              <w:widowControl/>
              <w:jc w:val="center"/>
              <w:rPr>
                <w:szCs w:val="21"/>
              </w:rPr>
            </w:pPr>
            <w:r>
              <w:rPr>
                <w:rFonts w:hint="eastAsia"/>
                <w:szCs w:val="21"/>
              </w:rPr>
              <w:t>植物根系、枝叶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64" w:type="pct"/>
            <w:vMerge w:val="restart"/>
            <w:textDirection w:val="tbRlV"/>
            <w:vAlign w:val="center"/>
          </w:tcPr>
          <w:p>
            <w:pPr>
              <w:jc w:val="center"/>
              <w:rPr>
                <w:b/>
                <w:bCs/>
                <w:szCs w:val="21"/>
                <w:lang w:val="zh-CN"/>
              </w:rPr>
            </w:pPr>
            <w:r>
              <w:rPr>
                <w:b/>
                <w:bCs/>
                <w:szCs w:val="21"/>
                <w:lang w:val="zh-CN"/>
              </w:rPr>
              <w:t>实 验 室 测 定</w:t>
            </w:r>
          </w:p>
        </w:tc>
        <w:tc>
          <w:tcPr>
            <w:tcW w:w="471" w:type="pct"/>
            <w:vAlign w:val="center"/>
          </w:tcPr>
          <w:p>
            <w:pPr>
              <w:jc w:val="center"/>
              <w:rPr>
                <w:b/>
                <w:bCs/>
                <w:szCs w:val="21"/>
                <w:lang w:val="zh-CN"/>
              </w:rPr>
            </w:pPr>
            <w:r>
              <w:rPr>
                <w:b/>
                <w:bCs/>
                <w:szCs w:val="21"/>
                <w:lang w:val="zh-CN"/>
              </w:rPr>
              <w:t>阳离子交换量（</w:t>
            </w:r>
            <w:r>
              <w:rPr>
                <w:b/>
                <w:bCs/>
                <w:szCs w:val="21"/>
              </w:rPr>
              <w:t>cmol</w:t>
            </w:r>
            <w:r>
              <w:rPr>
                <w:b/>
                <w:bCs/>
                <w:szCs w:val="21"/>
                <w:vertAlign w:val="superscript"/>
              </w:rPr>
              <w:t>+</w:t>
            </w:r>
            <w:r>
              <w:rPr>
                <w:b/>
                <w:bCs/>
                <w:szCs w:val="21"/>
              </w:rPr>
              <w:t>/kg</w:t>
            </w:r>
            <w:r>
              <w:rPr>
                <w:b/>
                <w:bCs/>
                <w:szCs w:val="21"/>
                <w:lang w:val="zh-CN"/>
              </w:rPr>
              <w:t>）</w:t>
            </w:r>
          </w:p>
        </w:tc>
        <w:tc>
          <w:tcPr>
            <w:tcW w:w="313" w:type="pct"/>
            <w:vAlign w:val="center"/>
          </w:tcPr>
          <w:p>
            <w:pPr>
              <w:widowControl/>
              <w:jc w:val="center"/>
              <w:textAlignment w:val="center"/>
              <w:rPr>
                <w:color w:val="000000"/>
                <w:szCs w:val="21"/>
              </w:rPr>
            </w:pPr>
            <w:r>
              <w:rPr>
                <w:color w:val="000000"/>
                <w:kern w:val="0"/>
                <w:szCs w:val="21"/>
                <w:lang w:bidi="ar"/>
              </w:rPr>
              <w:t>14.7</w:t>
            </w:r>
          </w:p>
        </w:tc>
        <w:tc>
          <w:tcPr>
            <w:tcW w:w="328" w:type="pct"/>
            <w:vAlign w:val="center"/>
          </w:tcPr>
          <w:p>
            <w:pPr>
              <w:widowControl/>
              <w:jc w:val="center"/>
              <w:textAlignment w:val="center"/>
              <w:rPr>
                <w:color w:val="000000"/>
                <w:szCs w:val="21"/>
              </w:rPr>
            </w:pPr>
            <w:r>
              <w:rPr>
                <w:color w:val="000000"/>
                <w:kern w:val="0"/>
                <w:szCs w:val="21"/>
                <w:lang w:bidi="ar"/>
              </w:rPr>
              <w:t>16.0</w:t>
            </w:r>
          </w:p>
        </w:tc>
        <w:tc>
          <w:tcPr>
            <w:tcW w:w="328" w:type="pct"/>
            <w:vAlign w:val="center"/>
          </w:tcPr>
          <w:p>
            <w:pPr>
              <w:widowControl/>
              <w:jc w:val="center"/>
              <w:textAlignment w:val="center"/>
              <w:rPr>
                <w:szCs w:val="21"/>
              </w:rPr>
            </w:pPr>
            <w:r>
              <w:rPr>
                <w:color w:val="000000"/>
                <w:kern w:val="0"/>
                <w:szCs w:val="21"/>
                <w:lang w:bidi="ar"/>
              </w:rPr>
              <w:t>14.1</w:t>
            </w:r>
          </w:p>
        </w:tc>
        <w:tc>
          <w:tcPr>
            <w:tcW w:w="418" w:type="pct"/>
            <w:vAlign w:val="center"/>
          </w:tcPr>
          <w:p>
            <w:pPr>
              <w:widowControl/>
              <w:jc w:val="center"/>
              <w:textAlignment w:val="center"/>
              <w:rPr>
                <w:szCs w:val="21"/>
              </w:rPr>
            </w:pPr>
            <w:r>
              <w:rPr>
                <w:color w:val="000000"/>
                <w:kern w:val="0"/>
                <w:szCs w:val="21"/>
                <w:lang w:bidi="ar"/>
              </w:rPr>
              <w:t>11.2</w:t>
            </w:r>
          </w:p>
        </w:tc>
        <w:tc>
          <w:tcPr>
            <w:tcW w:w="325" w:type="pct"/>
            <w:vAlign w:val="center"/>
          </w:tcPr>
          <w:p>
            <w:pPr>
              <w:widowControl/>
              <w:jc w:val="center"/>
              <w:textAlignment w:val="center"/>
              <w:rPr>
                <w:szCs w:val="21"/>
              </w:rPr>
            </w:pPr>
            <w:r>
              <w:rPr>
                <w:color w:val="000000"/>
                <w:kern w:val="0"/>
                <w:szCs w:val="21"/>
                <w:lang w:bidi="ar"/>
              </w:rPr>
              <w:t>11.7</w:t>
            </w:r>
          </w:p>
        </w:tc>
        <w:tc>
          <w:tcPr>
            <w:tcW w:w="325" w:type="pct"/>
            <w:vAlign w:val="center"/>
          </w:tcPr>
          <w:p>
            <w:pPr>
              <w:widowControl/>
              <w:jc w:val="center"/>
              <w:textAlignment w:val="center"/>
              <w:rPr>
                <w:szCs w:val="21"/>
              </w:rPr>
            </w:pPr>
            <w:r>
              <w:rPr>
                <w:color w:val="000000"/>
                <w:kern w:val="0"/>
                <w:szCs w:val="21"/>
                <w:lang w:bidi="ar"/>
              </w:rPr>
              <w:t>13.3</w:t>
            </w:r>
          </w:p>
        </w:tc>
        <w:tc>
          <w:tcPr>
            <w:tcW w:w="376" w:type="pct"/>
            <w:vAlign w:val="center"/>
          </w:tcPr>
          <w:p>
            <w:pPr>
              <w:widowControl/>
              <w:jc w:val="center"/>
              <w:textAlignment w:val="center"/>
              <w:rPr>
                <w:szCs w:val="21"/>
              </w:rPr>
            </w:pPr>
            <w:r>
              <w:rPr>
                <w:color w:val="000000"/>
                <w:kern w:val="0"/>
                <w:szCs w:val="21"/>
                <w:lang w:bidi="ar"/>
              </w:rPr>
              <w:t>12.8</w:t>
            </w:r>
          </w:p>
        </w:tc>
        <w:tc>
          <w:tcPr>
            <w:tcW w:w="372" w:type="pct"/>
            <w:vAlign w:val="center"/>
          </w:tcPr>
          <w:p>
            <w:pPr>
              <w:widowControl/>
              <w:jc w:val="center"/>
              <w:textAlignment w:val="center"/>
              <w:rPr>
                <w:color w:val="000000"/>
                <w:kern w:val="0"/>
                <w:szCs w:val="21"/>
                <w:lang w:bidi="ar"/>
              </w:rPr>
            </w:pPr>
            <w:r>
              <w:rPr>
                <w:rFonts w:hint="eastAsia"/>
                <w:color w:val="000000"/>
                <w:kern w:val="0"/>
                <w:szCs w:val="21"/>
                <w:lang w:bidi="ar"/>
              </w:rPr>
              <w:t>13.0</w:t>
            </w:r>
          </w:p>
        </w:tc>
        <w:tc>
          <w:tcPr>
            <w:tcW w:w="372" w:type="pct"/>
            <w:vAlign w:val="center"/>
          </w:tcPr>
          <w:p>
            <w:pPr>
              <w:widowControl/>
              <w:jc w:val="center"/>
              <w:textAlignment w:val="center"/>
              <w:rPr>
                <w:color w:val="000000"/>
                <w:kern w:val="0"/>
                <w:szCs w:val="21"/>
                <w:lang w:bidi="ar"/>
              </w:rPr>
            </w:pPr>
            <w:r>
              <w:rPr>
                <w:rFonts w:hint="eastAsia"/>
                <w:color w:val="000000"/>
                <w:kern w:val="0"/>
                <w:szCs w:val="21"/>
                <w:lang w:bidi="ar"/>
              </w:rPr>
              <w:t>15.8</w:t>
            </w:r>
          </w:p>
        </w:tc>
        <w:tc>
          <w:tcPr>
            <w:tcW w:w="372" w:type="pct"/>
            <w:vAlign w:val="center"/>
          </w:tcPr>
          <w:p>
            <w:pPr>
              <w:widowControl/>
              <w:jc w:val="center"/>
              <w:textAlignment w:val="center"/>
              <w:rPr>
                <w:color w:val="000000"/>
                <w:kern w:val="0"/>
                <w:szCs w:val="21"/>
                <w:lang w:bidi="ar"/>
              </w:rPr>
            </w:pPr>
            <w:r>
              <w:rPr>
                <w:rFonts w:hint="eastAsia"/>
                <w:color w:val="000000"/>
                <w:kern w:val="0"/>
                <w:szCs w:val="21"/>
                <w:lang w:bidi="ar"/>
              </w:rPr>
              <w:t>11.2</w:t>
            </w:r>
          </w:p>
        </w:tc>
        <w:tc>
          <w:tcPr>
            <w:tcW w:w="418" w:type="pct"/>
            <w:vAlign w:val="center"/>
          </w:tcPr>
          <w:p>
            <w:pPr>
              <w:widowControl/>
              <w:jc w:val="center"/>
              <w:textAlignment w:val="center"/>
              <w:rPr>
                <w:color w:val="000000"/>
                <w:kern w:val="0"/>
                <w:szCs w:val="21"/>
                <w:lang w:bidi="ar"/>
              </w:rPr>
            </w:pPr>
            <w:r>
              <w:rPr>
                <w:rFonts w:hint="eastAsia"/>
                <w:color w:val="000000"/>
                <w:kern w:val="0"/>
                <w:szCs w:val="21"/>
                <w:lang w:bidi="ar"/>
              </w:rPr>
              <w:t>14.5</w:t>
            </w:r>
          </w:p>
        </w:tc>
        <w:tc>
          <w:tcPr>
            <w:tcW w:w="418" w:type="pct"/>
            <w:vAlign w:val="center"/>
          </w:tcPr>
          <w:p>
            <w:pPr>
              <w:widowControl/>
              <w:jc w:val="center"/>
              <w:textAlignment w:val="center"/>
              <w:rPr>
                <w:color w:val="000000"/>
                <w:kern w:val="0"/>
                <w:szCs w:val="21"/>
                <w:lang w:bidi="ar"/>
              </w:rPr>
            </w:pPr>
            <w:r>
              <w:rPr>
                <w:rFonts w:hint="eastAsia"/>
                <w:color w:val="000000"/>
                <w:kern w:val="0"/>
                <w:szCs w:val="21"/>
                <w:lang w:bidi="ar"/>
              </w:rPr>
              <w:t>11.5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64" w:type="pct"/>
            <w:vMerge w:val="continue"/>
            <w:vAlign w:val="center"/>
          </w:tcPr>
          <w:p>
            <w:pPr>
              <w:jc w:val="center"/>
              <w:rPr>
                <w:b/>
                <w:bCs/>
                <w:szCs w:val="21"/>
                <w:lang w:val="zh-CN"/>
              </w:rPr>
            </w:pPr>
          </w:p>
        </w:tc>
        <w:tc>
          <w:tcPr>
            <w:tcW w:w="471" w:type="pct"/>
            <w:vAlign w:val="center"/>
          </w:tcPr>
          <w:p>
            <w:pPr>
              <w:jc w:val="center"/>
              <w:rPr>
                <w:b/>
                <w:bCs/>
                <w:szCs w:val="21"/>
                <w:lang w:val="zh-CN"/>
              </w:rPr>
            </w:pPr>
            <w:r>
              <w:rPr>
                <w:b/>
                <w:bCs/>
                <w:szCs w:val="21"/>
                <w:lang w:val="zh-CN"/>
              </w:rPr>
              <w:t>氧化还原电</w:t>
            </w:r>
            <w:r>
              <w:rPr>
                <w:b/>
                <w:bCs/>
                <w:szCs w:val="21"/>
              </w:rPr>
              <w:t>位</w:t>
            </w:r>
            <w:r>
              <w:rPr>
                <w:b/>
                <w:bCs/>
                <w:szCs w:val="21"/>
                <w:lang w:val="zh-CN"/>
              </w:rPr>
              <w:t>（mv）</w:t>
            </w:r>
          </w:p>
        </w:tc>
        <w:tc>
          <w:tcPr>
            <w:tcW w:w="313" w:type="pct"/>
            <w:vAlign w:val="center"/>
          </w:tcPr>
          <w:p>
            <w:pPr>
              <w:widowControl/>
              <w:jc w:val="center"/>
              <w:textAlignment w:val="center"/>
              <w:rPr>
                <w:color w:val="000000"/>
                <w:kern w:val="0"/>
                <w:szCs w:val="21"/>
                <w:lang w:bidi="ar"/>
              </w:rPr>
            </w:pPr>
            <w:r>
              <w:rPr>
                <w:color w:val="000000"/>
                <w:kern w:val="0"/>
                <w:szCs w:val="21"/>
                <w:lang w:bidi="ar"/>
              </w:rPr>
              <w:t>324</w:t>
            </w:r>
          </w:p>
        </w:tc>
        <w:tc>
          <w:tcPr>
            <w:tcW w:w="328" w:type="pct"/>
            <w:vAlign w:val="center"/>
          </w:tcPr>
          <w:p>
            <w:pPr>
              <w:widowControl/>
              <w:jc w:val="center"/>
              <w:textAlignment w:val="center"/>
              <w:rPr>
                <w:color w:val="000000"/>
                <w:kern w:val="0"/>
                <w:szCs w:val="21"/>
                <w:lang w:bidi="ar"/>
              </w:rPr>
            </w:pPr>
            <w:r>
              <w:rPr>
                <w:color w:val="000000"/>
                <w:kern w:val="0"/>
                <w:szCs w:val="21"/>
                <w:lang w:bidi="ar"/>
              </w:rPr>
              <w:t>325</w:t>
            </w:r>
          </w:p>
        </w:tc>
        <w:tc>
          <w:tcPr>
            <w:tcW w:w="328" w:type="pct"/>
            <w:vAlign w:val="center"/>
          </w:tcPr>
          <w:p>
            <w:pPr>
              <w:widowControl/>
              <w:jc w:val="center"/>
              <w:textAlignment w:val="center"/>
              <w:rPr>
                <w:szCs w:val="21"/>
              </w:rPr>
            </w:pPr>
            <w:r>
              <w:rPr>
                <w:color w:val="000000"/>
                <w:kern w:val="0"/>
                <w:szCs w:val="21"/>
                <w:lang w:bidi="ar"/>
              </w:rPr>
              <w:t>330</w:t>
            </w:r>
          </w:p>
        </w:tc>
        <w:tc>
          <w:tcPr>
            <w:tcW w:w="418" w:type="pct"/>
            <w:vAlign w:val="center"/>
          </w:tcPr>
          <w:p>
            <w:pPr>
              <w:widowControl/>
              <w:jc w:val="center"/>
              <w:textAlignment w:val="center"/>
              <w:rPr>
                <w:szCs w:val="21"/>
              </w:rPr>
            </w:pPr>
            <w:r>
              <w:rPr>
                <w:color w:val="000000"/>
                <w:kern w:val="0"/>
                <w:szCs w:val="21"/>
                <w:lang w:bidi="ar"/>
              </w:rPr>
              <w:t>320</w:t>
            </w:r>
          </w:p>
        </w:tc>
        <w:tc>
          <w:tcPr>
            <w:tcW w:w="325" w:type="pct"/>
            <w:vAlign w:val="center"/>
          </w:tcPr>
          <w:p>
            <w:pPr>
              <w:widowControl/>
              <w:jc w:val="center"/>
              <w:textAlignment w:val="center"/>
              <w:rPr>
                <w:szCs w:val="21"/>
              </w:rPr>
            </w:pPr>
            <w:r>
              <w:rPr>
                <w:color w:val="000000"/>
                <w:kern w:val="0"/>
                <w:szCs w:val="21"/>
                <w:lang w:bidi="ar"/>
              </w:rPr>
              <w:t>324</w:t>
            </w:r>
          </w:p>
        </w:tc>
        <w:tc>
          <w:tcPr>
            <w:tcW w:w="325" w:type="pct"/>
            <w:vAlign w:val="center"/>
          </w:tcPr>
          <w:p>
            <w:pPr>
              <w:widowControl/>
              <w:jc w:val="center"/>
              <w:textAlignment w:val="center"/>
              <w:rPr>
                <w:szCs w:val="21"/>
              </w:rPr>
            </w:pPr>
            <w:r>
              <w:rPr>
                <w:color w:val="000000"/>
                <w:kern w:val="0"/>
                <w:szCs w:val="21"/>
                <w:lang w:bidi="ar"/>
              </w:rPr>
              <w:t>316</w:t>
            </w:r>
          </w:p>
        </w:tc>
        <w:tc>
          <w:tcPr>
            <w:tcW w:w="376" w:type="pct"/>
            <w:vAlign w:val="center"/>
          </w:tcPr>
          <w:p>
            <w:pPr>
              <w:widowControl/>
              <w:jc w:val="center"/>
              <w:textAlignment w:val="center"/>
              <w:rPr>
                <w:szCs w:val="21"/>
              </w:rPr>
            </w:pPr>
            <w:r>
              <w:rPr>
                <w:color w:val="000000"/>
                <w:kern w:val="0"/>
                <w:szCs w:val="21"/>
                <w:lang w:bidi="ar"/>
              </w:rPr>
              <w:t>323</w:t>
            </w:r>
          </w:p>
        </w:tc>
        <w:tc>
          <w:tcPr>
            <w:tcW w:w="372" w:type="pct"/>
            <w:vAlign w:val="center"/>
          </w:tcPr>
          <w:p>
            <w:pPr>
              <w:widowControl/>
              <w:jc w:val="center"/>
              <w:textAlignment w:val="center"/>
              <w:rPr>
                <w:color w:val="000000"/>
                <w:kern w:val="0"/>
                <w:szCs w:val="21"/>
                <w:lang w:bidi="ar"/>
              </w:rPr>
            </w:pPr>
            <w:r>
              <w:rPr>
                <w:rFonts w:hint="eastAsia"/>
                <w:color w:val="000000"/>
                <w:kern w:val="0"/>
                <w:szCs w:val="21"/>
                <w:lang w:bidi="ar"/>
              </w:rPr>
              <w:t>320</w:t>
            </w:r>
          </w:p>
        </w:tc>
        <w:tc>
          <w:tcPr>
            <w:tcW w:w="372" w:type="pct"/>
            <w:vAlign w:val="center"/>
          </w:tcPr>
          <w:p>
            <w:pPr>
              <w:widowControl/>
              <w:jc w:val="center"/>
              <w:textAlignment w:val="center"/>
              <w:rPr>
                <w:color w:val="000000"/>
                <w:kern w:val="0"/>
                <w:szCs w:val="21"/>
                <w:lang w:bidi="ar"/>
              </w:rPr>
            </w:pPr>
            <w:r>
              <w:rPr>
                <w:rFonts w:hint="eastAsia"/>
                <w:color w:val="000000"/>
                <w:kern w:val="0"/>
                <w:szCs w:val="21"/>
                <w:lang w:bidi="ar"/>
              </w:rPr>
              <w:t>327</w:t>
            </w:r>
          </w:p>
        </w:tc>
        <w:tc>
          <w:tcPr>
            <w:tcW w:w="372" w:type="pct"/>
            <w:vAlign w:val="center"/>
          </w:tcPr>
          <w:p>
            <w:pPr>
              <w:widowControl/>
              <w:jc w:val="center"/>
              <w:textAlignment w:val="center"/>
              <w:rPr>
                <w:color w:val="000000"/>
                <w:kern w:val="0"/>
                <w:szCs w:val="21"/>
                <w:lang w:bidi="ar"/>
              </w:rPr>
            </w:pPr>
            <w:r>
              <w:rPr>
                <w:rFonts w:hint="eastAsia"/>
                <w:color w:val="000000"/>
                <w:kern w:val="0"/>
                <w:szCs w:val="21"/>
                <w:lang w:bidi="ar"/>
              </w:rPr>
              <w:t>318</w:t>
            </w:r>
          </w:p>
        </w:tc>
        <w:tc>
          <w:tcPr>
            <w:tcW w:w="418" w:type="pct"/>
            <w:vAlign w:val="center"/>
          </w:tcPr>
          <w:p>
            <w:pPr>
              <w:widowControl/>
              <w:jc w:val="center"/>
              <w:textAlignment w:val="center"/>
              <w:rPr>
                <w:color w:val="000000"/>
                <w:kern w:val="0"/>
                <w:szCs w:val="21"/>
                <w:lang w:bidi="ar"/>
              </w:rPr>
            </w:pPr>
            <w:r>
              <w:rPr>
                <w:rFonts w:hint="eastAsia"/>
                <w:color w:val="000000"/>
                <w:kern w:val="0"/>
                <w:szCs w:val="21"/>
                <w:lang w:bidi="ar"/>
              </w:rPr>
              <w:t>325</w:t>
            </w:r>
          </w:p>
        </w:tc>
        <w:tc>
          <w:tcPr>
            <w:tcW w:w="418" w:type="pct"/>
            <w:vAlign w:val="center"/>
          </w:tcPr>
          <w:p>
            <w:pPr>
              <w:widowControl/>
              <w:jc w:val="center"/>
              <w:textAlignment w:val="center"/>
              <w:rPr>
                <w:color w:val="000000"/>
                <w:kern w:val="0"/>
                <w:szCs w:val="21"/>
                <w:lang w:bidi="ar"/>
              </w:rPr>
            </w:pPr>
            <w:r>
              <w:rPr>
                <w:rFonts w:hint="eastAsia"/>
                <w:color w:val="000000"/>
                <w:kern w:val="0"/>
                <w:szCs w:val="21"/>
                <w:lang w:bidi="ar"/>
              </w:rPr>
              <w:t>322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64" w:type="pct"/>
            <w:vMerge w:val="continue"/>
            <w:vAlign w:val="center"/>
          </w:tcPr>
          <w:p>
            <w:pPr>
              <w:jc w:val="center"/>
              <w:rPr>
                <w:b/>
                <w:bCs/>
                <w:szCs w:val="21"/>
                <w:lang w:val="zh-CN"/>
              </w:rPr>
            </w:pPr>
          </w:p>
        </w:tc>
        <w:tc>
          <w:tcPr>
            <w:tcW w:w="471" w:type="pct"/>
            <w:vAlign w:val="center"/>
          </w:tcPr>
          <w:p>
            <w:pPr>
              <w:jc w:val="center"/>
              <w:rPr>
                <w:b/>
                <w:bCs/>
                <w:szCs w:val="21"/>
                <w:lang w:val="zh-CN"/>
              </w:rPr>
            </w:pPr>
            <w:r>
              <w:rPr>
                <w:b/>
                <w:bCs/>
                <w:szCs w:val="21"/>
                <w:lang w:val="zh-CN"/>
              </w:rPr>
              <w:t>饱和导水率</w:t>
            </w:r>
          </w:p>
          <w:p>
            <w:pPr>
              <w:jc w:val="center"/>
              <w:rPr>
                <w:b/>
                <w:bCs/>
                <w:szCs w:val="21"/>
                <w:lang w:val="zh-CN"/>
              </w:rPr>
            </w:pPr>
            <w:r>
              <w:rPr>
                <w:b/>
                <w:bCs/>
                <w:szCs w:val="21"/>
                <w:lang w:val="zh-CN"/>
              </w:rPr>
              <w:t>（cm/s）</w:t>
            </w:r>
          </w:p>
        </w:tc>
        <w:tc>
          <w:tcPr>
            <w:tcW w:w="313" w:type="pct"/>
            <w:vAlign w:val="center"/>
          </w:tcPr>
          <w:p>
            <w:pPr>
              <w:widowControl/>
              <w:jc w:val="center"/>
              <w:textAlignment w:val="center"/>
              <w:rPr>
                <w:szCs w:val="21"/>
              </w:rPr>
            </w:pPr>
            <w:r>
              <w:rPr>
                <w:szCs w:val="21"/>
              </w:rPr>
              <w:t>1.03</w:t>
            </w:r>
          </w:p>
        </w:tc>
        <w:tc>
          <w:tcPr>
            <w:tcW w:w="328" w:type="pct"/>
            <w:vAlign w:val="center"/>
          </w:tcPr>
          <w:p>
            <w:pPr>
              <w:widowControl/>
              <w:jc w:val="center"/>
              <w:textAlignment w:val="center"/>
              <w:rPr>
                <w:szCs w:val="21"/>
              </w:rPr>
            </w:pPr>
            <w:r>
              <w:rPr>
                <w:szCs w:val="21"/>
              </w:rPr>
              <w:t>0.96</w:t>
            </w:r>
          </w:p>
        </w:tc>
        <w:tc>
          <w:tcPr>
            <w:tcW w:w="328" w:type="pct"/>
            <w:vAlign w:val="center"/>
          </w:tcPr>
          <w:p>
            <w:pPr>
              <w:widowControl/>
              <w:jc w:val="center"/>
              <w:textAlignment w:val="center"/>
              <w:rPr>
                <w:szCs w:val="21"/>
              </w:rPr>
            </w:pPr>
            <w:r>
              <w:rPr>
                <w:szCs w:val="21"/>
              </w:rPr>
              <w:t>1.05</w:t>
            </w:r>
          </w:p>
        </w:tc>
        <w:tc>
          <w:tcPr>
            <w:tcW w:w="418" w:type="pct"/>
            <w:vAlign w:val="center"/>
          </w:tcPr>
          <w:p>
            <w:pPr>
              <w:widowControl/>
              <w:jc w:val="center"/>
              <w:textAlignment w:val="center"/>
              <w:rPr>
                <w:szCs w:val="21"/>
              </w:rPr>
            </w:pPr>
            <w:r>
              <w:rPr>
                <w:szCs w:val="21"/>
              </w:rPr>
              <w:t>0.87</w:t>
            </w:r>
          </w:p>
        </w:tc>
        <w:tc>
          <w:tcPr>
            <w:tcW w:w="325" w:type="pct"/>
            <w:vAlign w:val="center"/>
          </w:tcPr>
          <w:p>
            <w:pPr>
              <w:widowControl/>
              <w:jc w:val="center"/>
              <w:textAlignment w:val="center"/>
              <w:rPr>
                <w:szCs w:val="21"/>
              </w:rPr>
            </w:pPr>
            <w:r>
              <w:rPr>
                <w:szCs w:val="21"/>
              </w:rPr>
              <w:t>0.93</w:t>
            </w:r>
          </w:p>
        </w:tc>
        <w:tc>
          <w:tcPr>
            <w:tcW w:w="325" w:type="pct"/>
            <w:vAlign w:val="center"/>
          </w:tcPr>
          <w:p>
            <w:pPr>
              <w:widowControl/>
              <w:jc w:val="center"/>
              <w:textAlignment w:val="center"/>
              <w:rPr>
                <w:szCs w:val="21"/>
              </w:rPr>
            </w:pPr>
            <w:r>
              <w:rPr>
                <w:szCs w:val="21"/>
              </w:rPr>
              <w:t>0.79</w:t>
            </w:r>
          </w:p>
        </w:tc>
        <w:tc>
          <w:tcPr>
            <w:tcW w:w="376" w:type="pct"/>
            <w:vAlign w:val="center"/>
          </w:tcPr>
          <w:p>
            <w:pPr>
              <w:widowControl/>
              <w:jc w:val="center"/>
              <w:textAlignment w:val="center"/>
              <w:rPr>
                <w:szCs w:val="21"/>
              </w:rPr>
            </w:pPr>
            <w:r>
              <w:rPr>
                <w:szCs w:val="21"/>
              </w:rPr>
              <w:t>0.97</w:t>
            </w:r>
          </w:p>
        </w:tc>
        <w:tc>
          <w:tcPr>
            <w:tcW w:w="372" w:type="pct"/>
            <w:vAlign w:val="center"/>
          </w:tcPr>
          <w:p>
            <w:pPr>
              <w:widowControl/>
              <w:jc w:val="center"/>
              <w:textAlignment w:val="center"/>
              <w:rPr>
                <w:szCs w:val="21"/>
              </w:rPr>
            </w:pPr>
            <w:r>
              <w:rPr>
                <w:rFonts w:hint="eastAsia"/>
                <w:color w:val="000000"/>
                <w:kern w:val="0"/>
                <w:szCs w:val="21"/>
                <w:lang w:bidi="ar"/>
              </w:rPr>
              <w:t>0.78</w:t>
            </w:r>
          </w:p>
        </w:tc>
        <w:tc>
          <w:tcPr>
            <w:tcW w:w="372" w:type="pct"/>
            <w:vAlign w:val="center"/>
          </w:tcPr>
          <w:p>
            <w:pPr>
              <w:widowControl/>
              <w:jc w:val="center"/>
              <w:textAlignment w:val="center"/>
              <w:rPr>
                <w:szCs w:val="21"/>
              </w:rPr>
            </w:pPr>
            <w:r>
              <w:rPr>
                <w:rFonts w:hint="eastAsia"/>
                <w:color w:val="000000"/>
                <w:kern w:val="0"/>
                <w:szCs w:val="21"/>
                <w:lang w:bidi="ar"/>
              </w:rPr>
              <w:t>0.92</w:t>
            </w:r>
          </w:p>
        </w:tc>
        <w:tc>
          <w:tcPr>
            <w:tcW w:w="372" w:type="pct"/>
            <w:vAlign w:val="center"/>
          </w:tcPr>
          <w:p>
            <w:pPr>
              <w:widowControl/>
              <w:jc w:val="center"/>
              <w:textAlignment w:val="center"/>
              <w:rPr>
                <w:szCs w:val="21"/>
              </w:rPr>
            </w:pPr>
            <w:r>
              <w:rPr>
                <w:rFonts w:hint="eastAsia"/>
                <w:color w:val="000000"/>
                <w:kern w:val="0"/>
                <w:szCs w:val="21"/>
                <w:lang w:bidi="ar"/>
              </w:rPr>
              <w:t>0.95</w:t>
            </w:r>
          </w:p>
        </w:tc>
        <w:tc>
          <w:tcPr>
            <w:tcW w:w="418" w:type="pct"/>
            <w:vAlign w:val="center"/>
          </w:tcPr>
          <w:p>
            <w:pPr>
              <w:widowControl/>
              <w:jc w:val="center"/>
              <w:textAlignment w:val="center"/>
              <w:rPr>
                <w:szCs w:val="21"/>
              </w:rPr>
            </w:pPr>
            <w:r>
              <w:rPr>
                <w:rFonts w:hint="eastAsia"/>
                <w:color w:val="000000"/>
                <w:kern w:val="0"/>
                <w:szCs w:val="21"/>
                <w:lang w:bidi="ar"/>
              </w:rPr>
              <w:t>1.04</w:t>
            </w:r>
          </w:p>
        </w:tc>
        <w:tc>
          <w:tcPr>
            <w:tcW w:w="418" w:type="pct"/>
            <w:vAlign w:val="center"/>
          </w:tcPr>
          <w:p>
            <w:pPr>
              <w:widowControl/>
              <w:jc w:val="center"/>
              <w:textAlignment w:val="center"/>
              <w:rPr>
                <w:szCs w:val="21"/>
              </w:rPr>
            </w:pPr>
            <w:r>
              <w:rPr>
                <w:rFonts w:hint="eastAsia"/>
                <w:color w:val="000000"/>
                <w:kern w:val="0"/>
                <w:szCs w:val="21"/>
                <w:lang w:bidi="ar"/>
              </w:rPr>
              <w:t>0.86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64" w:type="pct"/>
            <w:vMerge w:val="continue"/>
            <w:vAlign w:val="center"/>
          </w:tcPr>
          <w:p>
            <w:pPr>
              <w:jc w:val="center"/>
              <w:rPr>
                <w:b/>
                <w:bCs/>
                <w:szCs w:val="21"/>
                <w:lang w:val="zh-CN"/>
              </w:rPr>
            </w:pPr>
          </w:p>
        </w:tc>
        <w:tc>
          <w:tcPr>
            <w:tcW w:w="471" w:type="pct"/>
            <w:vAlign w:val="center"/>
          </w:tcPr>
          <w:p>
            <w:pPr>
              <w:jc w:val="center"/>
              <w:rPr>
                <w:b/>
                <w:bCs/>
                <w:szCs w:val="21"/>
                <w:lang w:val="zh-CN"/>
              </w:rPr>
            </w:pPr>
            <w:r>
              <w:rPr>
                <w:b/>
                <w:bCs/>
                <w:szCs w:val="21"/>
                <w:lang w:val="zh-CN"/>
              </w:rPr>
              <w:t>土壤容重</w:t>
            </w:r>
          </w:p>
          <w:p>
            <w:pPr>
              <w:jc w:val="center"/>
              <w:rPr>
                <w:b/>
                <w:bCs/>
                <w:szCs w:val="21"/>
                <w:lang w:val="zh-CN"/>
              </w:rPr>
            </w:pPr>
            <w:r>
              <w:rPr>
                <w:b/>
                <w:bCs/>
                <w:szCs w:val="21"/>
                <w:lang w:val="zh-CN"/>
              </w:rPr>
              <w:t>(g/cm</w:t>
            </w:r>
            <w:r>
              <w:rPr>
                <w:b/>
                <w:bCs/>
                <w:szCs w:val="21"/>
                <w:vertAlign w:val="superscript"/>
                <w:lang w:val="zh-CN"/>
              </w:rPr>
              <w:t>3</w:t>
            </w:r>
            <w:r>
              <w:rPr>
                <w:b/>
                <w:bCs/>
                <w:szCs w:val="21"/>
                <w:lang w:val="zh-CN"/>
              </w:rPr>
              <w:t>)</w:t>
            </w:r>
          </w:p>
        </w:tc>
        <w:tc>
          <w:tcPr>
            <w:tcW w:w="313" w:type="pct"/>
            <w:vAlign w:val="center"/>
          </w:tcPr>
          <w:p>
            <w:pPr>
              <w:jc w:val="center"/>
              <w:rPr>
                <w:szCs w:val="21"/>
              </w:rPr>
            </w:pPr>
            <w:r>
              <w:rPr>
                <w:szCs w:val="21"/>
              </w:rPr>
              <w:t>1.61</w:t>
            </w:r>
          </w:p>
        </w:tc>
        <w:tc>
          <w:tcPr>
            <w:tcW w:w="328" w:type="pct"/>
            <w:vAlign w:val="center"/>
          </w:tcPr>
          <w:p>
            <w:pPr>
              <w:jc w:val="center"/>
              <w:rPr>
                <w:szCs w:val="21"/>
              </w:rPr>
            </w:pPr>
            <w:r>
              <w:rPr>
                <w:szCs w:val="21"/>
              </w:rPr>
              <w:t>1.54</w:t>
            </w:r>
          </w:p>
        </w:tc>
        <w:tc>
          <w:tcPr>
            <w:tcW w:w="328" w:type="pct"/>
            <w:vAlign w:val="center"/>
          </w:tcPr>
          <w:p>
            <w:pPr>
              <w:jc w:val="center"/>
              <w:rPr>
                <w:szCs w:val="21"/>
              </w:rPr>
            </w:pPr>
            <w:r>
              <w:rPr>
                <w:szCs w:val="21"/>
              </w:rPr>
              <w:t>1.31</w:t>
            </w:r>
          </w:p>
        </w:tc>
        <w:tc>
          <w:tcPr>
            <w:tcW w:w="418" w:type="pct"/>
            <w:vAlign w:val="center"/>
          </w:tcPr>
          <w:p>
            <w:pPr>
              <w:jc w:val="center"/>
              <w:rPr>
                <w:szCs w:val="21"/>
              </w:rPr>
            </w:pPr>
            <w:r>
              <w:rPr>
                <w:szCs w:val="21"/>
              </w:rPr>
              <w:t>1.58</w:t>
            </w:r>
          </w:p>
        </w:tc>
        <w:tc>
          <w:tcPr>
            <w:tcW w:w="325" w:type="pct"/>
            <w:vAlign w:val="center"/>
          </w:tcPr>
          <w:p>
            <w:pPr>
              <w:jc w:val="center"/>
              <w:rPr>
                <w:szCs w:val="21"/>
              </w:rPr>
            </w:pPr>
            <w:r>
              <w:rPr>
                <w:szCs w:val="21"/>
              </w:rPr>
              <w:t>1.55</w:t>
            </w:r>
          </w:p>
        </w:tc>
        <w:tc>
          <w:tcPr>
            <w:tcW w:w="325" w:type="pct"/>
            <w:vAlign w:val="center"/>
          </w:tcPr>
          <w:p>
            <w:pPr>
              <w:jc w:val="center"/>
              <w:rPr>
                <w:szCs w:val="21"/>
              </w:rPr>
            </w:pPr>
            <w:r>
              <w:rPr>
                <w:szCs w:val="21"/>
              </w:rPr>
              <w:t>1.32</w:t>
            </w:r>
          </w:p>
        </w:tc>
        <w:tc>
          <w:tcPr>
            <w:tcW w:w="376" w:type="pct"/>
            <w:vAlign w:val="center"/>
          </w:tcPr>
          <w:p>
            <w:pPr>
              <w:jc w:val="center"/>
              <w:rPr>
                <w:szCs w:val="21"/>
              </w:rPr>
            </w:pPr>
            <w:r>
              <w:rPr>
                <w:szCs w:val="21"/>
              </w:rPr>
              <w:t>1.34</w:t>
            </w:r>
          </w:p>
        </w:tc>
        <w:tc>
          <w:tcPr>
            <w:tcW w:w="372" w:type="pct"/>
            <w:vAlign w:val="center"/>
          </w:tcPr>
          <w:p>
            <w:pPr>
              <w:jc w:val="center"/>
              <w:rPr>
                <w:szCs w:val="21"/>
              </w:rPr>
            </w:pPr>
            <w:r>
              <w:rPr>
                <w:rFonts w:hint="eastAsia"/>
                <w:szCs w:val="21"/>
              </w:rPr>
              <w:t>1.43</w:t>
            </w:r>
          </w:p>
        </w:tc>
        <w:tc>
          <w:tcPr>
            <w:tcW w:w="372" w:type="pct"/>
            <w:vAlign w:val="center"/>
          </w:tcPr>
          <w:p>
            <w:pPr>
              <w:jc w:val="center"/>
              <w:rPr>
                <w:szCs w:val="21"/>
              </w:rPr>
            </w:pPr>
            <w:r>
              <w:rPr>
                <w:rFonts w:hint="eastAsia"/>
                <w:szCs w:val="21"/>
              </w:rPr>
              <w:t>1.51</w:t>
            </w:r>
          </w:p>
        </w:tc>
        <w:tc>
          <w:tcPr>
            <w:tcW w:w="372" w:type="pct"/>
            <w:vAlign w:val="center"/>
          </w:tcPr>
          <w:p>
            <w:pPr>
              <w:jc w:val="center"/>
              <w:rPr>
                <w:szCs w:val="21"/>
              </w:rPr>
            </w:pPr>
            <w:r>
              <w:rPr>
                <w:rFonts w:hint="eastAsia"/>
                <w:szCs w:val="21"/>
              </w:rPr>
              <w:t>1.55</w:t>
            </w:r>
          </w:p>
        </w:tc>
        <w:tc>
          <w:tcPr>
            <w:tcW w:w="418" w:type="pct"/>
            <w:vAlign w:val="center"/>
          </w:tcPr>
          <w:p>
            <w:pPr>
              <w:jc w:val="center"/>
              <w:rPr>
                <w:szCs w:val="21"/>
              </w:rPr>
            </w:pPr>
            <w:r>
              <w:rPr>
                <w:rFonts w:hint="eastAsia"/>
                <w:szCs w:val="21"/>
              </w:rPr>
              <w:t>1.44</w:t>
            </w:r>
          </w:p>
        </w:tc>
        <w:tc>
          <w:tcPr>
            <w:tcW w:w="418" w:type="pct"/>
            <w:vAlign w:val="center"/>
          </w:tcPr>
          <w:p>
            <w:pPr>
              <w:jc w:val="center"/>
              <w:rPr>
                <w:szCs w:val="21"/>
              </w:rPr>
            </w:pPr>
            <w:r>
              <w:rPr>
                <w:rFonts w:hint="eastAsia"/>
                <w:szCs w:val="21"/>
              </w:rPr>
              <w:t>1.47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64" w:type="pct"/>
            <w:vMerge w:val="continue"/>
            <w:vAlign w:val="center"/>
          </w:tcPr>
          <w:p>
            <w:pPr>
              <w:jc w:val="center"/>
              <w:rPr>
                <w:b/>
                <w:bCs/>
                <w:szCs w:val="21"/>
                <w:lang w:val="zh-CN"/>
              </w:rPr>
            </w:pPr>
          </w:p>
        </w:tc>
        <w:tc>
          <w:tcPr>
            <w:tcW w:w="471" w:type="pct"/>
            <w:vAlign w:val="center"/>
          </w:tcPr>
          <w:p>
            <w:pPr>
              <w:jc w:val="center"/>
              <w:rPr>
                <w:b/>
                <w:bCs/>
                <w:szCs w:val="21"/>
                <w:lang w:val="zh-CN"/>
              </w:rPr>
            </w:pPr>
            <w:r>
              <w:rPr>
                <w:b/>
                <w:bCs/>
                <w:szCs w:val="21"/>
                <w:lang w:val="zh-CN"/>
              </w:rPr>
              <w:t>孔隙度(%)</w:t>
            </w:r>
          </w:p>
        </w:tc>
        <w:tc>
          <w:tcPr>
            <w:tcW w:w="313" w:type="pct"/>
            <w:vAlign w:val="center"/>
          </w:tcPr>
          <w:p>
            <w:pPr>
              <w:jc w:val="center"/>
              <w:rPr>
                <w:szCs w:val="21"/>
              </w:rPr>
            </w:pPr>
            <w:r>
              <w:rPr>
                <w:szCs w:val="21"/>
              </w:rPr>
              <w:t>39.2</w:t>
            </w:r>
          </w:p>
        </w:tc>
        <w:tc>
          <w:tcPr>
            <w:tcW w:w="328" w:type="pct"/>
            <w:vAlign w:val="center"/>
          </w:tcPr>
          <w:p>
            <w:pPr>
              <w:jc w:val="center"/>
              <w:rPr>
                <w:szCs w:val="21"/>
              </w:rPr>
            </w:pPr>
            <w:r>
              <w:rPr>
                <w:szCs w:val="21"/>
              </w:rPr>
              <w:t>41.7</w:t>
            </w:r>
          </w:p>
        </w:tc>
        <w:tc>
          <w:tcPr>
            <w:tcW w:w="328" w:type="pct"/>
            <w:vAlign w:val="center"/>
          </w:tcPr>
          <w:p>
            <w:pPr>
              <w:jc w:val="center"/>
              <w:rPr>
                <w:szCs w:val="21"/>
              </w:rPr>
            </w:pPr>
            <w:r>
              <w:rPr>
                <w:szCs w:val="21"/>
              </w:rPr>
              <w:t>50.6</w:t>
            </w:r>
          </w:p>
        </w:tc>
        <w:tc>
          <w:tcPr>
            <w:tcW w:w="418" w:type="pct"/>
            <w:vAlign w:val="center"/>
          </w:tcPr>
          <w:p>
            <w:pPr>
              <w:jc w:val="center"/>
              <w:rPr>
                <w:szCs w:val="21"/>
              </w:rPr>
            </w:pPr>
            <w:r>
              <w:rPr>
                <w:szCs w:val="21"/>
              </w:rPr>
              <w:t>40.2</w:t>
            </w:r>
          </w:p>
        </w:tc>
        <w:tc>
          <w:tcPr>
            <w:tcW w:w="325" w:type="pct"/>
            <w:vAlign w:val="center"/>
          </w:tcPr>
          <w:p>
            <w:pPr>
              <w:jc w:val="center"/>
              <w:rPr>
                <w:szCs w:val="21"/>
              </w:rPr>
            </w:pPr>
            <w:r>
              <w:rPr>
                <w:szCs w:val="21"/>
              </w:rPr>
              <w:t>41.5</w:t>
            </w:r>
          </w:p>
        </w:tc>
        <w:tc>
          <w:tcPr>
            <w:tcW w:w="325" w:type="pct"/>
            <w:vAlign w:val="center"/>
          </w:tcPr>
          <w:p>
            <w:pPr>
              <w:jc w:val="center"/>
              <w:rPr>
                <w:szCs w:val="21"/>
              </w:rPr>
            </w:pPr>
            <w:r>
              <w:rPr>
                <w:szCs w:val="21"/>
              </w:rPr>
              <w:t>50.2</w:t>
            </w:r>
          </w:p>
        </w:tc>
        <w:tc>
          <w:tcPr>
            <w:tcW w:w="376" w:type="pct"/>
            <w:vAlign w:val="center"/>
          </w:tcPr>
          <w:p>
            <w:pPr>
              <w:jc w:val="center"/>
              <w:rPr>
                <w:szCs w:val="21"/>
              </w:rPr>
            </w:pPr>
            <w:r>
              <w:rPr>
                <w:szCs w:val="21"/>
              </w:rPr>
              <w:t>49.4</w:t>
            </w:r>
          </w:p>
        </w:tc>
        <w:tc>
          <w:tcPr>
            <w:tcW w:w="372" w:type="pct"/>
            <w:vAlign w:val="center"/>
          </w:tcPr>
          <w:p>
            <w:pPr>
              <w:jc w:val="center"/>
              <w:rPr>
                <w:szCs w:val="21"/>
              </w:rPr>
            </w:pPr>
            <w:r>
              <w:rPr>
                <w:rFonts w:hint="eastAsia"/>
                <w:szCs w:val="21"/>
              </w:rPr>
              <w:t>46.0</w:t>
            </w:r>
          </w:p>
        </w:tc>
        <w:tc>
          <w:tcPr>
            <w:tcW w:w="372" w:type="pct"/>
            <w:vAlign w:val="center"/>
          </w:tcPr>
          <w:p>
            <w:pPr>
              <w:jc w:val="center"/>
              <w:rPr>
                <w:szCs w:val="21"/>
              </w:rPr>
            </w:pPr>
            <w:r>
              <w:rPr>
                <w:rFonts w:hint="eastAsia"/>
                <w:szCs w:val="21"/>
              </w:rPr>
              <w:t>43.0</w:t>
            </w:r>
          </w:p>
        </w:tc>
        <w:tc>
          <w:tcPr>
            <w:tcW w:w="372" w:type="pct"/>
            <w:vAlign w:val="center"/>
          </w:tcPr>
          <w:p>
            <w:pPr>
              <w:jc w:val="center"/>
              <w:rPr>
                <w:szCs w:val="21"/>
              </w:rPr>
            </w:pPr>
            <w:r>
              <w:rPr>
                <w:rFonts w:hint="eastAsia"/>
                <w:szCs w:val="21"/>
              </w:rPr>
              <w:t>41.5</w:t>
            </w:r>
          </w:p>
        </w:tc>
        <w:tc>
          <w:tcPr>
            <w:tcW w:w="418" w:type="pct"/>
            <w:vAlign w:val="center"/>
          </w:tcPr>
          <w:p>
            <w:pPr>
              <w:jc w:val="center"/>
              <w:rPr>
                <w:szCs w:val="21"/>
              </w:rPr>
            </w:pPr>
            <w:r>
              <w:rPr>
                <w:rFonts w:hint="eastAsia"/>
                <w:szCs w:val="21"/>
              </w:rPr>
              <w:t>45.7</w:t>
            </w:r>
          </w:p>
        </w:tc>
        <w:tc>
          <w:tcPr>
            <w:tcW w:w="418" w:type="pct"/>
            <w:vAlign w:val="center"/>
          </w:tcPr>
          <w:p>
            <w:pPr>
              <w:jc w:val="center"/>
              <w:rPr>
                <w:szCs w:val="21"/>
              </w:rPr>
            </w:pPr>
            <w:r>
              <w:rPr>
                <w:rFonts w:hint="eastAsia"/>
                <w:szCs w:val="21"/>
              </w:rPr>
              <w:t>44.5</w:t>
            </w:r>
          </w:p>
        </w:tc>
      </w:tr>
    </w:tbl>
    <w:p>
      <w:pPr>
        <w:spacing w:line="360" w:lineRule="auto"/>
        <w:ind w:firstLine="480" w:firstLineChars="200"/>
        <w:rPr>
          <w:rFonts w:eastAsia="黑体"/>
          <w:sz w:val="24"/>
          <w:szCs w:val="24"/>
        </w:rPr>
      </w:pPr>
      <w:r>
        <w:rPr>
          <w:kern w:val="0"/>
          <w:sz w:val="24"/>
          <w:szCs w:val="24"/>
        </w:rPr>
        <w:t>由上表可知，厂区内监测点位</w:t>
      </w:r>
      <w:r>
        <w:rPr>
          <w:rFonts w:hint="eastAsia"/>
          <w:kern w:val="0"/>
          <w:sz w:val="24"/>
          <w:szCs w:val="24"/>
        </w:rPr>
        <w:t>和厂区外监测点位小庄村</w:t>
      </w:r>
      <w:r>
        <w:rPr>
          <w:kern w:val="0"/>
          <w:sz w:val="24"/>
          <w:szCs w:val="24"/>
        </w:rPr>
        <w:t>各个监测因子均能够满足《土壤环境质量 建设用地土壤污染风险管控标准（试行）》（GB36600-2018）</w:t>
      </w:r>
      <w:r>
        <w:rPr>
          <w:sz w:val="24"/>
          <w:szCs w:val="24"/>
        </w:rPr>
        <w:t>建设用地第二类用地风险筛选值标准要求</w:t>
      </w:r>
      <w:r>
        <w:rPr>
          <w:kern w:val="0"/>
          <w:sz w:val="24"/>
          <w:szCs w:val="24"/>
        </w:rPr>
        <w:t>，说明项目厂区</w:t>
      </w:r>
      <w:r>
        <w:rPr>
          <w:rFonts w:hint="eastAsia"/>
          <w:kern w:val="0"/>
          <w:sz w:val="24"/>
          <w:szCs w:val="24"/>
        </w:rPr>
        <w:t>内外</w:t>
      </w:r>
      <w:r>
        <w:rPr>
          <w:kern w:val="0"/>
          <w:sz w:val="24"/>
          <w:szCs w:val="24"/>
        </w:rPr>
        <w:t>土壤环境质量良好。</w:t>
      </w:r>
    </w:p>
    <w:p>
      <w:pPr>
        <w:spacing w:line="520" w:lineRule="exact"/>
        <w:ind w:firstLine="480" w:firstLineChars="200"/>
        <w:rPr>
          <w:kern w:val="0"/>
          <w:sz w:val="24"/>
          <w:szCs w:val="24"/>
          <w:highlight w:val="yellow"/>
        </w:rPr>
        <w:sectPr>
          <w:pgSz w:w="16838" w:h="11906" w:orient="landscape"/>
          <w:pgMar w:top="1588" w:right="1701" w:bottom="1588" w:left="1701" w:header="851" w:footer="1134" w:gutter="0"/>
          <w:cols w:space="720" w:num="1"/>
          <w:docGrid w:type="linesAndChars" w:linePitch="381" w:charSpace="0"/>
        </w:sectPr>
      </w:pPr>
    </w:p>
    <w:p>
      <w:pPr>
        <w:keepNext/>
        <w:keepLines/>
        <w:spacing w:line="520" w:lineRule="exact"/>
        <w:outlineLvl w:val="2"/>
        <w:rPr>
          <w:rFonts w:eastAsia="黑体"/>
          <w:bCs/>
          <w:sz w:val="28"/>
          <w:szCs w:val="28"/>
        </w:rPr>
      </w:pPr>
      <w:r>
        <w:rPr>
          <w:rFonts w:eastAsia="黑体"/>
          <w:bCs/>
          <w:sz w:val="28"/>
          <w:szCs w:val="28"/>
        </w:rPr>
        <w:t>4.3.6 声环境质量现状监测</w:t>
      </w:r>
    </w:p>
    <w:p>
      <w:pPr>
        <w:spacing w:line="520" w:lineRule="exact"/>
        <w:outlineLvl w:val="3"/>
        <w:rPr>
          <w:sz w:val="24"/>
          <w:szCs w:val="24"/>
        </w:rPr>
      </w:pPr>
      <w:r>
        <w:rPr>
          <w:sz w:val="24"/>
          <w:szCs w:val="24"/>
        </w:rPr>
        <w:t>4.3.6.1 监测布点、频率及监测方法</w:t>
      </w:r>
    </w:p>
    <w:p>
      <w:pPr>
        <w:spacing w:line="520" w:lineRule="exact"/>
        <w:ind w:firstLine="480" w:firstLineChars="200"/>
        <w:rPr>
          <w:kern w:val="0"/>
          <w:sz w:val="24"/>
          <w:szCs w:val="24"/>
        </w:rPr>
      </w:pPr>
      <w:r>
        <w:rPr>
          <w:kern w:val="0"/>
          <w:sz w:val="24"/>
          <w:szCs w:val="24"/>
        </w:rPr>
        <w:t>本项目位于</w:t>
      </w:r>
      <w:r>
        <w:rPr>
          <w:rFonts w:hint="eastAsia"/>
          <w:kern w:val="0"/>
          <w:sz w:val="24"/>
          <w:szCs w:val="24"/>
        </w:rPr>
        <w:t>原阳县</w:t>
      </w:r>
      <w:r>
        <w:rPr>
          <w:kern w:val="0"/>
          <w:sz w:val="24"/>
          <w:szCs w:val="24"/>
        </w:rPr>
        <w:t>产业集聚区</w:t>
      </w:r>
      <w:r>
        <w:rPr>
          <w:rFonts w:hint="eastAsia"/>
          <w:bCs/>
          <w:kern w:val="0"/>
          <w:sz w:val="24"/>
          <w:szCs w:val="24"/>
        </w:rPr>
        <w:t>永安路南侧、金祥南街西侧、小庄排河东侧</w:t>
      </w:r>
      <w:r>
        <w:rPr>
          <w:kern w:val="0"/>
          <w:sz w:val="24"/>
          <w:szCs w:val="24"/>
        </w:rPr>
        <w:t>，本次声环境质量现状监测在厂区四个厂界布设4个噪声监测点，</w:t>
      </w:r>
      <w:r>
        <w:rPr>
          <w:rFonts w:hint="eastAsia"/>
          <w:kern w:val="0"/>
          <w:sz w:val="24"/>
          <w:szCs w:val="24"/>
        </w:rPr>
        <w:t>在小庄村西布设1个噪声监测点，</w:t>
      </w:r>
      <w:r>
        <w:rPr>
          <w:kern w:val="0"/>
          <w:sz w:val="24"/>
          <w:szCs w:val="24"/>
        </w:rPr>
        <w:t>取连续两天的监测数据。声环境现状监测情况见下表。</w:t>
      </w:r>
    </w:p>
    <w:p>
      <w:pPr>
        <w:spacing w:line="360" w:lineRule="auto"/>
        <w:ind w:firstLine="480" w:firstLineChars="200"/>
        <w:rPr>
          <w:rFonts w:eastAsia="黑体"/>
          <w:sz w:val="24"/>
          <w:szCs w:val="24"/>
        </w:rPr>
      </w:pPr>
      <w:r>
        <w:rPr>
          <w:rFonts w:eastAsia="黑体"/>
          <w:sz w:val="24"/>
          <w:szCs w:val="24"/>
        </w:rPr>
        <w:t>表4.3-20               声环境现状监测情况</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413"/>
        <w:gridCol w:w="2476"/>
        <w:gridCol w:w="30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9" w:type="dxa"/>
            <w:vAlign w:val="center"/>
          </w:tcPr>
          <w:p>
            <w:pPr>
              <w:contextualSpacing/>
              <w:jc w:val="center"/>
              <w:textAlignment w:val="baseline"/>
              <w:rPr>
                <w:b/>
                <w:szCs w:val="21"/>
              </w:rPr>
            </w:pPr>
            <w:r>
              <w:rPr>
                <w:b/>
                <w:szCs w:val="21"/>
              </w:rPr>
              <w:t>监测点位置</w:t>
            </w:r>
          </w:p>
        </w:tc>
        <w:tc>
          <w:tcPr>
            <w:tcW w:w="1410" w:type="dxa"/>
            <w:vAlign w:val="center"/>
          </w:tcPr>
          <w:p>
            <w:pPr>
              <w:contextualSpacing/>
              <w:jc w:val="center"/>
              <w:textAlignment w:val="baseline"/>
              <w:rPr>
                <w:b/>
                <w:szCs w:val="21"/>
              </w:rPr>
            </w:pPr>
            <w:r>
              <w:rPr>
                <w:b/>
                <w:szCs w:val="21"/>
              </w:rPr>
              <w:t>监测因子</w:t>
            </w:r>
          </w:p>
        </w:tc>
        <w:tc>
          <w:tcPr>
            <w:tcW w:w="2477" w:type="dxa"/>
            <w:vAlign w:val="center"/>
          </w:tcPr>
          <w:p>
            <w:pPr>
              <w:contextualSpacing/>
              <w:jc w:val="center"/>
              <w:textAlignment w:val="baseline"/>
              <w:rPr>
                <w:b/>
                <w:szCs w:val="21"/>
              </w:rPr>
            </w:pPr>
            <w:r>
              <w:rPr>
                <w:b/>
                <w:szCs w:val="21"/>
              </w:rPr>
              <w:t>监测方法</w:t>
            </w:r>
          </w:p>
        </w:tc>
        <w:tc>
          <w:tcPr>
            <w:tcW w:w="3010" w:type="dxa"/>
            <w:vAlign w:val="center"/>
          </w:tcPr>
          <w:p>
            <w:pPr>
              <w:contextualSpacing/>
              <w:jc w:val="center"/>
              <w:textAlignment w:val="baseline"/>
              <w:rPr>
                <w:b/>
                <w:szCs w:val="21"/>
              </w:rPr>
            </w:pPr>
            <w:r>
              <w:rPr>
                <w:b/>
                <w:szCs w:val="21"/>
              </w:rPr>
              <w:t>监测时间频率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9" w:type="dxa"/>
            <w:vAlign w:val="center"/>
          </w:tcPr>
          <w:p>
            <w:pPr>
              <w:contextualSpacing/>
              <w:jc w:val="center"/>
              <w:textAlignment w:val="baseline"/>
              <w:rPr>
                <w:szCs w:val="21"/>
              </w:rPr>
            </w:pPr>
            <w:r>
              <w:rPr>
                <w:szCs w:val="21"/>
              </w:rPr>
              <w:t>四周厂界外1m处</w:t>
            </w:r>
          </w:p>
        </w:tc>
        <w:tc>
          <w:tcPr>
            <w:tcW w:w="1410" w:type="dxa"/>
            <w:vMerge w:val="restart"/>
            <w:vAlign w:val="center"/>
          </w:tcPr>
          <w:p>
            <w:pPr>
              <w:contextualSpacing/>
              <w:jc w:val="center"/>
              <w:textAlignment w:val="baseline"/>
              <w:rPr>
                <w:szCs w:val="21"/>
              </w:rPr>
            </w:pPr>
            <w:r>
              <w:rPr>
                <w:szCs w:val="21"/>
              </w:rPr>
              <w:t>等效连续</w:t>
            </w:r>
          </w:p>
          <w:p>
            <w:pPr>
              <w:contextualSpacing/>
              <w:jc w:val="center"/>
              <w:textAlignment w:val="baseline"/>
              <w:rPr>
                <w:szCs w:val="21"/>
              </w:rPr>
            </w:pPr>
            <w:r>
              <w:rPr>
                <w:szCs w:val="21"/>
              </w:rPr>
              <w:t>A声级</w:t>
            </w:r>
          </w:p>
        </w:tc>
        <w:tc>
          <w:tcPr>
            <w:tcW w:w="2477" w:type="dxa"/>
            <w:vMerge w:val="restart"/>
            <w:vAlign w:val="center"/>
          </w:tcPr>
          <w:p>
            <w:pPr>
              <w:contextualSpacing/>
              <w:jc w:val="center"/>
              <w:textAlignment w:val="baseline"/>
              <w:rPr>
                <w:szCs w:val="21"/>
              </w:rPr>
            </w:pPr>
            <w:r>
              <w:rPr>
                <w:szCs w:val="21"/>
              </w:rPr>
              <w:t>按照GB12348-2008执行</w:t>
            </w:r>
          </w:p>
        </w:tc>
        <w:tc>
          <w:tcPr>
            <w:tcW w:w="3010" w:type="dxa"/>
            <w:vMerge w:val="restart"/>
            <w:vAlign w:val="center"/>
          </w:tcPr>
          <w:p>
            <w:pPr>
              <w:contextualSpacing/>
              <w:jc w:val="center"/>
              <w:textAlignment w:val="baseline"/>
              <w:rPr>
                <w:szCs w:val="21"/>
              </w:rPr>
            </w:pPr>
            <w:r>
              <w:rPr>
                <w:szCs w:val="21"/>
              </w:rPr>
              <w:t>2023年4月7日和8日监测2天，每天昼、夜各一次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9" w:type="dxa"/>
            <w:vAlign w:val="center"/>
          </w:tcPr>
          <w:p>
            <w:pPr>
              <w:contextualSpacing/>
              <w:jc w:val="center"/>
              <w:textAlignment w:val="baseline"/>
              <w:rPr>
                <w:szCs w:val="21"/>
              </w:rPr>
            </w:pPr>
            <w:r>
              <w:rPr>
                <w:rFonts w:hint="eastAsia"/>
                <w:szCs w:val="21"/>
              </w:rPr>
              <w:t>小庄村西</w:t>
            </w:r>
          </w:p>
        </w:tc>
        <w:tc>
          <w:tcPr>
            <w:tcW w:w="1410" w:type="dxa"/>
            <w:vMerge w:val="continue"/>
            <w:vAlign w:val="center"/>
          </w:tcPr>
          <w:p>
            <w:pPr>
              <w:contextualSpacing/>
              <w:jc w:val="center"/>
              <w:textAlignment w:val="baseline"/>
              <w:rPr>
                <w:szCs w:val="21"/>
                <w:highlight w:val="yellow"/>
              </w:rPr>
            </w:pPr>
          </w:p>
        </w:tc>
        <w:tc>
          <w:tcPr>
            <w:tcW w:w="2477" w:type="dxa"/>
            <w:vMerge w:val="continue"/>
            <w:vAlign w:val="center"/>
          </w:tcPr>
          <w:p>
            <w:pPr>
              <w:contextualSpacing/>
              <w:jc w:val="center"/>
              <w:textAlignment w:val="baseline"/>
              <w:rPr>
                <w:szCs w:val="21"/>
                <w:highlight w:val="yellow"/>
              </w:rPr>
            </w:pPr>
          </w:p>
        </w:tc>
        <w:tc>
          <w:tcPr>
            <w:tcW w:w="3010" w:type="dxa"/>
            <w:vMerge w:val="continue"/>
            <w:vAlign w:val="center"/>
          </w:tcPr>
          <w:p>
            <w:pPr>
              <w:contextualSpacing/>
              <w:jc w:val="center"/>
              <w:textAlignment w:val="baseline"/>
              <w:rPr>
                <w:szCs w:val="21"/>
                <w:highlight w:val="yellow"/>
              </w:rPr>
            </w:pPr>
          </w:p>
        </w:tc>
      </w:tr>
    </w:tbl>
    <w:p>
      <w:pPr>
        <w:spacing w:line="520" w:lineRule="exact"/>
        <w:outlineLvl w:val="3"/>
        <w:rPr>
          <w:sz w:val="24"/>
          <w:szCs w:val="24"/>
        </w:rPr>
      </w:pPr>
      <w:r>
        <w:rPr>
          <w:sz w:val="24"/>
          <w:szCs w:val="24"/>
        </w:rPr>
        <w:t>4.3.6.2 评价标准</w:t>
      </w:r>
    </w:p>
    <w:p>
      <w:pPr>
        <w:spacing w:line="520" w:lineRule="exact"/>
        <w:ind w:firstLine="480" w:firstLineChars="200"/>
        <w:rPr>
          <w:kern w:val="0"/>
          <w:sz w:val="24"/>
          <w:szCs w:val="24"/>
        </w:rPr>
      </w:pPr>
      <w:r>
        <w:rPr>
          <w:sz w:val="24"/>
          <w:szCs w:val="24"/>
        </w:rPr>
        <w:t>按照区域环境功能</w:t>
      </w:r>
      <w:r>
        <w:rPr>
          <w:kern w:val="0"/>
          <w:sz w:val="24"/>
          <w:szCs w:val="24"/>
        </w:rPr>
        <w:t>，本项目区域内声环境质量执行《声环境质量标准》（GB3096-2008）3类标准。</w:t>
      </w:r>
    </w:p>
    <w:p>
      <w:pPr>
        <w:widowControl/>
        <w:spacing w:line="360" w:lineRule="auto"/>
        <w:ind w:right="280" w:firstLine="480" w:firstLineChars="200"/>
        <w:rPr>
          <w:rFonts w:eastAsia="黑体"/>
          <w:sz w:val="24"/>
          <w:szCs w:val="24"/>
        </w:rPr>
      </w:pPr>
      <w:r>
        <w:rPr>
          <w:rFonts w:eastAsia="黑体"/>
          <w:sz w:val="24"/>
          <w:szCs w:val="24"/>
        </w:rPr>
        <w:t>表4.3-21               声环境现状监测评价标准</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2314"/>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位置</w:t>
            </w:r>
          </w:p>
        </w:tc>
        <w:tc>
          <w:tcPr>
            <w:tcW w:w="129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标准值 dB(A)</w:t>
            </w:r>
          </w:p>
        </w:tc>
        <w:tc>
          <w:tcPr>
            <w:tcW w:w="248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厂界</w:t>
            </w:r>
          </w:p>
        </w:tc>
        <w:tc>
          <w:tcPr>
            <w:tcW w:w="129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昼间65、夜间55</w:t>
            </w:r>
          </w:p>
        </w:tc>
        <w:tc>
          <w:tcPr>
            <w:tcW w:w="248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《声环境质量标准》（GB3096-2008）3类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2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小庄村西</w:t>
            </w:r>
          </w:p>
        </w:tc>
        <w:tc>
          <w:tcPr>
            <w:tcW w:w="129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昼间60、夜间50</w:t>
            </w:r>
          </w:p>
        </w:tc>
        <w:tc>
          <w:tcPr>
            <w:tcW w:w="248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《声环境质量标准》（GB3096-2008）2类</w:t>
            </w:r>
          </w:p>
        </w:tc>
      </w:tr>
    </w:tbl>
    <w:p>
      <w:pPr>
        <w:spacing w:line="520" w:lineRule="exact"/>
        <w:outlineLvl w:val="3"/>
        <w:rPr>
          <w:sz w:val="24"/>
          <w:szCs w:val="24"/>
        </w:rPr>
      </w:pPr>
      <w:r>
        <w:rPr>
          <w:sz w:val="24"/>
          <w:szCs w:val="24"/>
        </w:rPr>
        <w:t>4.3.6.3 评价方法</w:t>
      </w:r>
    </w:p>
    <w:p>
      <w:pPr>
        <w:spacing w:line="520" w:lineRule="exact"/>
        <w:ind w:firstLine="480" w:firstLineChars="200"/>
        <w:rPr>
          <w:kern w:val="0"/>
          <w:sz w:val="24"/>
          <w:szCs w:val="24"/>
        </w:rPr>
      </w:pPr>
      <w:r>
        <w:rPr>
          <w:kern w:val="0"/>
          <w:sz w:val="24"/>
          <w:szCs w:val="24"/>
        </w:rPr>
        <w:t>根据噪声现状监测统计结果的等效声级，采用与评价标准直接比较的方法，对评价范围内的声环境现状进行评价。</w:t>
      </w:r>
    </w:p>
    <w:p>
      <w:pPr>
        <w:spacing w:line="520" w:lineRule="exact"/>
        <w:outlineLvl w:val="3"/>
        <w:rPr>
          <w:sz w:val="24"/>
          <w:szCs w:val="24"/>
        </w:rPr>
      </w:pPr>
      <w:r>
        <w:rPr>
          <w:sz w:val="24"/>
          <w:szCs w:val="24"/>
        </w:rPr>
        <w:t>4.3.6.4 统计和评价结果</w:t>
      </w:r>
    </w:p>
    <w:p>
      <w:pPr>
        <w:spacing w:line="520" w:lineRule="exact"/>
        <w:ind w:firstLine="480" w:firstLineChars="200"/>
        <w:rPr>
          <w:kern w:val="0"/>
          <w:sz w:val="24"/>
          <w:szCs w:val="24"/>
        </w:rPr>
      </w:pPr>
      <w:r>
        <w:rPr>
          <w:kern w:val="0"/>
          <w:sz w:val="24"/>
          <w:szCs w:val="24"/>
        </w:rPr>
        <w:t>各监测点现状监测统计结果见下表。</w:t>
      </w:r>
    </w:p>
    <w:p>
      <w:pPr>
        <w:widowControl/>
        <w:spacing w:line="360" w:lineRule="auto"/>
        <w:ind w:right="280" w:firstLine="480" w:firstLineChars="200"/>
        <w:rPr>
          <w:rFonts w:eastAsia="黑体"/>
          <w:sz w:val="24"/>
          <w:szCs w:val="24"/>
        </w:rPr>
      </w:pPr>
      <w:r>
        <w:rPr>
          <w:rFonts w:eastAsia="黑体"/>
          <w:sz w:val="24"/>
          <w:szCs w:val="24"/>
        </w:rPr>
        <w:t>表4.3-22                    噪声监测结果                单位：dB(A)</w:t>
      </w:r>
    </w:p>
    <w:tbl>
      <w:tblPr>
        <w:tblStyle w:val="49"/>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04"/>
        <w:gridCol w:w="1811"/>
        <w:gridCol w:w="1811"/>
        <w:gridCol w:w="1811"/>
        <w:gridCol w:w="181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1702" w:type="dxa"/>
            <w:vMerge w:val="restart"/>
            <w:tcBorders>
              <w:tl2br w:val="single" w:color="auto" w:sz="8" w:space="0"/>
            </w:tcBorders>
            <w:vAlign w:val="center"/>
          </w:tcPr>
          <w:p>
            <w:pPr>
              <w:contextualSpacing/>
              <w:jc w:val="right"/>
              <w:textAlignment w:val="baseline"/>
              <w:rPr>
                <w:b/>
                <w:kern w:val="0"/>
                <w:szCs w:val="21"/>
              </w:rPr>
            </w:pPr>
            <w:r>
              <w:rPr>
                <w:b/>
                <w:kern w:val="0"/>
                <w:szCs w:val="21"/>
              </w:rPr>
              <w:t>监测日期</w:t>
            </w:r>
          </w:p>
          <w:p>
            <w:pPr>
              <w:contextualSpacing/>
              <w:jc w:val="left"/>
              <w:textAlignment w:val="baseline"/>
              <w:rPr>
                <w:b/>
                <w:kern w:val="0"/>
                <w:szCs w:val="21"/>
              </w:rPr>
            </w:pPr>
            <w:r>
              <w:rPr>
                <w:b/>
                <w:kern w:val="0"/>
                <w:szCs w:val="21"/>
              </w:rPr>
              <w:t>监测点位</w:t>
            </w:r>
          </w:p>
        </w:tc>
        <w:tc>
          <w:tcPr>
            <w:tcW w:w="3622" w:type="dxa"/>
            <w:gridSpan w:val="2"/>
            <w:vAlign w:val="center"/>
          </w:tcPr>
          <w:p>
            <w:pPr>
              <w:contextualSpacing/>
              <w:jc w:val="center"/>
              <w:textAlignment w:val="baseline"/>
              <w:rPr>
                <w:b/>
                <w:kern w:val="0"/>
                <w:szCs w:val="21"/>
              </w:rPr>
            </w:pPr>
            <w:r>
              <w:rPr>
                <w:b/>
                <w:kern w:val="0"/>
                <w:szCs w:val="21"/>
              </w:rPr>
              <w:t>2023.4.7</w:t>
            </w:r>
          </w:p>
        </w:tc>
        <w:tc>
          <w:tcPr>
            <w:tcW w:w="3622" w:type="dxa"/>
            <w:gridSpan w:val="2"/>
            <w:vAlign w:val="center"/>
          </w:tcPr>
          <w:p>
            <w:pPr>
              <w:contextualSpacing/>
              <w:jc w:val="center"/>
              <w:textAlignment w:val="baseline"/>
              <w:rPr>
                <w:b/>
                <w:kern w:val="0"/>
                <w:szCs w:val="21"/>
              </w:rPr>
            </w:pPr>
            <w:r>
              <w:rPr>
                <w:b/>
                <w:kern w:val="0"/>
                <w:szCs w:val="21"/>
              </w:rPr>
              <w:t>2023.4.8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1702" w:type="dxa"/>
            <w:vMerge w:val="continue"/>
            <w:vAlign w:val="center"/>
          </w:tcPr>
          <w:p>
            <w:pPr>
              <w:contextualSpacing/>
              <w:jc w:val="center"/>
              <w:textAlignment w:val="baseline"/>
              <w:rPr>
                <w:b/>
                <w:szCs w:val="21"/>
              </w:rPr>
            </w:pPr>
          </w:p>
        </w:tc>
        <w:tc>
          <w:tcPr>
            <w:tcW w:w="1811" w:type="dxa"/>
            <w:vAlign w:val="center"/>
          </w:tcPr>
          <w:p>
            <w:pPr>
              <w:contextualSpacing/>
              <w:jc w:val="center"/>
              <w:textAlignment w:val="baseline"/>
              <w:rPr>
                <w:b/>
                <w:kern w:val="0"/>
                <w:szCs w:val="21"/>
              </w:rPr>
            </w:pPr>
            <w:r>
              <w:rPr>
                <w:b/>
                <w:kern w:val="0"/>
                <w:szCs w:val="21"/>
              </w:rPr>
              <w:t>昼间</w:t>
            </w:r>
          </w:p>
        </w:tc>
        <w:tc>
          <w:tcPr>
            <w:tcW w:w="1811" w:type="dxa"/>
            <w:vAlign w:val="center"/>
          </w:tcPr>
          <w:p>
            <w:pPr>
              <w:contextualSpacing/>
              <w:jc w:val="center"/>
              <w:textAlignment w:val="baseline"/>
              <w:rPr>
                <w:b/>
                <w:kern w:val="0"/>
                <w:szCs w:val="21"/>
              </w:rPr>
            </w:pPr>
            <w:r>
              <w:rPr>
                <w:b/>
                <w:kern w:val="0"/>
                <w:szCs w:val="21"/>
              </w:rPr>
              <w:t>夜间</w:t>
            </w:r>
          </w:p>
        </w:tc>
        <w:tc>
          <w:tcPr>
            <w:tcW w:w="1811" w:type="dxa"/>
            <w:vAlign w:val="center"/>
          </w:tcPr>
          <w:p>
            <w:pPr>
              <w:contextualSpacing/>
              <w:jc w:val="center"/>
              <w:textAlignment w:val="baseline"/>
              <w:rPr>
                <w:b/>
                <w:kern w:val="0"/>
                <w:szCs w:val="21"/>
              </w:rPr>
            </w:pPr>
            <w:r>
              <w:rPr>
                <w:b/>
                <w:kern w:val="0"/>
                <w:szCs w:val="21"/>
              </w:rPr>
              <w:t>昼间</w:t>
            </w:r>
          </w:p>
        </w:tc>
        <w:tc>
          <w:tcPr>
            <w:tcW w:w="1811" w:type="dxa"/>
            <w:vAlign w:val="center"/>
          </w:tcPr>
          <w:p>
            <w:pPr>
              <w:contextualSpacing/>
              <w:jc w:val="center"/>
              <w:textAlignment w:val="baseline"/>
              <w:rPr>
                <w:b/>
                <w:kern w:val="0"/>
                <w:szCs w:val="21"/>
              </w:rPr>
            </w:pPr>
            <w:r>
              <w:rPr>
                <w:b/>
                <w:kern w:val="0"/>
                <w:szCs w:val="21"/>
              </w:rPr>
              <w:t>夜间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02" w:type="dxa"/>
            <w:vAlign w:val="center"/>
          </w:tcPr>
          <w:p>
            <w:pPr>
              <w:contextualSpacing/>
              <w:jc w:val="center"/>
              <w:textAlignment w:val="baseline"/>
              <w:rPr>
                <w:kern w:val="0"/>
                <w:szCs w:val="21"/>
              </w:rPr>
            </w:pPr>
            <w:r>
              <w:rPr>
                <w:kern w:val="0"/>
                <w:szCs w:val="21"/>
              </w:rPr>
              <w:t>东厂界</w:t>
            </w:r>
          </w:p>
        </w:tc>
        <w:tc>
          <w:tcPr>
            <w:tcW w:w="1811" w:type="dxa"/>
            <w:vAlign w:val="center"/>
          </w:tcPr>
          <w:p>
            <w:pPr>
              <w:contextualSpacing/>
              <w:jc w:val="center"/>
              <w:textAlignment w:val="baseline"/>
              <w:rPr>
                <w:kern w:val="0"/>
                <w:szCs w:val="21"/>
              </w:rPr>
            </w:pPr>
            <w:r>
              <w:rPr>
                <w:rFonts w:hint="eastAsia"/>
                <w:kern w:val="0"/>
                <w:szCs w:val="21"/>
              </w:rPr>
              <w:t>5</w:t>
            </w:r>
            <w:r>
              <w:rPr>
                <w:kern w:val="0"/>
                <w:szCs w:val="21"/>
              </w:rPr>
              <w:t>2</w:t>
            </w:r>
          </w:p>
        </w:tc>
        <w:tc>
          <w:tcPr>
            <w:tcW w:w="1811" w:type="dxa"/>
            <w:vAlign w:val="center"/>
          </w:tcPr>
          <w:p>
            <w:pPr>
              <w:contextualSpacing/>
              <w:jc w:val="center"/>
              <w:textAlignment w:val="baseline"/>
              <w:rPr>
                <w:kern w:val="0"/>
                <w:szCs w:val="21"/>
              </w:rPr>
            </w:pPr>
            <w:r>
              <w:rPr>
                <w:rFonts w:hint="eastAsia"/>
                <w:kern w:val="0"/>
                <w:szCs w:val="21"/>
              </w:rPr>
              <w:t>4</w:t>
            </w:r>
            <w:r>
              <w:rPr>
                <w:kern w:val="0"/>
                <w:szCs w:val="21"/>
              </w:rPr>
              <w:t>3</w:t>
            </w:r>
          </w:p>
        </w:tc>
        <w:tc>
          <w:tcPr>
            <w:tcW w:w="1811" w:type="dxa"/>
            <w:vAlign w:val="center"/>
          </w:tcPr>
          <w:p>
            <w:pPr>
              <w:contextualSpacing/>
              <w:jc w:val="center"/>
              <w:textAlignment w:val="baseline"/>
              <w:rPr>
                <w:kern w:val="0"/>
                <w:szCs w:val="21"/>
              </w:rPr>
            </w:pPr>
            <w:r>
              <w:rPr>
                <w:rFonts w:hint="eastAsia"/>
                <w:kern w:val="0"/>
                <w:szCs w:val="21"/>
              </w:rPr>
              <w:t>5</w:t>
            </w:r>
            <w:r>
              <w:rPr>
                <w:kern w:val="0"/>
                <w:szCs w:val="21"/>
              </w:rPr>
              <w:t>3</w:t>
            </w:r>
          </w:p>
        </w:tc>
        <w:tc>
          <w:tcPr>
            <w:tcW w:w="1811" w:type="dxa"/>
            <w:vAlign w:val="center"/>
          </w:tcPr>
          <w:p>
            <w:pPr>
              <w:contextualSpacing/>
              <w:jc w:val="center"/>
              <w:textAlignment w:val="baseline"/>
              <w:rPr>
                <w:kern w:val="0"/>
                <w:szCs w:val="21"/>
              </w:rPr>
            </w:pPr>
            <w:r>
              <w:rPr>
                <w:rFonts w:hint="eastAsia"/>
                <w:kern w:val="0"/>
                <w:szCs w:val="21"/>
              </w:rPr>
              <w:t>4</w:t>
            </w:r>
            <w:r>
              <w:rPr>
                <w:kern w:val="0"/>
                <w:szCs w:val="21"/>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02" w:type="dxa"/>
            <w:vAlign w:val="center"/>
          </w:tcPr>
          <w:p>
            <w:pPr>
              <w:contextualSpacing/>
              <w:jc w:val="center"/>
              <w:textAlignment w:val="baseline"/>
              <w:rPr>
                <w:kern w:val="0"/>
                <w:szCs w:val="21"/>
              </w:rPr>
            </w:pPr>
            <w:r>
              <w:rPr>
                <w:kern w:val="0"/>
                <w:szCs w:val="21"/>
              </w:rPr>
              <w:t>南厂界</w:t>
            </w:r>
          </w:p>
        </w:tc>
        <w:tc>
          <w:tcPr>
            <w:tcW w:w="1811" w:type="dxa"/>
            <w:vAlign w:val="center"/>
          </w:tcPr>
          <w:p>
            <w:pPr>
              <w:contextualSpacing/>
              <w:jc w:val="center"/>
              <w:textAlignment w:val="baseline"/>
              <w:rPr>
                <w:kern w:val="0"/>
                <w:szCs w:val="21"/>
              </w:rPr>
            </w:pPr>
            <w:r>
              <w:rPr>
                <w:rFonts w:hint="eastAsia"/>
                <w:kern w:val="0"/>
                <w:szCs w:val="21"/>
              </w:rPr>
              <w:t>5</w:t>
            </w:r>
            <w:r>
              <w:rPr>
                <w:kern w:val="0"/>
                <w:szCs w:val="21"/>
              </w:rPr>
              <w:t>3</w:t>
            </w:r>
          </w:p>
        </w:tc>
        <w:tc>
          <w:tcPr>
            <w:tcW w:w="1811" w:type="dxa"/>
            <w:vAlign w:val="center"/>
          </w:tcPr>
          <w:p>
            <w:pPr>
              <w:contextualSpacing/>
              <w:jc w:val="center"/>
              <w:textAlignment w:val="baseline"/>
              <w:rPr>
                <w:kern w:val="0"/>
                <w:szCs w:val="21"/>
              </w:rPr>
            </w:pPr>
            <w:r>
              <w:rPr>
                <w:rFonts w:hint="eastAsia"/>
                <w:kern w:val="0"/>
                <w:szCs w:val="21"/>
              </w:rPr>
              <w:t>4</w:t>
            </w:r>
            <w:r>
              <w:rPr>
                <w:kern w:val="0"/>
                <w:szCs w:val="21"/>
              </w:rPr>
              <w:t>2</w:t>
            </w:r>
          </w:p>
        </w:tc>
        <w:tc>
          <w:tcPr>
            <w:tcW w:w="1811" w:type="dxa"/>
            <w:vAlign w:val="center"/>
          </w:tcPr>
          <w:p>
            <w:pPr>
              <w:contextualSpacing/>
              <w:jc w:val="center"/>
              <w:textAlignment w:val="baseline"/>
              <w:rPr>
                <w:kern w:val="0"/>
                <w:szCs w:val="21"/>
              </w:rPr>
            </w:pPr>
            <w:r>
              <w:rPr>
                <w:rFonts w:hint="eastAsia"/>
                <w:kern w:val="0"/>
                <w:szCs w:val="21"/>
              </w:rPr>
              <w:t>5</w:t>
            </w:r>
            <w:r>
              <w:rPr>
                <w:kern w:val="0"/>
                <w:szCs w:val="21"/>
              </w:rPr>
              <w:t>0</w:t>
            </w:r>
          </w:p>
        </w:tc>
        <w:tc>
          <w:tcPr>
            <w:tcW w:w="1811" w:type="dxa"/>
            <w:vAlign w:val="center"/>
          </w:tcPr>
          <w:p>
            <w:pPr>
              <w:contextualSpacing/>
              <w:jc w:val="center"/>
              <w:textAlignment w:val="baseline"/>
              <w:rPr>
                <w:kern w:val="0"/>
                <w:szCs w:val="21"/>
              </w:rPr>
            </w:pPr>
            <w:r>
              <w:rPr>
                <w:rFonts w:hint="eastAsia"/>
                <w:kern w:val="0"/>
                <w:szCs w:val="21"/>
              </w:rPr>
              <w:t>4</w:t>
            </w:r>
            <w:r>
              <w:rPr>
                <w:kern w:val="0"/>
                <w:szCs w:val="21"/>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02" w:type="dxa"/>
            <w:vAlign w:val="center"/>
          </w:tcPr>
          <w:p>
            <w:pPr>
              <w:contextualSpacing/>
              <w:jc w:val="center"/>
              <w:textAlignment w:val="baseline"/>
              <w:rPr>
                <w:kern w:val="0"/>
                <w:szCs w:val="21"/>
              </w:rPr>
            </w:pPr>
            <w:r>
              <w:rPr>
                <w:kern w:val="0"/>
                <w:szCs w:val="21"/>
              </w:rPr>
              <w:t>西厂界</w:t>
            </w:r>
          </w:p>
        </w:tc>
        <w:tc>
          <w:tcPr>
            <w:tcW w:w="1811" w:type="dxa"/>
            <w:vAlign w:val="center"/>
          </w:tcPr>
          <w:p>
            <w:pPr>
              <w:contextualSpacing/>
              <w:jc w:val="center"/>
              <w:textAlignment w:val="baseline"/>
              <w:rPr>
                <w:kern w:val="0"/>
                <w:szCs w:val="21"/>
              </w:rPr>
            </w:pPr>
            <w:r>
              <w:rPr>
                <w:rFonts w:hint="eastAsia"/>
                <w:kern w:val="0"/>
                <w:szCs w:val="21"/>
              </w:rPr>
              <w:t>5</w:t>
            </w:r>
            <w:r>
              <w:rPr>
                <w:kern w:val="0"/>
                <w:szCs w:val="21"/>
              </w:rPr>
              <w:t>4</w:t>
            </w:r>
          </w:p>
        </w:tc>
        <w:tc>
          <w:tcPr>
            <w:tcW w:w="1811" w:type="dxa"/>
            <w:vAlign w:val="center"/>
          </w:tcPr>
          <w:p>
            <w:pPr>
              <w:contextualSpacing/>
              <w:jc w:val="center"/>
              <w:textAlignment w:val="baseline"/>
              <w:rPr>
                <w:kern w:val="0"/>
                <w:szCs w:val="21"/>
              </w:rPr>
            </w:pPr>
            <w:r>
              <w:rPr>
                <w:rFonts w:hint="eastAsia"/>
                <w:kern w:val="0"/>
                <w:szCs w:val="21"/>
              </w:rPr>
              <w:t>4</w:t>
            </w:r>
            <w:r>
              <w:rPr>
                <w:kern w:val="0"/>
                <w:szCs w:val="21"/>
              </w:rPr>
              <w:t>4</w:t>
            </w:r>
          </w:p>
        </w:tc>
        <w:tc>
          <w:tcPr>
            <w:tcW w:w="1811" w:type="dxa"/>
            <w:vAlign w:val="center"/>
          </w:tcPr>
          <w:p>
            <w:pPr>
              <w:contextualSpacing/>
              <w:jc w:val="center"/>
              <w:textAlignment w:val="baseline"/>
              <w:rPr>
                <w:kern w:val="0"/>
                <w:szCs w:val="21"/>
              </w:rPr>
            </w:pPr>
            <w:r>
              <w:rPr>
                <w:rFonts w:hint="eastAsia"/>
                <w:kern w:val="0"/>
                <w:szCs w:val="21"/>
              </w:rPr>
              <w:t>5</w:t>
            </w:r>
            <w:r>
              <w:rPr>
                <w:kern w:val="0"/>
                <w:szCs w:val="21"/>
              </w:rPr>
              <w:t>5</w:t>
            </w:r>
          </w:p>
        </w:tc>
        <w:tc>
          <w:tcPr>
            <w:tcW w:w="1811" w:type="dxa"/>
            <w:vAlign w:val="center"/>
          </w:tcPr>
          <w:p>
            <w:pPr>
              <w:contextualSpacing/>
              <w:jc w:val="center"/>
              <w:textAlignment w:val="baseline"/>
              <w:rPr>
                <w:kern w:val="0"/>
                <w:szCs w:val="21"/>
              </w:rPr>
            </w:pPr>
            <w:r>
              <w:rPr>
                <w:rFonts w:hint="eastAsia"/>
                <w:kern w:val="0"/>
                <w:szCs w:val="21"/>
              </w:rPr>
              <w:t>4</w:t>
            </w:r>
            <w:r>
              <w:rPr>
                <w:kern w:val="0"/>
                <w:szCs w:val="21"/>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02" w:type="dxa"/>
            <w:vAlign w:val="center"/>
          </w:tcPr>
          <w:p>
            <w:pPr>
              <w:contextualSpacing/>
              <w:jc w:val="center"/>
              <w:textAlignment w:val="baseline"/>
              <w:rPr>
                <w:kern w:val="0"/>
                <w:szCs w:val="21"/>
              </w:rPr>
            </w:pPr>
            <w:r>
              <w:rPr>
                <w:kern w:val="0"/>
                <w:szCs w:val="21"/>
              </w:rPr>
              <w:t>北厂界</w:t>
            </w:r>
          </w:p>
        </w:tc>
        <w:tc>
          <w:tcPr>
            <w:tcW w:w="1811" w:type="dxa"/>
            <w:vAlign w:val="center"/>
          </w:tcPr>
          <w:p>
            <w:pPr>
              <w:contextualSpacing/>
              <w:jc w:val="center"/>
              <w:textAlignment w:val="baseline"/>
              <w:rPr>
                <w:kern w:val="0"/>
                <w:szCs w:val="21"/>
              </w:rPr>
            </w:pPr>
            <w:r>
              <w:rPr>
                <w:rFonts w:hint="eastAsia"/>
                <w:kern w:val="0"/>
                <w:szCs w:val="21"/>
              </w:rPr>
              <w:t>5</w:t>
            </w:r>
            <w:r>
              <w:rPr>
                <w:kern w:val="0"/>
                <w:szCs w:val="21"/>
              </w:rPr>
              <w:t>1</w:t>
            </w:r>
          </w:p>
        </w:tc>
        <w:tc>
          <w:tcPr>
            <w:tcW w:w="1811" w:type="dxa"/>
            <w:vAlign w:val="center"/>
          </w:tcPr>
          <w:p>
            <w:pPr>
              <w:contextualSpacing/>
              <w:jc w:val="center"/>
              <w:textAlignment w:val="baseline"/>
              <w:rPr>
                <w:kern w:val="0"/>
                <w:szCs w:val="21"/>
              </w:rPr>
            </w:pPr>
            <w:r>
              <w:rPr>
                <w:rFonts w:hint="eastAsia"/>
                <w:kern w:val="0"/>
                <w:szCs w:val="21"/>
              </w:rPr>
              <w:t>4</w:t>
            </w:r>
            <w:r>
              <w:rPr>
                <w:kern w:val="0"/>
                <w:szCs w:val="21"/>
              </w:rPr>
              <w:t>0</w:t>
            </w:r>
          </w:p>
        </w:tc>
        <w:tc>
          <w:tcPr>
            <w:tcW w:w="1811" w:type="dxa"/>
            <w:vAlign w:val="center"/>
          </w:tcPr>
          <w:p>
            <w:pPr>
              <w:contextualSpacing/>
              <w:jc w:val="center"/>
              <w:textAlignment w:val="baseline"/>
              <w:rPr>
                <w:kern w:val="0"/>
                <w:szCs w:val="21"/>
              </w:rPr>
            </w:pPr>
            <w:r>
              <w:rPr>
                <w:rFonts w:hint="eastAsia"/>
                <w:kern w:val="0"/>
                <w:szCs w:val="21"/>
              </w:rPr>
              <w:t>5</w:t>
            </w:r>
            <w:r>
              <w:rPr>
                <w:kern w:val="0"/>
                <w:szCs w:val="21"/>
              </w:rPr>
              <w:t>2</w:t>
            </w:r>
          </w:p>
        </w:tc>
        <w:tc>
          <w:tcPr>
            <w:tcW w:w="1811" w:type="dxa"/>
            <w:vAlign w:val="center"/>
          </w:tcPr>
          <w:p>
            <w:pPr>
              <w:contextualSpacing/>
              <w:jc w:val="center"/>
              <w:textAlignment w:val="baseline"/>
              <w:rPr>
                <w:kern w:val="0"/>
                <w:szCs w:val="21"/>
              </w:rPr>
            </w:pPr>
            <w:r>
              <w:rPr>
                <w:rFonts w:hint="eastAsia"/>
                <w:kern w:val="0"/>
                <w:szCs w:val="21"/>
              </w:rPr>
              <w:t>4</w:t>
            </w:r>
            <w:r>
              <w:rPr>
                <w:kern w:val="0"/>
                <w:szCs w:val="21"/>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02" w:type="dxa"/>
            <w:vAlign w:val="center"/>
          </w:tcPr>
          <w:p>
            <w:pPr>
              <w:contextualSpacing/>
              <w:jc w:val="center"/>
              <w:textAlignment w:val="baseline"/>
              <w:rPr>
                <w:kern w:val="0"/>
                <w:szCs w:val="21"/>
              </w:rPr>
            </w:pPr>
            <w:r>
              <w:rPr>
                <w:rFonts w:hint="eastAsia"/>
                <w:kern w:val="0"/>
                <w:szCs w:val="21"/>
              </w:rPr>
              <w:t>小庄村西</w:t>
            </w:r>
          </w:p>
        </w:tc>
        <w:tc>
          <w:tcPr>
            <w:tcW w:w="1811" w:type="dxa"/>
            <w:vAlign w:val="center"/>
          </w:tcPr>
          <w:p>
            <w:pPr>
              <w:contextualSpacing/>
              <w:jc w:val="center"/>
              <w:textAlignment w:val="baseline"/>
              <w:rPr>
                <w:kern w:val="0"/>
                <w:szCs w:val="21"/>
              </w:rPr>
            </w:pPr>
            <w:r>
              <w:rPr>
                <w:rFonts w:hint="eastAsia"/>
                <w:kern w:val="0"/>
                <w:szCs w:val="21"/>
              </w:rPr>
              <w:t>5</w:t>
            </w:r>
            <w:r>
              <w:rPr>
                <w:kern w:val="0"/>
                <w:szCs w:val="21"/>
              </w:rPr>
              <w:t>0</w:t>
            </w:r>
          </w:p>
        </w:tc>
        <w:tc>
          <w:tcPr>
            <w:tcW w:w="1811" w:type="dxa"/>
            <w:vAlign w:val="center"/>
          </w:tcPr>
          <w:p>
            <w:pPr>
              <w:contextualSpacing/>
              <w:jc w:val="center"/>
              <w:textAlignment w:val="baseline"/>
              <w:rPr>
                <w:kern w:val="0"/>
                <w:szCs w:val="21"/>
              </w:rPr>
            </w:pPr>
            <w:r>
              <w:rPr>
                <w:rFonts w:hint="eastAsia"/>
                <w:kern w:val="0"/>
                <w:szCs w:val="21"/>
              </w:rPr>
              <w:t>4</w:t>
            </w:r>
            <w:r>
              <w:rPr>
                <w:kern w:val="0"/>
                <w:szCs w:val="21"/>
              </w:rPr>
              <w:t>1</w:t>
            </w:r>
          </w:p>
        </w:tc>
        <w:tc>
          <w:tcPr>
            <w:tcW w:w="1811" w:type="dxa"/>
            <w:vAlign w:val="center"/>
          </w:tcPr>
          <w:p>
            <w:pPr>
              <w:contextualSpacing/>
              <w:jc w:val="center"/>
              <w:textAlignment w:val="baseline"/>
              <w:rPr>
                <w:kern w:val="0"/>
                <w:szCs w:val="21"/>
              </w:rPr>
            </w:pPr>
            <w:r>
              <w:rPr>
                <w:rFonts w:hint="eastAsia"/>
                <w:kern w:val="0"/>
                <w:szCs w:val="21"/>
              </w:rPr>
              <w:t>5</w:t>
            </w:r>
            <w:r>
              <w:rPr>
                <w:kern w:val="0"/>
                <w:szCs w:val="21"/>
              </w:rPr>
              <w:t>1</w:t>
            </w:r>
          </w:p>
        </w:tc>
        <w:tc>
          <w:tcPr>
            <w:tcW w:w="1811" w:type="dxa"/>
            <w:vAlign w:val="center"/>
          </w:tcPr>
          <w:p>
            <w:pPr>
              <w:contextualSpacing/>
              <w:jc w:val="center"/>
              <w:textAlignment w:val="baseline"/>
              <w:rPr>
                <w:kern w:val="0"/>
                <w:szCs w:val="21"/>
              </w:rPr>
            </w:pPr>
            <w:r>
              <w:rPr>
                <w:rFonts w:hint="eastAsia"/>
                <w:kern w:val="0"/>
                <w:szCs w:val="21"/>
              </w:rPr>
              <w:t>4</w:t>
            </w:r>
            <w:r>
              <w:rPr>
                <w:kern w:val="0"/>
                <w:szCs w:val="21"/>
              </w:rPr>
              <w:t>0</w:t>
            </w:r>
          </w:p>
        </w:tc>
      </w:tr>
    </w:tbl>
    <w:p>
      <w:pPr>
        <w:spacing w:line="520" w:lineRule="exact"/>
        <w:ind w:firstLine="480" w:firstLineChars="200"/>
        <w:rPr>
          <w:kern w:val="0"/>
          <w:sz w:val="24"/>
          <w:szCs w:val="24"/>
          <w:highlight w:val="yellow"/>
        </w:rPr>
      </w:pPr>
      <w:r>
        <w:rPr>
          <w:kern w:val="0"/>
          <w:sz w:val="24"/>
          <w:szCs w:val="24"/>
        </w:rPr>
        <w:t>由监测结果可知：东、南、西、北四厂界昼间噪声值为50~55dB(A)、夜间噪声值为40~45dB(A)，均可以满足《声环境质量标准》3类标准的要求。</w:t>
      </w:r>
      <w:r>
        <w:rPr>
          <w:rFonts w:hint="eastAsia"/>
          <w:kern w:val="0"/>
          <w:sz w:val="24"/>
          <w:szCs w:val="24"/>
        </w:rPr>
        <w:t>小庄村西昼间噪声5</w:t>
      </w:r>
      <w:r>
        <w:rPr>
          <w:kern w:val="0"/>
          <w:sz w:val="24"/>
          <w:szCs w:val="24"/>
        </w:rPr>
        <w:t>0~51dB(A)、夜间噪声值为40~41dB(A)，可以满足《声环境质量标准》2类标准的要求。</w:t>
      </w:r>
    </w:p>
    <w:p>
      <w:pPr>
        <w:keepNext/>
        <w:keepLines/>
        <w:spacing w:line="520" w:lineRule="exact"/>
        <w:outlineLvl w:val="2"/>
        <w:rPr>
          <w:rFonts w:eastAsia="黑体"/>
          <w:bCs/>
          <w:sz w:val="28"/>
          <w:szCs w:val="28"/>
        </w:rPr>
      </w:pPr>
      <w:r>
        <w:rPr>
          <w:rFonts w:eastAsia="黑体"/>
          <w:bCs/>
          <w:sz w:val="28"/>
          <w:szCs w:val="28"/>
        </w:rPr>
        <w:t>4.3.7 环境质量现状评价小结</w:t>
      </w:r>
    </w:p>
    <w:p>
      <w:pPr>
        <w:spacing w:line="520" w:lineRule="exact"/>
        <w:outlineLvl w:val="3"/>
        <w:rPr>
          <w:sz w:val="24"/>
          <w:szCs w:val="24"/>
        </w:rPr>
      </w:pPr>
      <w:bookmarkStart w:id="85" w:name="_Toc452300353"/>
      <w:r>
        <w:rPr>
          <w:sz w:val="24"/>
          <w:szCs w:val="24"/>
        </w:rPr>
        <w:t>4.3.7.1 环境空气</w:t>
      </w:r>
      <w:bookmarkEnd w:id="85"/>
      <w:r>
        <w:rPr>
          <w:sz w:val="24"/>
          <w:szCs w:val="24"/>
        </w:rPr>
        <w:t>质量现状评价小结</w:t>
      </w:r>
    </w:p>
    <w:p>
      <w:pPr>
        <w:spacing w:line="520" w:lineRule="exact"/>
        <w:ind w:firstLine="480"/>
        <w:rPr>
          <w:kern w:val="0"/>
          <w:sz w:val="24"/>
          <w:szCs w:val="24"/>
        </w:rPr>
      </w:pPr>
      <w:r>
        <w:rPr>
          <w:sz w:val="24"/>
          <w:szCs w:val="24"/>
        </w:rPr>
        <w:t>根据</w:t>
      </w:r>
      <w:r>
        <w:rPr>
          <w:rFonts w:hint="eastAsia"/>
          <w:sz w:val="24"/>
          <w:szCs w:val="24"/>
        </w:rPr>
        <w:t>原阳县产业集聚区内常规监测站点大信家具2</w:t>
      </w:r>
      <w:r>
        <w:rPr>
          <w:sz w:val="24"/>
          <w:szCs w:val="24"/>
        </w:rPr>
        <w:t>021</w:t>
      </w:r>
      <w:r>
        <w:rPr>
          <w:rFonts w:hint="eastAsia"/>
          <w:sz w:val="24"/>
          <w:szCs w:val="24"/>
        </w:rPr>
        <w:t>年环境空气质量监测数据</w:t>
      </w:r>
      <w:r>
        <w:rPr>
          <w:sz w:val="24"/>
          <w:szCs w:val="24"/>
        </w:rPr>
        <w:t>，基本因子SO</w:t>
      </w:r>
      <w:r>
        <w:rPr>
          <w:sz w:val="24"/>
          <w:szCs w:val="24"/>
          <w:vertAlign w:val="subscript"/>
        </w:rPr>
        <w:t>2</w:t>
      </w:r>
      <w:r>
        <w:rPr>
          <w:sz w:val="24"/>
          <w:szCs w:val="24"/>
        </w:rPr>
        <w:t>、NO</w:t>
      </w:r>
      <w:r>
        <w:rPr>
          <w:sz w:val="24"/>
          <w:szCs w:val="24"/>
          <w:vertAlign w:val="subscript"/>
        </w:rPr>
        <w:t>2</w:t>
      </w:r>
      <w:r>
        <w:rPr>
          <w:sz w:val="24"/>
          <w:szCs w:val="24"/>
        </w:rPr>
        <w:t>、CO能够满足《环境空气质量标准》（GB3095-2012）二级标准；PM</w:t>
      </w:r>
      <w:r>
        <w:rPr>
          <w:sz w:val="24"/>
          <w:szCs w:val="24"/>
          <w:vertAlign w:val="subscript"/>
        </w:rPr>
        <w:t>10</w:t>
      </w:r>
      <w:r>
        <w:rPr>
          <w:sz w:val="24"/>
          <w:szCs w:val="24"/>
        </w:rPr>
        <w:t>、PM</w:t>
      </w:r>
      <w:r>
        <w:rPr>
          <w:sz w:val="24"/>
          <w:szCs w:val="24"/>
          <w:vertAlign w:val="subscript"/>
        </w:rPr>
        <w:t>2.5</w:t>
      </w:r>
      <w:r>
        <w:rPr>
          <w:sz w:val="24"/>
          <w:szCs w:val="24"/>
        </w:rPr>
        <w:t>和O</w:t>
      </w:r>
      <w:r>
        <w:rPr>
          <w:sz w:val="24"/>
          <w:szCs w:val="24"/>
          <w:vertAlign w:val="subscript"/>
        </w:rPr>
        <w:t>3</w:t>
      </w:r>
      <w:r>
        <w:rPr>
          <w:sz w:val="24"/>
          <w:szCs w:val="24"/>
        </w:rPr>
        <w:t>均不能够满足《环境空气质量标准》（GB3095-2012）二级标准要求。</w:t>
      </w:r>
      <w:r>
        <w:rPr>
          <w:sz w:val="24"/>
          <w:szCs w:val="24"/>
          <w:shd w:val="clear" w:color="auto" w:fill="FFFFFF"/>
        </w:rPr>
        <w:t>项目所在区域属于未达标区</w:t>
      </w:r>
      <w:r>
        <w:rPr>
          <w:sz w:val="24"/>
          <w:szCs w:val="24"/>
        </w:rPr>
        <w:t>。</w:t>
      </w:r>
      <w:r>
        <w:rPr>
          <w:kern w:val="0"/>
          <w:sz w:val="24"/>
          <w:szCs w:val="24"/>
        </w:rPr>
        <w:t>项目所在区域环境大气主要超标原因为：项目地处北方地区，大气的污染防治措施未跟上当地市政建设、工业布局及交通运输等的发展，造成部分大气污染物未能达标排放。评价建议区域应加强大气治理和监管，减少污染物的排放。</w:t>
      </w:r>
    </w:p>
    <w:p>
      <w:pPr>
        <w:spacing w:line="520" w:lineRule="exact"/>
        <w:ind w:firstLine="480"/>
        <w:rPr>
          <w:kern w:val="0"/>
          <w:sz w:val="24"/>
          <w:szCs w:val="24"/>
        </w:rPr>
      </w:pPr>
      <w:r>
        <w:rPr>
          <w:sz w:val="24"/>
          <w:szCs w:val="24"/>
        </w:rPr>
        <w:t>根据环境空气现状监测结果可知：氨1小时浓度、硫化氢1小时浓度能够满足《环境影响评价技术导则 大气环境》（HJ2.2-2018）附录D其他污染物空气质量浓度参考限值。</w:t>
      </w:r>
    </w:p>
    <w:p>
      <w:pPr>
        <w:spacing w:line="520" w:lineRule="exact"/>
        <w:outlineLvl w:val="3"/>
        <w:rPr>
          <w:kern w:val="0"/>
          <w:sz w:val="24"/>
          <w:szCs w:val="24"/>
        </w:rPr>
      </w:pPr>
      <w:r>
        <w:rPr>
          <w:sz w:val="24"/>
          <w:szCs w:val="24"/>
        </w:rPr>
        <w:t>4.3.7.2 地表水环境质量现状评价小结</w:t>
      </w:r>
    </w:p>
    <w:p>
      <w:pPr>
        <w:spacing w:line="520" w:lineRule="exact"/>
        <w:ind w:firstLine="480" w:firstLineChars="200"/>
        <w:rPr>
          <w:sz w:val="24"/>
          <w:szCs w:val="24"/>
          <w:highlight w:val="yellow"/>
        </w:rPr>
      </w:pPr>
      <w:r>
        <w:rPr>
          <w:sz w:val="24"/>
          <w:szCs w:val="24"/>
        </w:rPr>
        <w:t>根据2023年</w:t>
      </w:r>
      <w:r>
        <w:rPr>
          <w:rFonts w:hint="eastAsia"/>
          <w:sz w:val="24"/>
          <w:szCs w:val="24"/>
        </w:rPr>
        <w:t>全年文岩渠安乐庄</w:t>
      </w:r>
      <w:r>
        <w:rPr>
          <w:sz w:val="24"/>
          <w:szCs w:val="24"/>
        </w:rPr>
        <w:t>断面常规监测数据统计结果，</w:t>
      </w:r>
      <w:r>
        <w:rPr>
          <w:rFonts w:hint="eastAsia"/>
          <w:sz w:val="24"/>
          <w:szCs w:val="24"/>
        </w:rPr>
        <w:t>安乐庄</w:t>
      </w:r>
      <w:r>
        <w:rPr>
          <w:sz w:val="24"/>
          <w:szCs w:val="24"/>
        </w:rPr>
        <w:t>断面2023年水质年均值为：COD 16.8mg/L</w:t>
      </w:r>
      <w:r>
        <w:rPr>
          <w:rFonts w:hint="eastAsia"/>
          <w:sz w:val="24"/>
          <w:szCs w:val="24"/>
        </w:rPr>
        <w:t>、</w:t>
      </w:r>
      <w:r>
        <w:rPr>
          <w:sz w:val="24"/>
          <w:szCs w:val="24"/>
        </w:rPr>
        <w:t>NH</w:t>
      </w:r>
      <w:r>
        <w:rPr>
          <w:sz w:val="24"/>
          <w:szCs w:val="24"/>
          <w:vertAlign w:val="subscript"/>
        </w:rPr>
        <w:t>3</w:t>
      </w:r>
      <w:r>
        <w:rPr>
          <w:sz w:val="24"/>
          <w:szCs w:val="24"/>
        </w:rPr>
        <w:t xml:space="preserve">-N </w:t>
      </w:r>
      <w:r>
        <w:rPr>
          <w:rFonts w:hint="eastAsia"/>
          <w:sz w:val="24"/>
          <w:szCs w:val="24"/>
        </w:rPr>
        <w:t>0</w:t>
      </w:r>
      <w:r>
        <w:rPr>
          <w:sz w:val="24"/>
          <w:szCs w:val="24"/>
        </w:rPr>
        <w:t>.6mg/L</w:t>
      </w:r>
      <w:r>
        <w:rPr>
          <w:rFonts w:hint="eastAsia"/>
          <w:sz w:val="24"/>
          <w:szCs w:val="24"/>
        </w:rPr>
        <w:t>、</w:t>
      </w:r>
      <w:r>
        <w:rPr>
          <w:sz w:val="24"/>
          <w:szCs w:val="24"/>
        </w:rPr>
        <w:t xml:space="preserve">TP </w:t>
      </w:r>
      <w:r>
        <w:rPr>
          <w:rFonts w:hint="eastAsia"/>
          <w:sz w:val="24"/>
          <w:szCs w:val="24"/>
        </w:rPr>
        <w:t>0</w:t>
      </w:r>
      <w:r>
        <w:rPr>
          <w:sz w:val="24"/>
          <w:szCs w:val="24"/>
        </w:rPr>
        <w:t>.12mg/L</w:t>
      </w:r>
      <w:r>
        <w:rPr>
          <w:rFonts w:hint="eastAsia"/>
          <w:sz w:val="24"/>
          <w:szCs w:val="24"/>
        </w:rPr>
        <w:t>，能够满足《地表水环境质量标准》（GB3838-2002</w:t>
      </w:r>
      <w:r>
        <w:rPr>
          <w:sz w:val="24"/>
          <w:szCs w:val="24"/>
        </w:rPr>
        <w:t>）Ⅲ类标准</w:t>
      </w:r>
      <w:r>
        <w:rPr>
          <w:rFonts w:hint="eastAsia"/>
          <w:sz w:val="24"/>
          <w:szCs w:val="24"/>
        </w:rPr>
        <w:t>（</w:t>
      </w:r>
      <w:r>
        <w:rPr>
          <w:sz w:val="24"/>
          <w:szCs w:val="24"/>
        </w:rPr>
        <w:t>COD 20mg/L、NH</w:t>
      </w:r>
      <w:r>
        <w:rPr>
          <w:sz w:val="24"/>
          <w:szCs w:val="24"/>
          <w:vertAlign w:val="subscript"/>
        </w:rPr>
        <w:t>3</w:t>
      </w:r>
      <w:r>
        <w:rPr>
          <w:sz w:val="24"/>
          <w:szCs w:val="24"/>
        </w:rPr>
        <w:t>-N 1.0mg/L、TP 0.2mg/L</w:t>
      </w:r>
      <w:r>
        <w:rPr>
          <w:rFonts w:hint="eastAsia"/>
          <w:sz w:val="24"/>
          <w:szCs w:val="24"/>
        </w:rPr>
        <w:t>）。</w:t>
      </w:r>
    </w:p>
    <w:p>
      <w:pPr>
        <w:spacing w:line="520" w:lineRule="exact"/>
        <w:outlineLvl w:val="3"/>
        <w:rPr>
          <w:sz w:val="24"/>
          <w:szCs w:val="24"/>
        </w:rPr>
      </w:pPr>
      <w:r>
        <w:rPr>
          <w:sz w:val="24"/>
          <w:szCs w:val="24"/>
        </w:rPr>
        <w:t>4.3.7.3 地下水环境质量现状评价小结</w:t>
      </w:r>
    </w:p>
    <w:p>
      <w:pPr>
        <w:spacing w:line="520" w:lineRule="exact"/>
        <w:ind w:firstLine="480" w:firstLineChars="200"/>
        <w:rPr>
          <w:sz w:val="24"/>
          <w:szCs w:val="24"/>
          <w:highlight w:val="yellow"/>
        </w:rPr>
      </w:pPr>
      <w:r>
        <w:rPr>
          <w:sz w:val="24"/>
          <w:szCs w:val="24"/>
        </w:rPr>
        <w:t>根据2023年4月7日-9日的地下水现状监测数据可知，各监测点的pH、氨氮、硝酸盐、亚硝酸盐、挥发性酚类、氰化物、总硬度、耗氧量、溶解性总固体、总大肠菌群、菌落总数、</w:t>
      </w:r>
      <w:r>
        <w:rPr>
          <w:rFonts w:hint="eastAsia"/>
          <w:sz w:val="24"/>
          <w:szCs w:val="24"/>
        </w:rPr>
        <w:t>硫化物、</w:t>
      </w:r>
      <w:r>
        <w:rPr>
          <w:sz w:val="24"/>
          <w:szCs w:val="24"/>
        </w:rPr>
        <w:t>氟化物、铬（六价）、铅、镉、砷、汞、铁、锰、可萃取石油烃等监测值均可以满足《地下水质量标准》（GB/T14848-2017）III类标准要求。</w:t>
      </w:r>
    </w:p>
    <w:p>
      <w:pPr>
        <w:spacing w:line="520" w:lineRule="exact"/>
        <w:outlineLvl w:val="3"/>
        <w:rPr>
          <w:sz w:val="24"/>
          <w:szCs w:val="24"/>
        </w:rPr>
      </w:pPr>
      <w:r>
        <w:rPr>
          <w:sz w:val="24"/>
          <w:szCs w:val="24"/>
        </w:rPr>
        <w:t>4.3.7.4 土壤环境质量现状评价小结</w:t>
      </w:r>
    </w:p>
    <w:p>
      <w:pPr>
        <w:spacing w:line="520" w:lineRule="exact"/>
        <w:ind w:firstLine="480" w:firstLineChars="200"/>
        <w:rPr>
          <w:sz w:val="24"/>
          <w:szCs w:val="24"/>
        </w:rPr>
      </w:pPr>
      <w:r>
        <w:rPr>
          <w:sz w:val="24"/>
          <w:szCs w:val="24"/>
        </w:rPr>
        <w:t>根据《环境影响评价技术导则 土壤环境（试行）》（HJ 964-2018）相关规定，本项目属于污染影响型项目，评价工作等级为</w:t>
      </w:r>
      <w:r>
        <w:rPr>
          <w:rFonts w:hint="eastAsia"/>
          <w:sz w:val="24"/>
          <w:szCs w:val="24"/>
        </w:rPr>
        <w:t>二</w:t>
      </w:r>
      <w:r>
        <w:rPr>
          <w:sz w:val="24"/>
          <w:szCs w:val="24"/>
        </w:rPr>
        <w:t>级。本次评价设置6个监测点位，厂内4个点位</w:t>
      </w:r>
      <w:r>
        <w:rPr>
          <w:rFonts w:hint="eastAsia"/>
          <w:sz w:val="24"/>
          <w:szCs w:val="24"/>
        </w:rPr>
        <w:t>、厂区外2个点位</w:t>
      </w:r>
      <w:r>
        <w:rPr>
          <w:sz w:val="24"/>
          <w:szCs w:val="24"/>
        </w:rPr>
        <w:t>。由监测结果可以看出，厂界内</w:t>
      </w:r>
      <w:r>
        <w:rPr>
          <w:rFonts w:hint="eastAsia"/>
          <w:sz w:val="24"/>
          <w:szCs w:val="24"/>
        </w:rPr>
        <w:t>外</w:t>
      </w:r>
      <w:r>
        <w:rPr>
          <w:sz w:val="24"/>
          <w:szCs w:val="24"/>
        </w:rPr>
        <w:t>各监测点各监测因子监测值均可满足《土壤环境质量 建设用地土壤污染风险管控标准》(GB36600-2018)表1中筛选值的第二类用地标准。</w:t>
      </w:r>
    </w:p>
    <w:p>
      <w:pPr>
        <w:spacing w:line="520" w:lineRule="exact"/>
        <w:outlineLvl w:val="3"/>
        <w:rPr>
          <w:kern w:val="0"/>
          <w:sz w:val="24"/>
          <w:szCs w:val="24"/>
        </w:rPr>
      </w:pPr>
      <w:r>
        <w:rPr>
          <w:sz w:val="24"/>
          <w:szCs w:val="24"/>
        </w:rPr>
        <w:t>4.3.7.5 声环境质量现状评价小结</w:t>
      </w:r>
    </w:p>
    <w:p>
      <w:pPr>
        <w:spacing w:line="520" w:lineRule="exact"/>
        <w:ind w:firstLine="480" w:firstLineChars="200"/>
        <w:rPr>
          <w:sz w:val="24"/>
          <w:szCs w:val="24"/>
        </w:rPr>
      </w:pPr>
      <w:r>
        <w:rPr>
          <w:sz w:val="24"/>
          <w:szCs w:val="24"/>
        </w:rPr>
        <w:t>项目四周厂界声环境质量现状监测数据均满足《声环境质量标准》（GB3096-2008）3类标准(昼间65dB(A)、夜间55dB(A)要求。</w:t>
      </w:r>
      <w:r>
        <w:rPr>
          <w:rFonts w:hint="eastAsia"/>
          <w:sz w:val="24"/>
          <w:szCs w:val="24"/>
        </w:rPr>
        <w:t>距离项目的最近敏感点小庄村声环境质量</w:t>
      </w:r>
      <w:r>
        <w:rPr>
          <w:sz w:val="24"/>
          <w:szCs w:val="24"/>
        </w:rPr>
        <w:t>现状监测数据满足《声环境质量标准》（GB3096-2008）2类标准(昼间60dB(A)、夜间50dB(A)要求。</w:t>
      </w:r>
    </w:p>
    <w:p>
      <w:pPr>
        <w:keepNext/>
        <w:keepLines/>
        <w:spacing w:line="520" w:lineRule="exact"/>
        <w:outlineLvl w:val="1"/>
        <w:rPr>
          <w:rFonts w:eastAsia="黑体"/>
          <w:bCs/>
          <w:sz w:val="28"/>
          <w:szCs w:val="28"/>
        </w:rPr>
      </w:pPr>
      <w:bookmarkStart w:id="86" w:name="_Toc21828"/>
      <w:r>
        <w:rPr>
          <w:rFonts w:eastAsia="黑体"/>
          <w:bCs/>
          <w:sz w:val="28"/>
          <w:szCs w:val="28"/>
        </w:rPr>
        <w:t>4.4 区域污染源调查</w:t>
      </w:r>
      <w:bookmarkEnd w:id="86"/>
    </w:p>
    <w:p>
      <w:pPr>
        <w:spacing w:line="520" w:lineRule="exact"/>
        <w:ind w:firstLine="480" w:firstLineChars="200"/>
        <w:rPr>
          <w:sz w:val="24"/>
          <w:szCs w:val="24"/>
        </w:rPr>
      </w:pPr>
      <w:r>
        <w:rPr>
          <w:sz w:val="24"/>
          <w:szCs w:val="24"/>
        </w:rPr>
        <w:t>经调查，评价区域主要污染源排放情况见下表。</w:t>
      </w:r>
    </w:p>
    <w:p>
      <w:pPr>
        <w:spacing w:line="480" w:lineRule="exact"/>
        <w:ind w:right="-21" w:rightChars="-10" w:firstLine="480"/>
        <w:rPr>
          <w:rFonts w:eastAsia="黑体"/>
          <w:kern w:val="0"/>
          <w:sz w:val="24"/>
          <w:szCs w:val="20"/>
          <w:lang w:val="zh-CN"/>
        </w:rPr>
      </w:pPr>
      <w:r>
        <w:rPr>
          <w:rFonts w:eastAsia="黑体"/>
          <w:kern w:val="0"/>
          <w:sz w:val="24"/>
          <w:szCs w:val="20"/>
          <w:lang w:val="zh-CN"/>
        </w:rPr>
        <w:t>表4.4-1        区域主要企业污染源排放情况一览表        单位：t/a</w:t>
      </w:r>
    </w:p>
    <w:tbl>
      <w:tblPr>
        <w:tblStyle w:val="49"/>
        <w:tblpPr w:leftFromText="180" w:rightFromText="180" w:vertAnchor="text" w:tblpXSpec="center" w:tblpY="1"/>
        <w:tblOverlap w:val="never"/>
        <w:tblW w:w="5000" w:type="pct"/>
        <w:tblInd w:w="0" w:type="dxa"/>
        <w:tblLayout w:type="autofit"/>
        <w:tblCellMar>
          <w:top w:w="28" w:type="dxa"/>
          <w:left w:w="0" w:type="dxa"/>
          <w:bottom w:w="28" w:type="dxa"/>
          <w:right w:w="0" w:type="dxa"/>
        </w:tblCellMar>
      </w:tblPr>
      <w:tblGrid>
        <w:gridCol w:w="482"/>
        <w:gridCol w:w="1695"/>
        <w:gridCol w:w="2611"/>
        <w:gridCol w:w="693"/>
        <w:gridCol w:w="693"/>
        <w:gridCol w:w="693"/>
        <w:gridCol w:w="693"/>
        <w:gridCol w:w="588"/>
        <w:gridCol w:w="593"/>
      </w:tblGrid>
      <w:tr>
        <w:tblPrEx>
          <w:tblCellMar>
            <w:top w:w="28" w:type="dxa"/>
            <w:left w:w="0" w:type="dxa"/>
            <w:bottom w:w="28" w:type="dxa"/>
            <w:right w:w="0" w:type="dxa"/>
          </w:tblCellMar>
        </w:tblPrEx>
        <w:trPr>
          <w:trHeight w:val="397" w:hRule="atLeast"/>
        </w:trPr>
        <w:tc>
          <w:tcPr>
            <w:tcW w:w="276" w:type="pct"/>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b/>
                <w:bCs/>
                <w:kern w:val="0"/>
                <w:szCs w:val="21"/>
              </w:rPr>
            </w:pPr>
            <w:r>
              <w:rPr>
                <w:rFonts w:hint="eastAsia"/>
                <w:b/>
                <w:bCs/>
                <w:kern w:val="0"/>
                <w:szCs w:val="21"/>
              </w:rPr>
              <w:t>序号</w:t>
            </w:r>
          </w:p>
        </w:tc>
        <w:tc>
          <w:tcPr>
            <w:tcW w:w="970" w:type="pct"/>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b/>
                <w:bCs/>
                <w:kern w:val="0"/>
                <w:szCs w:val="21"/>
              </w:rPr>
            </w:pPr>
            <w:r>
              <w:rPr>
                <w:b/>
                <w:bCs/>
                <w:kern w:val="0"/>
                <w:szCs w:val="21"/>
              </w:rPr>
              <w:t>企业名称</w:t>
            </w:r>
          </w:p>
        </w:tc>
        <w:tc>
          <w:tcPr>
            <w:tcW w:w="1494" w:type="pct"/>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b/>
                <w:bCs/>
                <w:kern w:val="0"/>
                <w:szCs w:val="21"/>
              </w:rPr>
            </w:pPr>
            <w:r>
              <w:rPr>
                <w:b/>
                <w:bCs/>
                <w:kern w:val="0"/>
                <w:szCs w:val="21"/>
              </w:rPr>
              <w:t>建设规模</w:t>
            </w:r>
          </w:p>
        </w:tc>
        <w:tc>
          <w:tcPr>
            <w:tcW w:w="793" w:type="pct"/>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b/>
                <w:bCs/>
                <w:kern w:val="0"/>
                <w:szCs w:val="21"/>
              </w:rPr>
            </w:pPr>
            <w:r>
              <w:rPr>
                <w:b/>
                <w:bCs/>
                <w:kern w:val="0"/>
                <w:szCs w:val="21"/>
              </w:rPr>
              <w:t>废水（t/a）</w:t>
            </w:r>
          </w:p>
        </w:tc>
        <w:tc>
          <w:tcPr>
            <w:tcW w:w="1467" w:type="pct"/>
            <w:gridSpan w:val="4"/>
            <w:tcBorders>
              <w:top w:val="single" w:color="auto" w:sz="4" w:space="0"/>
              <w:left w:val="single" w:color="auto" w:sz="4" w:space="0"/>
              <w:bottom w:val="single" w:color="auto" w:sz="4" w:space="0"/>
              <w:right w:val="single" w:color="auto" w:sz="4" w:space="0"/>
            </w:tcBorders>
          </w:tcPr>
          <w:p>
            <w:pPr>
              <w:widowControl/>
              <w:snapToGrid w:val="0"/>
              <w:jc w:val="center"/>
              <w:rPr>
                <w:b/>
                <w:bCs/>
                <w:kern w:val="0"/>
                <w:szCs w:val="21"/>
              </w:rPr>
            </w:pPr>
            <w:r>
              <w:rPr>
                <w:b/>
                <w:bCs/>
                <w:kern w:val="0"/>
                <w:szCs w:val="21"/>
              </w:rPr>
              <w:t>废气（t/a）</w:t>
            </w:r>
          </w:p>
        </w:tc>
      </w:tr>
      <w:tr>
        <w:tblPrEx>
          <w:tblCellMar>
            <w:top w:w="28" w:type="dxa"/>
            <w:left w:w="0" w:type="dxa"/>
            <w:bottom w:w="28" w:type="dxa"/>
            <w:right w:w="0" w:type="dxa"/>
          </w:tblCellMar>
        </w:tblPrEx>
        <w:trPr>
          <w:trHeight w:val="397" w:hRule="atLeast"/>
        </w:trPr>
        <w:tc>
          <w:tcPr>
            <w:tcW w:w="276"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kern w:val="0"/>
                <w:szCs w:val="21"/>
              </w:rPr>
            </w:pPr>
          </w:p>
        </w:tc>
        <w:tc>
          <w:tcPr>
            <w:tcW w:w="97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kern w:val="0"/>
                <w:szCs w:val="21"/>
              </w:rPr>
            </w:pPr>
          </w:p>
        </w:tc>
        <w:tc>
          <w:tcPr>
            <w:tcW w:w="1494"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kern w:val="0"/>
                <w:szCs w:val="21"/>
              </w:rPr>
            </w:pP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b/>
                <w:bCs/>
                <w:kern w:val="0"/>
                <w:szCs w:val="21"/>
              </w:rPr>
            </w:pPr>
            <w:r>
              <w:rPr>
                <w:b/>
                <w:bCs/>
                <w:kern w:val="0"/>
                <w:szCs w:val="21"/>
              </w:rPr>
              <w:t>COD</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b/>
                <w:bCs/>
                <w:kern w:val="0"/>
                <w:szCs w:val="21"/>
              </w:rPr>
            </w:pPr>
            <w:r>
              <w:rPr>
                <w:b/>
                <w:bCs/>
                <w:kern w:val="0"/>
                <w:szCs w:val="21"/>
              </w:rPr>
              <w:t>氨氮</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b/>
                <w:bCs/>
                <w:kern w:val="0"/>
                <w:szCs w:val="21"/>
              </w:rPr>
            </w:pPr>
            <w:r>
              <w:rPr>
                <w:rFonts w:hint="eastAsia"/>
                <w:b/>
                <w:bCs/>
                <w:kern w:val="0"/>
                <w:szCs w:val="21"/>
              </w:rPr>
              <w:t>颗粒物</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b/>
                <w:bCs/>
                <w:kern w:val="0"/>
                <w:szCs w:val="21"/>
              </w:rPr>
            </w:pPr>
            <w:r>
              <w:rPr>
                <w:b/>
                <w:bCs/>
                <w:kern w:val="0"/>
                <w:szCs w:val="21"/>
              </w:rPr>
              <w:t>SO</w:t>
            </w:r>
            <w:r>
              <w:rPr>
                <w:b/>
                <w:bCs/>
                <w:kern w:val="0"/>
                <w:szCs w:val="21"/>
                <w:vertAlign w:val="subscript"/>
              </w:rPr>
              <w:t>2</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b/>
                <w:bCs/>
                <w:kern w:val="0"/>
                <w:szCs w:val="21"/>
              </w:rPr>
            </w:pPr>
            <w:r>
              <w:rPr>
                <w:b/>
                <w:bCs/>
                <w:kern w:val="0"/>
                <w:szCs w:val="21"/>
              </w:rPr>
              <w:t>NO</w:t>
            </w:r>
            <w:r>
              <w:rPr>
                <w:b/>
                <w:bCs/>
                <w:kern w:val="0"/>
                <w:szCs w:val="21"/>
                <w:vertAlign w:val="subscript"/>
              </w:rPr>
              <w:t>x</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b/>
                <w:bCs/>
                <w:kern w:val="0"/>
                <w:szCs w:val="21"/>
              </w:rPr>
            </w:pPr>
            <w:r>
              <w:rPr>
                <w:rFonts w:hint="eastAsia"/>
                <w:b/>
                <w:bCs/>
                <w:kern w:val="0"/>
                <w:szCs w:val="21"/>
              </w:rPr>
              <w:t>V</w:t>
            </w:r>
            <w:r>
              <w:rPr>
                <w:b/>
                <w:bCs/>
                <w:kern w:val="0"/>
                <w:szCs w:val="21"/>
              </w:rPr>
              <w:t>OCs</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1</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bookmarkStart w:id="87" w:name="_Hlk115273220"/>
            <w:r>
              <w:rPr>
                <w:kern w:val="0"/>
                <w:szCs w:val="21"/>
              </w:rPr>
              <w:t>河南懂菜央厨食品有限公司</w:t>
            </w:r>
            <w:bookmarkEnd w:id="87"/>
          </w:p>
        </w:tc>
        <w:tc>
          <w:tcPr>
            <w:tcW w:w="1494"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年产1000万份团餐、500吨净菜、500吨调味料、2000吨预制菜肴</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.0173</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.00003</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.0841</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.337</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2</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河南祥瑞汽车部件有限公司</w:t>
            </w:r>
          </w:p>
        </w:tc>
        <w:tc>
          <w:tcPr>
            <w:tcW w:w="1494"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驻车钳体总成1050万套/年（钳体400万件/年、支架500万件/年、转向节150万件/年）、制动鼓6万件/年、分泵总成18万件/年</w:t>
            </w:r>
            <w:r>
              <w:rPr>
                <w:rFonts w:hint="eastAsia"/>
                <w:kern w:val="0"/>
                <w:szCs w:val="21"/>
              </w:rPr>
              <w:t>、</w:t>
            </w:r>
            <w:r>
              <w:rPr>
                <w:kern w:val="0"/>
                <w:szCs w:val="21"/>
              </w:rPr>
              <w:t>铝制转向节</w:t>
            </w:r>
            <w:r>
              <w:rPr>
                <w:rFonts w:hint="eastAsia"/>
                <w:kern w:val="0"/>
                <w:szCs w:val="21"/>
              </w:rPr>
              <w:t>2</w:t>
            </w:r>
            <w:r>
              <w:rPr>
                <w:kern w:val="0"/>
                <w:szCs w:val="21"/>
              </w:rPr>
              <w:t>80万只/年</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.163</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.0082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3</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新乡市雨轩清真食品股份有限公司</w:t>
            </w:r>
          </w:p>
        </w:tc>
        <w:tc>
          <w:tcPr>
            <w:tcW w:w="1494"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年屠宰肉羊4</w:t>
            </w:r>
            <w:r>
              <w:rPr>
                <w:kern w:val="0"/>
                <w:szCs w:val="21"/>
              </w:rPr>
              <w:t>5</w:t>
            </w:r>
            <w:r>
              <w:rPr>
                <w:rFonts w:hint="eastAsia"/>
                <w:kern w:val="0"/>
                <w:szCs w:val="21"/>
              </w:rPr>
              <w:t>万只、生产清真牛羊肉3万吨、熟食清真牛羊肉5</w:t>
            </w:r>
            <w:r>
              <w:rPr>
                <w:kern w:val="0"/>
                <w:szCs w:val="21"/>
              </w:rPr>
              <w:t>000</w:t>
            </w:r>
            <w:r>
              <w:rPr>
                <w:rFonts w:hint="eastAsia"/>
                <w:kern w:val="0"/>
                <w:szCs w:val="21"/>
              </w:rPr>
              <w:t>吨</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2.991</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.2991</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.4219</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.4032</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.886</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4</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新乡市尚志哈尔食品有限公司</w:t>
            </w:r>
          </w:p>
        </w:tc>
        <w:tc>
          <w:tcPr>
            <w:tcW w:w="1494"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液态调味料</w:t>
            </w:r>
            <w:r>
              <w:rPr>
                <w:rFonts w:hint="eastAsia"/>
                <w:kern w:val="0"/>
                <w:szCs w:val="21"/>
              </w:rPr>
              <w:t>2</w:t>
            </w:r>
            <w:r>
              <w:rPr>
                <w:kern w:val="0"/>
                <w:szCs w:val="21"/>
              </w:rPr>
              <w:t>0</w:t>
            </w:r>
            <w:r>
              <w:rPr>
                <w:rFonts w:hint="eastAsia"/>
                <w:kern w:val="0"/>
                <w:szCs w:val="21"/>
              </w:rPr>
              <w:t>t/a、颗粒鸡精2t/a、固态调味料5</w:t>
            </w:r>
            <w:r>
              <w:rPr>
                <w:kern w:val="0"/>
                <w:szCs w:val="21"/>
              </w:rPr>
              <w:t>00</w:t>
            </w:r>
            <w:r>
              <w:rPr>
                <w:rFonts w:hint="eastAsia"/>
                <w:kern w:val="0"/>
                <w:szCs w:val="21"/>
              </w:rPr>
              <w:t>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.00672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.00252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5</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河南巨龙管业有限公司</w:t>
            </w:r>
          </w:p>
        </w:tc>
        <w:tc>
          <w:tcPr>
            <w:tcW w:w="1494"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钢筋混凝土排水管60000米</w:t>
            </w:r>
            <w:r>
              <w:rPr>
                <w:rFonts w:hint="eastAsia"/>
                <w:kern w:val="0"/>
                <w:szCs w:val="21"/>
              </w:rPr>
              <w:t>/年、</w:t>
            </w:r>
            <w:r>
              <w:rPr>
                <w:kern w:val="0"/>
                <w:szCs w:val="21"/>
              </w:rPr>
              <w:t>PCCP 70000</w:t>
            </w:r>
            <w:r>
              <w:rPr>
                <w:rFonts w:hint="eastAsia"/>
                <w:kern w:val="0"/>
                <w:szCs w:val="21"/>
              </w:rPr>
              <w:t>米/年</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.195</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.0098</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.1613</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.079</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.2371</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6</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洁普智能环保科技股份有限公司</w:t>
            </w:r>
          </w:p>
        </w:tc>
        <w:tc>
          <w:tcPr>
            <w:tcW w:w="1494"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年产双轴撕碎机280台(套)</w:t>
            </w:r>
            <w:r>
              <w:rPr>
                <w:kern w:val="0"/>
                <w:szCs w:val="21"/>
              </w:rPr>
              <w:t>/</w:t>
            </w:r>
            <w:r>
              <w:rPr>
                <w:rFonts w:hint="eastAsia"/>
                <w:kern w:val="0"/>
                <w:szCs w:val="21"/>
              </w:rPr>
              <w:t>年、单轴撕碎机80台(套)</w:t>
            </w:r>
            <w:r>
              <w:rPr>
                <w:kern w:val="0"/>
                <w:szCs w:val="21"/>
              </w:rPr>
              <w:t>/</w:t>
            </w:r>
            <w:r>
              <w:rPr>
                <w:rFonts w:hint="eastAsia"/>
                <w:kern w:val="0"/>
                <w:szCs w:val="21"/>
              </w:rPr>
              <w:t>年、粗破碎机40台(套)/年</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.0144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.0007</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.2744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.2366</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7</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河南万向系统制动器有限公司</w:t>
            </w:r>
          </w:p>
        </w:tc>
        <w:tc>
          <w:tcPr>
            <w:tcW w:w="1494"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汽车零部件2</w:t>
            </w:r>
            <w:r>
              <w:rPr>
                <w:kern w:val="0"/>
                <w:szCs w:val="21"/>
              </w:rPr>
              <w:t>.5</w:t>
            </w:r>
            <w:r>
              <w:rPr>
                <w:rFonts w:hint="eastAsia"/>
                <w:kern w:val="0"/>
                <w:szCs w:val="21"/>
              </w:rPr>
              <w:t>万吨/年</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.726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.036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6</w:t>
            </w:r>
            <w:r>
              <w:rPr>
                <w:kern w:val="0"/>
                <w:szCs w:val="21"/>
              </w:rPr>
              <w:t>.3681</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.0846</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.2631</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.7129</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8</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原阳县同力水泥有限公司</w:t>
            </w:r>
          </w:p>
        </w:tc>
        <w:tc>
          <w:tcPr>
            <w:tcW w:w="1494"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水泥1</w:t>
            </w:r>
            <w:r>
              <w:rPr>
                <w:kern w:val="0"/>
                <w:szCs w:val="21"/>
              </w:rPr>
              <w:t>00</w:t>
            </w:r>
            <w:r>
              <w:rPr>
                <w:rFonts w:hint="eastAsia"/>
                <w:kern w:val="0"/>
                <w:szCs w:val="21"/>
              </w:rPr>
              <w:t>万吨/年</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.0072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.0004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7</w:t>
            </w:r>
            <w:r>
              <w:rPr>
                <w:kern w:val="0"/>
                <w:szCs w:val="21"/>
              </w:rPr>
              <w:t>.2463</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9</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河南城矿实业有限公司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废旧钢铁产品9</w:t>
            </w:r>
            <w:r>
              <w:rPr>
                <w:kern w:val="0"/>
                <w:szCs w:val="21"/>
              </w:rPr>
              <w:t>9.9</w:t>
            </w:r>
            <w:r>
              <w:rPr>
                <w:rFonts w:hint="eastAsia"/>
                <w:kern w:val="0"/>
                <w:szCs w:val="21"/>
              </w:rPr>
              <w:t>万t/a、铜3</w:t>
            </w:r>
            <w:r>
              <w:rPr>
                <w:kern w:val="0"/>
                <w:szCs w:val="21"/>
              </w:rPr>
              <w:t>00</w:t>
            </w:r>
            <w:r>
              <w:rPr>
                <w:rFonts w:hint="eastAsia"/>
                <w:kern w:val="0"/>
                <w:szCs w:val="21"/>
              </w:rPr>
              <w:t>t/a、铝2</w:t>
            </w:r>
            <w:r>
              <w:rPr>
                <w:kern w:val="0"/>
                <w:szCs w:val="21"/>
              </w:rPr>
              <w:t>50</w:t>
            </w:r>
            <w:r>
              <w:rPr>
                <w:rFonts w:hint="eastAsia"/>
                <w:kern w:val="0"/>
                <w:szCs w:val="21"/>
              </w:rPr>
              <w:t>t/a、铁4</w:t>
            </w:r>
            <w:r>
              <w:rPr>
                <w:kern w:val="0"/>
                <w:szCs w:val="21"/>
              </w:rPr>
              <w:t>00</w:t>
            </w:r>
            <w:r>
              <w:rPr>
                <w:rFonts w:hint="eastAsia"/>
                <w:kern w:val="0"/>
                <w:szCs w:val="21"/>
              </w:rPr>
              <w:t>t/a、绝缘材料5</w:t>
            </w:r>
            <w:r>
              <w:rPr>
                <w:kern w:val="0"/>
                <w:szCs w:val="21"/>
              </w:rPr>
              <w:t>0</w:t>
            </w:r>
            <w:r>
              <w:rPr>
                <w:rFonts w:hint="eastAsia"/>
                <w:kern w:val="0"/>
                <w:szCs w:val="21"/>
              </w:rPr>
              <w:t>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.0116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.0006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.6522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0</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河南郑通钢结构有限公司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料槽、漏粪板等塑料制品9</w:t>
            </w:r>
            <w:r>
              <w:rPr>
                <w:szCs w:val="21"/>
              </w:rPr>
              <w:t>60</w:t>
            </w:r>
            <w:r>
              <w:rPr>
                <w:rFonts w:hint="eastAsia"/>
                <w:szCs w:val="21"/>
              </w:rPr>
              <w:t>t/a、标牌标识、广告展板等1</w:t>
            </w:r>
            <w:r>
              <w:rPr>
                <w:szCs w:val="21"/>
              </w:rPr>
              <w:t>00</w:t>
            </w:r>
            <w:r>
              <w:rPr>
                <w:rFonts w:hint="eastAsia"/>
                <w:szCs w:val="21"/>
              </w:rPr>
              <w:t>t/a、养殖定位栏、产床等5</w:t>
            </w:r>
            <w:r>
              <w:rPr>
                <w:szCs w:val="21"/>
              </w:rPr>
              <w:t>300</w:t>
            </w:r>
            <w:r>
              <w:rPr>
                <w:rFonts w:hint="eastAsia"/>
                <w:szCs w:val="21"/>
              </w:rPr>
              <w:t>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.055</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.8545</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.48</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.3471</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1113</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1</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河南阳光视线实业有限公司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免漆展示柜2</w:t>
            </w:r>
            <w:r>
              <w:rPr>
                <w:kern w:val="0"/>
                <w:szCs w:val="21"/>
              </w:rPr>
              <w:t>4000</w:t>
            </w:r>
            <w:r>
              <w:rPr>
                <w:rFonts w:hint="eastAsia"/>
                <w:kern w:val="0"/>
                <w:szCs w:val="21"/>
              </w:rPr>
              <w:t>米/年、喷漆展示柜6</w:t>
            </w:r>
            <w:r>
              <w:rPr>
                <w:kern w:val="0"/>
                <w:szCs w:val="21"/>
              </w:rPr>
              <w:t>000</w:t>
            </w:r>
            <w:r>
              <w:rPr>
                <w:rFonts w:hint="eastAsia"/>
                <w:kern w:val="0"/>
                <w:szCs w:val="21"/>
              </w:rPr>
              <w:t>米/年</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.0307</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.0015</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.0647</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.1558</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2</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河南爱邦科技有限公司原阳分公</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高温纳米陶瓷材1</w:t>
            </w:r>
            <w:r>
              <w:rPr>
                <w:kern w:val="0"/>
                <w:szCs w:val="21"/>
              </w:rPr>
              <w:t>0000</w:t>
            </w:r>
            <w:r>
              <w:rPr>
                <w:rFonts w:hint="eastAsia"/>
                <w:kern w:val="0"/>
                <w:szCs w:val="21"/>
              </w:rPr>
              <w:t>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.0072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.0004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.0767</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3</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新乡市添瑞食品有限公</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速冻饺子2</w:t>
            </w:r>
            <w:r>
              <w:rPr>
                <w:kern w:val="0"/>
                <w:szCs w:val="21"/>
              </w:rPr>
              <w:t>0000</w:t>
            </w:r>
            <w:r>
              <w:rPr>
                <w:rFonts w:hint="eastAsia"/>
                <w:kern w:val="0"/>
                <w:szCs w:val="21"/>
              </w:rPr>
              <w:t>t/a、速冻饭团8</w:t>
            </w:r>
            <w:r>
              <w:rPr>
                <w:kern w:val="0"/>
                <w:szCs w:val="21"/>
              </w:rPr>
              <w:t>000</w:t>
            </w:r>
            <w:r>
              <w:rPr>
                <w:rFonts w:hint="eastAsia"/>
                <w:kern w:val="0"/>
                <w:szCs w:val="21"/>
              </w:rPr>
              <w:t>t/a、速冻米汉堡2</w:t>
            </w:r>
            <w:r>
              <w:rPr>
                <w:kern w:val="0"/>
                <w:szCs w:val="21"/>
              </w:rPr>
              <w:t>000</w:t>
            </w:r>
            <w:r>
              <w:rPr>
                <w:rFonts w:hint="eastAsia"/>
                <w:kern w:val="0"/>
                <w:szCs w:val="21"/>
              </w:rPr>
              <w:t>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.2057</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.0103</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.0988</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.0036</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.2712</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4</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新乡市江河铜业有限公司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铜管3</w:t>
            </w:r>
            <w:r>
              <w:rPr>
                <w:kern w:val="0"/>
                <w:szCs w:val="21"/>
              </w:rPr>
              <w:t>000</w:t>
            </w:r>
            <w:r>
              <w:rPr>
                <w:rFonts w:hint="eastAsia"/>
                <w:kern w:val="0"/>
                <w:szCs w:val="21"/>
              </w:rPr>
              <w:t>t/a、铜排5</w:t>
            </w:r>
            <w:r>
              <w:rPr>
                <w:kern w:val="0"/>
                <w:szCs w:val="21"/>
              </w:rPr>
              <w:t>000</w:t>
            </w:r>
            <w:r>
              <w:rPr>
                <w:rFonts w:hint="eastAsia"/>
                <w:kern w:val="0"/>
                <w:szCs w:val="21"/>
              </w:rPr>
              <w:t>t/a、铜母线4</w:t>
            </w:r>
            <w:r>
              <w:rPr>
                <w:kern w:val="0"/>
                <w:szCs w:val="21"/>
              </w:rPr>
              <w:t>000</w:t>
            </w:r>
            <w:r>
              <w:rPr>
                <w:rFonts w:hint="eastAsia"/>
                <w:kern w:val="0"/>
                <w:szCs w:val="21"/>
              </w:rPr>
              <w:t>t/a、铝排3</w:t>
            </w:r>
            <w:r>
              <w:rPr>
                <w:kern w:val="0"/>
                <w:szCs w:val="21"/>
              </w:rPr>
              <w:t>000</w:t>
            </w:r>
            <w:r>
              <w:rPr>
                <w:rFonts w:hint="eastAsia"/>
                <w:kern w:val="0"/>
                <w:szCs w:val="21"/>
              </w:rPr>
              <w:t>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.0456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.0023</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.0128</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5</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河南七塔实业有限公司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粉状保温材料1</w:t>
            </w:r>
            <w:r>
              <w:rPr>
                <w:kern w:val="0"/>
                <w:szCs w:val="21"/>
              </w:rPr>
              <w:t>000</w:t>
            </w:r>
            <w:r>
              <w:rPr>
                <w:rFonts w:hint="eastAsia"/>
                <w:kern w:val="0"/>
                <w:szCs w:val="21"/>
              </w:rPr>
              <w:t>t/a、膏状保温材料4</w:t>
            </w:r>
            <w:r>
              <w:rPr>
                <w:kern w:val="0"/>
                <w:szCs w:val="21"/>
              </w:rPr>
              <w:t>000</w:t>
            </w:r>
            <w:r>
              <w:rPr>
                <w:rFonts w:hint="eastAsia"/>
                <w:kern w:val="0"/>
                <w:szCs w:val="21"/>
              </w:rPr>
              <w:t>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.0058</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.00028</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.0961</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6</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河南九天检测技术有限公</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.0227</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.0011</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.0015</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7</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河南泽之海电子科技有限公</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发射装置</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.0037</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.0002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.0254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.103</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8</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河南省正佳纸塑制品有限公司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纸杯1</w:t>
            </w:r>
            <w:r>
              <w:rPr>
                <w:kern w:val="0"/>
                <w:szCs w:val="21"/>
              </w:rPr>
              <w:t>100</w:t>
            </w:r>
            <w:r>
              <w:rPr>
                <w:rFonts w:hint="eastAsia"/>
                <w:kern w:val="0"/>
                <w:szCs w:val="21"/>
              </w:rPr>
              <w:t>t/a、纸盒2</w:t>
            </w:r>
            <w:r>
              <w:rPr>
                <w:kern w:val="0"/>
                <w:szCs w:val="21"/>
              </w:rPr>
              <w:t>40</w:t>
            </w:r>
            <w:r>
              <w:rPr>
                <w:rFonts w:hint="eastAsia"/>
                <w:kern w:val="0"/>
                <w:szCs w:val="21"/>
              </w:rPr>
              <w:t>t/a、纸袋1</w:t>
            </w:r>
            <w:r>
              <w:rPr>
                <w:kern w:val="0"/>
                <w:szCs w:val="21"/>
              </w:rPr>
              <w:t>300</w:t>
            </w:r>
            <w:r>
              <w:rPr>
                <w:rFonts w:hint="eastAsia"/>
                <w:kern w:val="0"/>
                <w:szCs w:val="21"/>
              </w:rPr>
              <w:t>t/a、吸管3</w:t>
            </w:r>
            <w:r>
              <w:rPr>
                <w:kern w:val="0"/>
                <w:szCs w:val="21"/>
              </w:rPr>
              <w:t>00</w:t>
            </w:r>
            <w:r>
              <w:rPr>
                <w:rFonts w:hint="eastAsia"/>
                <w:kern w:val="0"/>
                <w:szCs w:val="21"/>
              </w:rPr>
              <w:t>t/a、方纸巾6</w:t>
            </w:r>
            <w:r>
              <w:rPr>
                <w:kern w:val="0"/>
                <w:szCs w:val="21"/>
              </w:rPr>
              <w:t>0</w:t>
            </w:r>
            <w:r>
              <w:rPr>
                <w:rFonts w:hint="eastAsia"/>
                <w:kern w:val="0"/>
                <w:szCs w:val="21"/>
              </w:rPr>
              <w:t>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.0002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.036</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9</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河南顺发医疗器械有限公</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手动病床5万套/年、平型病床5万套/年、病人推车5万套/年、医用治疗车2</w:t>
            </w:r>
            <w:r>
              <w:rPr>
                <w:kern w:val="0"/>
                <w:szCs w:val="21"/>
              </w:rPr>
              <w:t>20</w:t>
            </w:r>
            <w:r>
              <w:rPr>
                <w:rFonts w:hint="eastAsia"/>
                <w:kern w:val="0"/>
                <w:szCs w:val="21"/>
              </w:rPr>
              <w:t>万套/年、医疗柜3</w:t>
            </w:r>
            <w:r>
              <w:rPr>
                <w:kern w:val="0"/>
                <w:szCs w:val="21"/>
              </w:rPr>
              <w:t>5</w:t>
            </w:r>
            <w:r>
              <w:rPr>
                <w:rFonts w:hint="eastAsia"/>
                <w:kern w:val="0"/>
                <w:szCs w:val="21"/>
              </w:rPr>
              <w:t>万套/年、床头柜3</w:t>
            </w:r>
            <w:r>
              <w:rPr>
                <w:kern w:val="0"/>
                <w:szCs w:val="21"/>
              </w:rPr>
              <w:t>0</w:t>
            </w:r>
            <w:r>
              <w:rPr>
                <w:rFonts w:hint="eastAsia"/>
                <w:kern w:val="0"/>
                <w:szCs w:val="21"/>
              </w:rPr>
              <w:t>万套/年</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.048</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.0024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.133</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.02</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.094</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.373</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0</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河南郑控电气有限公司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装配式建筑式建筑钢结构组1</w:t>
            </w:r>
            <w:r>
              <w:rPr>
                <w:kern w:val="0"/>
                <w:szCs w:val="21"/>
              </w:rPr>
              <w:t>000</w:t>
            </w:r>
            <w:r>
              <w:rPr>
                <w:rFonts w:hint="eastAsia"/>
                <w:kern w:val="0"/>
                <w:szCs w:val="21"/>
              </w:rPr>
              <w:t>t/a、装配墙体4万t/a、G</w:t>
            </w:r>
            <w:r>
              <w:rPr>
                <w:kern w:val="0"/>
                <w:szCs w:val="21"/>
              </w:rPr>
              <w:t>RC</w:t>
            </w:r>
            <w:r>
              <w:rPr>
                <w:rFonts w:hint="eastAsia"/>
                <w:kern w:val="0"/>
                <w:szCs w:val="21"/>
              </w:rPr>
              <w:t>板材1万t/a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.054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.0054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.29556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.72</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1</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河南奥尼斯特食品有限公司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生物酶1万t/a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.421</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.0238</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6</w:t>
            </w:r>
            <w:r>
              <w:rPr>
                <w:kern w:val="0"/>
                <w:szCs w:val="21"/>
              </w:rPr>
              <w:t>.5516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.2</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3</w:t>
            </w:r>
            <w:r>
              <w:rPr>
                <w:kern w:val="0"/>
                <w:szCs w:val="21"/>
              </w:rPr>
              <w:t>.3</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2</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河南小黄豆食品有限公</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豆腐1</w:t>
            </w:r>
            <w:r>
              <w:rPr>
                <w:kern w:val="0"/>
                <w:szCs w:val="21"/>
              </w:rPr>
              <w:t>000</w:t>
            </w:r>
            <w:r>
              <w:rPr>
                <w:rFonts w:hint="eastAsia"/>
                <w:kern w:val="0"/>
                <w:szCs w:val="21"/>
              </w:rPr>
              <w:t>t/a、豆皮1</w:t>
            </w:r>
            <w:r>
              <w:rPr>
                <w:kern w:val="0"/>
                <w:szCs w:val="21"/>
              </w:rPr>
              <w:t>000</w:t>
            </w:r>
            <w:r>
              <w:rPr>
                <w:rFonts w:hint="eastAsia"/>
                <w:kern w:val="0"/>
                <w:szCs w:val="21"/>
              </w:rPr>
              <w:t>t/a、豆干3</w:t>
            </w:r>
            <w:r>
              <w:rPr>
                <w:kern w:val="0"/>
                <w:szCs w:val="21"/>
              </w:rPr>
              <w:t>000</w:t>
            </w:r>
            <w:r>
              <w:rPr>
                <w:rFonts w:hint="eastAsia"/>
                <w:kern w:val="0"/>
                <w:szCs w:val="21"/>
              </w:rPr>
              <w:t>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3</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河南海光兰骏矿山技术有限公司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年产40台套煤矿井下大型原煤脱水系统，20台套智能化水仓清淤系</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.036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.0036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.5066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.202</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4</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河南宏晟新材料科技有限公司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年产3000吨PVC热缩膜</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.0084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.0008</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.396</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5</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河南玖亿星建材有限公司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木塑板5</w:t>
            </w:r>
            <w:r>
              <w:rPr>
                <w:kern w:val="0"/>
                <w:szCs w:val="21"/>
              </w:rPr>
              <w:t>7.6</w:t>
            </w:r>
            <w:r>
              <w:rPr>
                <w:rFonts w:hint="eastAsia"/>
                <w:kern w:val="0"/>
                <w:szCs w:val="21"/>
              </w:rPr>
              <w:t>万m</w:t>
            </w:r>
            <w:r>
              <w:rPr>
                <w:kern w:val="0"/>
                <w:szCs w:val="21"/>
                <w:vertAlign w:val="superscript"/>
              </w:rPr>
              <w:t>2</w:t>
            </w:r>
            <w:r>
              <w:rPr>
                <w:rFonts w:hint="eastAsia"/>
                <w:kern w:val="0"/>
                <w:szCs w:val="21"/>
              </w:rPr>
              <w:t>/年、贴面板2</w:t>
            </w:r>
            <w:r>
              <w:rPr>
                <w:kern w:val="0"/>
                <w:szCs w:val="21"/>
              </w:rPr>
              <w:t>4.19</w:t>
            </w:r>
            <w:r>
              <w:rPr>
                <w:rFonts w:hint="eastAsia"/>
                <w:kern w:val="0"/>
                <w:szCs w:val="21"/>
              </w:rPr>
              <w:t>万m</w:t>
            </w:r>
            <w:r>
              <w:rPr>
                <w:kern w:val="0"/>
                <w:szCs w:val="21"/>
                <w:vertAlign w:val="superscript"/>
              </w:rPr>
              <w:t>2</w:t>
            </w:r>
            <w:r>
              <w:rPr>
                <w:rFonts w:hint="eastAsia"/>
                <w:kern w:val="0"/>
                <w:szCs w:val="21"/>
              </w:rPr>
              <w:t>/年、木塑门1</w:t>
            </w:r>
            <w:r>
              <w:rPr>
                <w:kern w:val="0"/>
                <w:szCs w:val="21"/>
              </w:rPr>
              <w:t>2</w:t>
            </w:r>
            <w:r>
              <w:rPr>
                <w:rFonts w:hint="eastAsia"/>
                <w:kern w:val="0"/>
                <w:szCs w:val="21"/>
              </w:rPr>
              <w:t>万套/年、无漆门3万套/年、包覆线2</w:t>
            </w:r>
            <w:r>
              <w:rPr>
                <w:kern w:val="0"/>
                <w:szCs w:val="21"/>
              </w:rPr>
              <w:t>.66</w:t>
            </w:r>
            <w:r>
              <w:rPr>
                <w:rFonts w:hint="eastAsia"/>
                <w:kern w:val="0"/>
                <w:szCs w:val="21"/>
              </w:rPr>
              <w:t>万m</w:t>
            </w:r>
            <w:r>
              <w:rPr>
                <w:kern w:val="0"/>
                <w:szCs w:val="21"/>
                <w:vertAlign w:val="superscript"/>
              </w:rPr>
              <w:t>2</w:t>
            </w:r>
            <w:r>
              <w:rPr>
                <w:rFonts w:hint="eastAsia"/>
                <w:kern w:val="0"/>
                <w:szCs w:val="21"/>
              </w:rPr>
              <w:t>/年、护墙板1</w:t>
            </w:r>
            <w:r>
              <w:rPr>
                <w:kern w:val="0"/>
                <w:szCs w:val="21"/>
              </w:rPr>
              <w:t>5.96</w:t>
            </w:r>
            <w:r>
              <w:rPr>
                <w:rFonts w:hint="eastAsia"/>
                <w:kern w:val="0"/>
                <w:szCs w:val="21"/>
              </w:rPr>
              <w:t>万m</w:t>
            </w:r>
            <w:r>
              <w:rPr>
                <w:kern w:val="0"/>
                <w:szCs w:val="21"/>
                <w:vertAlign w:val="superscript"/>
              </w:rPr>
              <w:t>2</w:t>
            </w:r>
            <w:r>
              <w:rPr>
                <w:rFonts w:hint="eastAsia"/>
                <w:kern w:val="0"/>
                <w:szCs w:val="21"/>
              </w:rPr>
              <w:t>/年、</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.475</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.06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.512</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6</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河南现代建构科技有限公司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装配式PC预制构件2</w:t>
            </w:r>
            <w:r>
              <w:rPr>
                <w:kern w:val="0"/>
                <w:szCs w:val="21"/>
              </w:rPr>
              <w:t>0</w:t>
            </w:r>
            <w:r>
              <w:rPr>
                <w:rFonts w:hint="eastAsia"/>
                <w:kern w:val="0"/>
                <w:szCs w:val="21"/>
              </w:rPr>
              <w:t>万m</w:t>
            </w:r>
            <w:r>
              <w:rPr>
                <w:kern w:val="0"/>
                <w:szCs w:val="21"/>
                <w:vertAlign w:val="superscript"/>
              </w:rPr>
              <w:t>3</w:t>
            </w:r>
            <w:r>
              <w:rPr>
                <w:kern w:val="0"/>
                <w:szCs w:val="21"/>
              </w:rPr>
              <w:t>/a</w:t>
            </w:r>
            <w:r>
              <w:rPr>
                <w:rFonts w:hint="eastAsia"/>
                <w:kern w:val="0"/>
                <w:szCs w:val="21"/>
              </w:rPr>
              <w:t>、地铁管片1</w:t>
            </w:r>
            <w:r>
              <w:rPr>
                <w:kern w:val="0"/>
                <w:szCs w:val="21"/>
              </w:rPr>
              <w:t>.2</w:t>
            </w:r>
            <w:r>
              <w:rPr>
                <w:rFonts w:hint="eastAsia"/>
                <w:kern w:val="0"/>
                <w:szCs w:val="21"/>
              </w:rPr>
              <w:t>万环、市政涵管5万m</w:t>
            </w:r>
            <w:r>
              <w:rPr>
                <w:kern w:val="0"/>
                <w:szCs w:val="21"/>
                <w:vertAlign w:val="superscript"/>
              </w:rPr>
              <w:t>3</w:t>
            </w:r>
            <w:r>
              <w:rPr>
                <w:kern w:val="0"/>
                <w:szCs w:val="21"/>
              </w:rPr>
              <w:t>/a</w:t>
            </w:r>
            <w:r>
              <w:rPr>
                <w:rFonts w:hint="eastAsia"/>
                <w:kern w:val="0"/>
                <w:szCs w:val="21"/>
              </w:rPr>
              <w:t>、铝合金门窗3</w:t>
            </w:r>
            <w:r>
              <w:rPr>
                <w:kern w:val="0"/>
                <w:szCs w:val="21"/>
              </w:rPr>
              <w:t>0</w:t>
            </w:r>
            <w:r>
              <w:rPr>
                <w:rFonts w:hint="eastAsia"/>
                <w:kern w:val="0"/>
                <w:szCs w:val="21"/>
              </w:rPr>
              <w:t>万m</w:t>
            </w:r>
            <w:r>
              <w:rPr>
                <w:kern w:val="0"/>
                <w:szCs w:val="21"/>
                <w:vertAlign w:val="superscript"/>
              </w:rPr>
              <w:t>2</w:t>
            </w:r>
            <w:r>
              <w:rPr>
                <w:kern w:val="0"/>
                <w:szCs w:val="21"/>
              </w:rPr>
              <w: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.372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.037</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.7189</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.2961</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.8884</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.586</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7</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bCs/>
                <w:kern w:val="0"/>
                <w:szCs w:val="21"/>
              </w:rPr>
              <w:t>原阳县朗海新材料有限公司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城市地下综合管廊、砼构件1万m/a、干混砂浆5</w:t>
            </w:r>
            <w:r>
              <w:rPr>
                <w:kern w:val="0"/>
                <w:szCs w:val="21"/>
              </w:rPr>
              <w:t>0</w:t>
            </w:r>
            <w:r>
              <w:rPr>
                <w:rFonts w:hint="eastAsia"/>
                <w:kern w:val="0"/>
                <w:szCs w:val="21"/>
              </w:rPr>
              <w:t>万t/a、商砼3</w:t>
            </w:r>
            <w:r>
              <w:rPr>
                <w:kern w:val="0"/>
                <w:szCs w:val="21"/>
              </w:rPr>
              <w:t>0</w:t>
            </w:r>
            <w:r>
              <w:rPr>
                <w:rFonts w:hint="eastAsia"/>
                <w:kern w:val="0"/>
                <w:szCs w:val="21"/>
              </w:rPr>
              <w:t>万m</w:t>
            </w:r>
            <w:r>
              <w:rPr>
                <w:kern w:val="0"/>
                <w:szCs w:val="21"/>
                <w:vertAlign w:val="superscript"/>
              </w:rPr>
              <w:t>3</w:t>
            </w:r>
            <w:r>
              <w:rPr>
                <w:kern w:val="0"/>
                <w:szCs w:val="21"/>
              </w:rPr>
              <w: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.019</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.738</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8</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新乡市龙腾制冷高科技有限公司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年产500万台新型节能空调换热器</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kern w:val="0"/>
                <w:szCs w:val="21"/>
              </w:rPr>
              <w:t>3.6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.72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.097</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.162</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.097</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9</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湖南绝味食品股份有限公司(河南阿杰食品有限公司)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年卤制2500吨散装食品</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4</w:t>
            </w:r>
            <w:r>
              <w:rPr>
                <w:kern w:val="0"/>
                <w:szCs w:val="21"/>
              </w:rPr>
              <w:t>.6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.92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.086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.143</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.671</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3</w:t>
            </w:r>
            <w:r>
              <w:rPr>
                <w:kern w:val="0"/>
                <w:szCs w:val="21"/>
              </w:rPr>
              <w:t>0</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河南佳龙食品有限公司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年产2</w:t>
            </w:r>
            <w:r>
              <w:rPr>
                <w:kern w:val="0"/>
                <w:szCs w:val="21"/>
              </w:rPr>
              <w:t>0000</w:t>
            </w:r>
            <w:r>
              <w:rPr>
                <w:rFonts w:hint="eastAsia"/>
                <w:kern w:val="0"/>
                <w:szCs w:val="21"/>
              </w:rPr>
              <w:t>吨速冻食品</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3</w:t>
            </w:r>
            <w:r>
              <w:rPr>
                <w:kern w:val="0"/>
                <w:szCs w:val="21"/>
              </w:rPr>
              <w:t>.22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.644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.067</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.314</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3</w:t>
            </w:r>
            <w:r>
              <w:rPr>
                <w:kern w:val="0"/>
                <w:szCs w:val="21"/>
              </w:rPr>
              <w:t>1</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三元集团（新乡）乳业有限公司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液态奶1</w:t>
            </w:r>
            <w:r>
              <w:rPr>
                <w:kern w:val="0"/>
                <w:szCs w:val="21"/>
              </w:rPr>
              <w:t>2.5</w:t>
            </w:r>
            <w:r>
              <w:rPr>
                <w:rFonts w:hint="eastAsia"/>
                <w:kern w:val="0"/>
                <w:szCs w:val="21"/>
              </w:rPr>
              <w:t>万t/a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4</w:t>
            </w:r>
            <w:r>
              <w:rPr>
                <w:kern w:val="0"/>
                <w:szCs w:val="21"/>
              </w:rPr>
              <w:t>.8</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.344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.24</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0.478</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3</w:t>
            </w:r>
            <w:r>
              <w:rPr>
                <w:kern w:val="0"/>
                <w:szCs w:val="21"/>
              </w:rPr>
              <w:t>2</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河南餐饮中央厨房产业园（河南味德佳食品有限公司、河南荣达食品有限公司、河南须水邓记食品有限公司、河南钰晟永春食品有限公司等）</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3</w:t>
            </w:r>
            <w:r>
              <w:rPr>
                <w:kern w:val="0"/>
                <w:szCs w:val="21"/>
              </w:rPr>
              <w:t>2.3</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6</w:t>
            </w:r>
            <w:r>
              <w:rPr>
                <w:kern w:val="0"/>
                <w:szCs w:val="21"/>
              </w:rPr>
              <w:t>.46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.76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2</w:t>
            </w:r>
            <w:r>
              <w:rPr>
                <w:kern w:val="0"/>
                <w:szCs w:val="21"/>
              </w:rPr>
              <w:t>.3</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3</w:t>
            </w:r>
            <w:r>
              <w:rPr>
                <w:kern w:val="0"/>
                <w:szCs w:val="21"/>
              </w:rPr>
              <w:t>3</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原阳县城市供水有限公司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自来水生产、销售、服务</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.25</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.05</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3</w:t>
            </w:r>
            <w:r>
              <w:rPr>
                <w:kern w:val="0"/>
                <w:szCs w:val="21"/>
              </w:rPr>
              <w:t>4</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新乡市博元彩印包装有限公司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年产6</w:t>
            </w:r>
            <w:r>
              <w:rPr>
                <w:kern w:val="0"/>
                <w:szCs w:val="21"/>
              </w:rPr>
              <w:t>000</w:t>
            </w:r>
            <w:r>
              <w:rPr>
                <w:rFonts w:hint="eastAsia"/>
                <w:kern w:val="0"/>
                <w:szCs w:val="21"/>
              </w:rPr>
              <w:t>万包装箱</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.0034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.005</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.024</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3</w:t>
            </w:r>
            <w:r>
              <w:rPr>
                <w:kern w:val="0"/>
                <w:szCs w:val="21"/>
              </w:rPr>
              <w:t>5</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河南长兴精工科技有限公司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年产1</w:t>
            </w:r>
            <w:r>
              <w:rPr>
                <w:kern w:val="0"/>
                <w:szCs w:val="21"/>
              </w:rPr>
              <w:t>0</w:t>
            </w:r>
            <w:r>
              <w:rPr>
                <w:rFonts w:hint="eastAsia"/>
                <w:kern w:val="0"/>
                <w:szCs w:val="21"/>
              </w:rPr>
              <w:t>万吨装备钢结构</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3</w:t>
            </w:r>
            <w:r>
              <w:rPr>
                <w:kern w:val="0"/>
                <w:szCs w:val="21"/>
              </w:rPr>
              <w:t>6</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河南通威饲料有限公司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年产2</w:t>
            </w:r>
            <w:r>
              <w:rPr>
                <w:kern w:val="0"/>
                <w:szCs w:val="21"/>
              </w:rPr>
              <w:t>1</w:t>
            </w:r>
            <w:r>
              <w:rPr>
                <w:rFonts w:hint="eastAsia"/>
                <w:kern w:val="0"/>
                <w:szCs w:val="21"/>
              </w:rPr>
              <w:t>万吨饲料</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.04</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.196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.3276</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.532</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3</w:t>
            </w:r>
            <w:r>
              <w:rPr>
                <w:kern w:val="0"/>
                <w:szCs w:val="21"/>
              </w:rPr>
              <w:t>7</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河南省永威起重机有限公司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桥（门）式起重机零部件1</w:t>
            </w:r>
            <w:r>
              <w:rPr>
                <w:kern w:val="0"/>
                <w:szCs w:val="21"/>
              </w:rPr>
              <w:t>2</w:t>
            </w:r>
            <w:r>
              <w:rPr>
                <w:rFonts w:hint="eastAsia"/>
                <w:kern w:val="0"/>
                <w:szCs w:val="21"/>
              </w:rPr>
              <w:t>万吨/年</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.13</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.026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3</w:t>
            </w:r>
            <w:r>
              <w:rPr>
                <w:kern w:val="0"/>
                <w:szCs w:val="21"/>
              </w:rPr>
              <w:t>8</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河南宜可食品有限公司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低温肉制品9</w:t>
            </w:r>
            <w:r>
              <w:rPr>
                <w:kern w:val="0"/>
                <w:szCs w:val="21"/>
              </w:rPr>
              <w:t>000</w:t>
            </w:r>
            <w:r>
              <w:rPr>
                <w:rFonts w:hint="eastAsia"/>
                <w:kern w:val="0"/>
                <w:szCs w:val="21"/>
              </w:rPr>
              <w:t>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.3</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.26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.015</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.024</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.113</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3</w:t>
            </w:r>
            <w:r>
              <w:rPr>
                <w:kern w:val="0"/>
                <w:szCs w:val="21"/>
              </w:rPr>
              <w:t>9</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新乡市佐今明制药股份有限公司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固体制剂8</w:t>
            </w:r>
            <w:r>
              <w:rPr>
                <w:kern w:val="0"/>
                <w:szCs w:val="21"/>
              </w:rPr>
              <w:t>3</w:t>
            </w:r>
            <w:r>
              <w:rPr>
                <w:rFonts w:hint="eastAsia"/>
                <w:kern w:val="0"/>
                <w:szCs w:val="21"/>
              </w:rPr>
              <w:t>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.096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.019</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r>
        <w:tblPrEx>
          <w:tblCellMar>
            <w:top w:w="28" w:type="dxa"/>
            <w:left w:w="0" w:type="dxa"/>
            <w:bottom w:w="28" w:type="dxa"/>
            <w:right w:w="0" w:type="dxa"/>
          </w:tblCellMar>
        </w:tblPrEx>
        <w:trPr>
          <w:trHeight w:val="397" w:hRule="atLeast"/>
        </w:trPr>
        <w:tc>
          <w:tcPr>
            <w:tcW w:w="27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4</w:t>
            </w:r>
            <w:r>
              <w:rPr>
                <w:kern w:val="0"/>
                <w:szCs w:val="21"/>
              </w:rPr>
              <w:t>0</w:t>
            </w:r>
          </w:p>
        </w:tc>
        <w:tc>
          <w:tcPr>
            <w:tcW w:w="970"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新乡市和丝露饮品有限公司</w:t>
            </w:r>
          </w:p>
        </w:tc>
        <w:tc>
          <w:tcPr>
            <w:tcW w:w="149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rFonts w:hint="eastAsia"/>
                <w:kern w:val="0"/>
                <w:szCs w:val="21"/>
              </w:rPr>
              <w:t>苹果醋饮料1</w:t>
            </w:r>
            <w:r>
              <w:rPr>
                <w:kern w:val="0"/>
                <w:szCs w:val="21"/>
              </w:rPr>
              <w:t>0</w:t>
            </w:r>
            <w:r>
              <w:rPr>
                <w:rFonts w:hint="eastAsia"/>
                <w:kern w:val="0"/>
                <w:szCs w:val="21"/>
              </w:rPr>
              <w:t>万t/a</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1</w:t>
            </w:r>
            <w:r>
              <w:rPr>
                <w:kern w:val="0"/>
                <w:szCs w:val="21"/>
              </w:rPr>
              <w:t>.632</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.326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.086</w:t>
            </w:r>
          </w:p>
        </w:tc>
        <w:tc>
          <w:tcPr>
            <w:tcW w:w="39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.143</w:t>
            </w:r>
          </w:p>
        </w:tc>
        <w:tc>
          <w:tcPr>
            <w:tcW w:w="336"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0</w:t>
            </w:r>
            <w:r>
              <w:rPr>
                <w:kern w:val="0"/>
                <w:szCs w:val="21"/>
              </w:rPr>
              <w:t>.668</w:t>
            </w:r>
          </w:p>
        </w:tc>
        <w:tc>
          <w:tcPr>
            <w:tcW w:w="338" w:type="pct"/>
            <w:tcBorders>
              <w:top w:val="single" w:color="auto" w:sz="4" w:space="0"/>
              <w:left w:val="single" w:color="auto" w:sz="4" w:space="0"/>
              <w:bottom w:val="single" w:color="auto" w:sz="4" w:space="0"/>
              <w:right w:val="single" w:color="auto" w:sz="4" w:space="0"/>
            </w:tcBorders>
            <w:vAlign w:val="center"/>
          </w:tcPr>
          <w:p>
            <w:pPr>
              <w:widowControl/>
              <w:snapToGrid w:val="0"/>
              <w:jc w:val="center"/>
              <w:rPr>
                <w:kern w:val="0"/>
                <w:szCs w:val="21"/>
              </w:rPr>
            </w:pPr>
            <w:r>
              <w:rPr>
                <w:rFonts w:hint="eastAsia"/>
                <w:kern w:val="0"/>
                <w:szCs w:val="21"/>
              </w:rPr>
              <w:t>/</w:t>
            </w:r>
          </w:p>
        </w:tc>
      </w:tr>
    </w:tbl>
    <w:p>
      <w:pPr>
        <w:widowControl/>
        <w:spacing w:line="360" w:lineRule="auto"/>
        <w:ind w:right="280" w:firstLine="480" w:firstLineChars="200"/>
        <w:rPr>
          <w:sz w:val="24"/>
          <w:szCs w:val="24"/>
        </w:rPr>
      </w:pPr>
    </w:p>
    <w:p>
      <w:pPr>
        <w:widowControl/>
        <w:spacing w:line="360" w:lineRule="auto"/>
        <w:ind w:right="280" w:firstLine="480" w:firstLineChars="200"/>
        <w:rPr>
          <w:sz w:val="24"/>
          <w:szCs w:val="24"/>
        </w:rPr>
      </w:pPr>
    </w:p>
    <w:p>
      <w:pPr>
        <w:widowControl/>
        <w:spacing w:line="360" w:lineRule="auto"/>
        <w:ind w:right="280" w:firstLine="480" w:firstLineChars="200"/>
        <w:rPr>
          <w:sz w:val="24"/>
          <w:szCs w:val="24"/>
        </w:rPr>
      </w:pPr>
    </w:p>
    <w:p>
      <w:pPr>
        <w:pStyle w:val="89"/>
      </w:pPr>
    </w:p>
    <w:p>
      <w:pPr>
        <w:pStyle w:val="89"/>
      </w:pPr>
    </w:p>
    <w:p>
      <w:pPr>
        <w:pStyle w:val="89"/>
      </w:pPr>
    </w:p>
    <w:p>
      <w:pPr>
        <w:pStyle w:val="89"/>
      </w:pPr>
    </w:p>
    <w:p>
      <w:pPr>
        <w:pStyle w:val="89"/>
        <w:sectPr>
          <w:pgSz w:w="11907" w:h="16840"/>
          <w:pgMar w:top="1701" w:right="1588" w:bottom="1701" w:left="1588" w:header="851" w:footer="1134" w:gutter="0"/>
          <w:cols w:space="720" w:num="1"/>
        </w:sectPr>
      </w:pPr>
    </w:p>
    <w:p>
      <w:pPr>
        <w:keepNext/>
        <w:keepLines/>
        <w:tabs>
          <w:tab w:val="left" w:pos="1275"/>
        </w:tabs>
        <w:spacing w:before="120" w:beforeLines="50" w:after="120" w:afterLines="50" w:line="560" w:lineRule="exact"/>
        <w:jc w:val="center"/>
        <w:outlineLvl w:val="0"/>
        <w:rPr>
          <w:rFonts w:eastAsia="黑体"/>
          <w:color w:val="000000" w:themeColor="text1"/>
          <w:sz w:val="44"/>
          <w:szCs w:val="44"/>
          <w14:textFill>
            <w14:solidFill>
              <w14:schemeClr w14:val="tx1"/>
            </w14:solidFill>
          </w14:textFill>
        </w:rPr>
      </w:pPr>
      <w:bookmarkStart w:id="88" w:name="_Hlk133336345"/>
      <w:bookmarkEnd w:id="88"/>
      <w:bookmarkStart w:id="89" w:name="_Toc22589"/>
      <w:r>
        <w:rPr>
          <w:rFonts w:eastAsia="黑体"/>
          <w:bCs/>
          <w:color w:val="000000" w:themeColor="text1"/>
          <w:kern w:val="44"/>
          <w:sz w:val="44"/>
          <w:szCs w:val="44"/>
          <w14:textFill>
            <w14:solidFill>
              <w14:schemeClr w14:val="tx1"/>
            </w14:solidFill>
          </w14:textFill>
        </w:rPr>
        <w:t>第5章  环境影响预测与评价</w:t>
      </w:r>
      <w:bookmarkEnd w:id="89"/>
    </w:p>
    <w:p>
      <w:pPr>
        <w:spacing w:line="240" w:lineRule="exact"/>
        <w:jc w:val="center"/>
        <w:rPr>
          <w:color w:val="000000" w:themeColor="text1"/>
          <w:sz w:val="24"/>
          <w:szCs w:val="24"/>
          <w:lang w:val="zh-CN"/>
          <w14:textFill>
            <w14:solidFill>
              <w14:schemeClr w14:val="tx1"/>
            </w14:solidFill>
          </w14:textFill>
        </w:rPr>
      </w:pPr>
    </w:p>
    <w:p>
      <w:pPr>
        <w:pStyle w:val="547"/>
        <w:rPr>
          <w:color w:val="000000" w:themeColor="text1"/>
          <w14:textFill>
            <w14:solidFill>
              <w14:schemeClr w14:val="tx1"/>
            </w14:solidFill>
          </w14:textFill>
        </w:rPr>
      </w:pPr>
      <w:bookmarkStart w:id="90" w:name="_Toc4359365"/>
      <w:bookmarkStart w:id="91" w:name="_Toc75824208"/>
      <w:bookmarkStart w:id="92" w:name="_Toc25785"/>
      <w:r>
        <w:rPr>
          <w:rFonts w:hint="eastAsia"/>
          <w:color w:val="000000" w:themeColor="text1"/>
          <w14:textFill>
            <w14:solidFill>
              <w14:schemeClr w14:val="tx1"/>
            </w14:solidFill>
          </w14:textFill>
        </w:rPr>
        <w:t>5</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施工期环境影响评价</w:t>
      </w:r>
      <w:bookmarkEnd w:id="90"/>
      <w:bookmarkEnd w:id="91"/>
      <w:bookmarkEnd w:id="92"/>
    </w:p>
    <w:p>
      <w:pPr>
        <w:pStyle w:val="727"/>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施工期大气环境影响分析</w:t>
      </w:r>
    </w:p>
    <w:p>
      <w:pPr>
        <w:pStyle w:val="89"/>
      </w:pPr>
      <w:r>
        <w:rPr>
          <w:rFonts w:hint="eastAsia"/>
        </w:rPr>
        <w:t>施工期间，土建工程的施工产生的大气环境影响因素主要有：</w:t>
      </w:r>
    </w:p>
    <w:p>
      <w:pPr>
        <w:pStyle w:val="89"/>
      </w:pPr>
      <w:r>
        <w:rPr>
          <w:rFonts w:hint="eastAsia"/>
        </w:rPr>
        <w:t>（</w:t>
      </w:r>
      <w:r>
        <w:t>1</w:t>
      </w:r>
      <w:r>
        <w:rPr>
          <w:rFonts w:hint="eastAsia"/>
        </w:rPr>
        <w:t>）未及时清运的建筑垃圾，泥土挖掘、堆放和装卸以及建材倾倒、露天堆放，可能造成项目所在区域环境空气中悬浮物大量增多，若不合理控制，会对周边建筑物、道路和来往行人产生扬尘污染，甚至造成环境空气中颗粒物浓度超标情况。同时，当运输车辆进入建筑工地或其他车辆途经周边道路时，车辆行驶又会产生大量扬尘，使环境空气质量进一步恶化。另外，由于雨水冲刷和车辆碾压，道路泥泞不堪，车辆在这样的道路上行驶车轮沾满泥土，影响的城市道路范围将扩大。</w:t>
      </w:r>
    </w:p>
    <w:p>
      <w:pPr>
        <w:pStyle w:val="89"/>
      </w:pPr>
      <w:r>
        <w:rPr>
          <w:rFonts w:hint="eastAsia"/>
        </w:rPr>
        <w:t>（2）黄沙、水泥、石子、弃土等建材如存在超载运输或裸露运输等情况，也会对当地的环境空气产生污染，造成项目所在区域的TSP浓度升高。车行过程中上述建材随车颠簸，沿途洒落，有风时扬尘距离更广，影响沿途道路环境，甚至交通秩序，对城市环境空气中颗粒物浓度影响较大。</w:t>
      </w:r>
    </w:p>
    <w:p>
      <w:pPr>
        <w:pStyle w:val="89"/>
        <w:rPr>
          <w:rFonts w:ascii="Times New Roman" w:hAnsi="Times New Roman"/>
        </w:rPr>
      </w:pPr>
      <w:r>
        <w:rPr>
          <w:rFonts w:hint="eastAsia" w:ascii="Times New Roman" w:hAnsi="Times New Roman"/>
        </w:rPr>
        <w:t>（3）</w:t>
      </w:r>
      <w:r>
        <w:t>运输卡车、挖掘机、铲车、推土机等燃油施工机械在移动时会排放机动车尾气</w:t>
      </w:r>
      <w:r>
        <w:rPr>
          <w:rFonts w:hint="eastAsia" w:ascii="Times New Roman" w:hAnsi="Times New Roman"/>
        </w:rPr>
        <w:t>。</w:t>
      </w:r>
    </w:p>
    <w:p>
      <w:pPr>
        <w:pStyle w:val="460"/>
      </w:pPr>
      <w:r>
        <w:rPr>
          <w:rFonts w:hint="eastAsia"/>
        </w:rPr>
        <w:t>5.1.1.1</w:t>
      </w:r>
      <w:r>
        <w:rPr>
          <w:rFonts w:hint="eastAsia"/>
        </w:rPr>
        <w:tab/>
      </w:r>
      <w:r>
        <w:rPr>
          <w:rFonts w:hint="eastAsia"/>
        </w:rPr>
        <w:t>扬尘</w:t>
      </w:r>
    </w:p>
    <w:p>
      <w:pPr>
        <w:pStyle w:val="89"/>
      </w:pPr>
      <w:r>
        <w:rPr>
          <w:rFonts w:hint="eastAsia"/>
        </w:rPr>
        <w:t>据资料介绍，工地道路扬尘是建筑工地扬尘的主要来源，约占全部工地扬尘的60%左右。建筑工地扬尘对大气的影响范围主要在工地起尘点150m以内，被影响地区的颗粒物浓度平均值为0.49g/Nm</w:t>
      </w:r>
      <w:r>
        <w:rPr>
          <w:rFonts w:hint="eastAsia"/>
          <w:vertAlign w:val="superscript"/>
        </w:rPr>
        <w:t>3</w:t>
      </w:r>
      <w:r>
        <w:rPr>
          <w:rFonts w:hint="eastAsia"/>
        </w:rPr>
        <w:t>左右。由于距离不同，污染影响程度也有差异，扬尘点下风向0~50m为重污染带，50~100m为中污染带，100~200m为轻污染带，200m以外对大气影响甚微。经查阅资料，建筑施工扬尘现场环境监测结果见表</w:t>
      </w:r>
      <w:r>
        <w:t>5.1</w:t>
      </w:r>
      <w:r>
        <w:rPr>
          <w:rFonts w:hint="eastAsia"/>
        </w:rPr>
        <w:t>-1。</w:t>
      </w:r>
    </w:p>
    <w:p>
      <w:pPr>
        <w:pStyle w:val="89"/>
        <w:rPr>
          <w:highlight w:val="yellow"/>
        </w:rPr>
      </w:pPr>
    </w:p>
    <w:p>
      <w:pPr>
        <w:spacing w:line="520" w:lineRule="exact"/>
        <w:ind w:firstLine="482"/>
        <w:rPr>
          <w:rFonts w:eastAsia="黑体"/>
          <w:bCs/>
          <w:color w:val="000000" w:themeColor="text1"/>
          <w:sz w:val="24"/>
          <w:szCs w:val="24"/>
          <w14:textFill>
            <w14:solidFill>
              <w14:schemeClr w14:val="tx1"/>
            </w14:solidFill>
          </w14:textFill>
        </w:rPr>
      </w:pPr>
      <w:r>
        <w:rPr>
          <w:rFonts w:hint="eastAsia" w:eastAsia="黑体"/>
          <w:bCs/>
          <w:color w:val="000000" w:themeColor="text1"/>
          <w:sz w:val="24"/>
          <w:szCs w:val="24"/>
          <w14:textFill>
            <w14:solidFill>
              <w14:schemeClr w14:val="tx1"/>
            </w14:solidFill>
          </w14:textFill>
        </w:rPr>
        <w:t>表</w:t>
      </w:r>
      <w:r>
        <w:rPr>
          <w:rFonts w:eastAsia="黑体"/>
          <w:bCs/>
          <w:color w:val="000000" w:themeColor="text1"/>
          <w:sz w:val="24"/>
          <w:szCs w:val="24"/>
          <w14:textFill>
            <w14:solidFill>
              <w14:schemeClr w14:val="tx1"/>
            </w14:solidFill>
          </w14:textFill>
        </w:rPr>
        <w:t xml:space="preserve">5.1-1            </w:t>
      </w:r>
      <w:r>
        <w:rPr>
          <w:rFonts w:hint="eastAsia" w:eastAsia="黑体"/>
          <w:bCs/>
          <w:color w:val="000000" w:themeColor="text1"/>
          <w:sz w:val="24"/>
          <w:szCs w:val="24"/>
          <w14:textFill>
            <w14:solidFill>
              <w14:schemeClr w14:val="tx1"/>
            </w14:solidFill>
          </w14:textFill>
        </w:rPr>
        <w:t>施工场地扬尘污染情况</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85" w:type="dxa"/>
          <w:bottom w:w="85" w:type="dxa"/>
          <w:right w:w="85" w:type="dxa"/>
        </w:tblCellMar>
      </w:tblPr>
      <w:tblGrid>
        <w:gridCol w:w="2689"/>
        <w:gridCol w:w="1499"/>
        <w:gridCol w:w="1449"/>
        <w:gridCol w:w="1088"/>
        <w:gridCol w:w="1088"/>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c>
          <w:tcPr>
            <w:tcW w:w="1511"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序号</w:t>
            </w:r>
          </w:p>
        </w:tc>
        <w:tc>
          <w:tcPr>
            <w:tcW w:w="842"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工地厂界</w:t>
            </w:r>
          </w:p>
        </w:tc>
        <w:tc>
          <w:tcPr>
            <w:tcW w:w="814"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工地上风向</w:t>
            </w:r>
          </w:p>
        </w:tc>
        <w:tc>
          <w:tcPr>
            <w:tcW w:w="1833" w:type="pct"/>
            <w:gridSpan w:val="3"/>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工地下风向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b/>
                <w:color w:val="000000" w:themeColor="text1"/>
                <w14:textFill>
                  <w14:solidFill>
                    <w14:schemeClr w14:val="tx1"/>
                  </w14:solidFill>
                </w14:textFill>
              </w:rPr>
            </w:pPr>
          </w:p>
        </w:tc>
        <w:tc>
          <w:tcPr>
            <w:tcW w:w="84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b/>
                <w:color w:val="000000" w:themeColor="text1"/>
                <w14:textFill>
                  <w14:solidFill>
                    <w14:schemeClr w14:val="tx1"/>
                  </w14:solidFill>
                </w14:textFill>
              </w:rPr>
            </w:pPr>
          </w:p>
        </w:tc>
        <w:tc>
          <w:tcPr>
            <w:tcW w:w="814"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b/>
                <w:color w:val="000000" w:themeColor="text1"/>
                <w14:textFill>
                  <w14:solidFill>
                    <w14:schemeClr w14:val="tx1"/>
                  </w14:solidFill>
                </w14:textFill>
              </w:rPr>
            </w:pP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14:textFill>
                  <w14:solidFill>
                    <w14:schemeClr w14:val="tx1"/>
                  </w14:solidFill>
                </w14:textFill>
              </w:rPr>
            </w:pPr>
            <w:r>
              <w:rPr>
                <w:rFonts w:cs="宋体"/>
                <w:b/>
                <w:color w:val="000000" w:themeColor="text1"/>
                <w14:textFill>
                  <w14:solidFill>
                    <w14:schemeClr w14:val="tx1"/>
                  </w14:solidFill>
                </w14:textFill>
              </w:rPr>
              <w:t>50m</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14:textFill>
                  <w14:solidFill>
                    <w14:schemeClr w14:val="tx1"/>
                  </w14:solidFill>
                </w14:textFill>
              </w:rPr>
            </w:pPr>
            <w:r>
              <w:rPr>
                <w:rFonts w:cs="宋体"/>
                <w:b/>
                <w:color w:val="000000" w:themeColor="text1"/>
                <w14:textFill>
                  <w14:solidFill>
                    <w14:schemeClr w14:val="tx1"/>
                  </w14:solidFill>
                </w14:textFill>
              </w:rPr>
              <w:t>100m</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rFonts w:cs="宋体"/>
                <w:b/>
                <w:color w:val="000000" w:themeColor="text1"/>
                <w14:textFill>
                  <w14:solidFill>
                    <w14:schemeClr w14:val="tx1"/>
                  </w14:solidFill>
                </w14:textFill>
              </w:rPr>
            </w:pPr>
            <w:r>
              <w:rPr>
                <w:rFonts w:cs="宋体"/>
                <w:b/>
                <w:color w:val="000000" w:themeColor="text1"/>
                <w14:textFill>
                  <w14:solidFill>
                    <w14:schemeClr w14:val="tx1"/>
                  </w14:solidFill>
                </w14:textFill>
              </w:rPr>
              <w:t>150m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c>
          <w:tcPr>
            <w:tcW w:w="151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现场（</w:t>
            </w: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842"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614</w:t>
            </w:r>
          </w:p>
        </w:tc>
        <w:tc>
          <w:tcPr>
            <w:tcW w:w="814"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313</w:t>
            </w:r>
          </w:p>
        </w:tc>
        <w:tc>
          <w:tcPr>
            <w:tcW w:w="61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468</w:t>
            </w:r>
          </w:p>
        </w:tc>
        <w:tc>
          <w:tcPr>
            <w:tcW w:w="61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351</w:t>
            </w:r>
          </w:p>
        </w:tc>
        <w:tc>
          <w:tcPr>
            <w:tcW w:w="61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c>
          <w:tcPr>
            <w:tcW w:w="151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现场（</w:t>
            </w: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842"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506</w:t>
            </w:r>
          </w:p>
        </w:tc>
        <w:tc>
          <w:tcPr>
            <w:tcW w:w="814"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303</w:t>
            </w:r>
          </w:p>
        </w:tc>
        <w:tc>
          <w:tcPr>
            <w:tcW w:w="61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483</w:t>
            </w:r>
          </w:p>
        </w:tc>
        <w:tc>
          <w:tcPr>
            <w:tcW w:w="61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437</w:t>
            </w:r>
          </w:p>
        </w:tc>
        <w:tc>
          <w:tcPr>
            <w:tcW w:w="61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c>
          <w:tcPr>
            <w:tcW w:w="151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平均值（</w:t>
            </w: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842"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560</w:t>
            </w:r>
          </w:p>
        </w:tc>
        <w:tc>
          <w:tcPr>
            <w:tcW w:w="814"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307</w:t>
            </w:r>
          </w:p>
        </w:tc>
        <w:tc>
          <w:tcPr>
            <w:tcW w:w="61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466</w:t>
            </w:r>
          </w:p>
        </w:tc>
        <w:tc>
          <w:tcPr>
            <w:tcW w:w="61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394</w:t>
            </w:r>
          </w:p>
        </w:tc>
        <w:tc>
          <w:tcPr>
            <w:tcW w:w="611" w:type="pc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c>
          <w:tcPr>
            <w:tcW w:w="5000" w:type="pct"/>
            <w:gridSpan w:val="6"/>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备注：监测风速为</w:t>
            </w:r>
            <w:r>
              <w:rPr>
                <w:color w:val="000000" w:themeColor="text1"/>
                <w:szCs w:val="21"/>
                <w14:textFill>
                  <w14:solidFill>
                    <w14:schemeClr w14:val="tx1"/>
                  </w14:solidFill>
                </w14:textFill>
              </w:rPr>
              <w:t>2.5m/s</w:t>
            </w:r>
          </w:p>
        </w:tc>
      </w:tr>
    </w:tbl>
    <w:p>
      <w:pPr>
        <w:pStyle w:val="89"/>
      </w:pPr>
      <w:r>
        <w:rPr>
          <w:rFonts w:hint="eastAsia"/>
        </w:rPr>
        <w:t>由表</w:t>
      </w:r>
      <w:r>
        <w:t>5.1-1</w:t>
      </w:r>
      <w:r>
        <w:rPr>
          <w:rFonts w:hint="eastAsia"/>
        </w:rPr>
        <w:t>结果分析可以看出，施工期扬尘在风速</w:t>
      </w:r>
      <w:r>
        <w:t>2.5m/s</w:t>
      </w:r>
      <w:r>
        <w:rPr>
          <w:rFonts w:hint="eastAsia"/>
        </w:rPr>
        <w:t>的情况下，施工现场的扬尘浓度为上风向对照点的</w:t>
      </w:r>
      <w:r>
        <w:t>1.82</w:t>
      </w:r>
      <w:r>
        <w:rPr>
          <w:rFonts w:hint="eastAsia"/>
        </w:rPr>
        <w:t>倍；施工期扬尘对环境的影响随着下风向距离的增加而逐渐减少，距离施工场地</w:t>
      </w:r>
      <w:r>
        <w:t>150m</w:t>
      </w:r>
      <w:r>
        <w:rPr>
          <w:rFonts w:hint="eastAsia"/>
        </w:rPr>
        <w:t>范围内的环境敏感点受到不同程度的影响。评价要求企业施工期对施工场地进行围挡并设置喷雾装置，可大大减少施工扬尘的产生及扩散，采取措施后项目施工期不会对周围环境造成太大影响，同时施工期扬尘的影响将随着施工的结束而结束。</w:t>
      </w:r>
    </w:p>
    <w:p>
      <w:pPr>
        <w:pStyle w:val="460"/>
      </w:pPr>
      <w:r>
        <w:rPr>
          <w:rFonts w:hint="eastAsia"/>
        </w:rPr>
        <w:t>5</w:t>
      </w:r>
      <w:r>
        <w:t>.1.1.2</w:t>
      </w:r>
      <w:r>
        <w:rPr>
          <w:rFonts w:hint="eastAsia"/>
        </w:rPr>
        <w:t>施工机械、车辆尾气</w:t>
      </w:r>
    </w:p>
    <w:p>
      <w:pPr>
        <w:pStyle w:val="89"/>
      </w:pPr>
      <w:r>
        <w:rPr>
          <w:rFonts w:hint="eastAsia"/>
        </w:rPr>
        <w:t>施工机械、车辆尾气中主要污染物为</w:t>
      </w:r>
      <w:r>
        <w:t>NOx</w:t>
      </w:r>
      <w:r>
        <w:rPr>
          <w:rFonts w:hint="eastAsia"/>
        </w:rPr>
        <w:t>、</w:t>
      </w:r>
      <w:r>
        <w:t>CO</w:t>
      </w:r>
      <w:r>
        <w:rPr>
          <w:rFonts w:hint="eastAsia"/>
        </w:rPr>
        <w:t>等。这些酸性气体的排放将影响区域大气环境质量，增加酸雨发生的概率，并影响周围植物的生长。为了缓解项目施工尾气对环境空气质量的影响，有效控制施工机械、车辆尾气污染，评价建议：固定的机械设备、大型运输车辆、推土机等安装尾气净化器，并且严禁运输车辆超载，不得使用劣质燃料。</w:t>
      </w:r>
    </w:p>
    <w:p>
      <w:pPr>
        <w:pStyle w:val="727"/>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施工期废水环境影响分析</w:t>
      </w:r>
    </w:p>
    <w:p>
      <w:pPr>
        <w:pStyle w:val="89"/>
        <w:rPr>
          <w:lang w:val="zh-CN"/>
        </w:rPr>
      </w:pPr>
      <w:r>
        <w:rPr>
          <w:rFonts w:hint="eastAsia"/>
          <w:lang w:val="zh-CN"/>
        </w:rPr>
        <w:t>本项目施工期间产生的废水主要为施工废水和施工人员的生活污水。</w:t>
      </w:r>
    </w:p>
    <w:p>
      <w:pPr>
        <w:pStyle w:val="89"/>
        <w:rPr>
          <w:lang w:val="zh-CN"/>
        </w:rPr>
      </w:pPr>
      <w:r>
        <w:rPr>
          <w:rFonts w:hint="eastAsia"/>
          <w:lang w:val="zh-CN"/>
        </w:rPr>
        <w:t>施工期间生产用水主要为场地内洒水抑尘用水和水泥管道设置时混凝土养护用水、</w:t>
      </w:r>
      <w:r>
        <w:rPr>
          <w:szCs w:val="24"/>
        </w:rPr>
        <w:t>墙面的冲洗、构件与建筑材料的保湿</w:t>
      </w:r>
      <w:r>
        <w:rPr>
          <w:rFonts w:hint="eastAsia"/>
          <w:szCs w:val="24"/>
        </w:rPr>
        <w:t>用水</w:t>
      </w:r>
      <w:r>
        <w:rPr>
          <w:rFonts w:hint="eastAsia"/>
          <w:lang w:val="zh-CN"/>
        </w:rPr>
        <w:t>等。施工场地道路将采用硬化路面，场地四周将铺设排水沟管，修建临时沉淀池，</w:t>
      </w:r>
      <w:r>
        <w:rPr>
          <w:szCs w:val="24"/>
        </w:rPr>
        <w:t>施工废水经沉淀池处理后回用于施工现场，综合利用，不外排。</w:t>
      </w:r>
    </w:p>
    <w:p>
      <w:pPr>
        <w:pStyle w:val="89"/>
        <w:rPr>
          <w:rFonts w:hAnsi="Times New Roman"/>
          <w:highlight w:val="yellow"/>
          <w:lang w:val="zh-CN"/>
        </w:rPr>
      </w:pPr>
      <w:r>
        <w:rPr>
          <w:rFonts w:hint="eastAsia"/>
        </w:rPr>
        <w:t>施工场地产生的生活污水</w:t>
      </w:r>
      <w:r>
        <w:t>产生量为8</w:t>
      </w:r>
      <w:r>
        <w:rPr>
          <w:rFonts w:hAnsi="Times New Roman"/>
        </w:rPr>
        <w:t>m</w:t>
      </w:r>
      <w:r>
        <w:rPr>
          <w:rFonts w:hAnsi="Times New Roman"/>
          <w:vertAlign w:val="superscript"/>
        </w:rPr>
        <w:t>3</w:t>
      </w:r>
      <w:r>
        <w:rPr>
          <w:rFonts w:hAnsi="Times New Roman"/>
        </w:rPr>
        <w:t>/d</w:t>
      </w:r>
      <w:r>
        <w:rPr>
          <w:rFonts w:hint="eastAsia"/>
        </w:rPr>
        <w:t>，</w:t>
      </w:r>
      <w:r>
        <w:t>废水主要污染物为pH 6-9、COD 350mg/L、BOD 200mg/L、SS 200mg/L、氨氮25mg/L、总氮30mg/L、总磷2.5mg/L，经化粪池处理后水质为</w:t>
      </w:r>
      <w:r>
        <w:rPr>
          <w:rFonts w:hint="eastAsia"/>
        </w:rPr>
        <w:t>COD 250mg/L、BOD</w:t>
      </w:r>
      <w:r>
        <w:rPr>
          <w:rFonts w:hint="eastAsia"/>
          <w:vertAlign w:val="subscript"/>
        </w:rPr>
        <w:t>5</w:t>
      </w:r>
      <w:r>
        <w:rPr>
          <w:rFonts w:hint="eastAsia"/>
        </w:rPr>
        <w:t xml:space="preserve"> 120mg/L、SS 150mg/L、NH</w:t>
      </w:r>
      <w:r>
        <w:rPr>
          <w:rFonts w:hint="eastAsia"/>
          <w:vertAlign w:val="subscript"/>
        </w:rPr>
        <w:t>3</w:t>
      </w:r>
      <w:r>
        <w:rPr>
          <w:rFonts w:hint="eastAsia"/>
        </w:rPr>
        <w:t xml:space="preserve">-N 25mg/L、TN 30mg/L、TP </w:t>
      </w:r>
      <w:r>
        <w:t>2.5</w:t>
      </w:r>
      <w:r>
        <w:rPr>
          <w:rFonts w:hint="eastAsia"/>
        </w:rPr>
        <w:t>mg/L，施工生活污水经化粪池处理后定期清运，不外排</w:t>
      </w:r>
      <w:r>
        <w:t>。</w:t>
      </w:r>
    </w:p>
    <w:p>
      <w:pPr>
        <w:pStyle w:val="89"/>
        <w:rPr>
          <w:lang w:val="zh-CN"/>
        </w:rPr>
      </w:pPr>
      <w:r>
        <w:rPr>
          <w:rFonts w:hint="eastAsia"/>
          <w:lang w:val="zh-CN"/>
        </w:rPr>
        <w:t>因此，施工期产生的污水采取相应的措施后对周围环境影响较小。</w:t>
      </w:r>
    </w:p>
    <w:p>
      <w:pPr>
        <w:pStyle w:val="727"/>
        <w:rPr>
          <w:color w:val="000000" w:themeColor="text1"/>
          <w14:textFill>
            <w14:solidFill>
              <w14:schemeClr w14:val="tx1"/>
            </w14:solidFill>
          </w14:textFill>
        </w:rPr>
      </w:pPr>
      <w:r>
        <w:rPr>
          <w:rFonts w:hint="eastAsia"/>
          <w:color w:val="000000" w:themeColor="text1"/>
          <w14:textFill>
            <w14:solidFill>
              <w14:schemeClr w14:val="tx1"/>
            </w14:solidFill>
          </w14:textFill>
        </w:rPr>
        <w:t>5.1.</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施工期噪声环境影响分析</w:t>
      </w:r>
    </w:p>
    <w:p>
      <w:pPr>
        <w:pStyle w:val="89"/>
        <w:rPr>
          <w:highlight w:val="yellow"/>
        </w:rPr>
      </w:pPr>
      <w:r>
        <w:rPr>
          <w:rFonts w:hint="eastAsia"/>
        </w:rPr>
        <w:t>本工程施工期噪声主要为</w:t>
      </w:r>
      <w:r>
        <w:rPr>
          <w:szCs w:val="24"/>
        </w:rPr>
        <w:t>运输车辆和各种施工机械（如挖掘机、推土机、搅拌机等）产生的噪声</w:t>
      </w:r>
      <w:r>
        <w:rPr>
          <w:rFonts w:hint="eastAsia"/>
        </w:rPr>
        <w:t>。其中，对环境影响最大的是机械噪声，这些噪声的声功率级可高达</w:t>
      </w:r>
      <w:r>
        <w:t>72</w:t>
      </w:r>
      <w:r>
        <w:rPr>
          <w:rFonts w:hint="eastAsia"/>
        </w:rPr>
        <w:t>~</w:t>
      </w:r>
      <w:r>
        <w:t>110</w:t>
      </w:r>
      <w:r>
        <w:rPr>
          <w:rFonts w:hint="eastAsia"/>
        </w:rPr>
        <w:t>dB（A），这些突发性非稳态噪声源将对施工人员和周围居民产生不利影响。经查阅相关资料，通常70dB（A）以上高噪声机械设备的影响范围仅10~100m，本项目建设位置主要集中在项目厂区中部，通过距离衰减后四周厂界均能够达到《建筑施工场界环境噪声排放标准》（GB12523-2011）的要求。通过现场调查可知，距离工程最近的环境敏感点为厂区东侧的小庄村，距离较近，但工程不在夜间进行施工安装，对周边敏感点影响较小。</w:t>
      </w:r>
    </w:p>
    <w:p>
      <w:pPr>
        <w:pStyle w:val="89"/>
      </w:pPr>
      <w:r>
        <w:rPr>
          <w:rFonts w:hint="eastAsia"/>
        </w:rPr>
        <w:t>本工程施工时间较短，在施工机械、路线和时间安排上合理，采取减噪、隔声措施后，可最大程度降低对敏感目标的影响。</w:t>
      </w:r>
    </w:p>
    <w:p>
      <w:pPr>
        <w:pStyle w:val="727"/>
        <w:rPr>
          <w:color w:val="000000" w:themeColor="text1"/>
          <w14:textFill>
            <w14:solidFill>
              <w14:schemeClr w14:val="tx1"/>
            </w14:solidFill>
          </w14:textFill>
        </w:rPr>
      </w:pPr>
      <w:r>
        <w:rPr>
          <w:rFonts w:hint="eastAsia"/>
          <w:color w:val="000000" w:themeColor="text1"/>
          <w14:textFill>
            <w14:solidFill>
              <w14:schemeClr w14:val="tx1"/>
            </w14:solidFill>
          </w14:textFill>
        </w:rPr>
        <w:t>5.1.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施工期固体废物环境影响分析</w:t>
      </w:r>
    </w:p>
    <w:p>
      <w:pPr>
        <w:pStyle w:val="89"/>
        <w:rPr>
          <w:rFonts w:ascii="Times New Roman" w:hAnsi="Times New Roman"/>
        </w:rPr>
      </w:pPr>
      <w:r>
        <w:rPr>
          <w:rFonts w:hint="eastAsia" w:ascii="Times New Roman" w:hAnsi="Times New Roman"/>
        </w:rPr>
        <w:t>施工期产生的固体废物主要为：</w:t>
      </w:r>
      <w:r>
        <w:t>施工工程产生的建筑垃圾、施工人员产生的生活垃圾</w:t>
      </w:r>
      <w:r>
        <w:rPr>
          <w:rFonts w:hint="eastAsia" w:ascii="Times New Roman" w:hAnsi="Times New Roman"/>
        </w:rPr>
        <w:t>。</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（1）建筑垃圾：施工期建筑垃圾</w:t>
      </w:r>
      <w:r>
        <w:rPr>
          <w:color w:val="000000" w:themeColor="text1"/>
          <w:sz w:val="24"/>
          <w:szCs w:val="24"/>
          <w14:textFill>
            <w14:solidFill>
              <w14:schemeClr w14:val="tx1"/>
            </w14:solidFill>
          </w14:textFill>
        </w:rPr>
        <w:t>主要有开挖土地产生的土方、建材损耗产生的垃圾、装修产生的建筑垃圾。</w:t>
      </w:r>
      <w:r>
        <w:rPr>
          <w:rFonts w:hint="eastAsia"/>
          <w:color w:val="000000" w:themeColor="text1"/>
          <w:sz w:val="24"/>
          <w:szCs w:val="24"/>
          <w14:textFill>
            <w14:solidFill>
              <w14:schemeClr w14:val="tx1"/>
            </w14:solidFill>
          </w14:textFill>
        </w:rPr>
        <w:t>这些建筑垃圾主要包括多余泥土、混凝土、残砖断瓦、破残的瓷片、玻璃、钢筋头、金属碎片、塑料碎粒、抛弃在现场的破损工具、零件、容器甚至报废的机械、装修垃圾等。建筑垃圾若长期堆存，会产生大量扬尘，影响周围环境，建议</w:t>
      </w:r>
      <w:r>
        <w:rPr>
          <w:color w:val="000000" w:themeColor="text1"/>
          <w:sz w:val="24"/>
          <w:szCs w:val="24"/>
          <w14:textFill>
            <w14:solidFill>
              <w14:schemeClr w14:val="tx1"/>
            </w14:solidFill>
          </w14:textFill>
        </w:rPr>
        <w:t>施工方将建筑垃圾收集后堆放于指定地点，能进行回收利用的尽量回收利用，并及时运至专门的建筑垃圾堆放场。</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（2）生活垃圾：施工期产生的生活垃圾应集中堆放，</w:t>
      </w:r>
      <w:r>
        <w:rPr>
          <w:color w:val="000000" w:themeColor="text1"/>
          <w:sz w:val="24"/>
          <w:szCs w:val="24"/>
          <w14:textFill>
            <w14:solidFill>
              <w14:schemeClr w14:val="tx1"/>
            </w14:solidFill>
          </w14:textFill>
        </w:rPr>
        <w:t>及时送园区垃圾中转站，由环卫部门集中清运并合理处置。</w:t>
      </w:r>
    </w:p>
    <w:p>
      <w:pPr>
        <w:pStyle w:val="89"/>
      </w:pPr>
      <w:r>
        <w:rPr>
          <w:rFonts w:hint="eastAsia"/>
        </w:rPr>
        <w:t>综上所述，施工期固体废物均可以得到优先合理的处置，满足环保要求。</w:t>
      </w:r>
    </w:p>
    <w:p>
      <w:pPr>
        <w:pStyle w:val="727"/>
        <w:rPr>
          <w:color w:val="000000" w:themeColor="text1"/>
          <w14:textFill>
            <w14:solidFill>
              <w14:schemeClr w14:val="tx1"/>
            </w14:solidFill>
          </w14:textFill>
        </w:rPr>
      </w:pPr>
      <w:r>
        <w:rPr>
          <w:color w:val="000000" w:themeColor="text1"/>
          <w14:textFill>
            <w14:solidFill>
              <w14:schemeClr w14:val="tx1"/>
            </w14:solidFill>
          </w14:textFill>
        </w:rPr>
        <w:t xml:space="preserve">5.1.5 </w:t>
      </w:r>
      <w:r>
        <w:rPr>
          <w:rFonts w:hint="eastAsia"/>
          <w:color w:val="000000" w:themeColor="text1"/>
          <w14:textFill>
            <w14:solidFill>
              <w14:schemeClr w14:val="tx1"/>
            </w14:solidFill>
          </w14:textFill>
        </w:rPr>
        <w:t>施工期生态环境影响分析</w:t>
      </w:r>
    </w:p>
    <w:p>
      <w:pPr>
        <w:pStyle w:val="89"/>
      </w:pPr>
      <w:r>
        <w:rPr>
          <w:rFonts w:hint="eastAsia"/>
        </w:rPr>
        <w:t>在项目建设阶段，施工活动对厂址地区环境生态的不利影响在生物多样性、土地利用、水土流失、植被覆盖率、土地生产力等多个方面均有体现，本项目厂址地表基本无原生植被，区域生态系统敏感程度较低，且项目实施对生态环境的影响仅局限在一定范围内，所以项目的建设对区域生态结构的影响较小。</w:t>
      </w:r>
    </w:p>
    <w:p>
      <w:pPr>
        <w:pStyle w:val="727"/>
        <w:rPr>
          <w:color w:val="000000" w:themeColor="text1"/>
          <w14:textFill>
            <w14:solidFill>
              <w14:schemeClr w14:val="tx1"/>
            </w14:solidFill>
          </w14:textFill>
        </w:rPr>
      </w:pPr>
      <w:r>
        <w:rPr>
          <w:rFonts w:hint="eastAsia"/>
          <w:color w:val="000000" w:themeColor="text1"/>
          <w14:textFill>
            <w14:solidFill>
              <w14:schemeClr w14:val="tx1"/>
            </w14:solidFill>
          </w14:textFill>
        </w:rPr>
        <w:t>5.1.</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施工期环境影响结论</w:t>
      </w:r>
    </w:p>
    <w:p>
      <w:pPr>
        <w:pStyle w:val="89"/>
      </w:pPr>
      <w:r>
        <w:rPr>
          <w:rFonts w:hint="eastAsia"/>
        </w:rPr>
        <w:t>施工期产生的废气、废水、固体废物以及噪声等会对周边环境产生不利影响，但是本项目施工期时间较短，施工结束后各类影响随即消失，因此项目施工对周边环境不会造成较大影响，影响可以接受。</w:t>
      </w:r>
    </w:p>
    <w:p>
      <w:pPr>
        <w:pStyle w:val="547"/>
        <w:rPr>
          <w:color w:val="000000" w:themeColor="text1"/>
          <w14:textFill>
            <w14:solidFill>
              <w14:schemeClr w14:val="tx1"/>
            </w14:solidFill>
          </w14:textFill>
        </w:rPr>
      </w:pPr>
      <w:bookmarkStart w:id="93" w:name="_Toc3905"/>
      <w:r>
        <w:rPr>
          <w:color w:val="000000" w:themeColor="text1"/>
          <w14:textFill>
            <w14:solidFill>
              <w14:schemeClr w14:val="tx1"/>
            </w14:solidFill>
          </w14:textFill>
        </w:rPr>
        <w:t>5.2 环境空气质量影响预测与评价</w:t>
      </w:r>
      <w:bookmarkEnd w:id="93"/>
    </w:p>
    <w:p>
      <w:pPr>
        <w:pStyle w:val="89"/>
      </w:pPr>
      <w:r>
        <w:t>本次环境空气质量影响预测采用的气象观测资料、地面逐时气象数据、高空模拟气象数据、环境空气质量逐日数据均采购于“环境空气质量模型技术支持服务系统”。</w:t>
      </w:r>
    </w:p>
    <w:p>
      <w:pPr>
        <w:pStyle w:val="727"/>
        <w:rPr>
          <w:color w:val="000000" w:themeColor="text1"/>
          <w14:textFill>
            <w14:solidFill>
              <w14:schemeClr w14:val="tx1"/>
            </w14:solidFill>
          </w14:textFill>
        </w:rPr>
      </w:pPr>
      <w:bookmarkStart w:id="94" w:name="_Toc511983168"/>
      <w:bookmarkStart w:id="95" w:name="_Toc525977831"/>
      <w:bookmarkStart w:id="96" w:name="_Toc304300430"/>
      <w:bookmarkStart w:id="97" w:name="_Toc302145935"/>
      <w:bookmarkStart w:id="98" w:name="_Toc324839613"/>
      <w:bookmarkStart w:id="99" w:name="_Toc22179"/>
      <w:bookmarkStart w:id="100" w:name="_Toc324839316"/>
      <w:bookmarkStart w:id="101" w:name="_Toc300681306"/>
      <w:r>
        <w:rPr>
          <w:color w:val="000000" w:themeColor="text1"/>
          <w14:textFill>
            <w14:solidFill>
              <w14:schemeClr w14:val="tx1"/>
            </w14:solidFill>
          </w14:textFill>
        </w:rPr>
        <w:t>5.2.1气象观测资料统计</w:t>
      </w:r>
      <w:bookmarkEnd w:id="94"/>
      <w:bookmarkEnd w:id="95"/>
    </w:p>
    <w:bookmarkEnd w:id="96"/>
    <w:bookmarkEnd w:id="97"/>
    <w:bookmarkEnd w:id="98"/>
    <w:bookmarkEnd w:id="99"/>
    <w:bookmarkEnd w:id="100"/>
    <w:bookmarkEnd w:id="101"/>
    <w:p>
      <w:pPr>
        <w:pStyle w:val="460"/>
      </w:pPr>
      <w:r>
        <w:t>5.2.1.1资料来源</w:t>
      </w:r>
    </w:p>
    <w:p>
      <w:pPr>
        <w:pStyle w:val="89"/>
      </w:pPr>
      <w:r>
        <w:t>气象概况项目采用的是新乡气象站（53986）资料，气象站位于河南省新乡市，地理坐标为东经113.912度，北纬35.3219度，海拔高度73.2米。新乡气象站距项目30.5km，是距项目最近的国家气象站，与本项目所在区域地理特征基本一致，可以直接使用。</w:t>
      </w:r>
    </w:p>
    <w:p>
      <w:pPr>
        <w:spacing w:before="3" w:line="220" w:lineRule="auto"/>
        <w:ind w:firstLine="480"/>
        <w:rPr>
          <w:rFonts w:eastAsia="黑体"/>
          <w:bCs/>
          <w:szCs w:val="24"/>
        </w:rPr>
      </w:pPr>
      <w:r>
        <w:rPr>
          <w:rFonts w:eastAsia="黑体"/>
          <w:bCs/>
          <w:szCs w:val="24"/>
        </w:rPr>
        <w:t>表5.2-1              观测气象数据信息</w:t>
      </w:r>
    </w:p>
    <w:p>
      <w:pPr>
        <w:spacing w:line="14" w:lineRule="exact"/>
        <w:ind w:firstLine="480"/>
      </w:pPr>
    </w:p>
    <w:tbl>
      <w:tblPr>
        <w:tblStyle w:val="452"/>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4"/>
        <w:gridCol w:w="974"/>
        <w:gridCol w:w="974"/>
        <w:gridCol w:w="1100"/>
        <w:gridCol w:w="990"/>
        <w:gridCol w:w="837"/>
        <w:gridCol w:w="838"/>
        <w:gridCol w:w="696"/>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97" w:type="dxa"/>
            <w:vMerge w:val="restart"/>
            <w:vAlign w:val="center"/>
          </w:tcPr>
          <w:p>
            <w:pPr>
              <w:autoSpaceDE w:val="0"/>
              <w:autoSpaceDN w:val="0"/>
              <w:contextualSpacing/>
              <w:jc w:val="center"/>
              <w:rPr>
                <w:rFonts w:ascii="Calibri" w:hAnsi="Calibri"/>
                <w:b/>
                <w:bCs/>
                <w:szCs w:val="21"/>
                <w:lang w:eastAsia="en-US"/>
              </w:rPr>
            </w:pPr>
            <w:r>
              <w:rPr>
                <w:rFonts w:ascii="Calibri" w:hAnsi="Calibri"/>
                <w:b/>
                <w:bCs/>
                <w:szCs w:val="21"/>
                <w:lang w:eastAsia="en-US"/>
              </w:rPr>
              <w:t>气象站 名称</w:t>
            </w:r>
          </w:p>
        </w:tc>
        <w:tc>
          <w:tcPr>
            <w:tcW w:w="914" w:type="dxa"/>
            <w:vMerge w:val="restart"/>
            <w:vAlign w:val="center"/>
          </w:tcPr>
          <w:p>
            <w:pPr>
              <w:autoSpaceDE w:val="0"/>
              <w:autoSpaceDN w:val="0"/>
              <w:contextualSpacing/>
              <w:jc w:val="center"/>
              <w:rPr>
                <w:rFonts w:ascii="Calibri" w:hAnsi="Calibri"/>
                <w:b/>
                <w:bCs/>
                <w:szCs w:val="21"/>
                <w:lang w:eastAsia="en-US"/>
              </w:rPr>
            </w:pPr>
            <w:r>
              <w:rPr>
                <w:rFonts w:ascii="Calibri" w:hAnsi="Calibri"/>
                <w:b/>
                <w:bCs/>
                <w:szCs w:val="21"/>
                <w:lang w:eastAsia="en-US"/>
              </w:rPr>
              <w:t>气象站编号</w:t>
            </w:r>
          </w:p>
        </w:tc>
        <w:tc>
          <w:tcPr>
            <w:tcW w:w="914" w:type="dxa"/>
            <w:vMerge w:val="restart"/>
            <w:vAlign w:val="center"/>
          </w:tcPr>
          <w:p>
            <w:pPr>
              <w:autoSpaceDE w:val="0"/>
              <w:autoSpaceDN w:val="0"/>
              <w:contextualSpacing/>
              <w:jc w:val="center"/>
              <w:rPr>
                <w:rFonts w:ascii="Calibri" w:hAnsi="Calibri"/>
                <w:b/>
                <w:bCs/>
                <w:szCs w:val="21"/>
                <w:lang w:eastAsia="en-US"/>
              </w:rPr>
            </w:pPr>
            <w:r>
              <w:rPr>
                <w:rFonts w:ascii="Calibri" w:hAnsi="Calibri"/>
                <w:b/>
                <w:bCs/>
                <w:szCs w:val="21"/>
                <w:lang w:eastAsia="en-US"/>
              </w:rPr>
              <w:t>气象站等级</w:t>
            </w:r>
          </w:p>
        </w:tc>
        <w:tc>
          <w:tcPr>
            <w:tcW w:w="1962" w:type="dxa"/>
            <w:gridSpan w:val="2"/>
            <w:vAlign w:val="center"/>
          </w:tcPr>
          <w:p>
            <w:pPr>
              <w:autoSpaceDE w:val="0"/>
              <w:autoSpaceDN w:val="0"/>
              <w:contextualSpacing/>
              <w:jc w:val="center"/>
              <w:rPr>
                <w:rFonts w:ascii="Calibri" w:hAnsi="Calibri"/>
                <w:b/>
                <w:bCs/>
                <w:szCs w:val="21"/>
                <w:lang w:eastAsia="en-US"/>
              </w:rPr>
            </w:pPr>
            <w:r>
              <w:rPr>
                <w:rFonts w:ascii="Calibri" w:hAnsi="Calibri"/>
                <w:b/>
                <w:bCs/>
                <w:szCs w:val="21"/>
                <w:lang w:eastAsia="en-US"/>
              </w:rPr>
              <w:t>气象站坐标</w:t>
            </w:r>
          </w:p>
        </w:tc>
        <w:tc>
          <w:tcPr>
            <w:tcW w:w="786" w:type="dxa"/>
            <w:vMerge w:val="restart"/>
            <w:vAlign w:val="center"/>
          </w:tcPr>
          <w:p>
            <w:pPr>
              <w:autoSpaceDE w:val="0"/>
              <w:autoSpaceDN w:val="0"/>
              <w:contextualSpacing/>
              <w:jc w:val="center"/>
              <w:rPr>
                <w:rFonts w:ascii="Calibri" w:hAnsi="Calibri"/>
                <w:b/>
                <w:bCs/>
                <w:szCs w:val="21"/>
                <w:lang w:eastAsia="en-US"/>
              </w:rPr>
            </w:pPr>
            <w:r>
              <w:rPr>
                <w:rFonts w:ascii="Calibri" w:hAnsi="Calibri"/>
                <w:b/>
                <w:bCs/>
                <w:szCs w:val="21"/>
                <w:lang w:eastAsia="en-US"/>
              </w:rPr>
              <w:t>相对距 离/km</w:t>
            </w:r>
          </w:p>
        </w:tc>
        <w:tc>
          <w:tcPr>
            <w:tcW w:w="787" w:type="dxa"/>
            <w:vMerge w:val="restart"/>
            <w:vAlign w:val="center"/>
          </w:tcPr>
          <w:p>
            <w:pPr>
              <w:autoSpaceDE w:val="0"/>
              <w:autoSpaceDN w:val="0"/>
              <w:contextualSpacing/>
              <w:jc w:val="center"/>
              <w:rPr>
                <w:rFonts w:ascii="Calibri" w:hAnsi="Calibri"/>
                <w:b/>
                <w:bCs/>
                <w:szCs w:val="21"/>
                <w:lang w:eastAsia="en-US"/>
              </w:rPr>
            </w:pPr>
            <w:r>
              <w:rPr>
                <w:rFonts w:ascii="Calibri" w:hAnsi="Calibri"/>
                <w:b/>
                <w:bCs/>
                <w:szCs w:val="21"/>
                <w:lang w:eastAsia="en-US"/>
              </w:rPr>
              <w:t>海拔高 度/m</w:t>
            </w:r>
          </w:p>
        </w:tc>
        <w:tc>
          <w:tcPr>
            <w:tcW w:w="653" w:type="dxa"/>
            <w:vMerge w:val="restart"/>
            <w:vAlign w:val="center"/>
          </w:tcPr>
          <w:p>
            <w:pPr>
              <w:autoSpaceDE w:val="0"/>
              <w:autoSpaceDN w:val="0"/>
              <w:contextualSpacing/>
              <w:jc w:val="center"/>
              <w:rPr>
                <w:rFonts w:ascii="Calibri" w:hAnsi="Calibri"/>
                <w:b/>
                <w:bCs/>
                <w:szCs w:val="21"/>
                <w:lang w:eastAsia="en-US"/>
              </w:rPr>
            </w:pPr>
            <w:r>
              <w:rPr>
                <w:rFonts w:ascii="Calibri" w:hAnsi="Calibri"/>
                <w:b/>
                <w:bCs/>
                <w:szCs w:val="21"/>
                <w:lang w:eastAsia="en-US"/>
              </w:rPr>
              <w:t>数据</w:t>
            </w:r>
          </w:p>
          <w:p>
            <w:pPr>
              <w:autoSpaceDE w:val="0"/>
              <w:autoSpaceDN w:val="0"/>
              <w:contextualSpacing/>
              <w:jc w:val="center"/>
              <w:rPr>
                <w:rFonts w:ascii="Calibri" w:hAnsi="Calibri"/>
                <w:b/>
                <w:bCs/>
                <w:szCs w:val="21"/>
                <w:lang w:eastAsia="en-US"/>
              </w:rPr>
            </w:pPr>
            <w:r>
              <w:rPr>
                <w:rFonts w:ascii="Calibri" w:hAnsi="Calibri"/>
                <w:b/>
                <w:bCs/>
                <w:szCs w:val="21"/>
                <w:lang w:eastAsia="en-US"/>
              </w:rPr>
              <w:t>年份</w:t>
            </w:r>
          </w:p>
        </w:tc>
        <w:tc>
          <w:tcPr>
            <w:tcW w:w="1403" w:type="dxa"/>
            <w:vMerge w:val="restart"/>
            <w:vAlign w:val="center"/>
          </w:tcPr>
          <w:p>
            <w:pPr>
              <w:autoSpaceDE w:val="0"/>
              <w:autoSpaceDN w:val="0"/>
              <w:contextualSpacing/>
              <w:jc w:val="center"/>
              <w:rPr>
                <w:rFonts w:ascii="Calibri" w:hAnsi="Calibri"/>
                <w:b/>
                <w:bCs/>
                <w:szCs w:val="21"/>
                <w:lang w:eastAsia="en-US"/>
              </w:rPr>
            </w:pPr>
            <w:r>
              <w:rPr>
                <w:rFonts w:ascii="Calibri" w:hAnsi="Calibri"/>
                <w:b/>
                <w:bCs/>
                <w:szCs w:val="21"/>
                <w:lang w:eastAsia="en-US"/>
              </w:rPr>
              <w:t>气象要素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97" w:type="dxa"/>
            <w:vMerge w:val="continue"/>
            <w:vAlign w:val="center"/>
          </w:tcPr>
          <w:p>
            <w:pPr>
              <w:autoSpaceDE w:val="0"/>
              <w:autoSpaceDN w:val="0"/>
              <w:contextualSpacing/>
              <w:jc w:val="center"/>
              <w:rPr>
                <w:rFonts w:ascii="Calibri" w:hAnsi="Calibri"/>
                <w:szCs w:val="21"/>
                <w:lang w:eastAsia="en-US"/>
              </w:rPr>
            </w:pPr>
          </w:p>
        </w:tc>
        <w:tc>
          <w:tcPr>
            <w:tcW w:w="914" w:type="dxa"/>
            <w:vMerge w:val="continue"/>
            <w:vAlign w:val="center"/>
          </w:tcPr>
          <w:p>
            <w:pPr>
              <w:autoSpaceDE w:val="0"/>
              <w:autoSpaceDN w:val="0"/>
              <w:contextualSpacing/>
              <w:jc w:val="center"/>
              <w:rPr>
                <w:rFonts w:ascii="Calibri" w:hAnsi="Calibri"/>
                <w:szCs w:val="21"/>
                <w:lang w:eastAsia="en-US"/>
              </w:rPr>
            </w:pPr>
          </w:p>
        </w:tc>
        <w:tc>
          <w:tcPr>
            <w:tcW w:w="914" w:type="dxa"/>
            <w:vMerge w:val="continue"/>
            <w:vAlign w:val="center"/>
          </w:tcPr>
          <w:p>
            <w:pPr>
              <w:autoSpaceDE w:val="0"/>
              <w:autoSpaceDN w:val="0"/>
              <w:contextualSpacing/>
              <w:jc w:val="center"/>
              <w:rPr>
                <w:rFonts w:ascii="Calibri" w:hAnsi="Calibri"/>
                <w:szCs w:val="21"/>
                <w:lang w:eastAsia="en-US"/>
              </w:rPr>
            </w:pPr>
          </w:p>
        </w:tc>
        <w:tc>
          <w:tcPr>
            <w:tcW w:w="1032" w:type="dxa"/>
            <w:vAlign w:val="center"/>
          </w:tcPr>
          <w:p>
            <w:pPr>
              <w:autoSpaceDE w:val="0"/>
              <w:autoSpaceDN w:val="0"/>
              <w:contextualSpacing/>
              <w:jc w:val="center"/>
              <w:rPr>
                <w:rFonts w:ascii="Calibri" w:hAnsi="Calibri"/>
                <w:b/>
                <w:bCs/>
                <w:szCs w:val="21"/>
                <w:lang w:eastAsia="en-US"/>
              </w:rPr>
            </w:pPr>
            <w:r>
              <w:rPr>
                <w:rFonts w:ascii="Calibri" w:hAnsi="Calibri"/>
                <w:b/>
                <w:bCs/>
                <w:szCs w:val="21"/>
                <w:lang w:eastAsia="en-US"/>
              </w:rPr>
              <w:t>经度(°)</w:t>
            </w:r>
          </w:p>
        </w:tc>
        <w:tc>
          <w:tcPr>
            <w:tcW w:w="930" w:type="dxa"/>
            <w:vAlign w:val="center"/>
          </w:tcPr>
          <w:p>
            <w:pPr>
              <w:autoSpaceDE w:val="0"/>
              <w:autoSpaceDN w:val="0"/>
              <w:contextualSpacing/>
              <w:jc w:val="center"/>
              <w:rPr>
                <w:rFonts w:ascii="Calibri" w:hAnsi="Calibri"/>
                <w:b/>
                <w:bCs/>
                <w:szCs w:val="21"/>
                <w:lang w:eastAsia="en-US"/>
              </w:rPr>
            </w:pPr>
            <w:r>
              <w:rPr>
                <w:rFonts w:ascii="Calibri" w:hAnsi="Calibri"/>
                <w:b/>
                <w:bCs/>
                <w:szCs w:val="21"/>
                <w:lang w:eastAsia="en-US"/>
              </w:rPr>
              <w:t>纬度(°)</w:t>
            </w:r>
          </w:p>
        </w:tc>
        <w:tc>
          <w:tcPr>
            <w:tcW w:w="786" w:type="dxa"/>
            <w:vMerge w:val="continue"/>
            <w:vAlign w:val="center"/>
          </w:tcPr>
          <w:p>
            <w:pPr>
              <w:autoSpaceDE w:val="0"/>
              <w:autoSpaceDN w:val="0"/>
              <w:contextualSpacing/>
              <w:jc w:val="center"/>
              <w:rPr>
                <w:rFonts w:ascii="Calibri" w:hAnsi="Calibri"/>
                <w:szCs w:val="21"/>
                <w:lang w:eastAsia="en-US"/>
              </w:rPr>
            </w:pPr>
          </w:p>
        </w:tc>
        <w:tc>
          <w:tcPr>
            <w:tcW w:w="787" w:type="dxa"/>
            <w:vMerge w:val="continue"/>
            <w:vAlign w:val="center"/>
          </w:tcPr>
          <w:p>
            <w:pPr>
              <w:autoSpaceDE w:val="0"/>
              <w:autoSpaceDN w:val="0"/>
              <w:contextualSpacing/>
              <w:jc w:val="center"/>
              <w:rPr>
                <w:rFonts w:ascii="Calibri" w:hAnsi="Calibri"/>
                <w:szCs w:val="21"/>
                <w:lang w:eastAsia="en-US"/>
              </w:rPr>
            </w:pPr>
          </w:p>
        </w:tc>
        <w:tc>
          <w:tcPr>
            <w:tcW w:w="653" w:type="dxa"/>
            <w:vMerge w:val="continue"/>
            <w:vAlign w:val="center"/>
          </w:tcPr>
          <w:p>
            <w:pPr>
              <w:autoSpaceDE w:val="0"/>
              <w:autoSpaceDN w:val="0"/>
              <w:contextualSpacing/>
              <w:jc w:val="center"/>
              <w:rPr>
                <w:rFonts w:ascii="Calibri" w:hAnsi="Calibri"/>
                <w:szCs w:val="21"/>
                <w:lang w:eastAsia="en-US"/>
              </w:rPr>
            </w:pPr>
          </w:p>
        </w:tc>
        <w:tc>
          <w:tcPr>
            <w:tcW w:w="1403" w:type="dxa"/>
            <w:vMerge w:val="continue"/>
            <w:vAlign w:val="center"/>
          </w:tcPr>
          <w:p>
            <w:pPr>
              <w:autoSpaceDE w:val="0"/>
              <w:autoSpaceDN w:val="0"/>
              <w:contextualSpacing/>
              <w:jc w:val="center"/>
              <w:rPr>
                <w:rFonts w:ascii="Calibri" w:hAnsi="Calibri"/>
                <w:szCs w:val="21"/>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97" w:type="dxa"/>
            <w:vAlign w:val="center"/>
          </w:tcPr>
          <w:p>
            <w:pPr>
              <w:autoSpaceDE w:val="0"/>
              <w:autoSpaceDN w:val="0"/>
              <w:contextualSpacing/>
              <w:jc w:val="center"/>
              <w:rPr>
                <w:rFonts w:ascii="Calibri" w:hAnsi="Calibri"/>
                <w:szCs w:val="21"/>
                <w:lang w:eastAsia="en-US"/>
              </w:rPr>
            </w:pPr>
            <w:r>
              <w:rPr>
                <w:rFonts w:ascii="Calibri" w:hAnsi="Calibri"/>
                <w:szCs w:val="21"/>
                <w:lang w:eastAsia="en-US"/>
              </w:rPr>
              <w:t>新乡气象站</w:t>
            </w:r>
          </w:p>
        </w:tc>
        <w:tc>
          <w:tcPr>
            <w:tcW w:w="914" w:type="dxa"/>
            <w:vAlign w:val="center"/>
          </w:tcPr>
          <w:p>
            <w:pPr>
              <w:autoSpaceDE w:val="0"/>
              <w:autoSpaceDN w:val="0"/>
              <w:contextualSpacing/>
              <w:jc w:val="center"/>
              <w:rPr>
                <w:rFonts w:ascii="Calibri" w:hAnsi="Calibri"/>
                <w:szCs w:val="21"/>
                <w:lang w:eastAsia="en-US"/>
              </w:rPr>
            </w:pPr>
            <w:r>
              <w:rPr>
                <w:rFonts w:ascii="Calibri" w:hAnsi="Calibri"/>
                <w:szCs w:val="21"/>
                <w:lang w:eastAsia="en-US"/>
              </w:rPr>
              <w:t>53986</w:t>
            </w:r>
          </w:p>
        </w:tc>
        <w:tc>
          <w:tcPr>
            <w:tcW w:w="914" w:type="dxa"/>
            <w:vAlign w:val="center"/>
          </w:tcPr>
          <w:p>
            <w:pPr>
              <w:autoSpaceDE w:val="0"/>
              <w:autoSpaceDN w:val="0"/>
              <w:contextualSpacing/>
              <w:jc w:val="center"/>
              <w:rPr>
                <w:rFonts w:ascii="Calibri" w:hAnsi="Calibri"/>
                <w:szCs w:val="21"/>
                <w:lang w:eastAsia="en-US"/>
              </w:rPr>
            </w:pPr>
            <w:r>
              <w:rPr>
                <w:rFonts w:ascii="Calibri" w:hAnsi="Calibri"/>
                <w:szCs w:val="21"/>
                <w:lang w:eastAsia="en-US"/>
              </w:rPr>
              <w:t>一般站</w:t>
            </w:r>
          </w:p>
        </w:tc>
        <w:tc>
          <w:tcPr>
            <w:tcW w:w="1032" w:type="dxa"/>
            <w:vAlign w:val="center"/>
          </w:tcPr>
          <w:p>
            <w:pPr>
              <w:autoSpaceDE w:val="0"/>
              <w:autoSpaceDN w:val="0"/>
              <w:contextualSpacing/>
              <w:jc w:val="center"/>
              <w:rPr>
                <w:rFonts w:ascii="Calibri" w:hAnsi="Calibri"/>
                <w:szCs w:val="21"/>
                <w:lang w:eastAsia="en-US"/>
              </w:rPr>
            </w:pPr>
            <w:r>
              <w:rPr>
                <w:rFonts w:ascii="Calibri" w:hAnsi="Calibri"/>
                <w:szCs w:val="21"/>
                <w:lang w:eastAsia="en-US"/>
              </w:rPr>
              <w:t>113.8833</w:t>
            </w:r>
          </w:p>
        </w:tc>
        <w:tc>
          <w:tcPr>
            <w:tcW w:w="930" w:type="dxa"/>
            <w:vAlign w:val="center"/>
          </w:tcPr>
          <w:p>
            <w:pPr>
              <w:autoSpaceDE w:val="0"/>
              <w:autoSpaceDN w:val="0"/>
              <w:contextualSpacing/>
              <w:jc w:val="center"/>
              <w:rPr>
                <w:rFonts w:ascii="Calibri" w:hAnsi="Calibri"/>
                <w:szCs w:val="21"/>
                <w:lang w:eastAsia="en-US"/>
              </w:rPr>
            </w:pPr>
            <w:r>
              <w:rPr>
                <w:rFonts w:ascii="Calibri" w:hAnsi="Calibri"/>
                <w:szCs w:val="21"/>
                <w:lang w:eastAsia="en-US"/>
              </w:rPr>
              <w:t>35.3167</w:t>
            </w:r>
          </w:p>
        </w:tc>
        <w:tc>
          <w:tcPr>
            <w:tcW w:w="786" w:type="dxa"/>
            <w:vAlign w:val="center"/>
          </w:tcPr>
          <w:p>
            <w:pPr>
              <w:autoSpaceDE w:val="0"/>
              <w:autoSpaceDN w:val="0"/>
              <w:contextualSpacing/>
              <w:jc w:val="center"/>
              <w:rPr>
                <w:rFonts w:ascii="Calibri" w:hAnsi="Calibri"/>
                <w:szCs w:val="21"/>
                <w:lang w:eastAsia="en-US"/>
              </w:rPr>
            </w:pPr>
            <w:r>
              <w:rPr>
                <w:rFonts w:ascii="Calibri" w:hAnsi="Calibri"/>
                <w:szCs w:val="21"/>
                <w:lang w:eastAsia="en-US"/>
              </w:rPr>
              <w:t>30.5</w:t>
            </w:r>
          </w:p>
        </w:tc>
        <w:tc>
          <w:tcPr>
            <w:tcW w:w="787" w:type="dxa"/>
            <w:vAlign w:val="center"/>
          </w:tcPr>
          <w:p>
            <w:pPr>
              <w:autoSpaceDE w:val="0"/>
              <w:autoSpaceDN w:val="0"/>
              <w:contextualSpacing/>
              <w:jc w:val="center"/>
              <w:rPr>
                <w:rFonts w:ascii="Calibri" w:hAnsi="Calibri"/>
                <w:szCs w:val="21"/>
                <w:lang w:eastAsia="en-US"/>
              </w:rPr>
            </w:pPr>
            <w:r>
              <w:rPr>
                <w:rFonts w:ascii="Calibri" w:hAnsi="Calibri"/>
                <w:szCs w:val="21"/>
                <w:lang w:eastAsia="en-US"/>
              </w:rPr>
              <w:t>73.2</w:t>
            </w:r>
          </w:p>
        </w:tc>
        <w:tc>
          <w:tcPr>
            <w:tcW w:w="653" w:type="dxa"/>
            <w:vAlign w:val="center"/>
          </w:tcPr>
          <w:p>
            <w:pPr>
              <w:autoSpaceDE w:val="0"/>
              <w:autoSpaceDN w:val="0"/>
              <w:contextualSpacing/>
              <w:jc w:val="center"/>
              <w:rPr>
                <w:rFonts w:ascii="Calibri" w:hAnsi="Calibri"/>
                <w:szCs w:val="21"/>
                <w:lang w:eastAsia="en-US"/>
              </w:rPr>
            </w:pPr>
            <w:r>
              <w:rPr>
                <w:rFonts w:ascii="Calibri" w:hAnsi="Calibri"/>
                <w:szCs w:val="21"/>
                <w:lang w:eastAsia="en-US"/>
              </w:rPr>
              <w:t>2021</w:t>
            </w:r>
          </w:p>
        </w:tc>
        <w:tc>
          <w:tcPr>
            <w:tcW w:w="1403" w:type="dxa"/>
            <w:vAlign w:val="center"/>
          </w:tcPr>
          <w:p>
            <w:pPr>
              <w:autoSpaceDE w:val="0"/>
              <w:autoSpaceDN w:val="0"/>
              <w:contextualSpacing/>
              <w:jc w:val="center"/>
              <w:rPr>
                <w:rFonts w:ascii="Calibri" w:hAnsi="Calibri"/>
                <w:szCs w:val="21"/>
                <w:lang w:eastAsia="en-US"/>
              </w:rPr>
            </w:pPr>
            <w:r>
              <w:rPr>
                <w:rFonts w:ascii="Calibri" w:hAnsi="Calibri"/>
                <w:szCs w:val="21"/>
                <w:lang w:eastAsia="en-US"/>
              </w:rPr>
              <w:t>风向、风速、总云量、低云量、干球温度</w:t>
            </w:r>
          </w:p>
        </w:tc>
      </w:tr>
    </w:tbl>
    <w:p>
      <w:pPr>
        <w:pStyle w:val="89"/>
      </w:pPr>
      <w:r>
        <w:t>根据《环境影响评价技术导则  大气环境》(HJ2.2-2018)附录B要求，评价收集了新乡市连续20年（2002-2021年）的气象统计资料，具体统计结果如下：</w:t>
      </w:r>
    </w:p>
    <w:p>
      <w:pPr>
        <w:spacing w:line="520" w:lineRule="exact"/>
        <w:ind w:firstLine="482"/>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表5.2-2      新乡气象站常规气象项目统计（2000-2019）</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896"/>
        <w:gridCol w:w="2682"/>
        <w:gridCol w:w="1641"/>
        <w:gridCol w:w="1936"/>
        <w:gridCol w:w="158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07" w:type="dxa"/>
            <w:gridSpan w:val="2"/>
            <w:tcBorders>
              <w:top w:val="single" w:color="auto" w:sz="4" w:space="0"/>
              <w:left w:val="single" w:color="auto" w:sz="4" w:space="0"/>
              <w:bottom w:val="single" w:color="auto" w:sz="6" w:space="0"/>
              <w:right w:val="single" w:color="auto" w:sz="6" w:space="0"/>
            </w:tcBorders>
            <w:vAlign w:val="center"/>
          </w:tcPr>
          <w:p>
            <w:pPr>
              <w:autoSpaceDE w:val="0"/>
              <w:autoSpaceDN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统计项目</w:t>
            </w:r>
          </w:p>
        </w:tc>
        <w:tc>
          <w:tcPr>
            <w:tcW w:w="1562" w:type="dxa"/>
            <w:tcBorders>
              <w:top w:val="single" w:color="auto" w:sz="4" w:space="0"/>
              <w:left w:val="single" w:color="auto" w:sz="6" w:space="0"/>
              <w:bottom w:val="single" w:color="auto" w:sz="6" w:space="0"/>
              <w:right w:val="single" w:color="auto" w:sz="6" w:space="0"/>
            </w:tcBorders>
            <w:vAlign w:val="center"/>
          </w:tcPr>
          <w:p>
            <w:pPr>
              <w:autoSpaceDE w:val="0"/>
              <w:autoSpaceDN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统计值*</w:t>
            </w:r>
          </w:p>
        </w:tc>
        <w:tc>
          <w:tcPr>
            <w:tcW w:w="1844" w:type="dxa"/>
            <w:tcBorders>
              <w:top w:val="single" w:color="auto" w:sz="4" w:space="0"/>
              <w:left w:val="single" w:color="auto" w:sz="6" w:space="0"/>
              <w:bottom w:val="single" w:color="auto" w:sz="6" w:space="0"/>
              <w:right w:val="single" w:color="auto" w:sz="6" w:space="0"/>
            </w:tcBorders>
            <w:vAlign w:val="center"/>
          </w:tcPr>
          <w:p>
            <w:pPr>
              <w:autoSpaceDE w:val="0"/>
              <w:autoSpaceDN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极值出现时间</w:t>
            </w:r>
          </w:p>
        </w:tc>
        <w:tc>
          <w:tcPr>
            <w:tcW w:w="1510" w:type="dxa"/>
            <w:tcBorders>
              <w:top w:val="single" w:color="auto" w:sz="4" w:space="0"/>
              <w:left w:val="single" w:color="auto" w:sz="6" w:space="0"/>
              <w:bottom w:val="single" w:color="auto" w:sz="6" w:space="0"/>
              <w:right w:val="single" w:color="auto" w:sz="4" w:space="0"/>
            </w:tcBorders>
            <w:vAlign w:val="center"/>
          </w:tcPr>
          <w:p>
            <w:pPr>
              <w:autoSpaceDE w:val="0"/>
              <w:autoSpaceDN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极值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07" w:type="dxa"/>
            <w:gridSpan w:val="2"/>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多年平均气温（℃）</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15.4</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07" w:type="dxa"/>
            <w:gridSpan w:val="2"/>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累年极端最高气温（℃）</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38.8</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2009-06-25</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07" w:type="dxa"/>
            <w:gridSpan w:val="2"/>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累年极端最低气温（℃）</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-9.4</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2021-01-07</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07" w:type="dxa"/>
            <w:gridSpan w:val="2"/>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多年平均气压（hPa）</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1008.0</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07" w:type="dxa"/>
            <w:gridSpan w:val="2"/>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多年平均水汽压（hPa）</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12.9</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07" w:type="dxa"/>
            <w:gridSpan w:val="2"/>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多年平均相对湿度(%)</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62.8</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07" w:type="dxa"/>
            <w:gridSpan w:val="2"/>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多年平均降雨量(mm)</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584.9</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2016-07-09</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853" w:type="dxa"/>
            <w:vMerge w:val="restart"/>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灾害天</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气统计</w:t>
            </w:r>
          </w:p>
        </w:tc>
        <w:tc>
          <w:tcPr>
            <w:tcW w:w="255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多年平均沙暴日数(d)</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853" w:type="dxa"/>
            <w:vMerge w:val="continue"/>
            <w:tcBorders>
              <w:top w:val="single" w:color="auto" w:sz="6" w:space="0"/>
              <w:left w:val="single" w:color="auto" w:sz="4" w:space="0"/>
              <w:bottom w:val="single" w:color="auto" w:sz="6" w:space="0"/>
              <w:right w:val="single" w:color="auto" w:sz="6" w:space="0"/>
            </w:tcBorders>
            <w:vAlign w:val="center"/>
          </w:tcPr>
          <w:p>
            <w:pPr>
              <w:widowControl/>
              <w:jc w:val="center"/>
              <w:rPr>
                <w:color w:val="000000" w:themeColor="text1"/>
                <w:szCs w:val="21"/>
                <w14:textFill>
                  <w14:solidFill>
                    <w14:schemeClr w14:val="tx1"/>
                  </w14:solidFill>
                </w14:textFill>
              </w:rPr>
            </w:pPr>
          </w:p>
        </w:tc>
        <w:tc>
          <w:tcPr>
            <w:tcW w:w="255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多年平均雷暴日数(d)</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22.2</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853" w:type="dxa"/>
            <w:vMerge w:val="continue"/>
            <w:tcBorders>
              <w:top w:val="single" w:color="auto" w:sz="6" w:space="0"/>
              <w:left w:val="single" w:color="auto" w:sz="4" w:space="0"/>
              <w:bottom w:val="single" w:color="auto" w:sz="6" w:space="0"/>
              <w:right w:val="single" w:color="auto" w:sz="6" w:space="0"/>
            </w:tcBorders>
            <w:vAlign w:val="center"/>
          </w:tcPr>
          <w:p>
            <w:pPr>
              <w:widowControl/>
              <w:jc w:val="center"/>
              <w:rPr>
                <w:color w:val="000000" w:themeColor="text1"/>
                <w:szCs w:val="21"/>
                <w14:textFill>
                  <w14:solidFill>
                    <w14:schemeClr w14:val="tx1"/>
                  </w14:solidFill>
                </w14:textFill>
              </w:rPr>
            </w:pPr>
          </w:p>
        </w:tc>
        <w:tc>
          <w:tcPr>
            <w:tcW w:w="255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多年平均冰雹日数(d)</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853" w:type="dxa"/>
            <w:vMerge w:val="continue"/>
            <w:tcBorders>
              <w:top w:val="single" w:color="auto" w:sz="6" w:space="0"/>
              <w:left w:val="single" w:color="auto" w:sz="4" w:space="0"/>
              <w:bottom w:val="single" w:color="auto" w:sz="6" w:space="0"/>
              <w:right w:val="single" w:color="auto" w:sz="6" w:space="0"/>
            </w:tcBorders>
            <w:vAlign w:val="center"/>
          </w:tcPr>
          <w:p>
            <w:pPr>
              <w:widowControl/>
              <w:jc w:val="center"/>
              <w:rPr>
                <w:color w:val="000000" w:themeColor="text1"/>
                <w:szCs w:val="21"/>
                <w14:textFill>
                  <w14:solidFill>
                    <w14:schemeClr w14:val="tx1"/>
                  </w14:solidFill>
                </w14:textFill>
              </w:rPr>
            </w:pPr>
          </w:p>
        </w:tc>
        <w:tc>
          <w:tcPr>
            <w:tcW w:w="255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多年平均大风日数(d)</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07" w:type="dxa"/>
            <w:gridSpan w:val="2"/>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多年实测极大风速（m/s）、相应风向</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2002-6-1</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23.8、N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07" w:type="dxa"/>
            <w:gridSpan w:val="2"/>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多年平均风速（m/s）</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07" w:type="dxa"/>
            <w:gridSpan w:val="2"/>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多年主导风向、风向频率(%)</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ENE、17.1%</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3407" w:type="dxa"/>
            <w:gridSpan w:val="2"/>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多年静风频率(风速&lt;0.2m/s)(%)</w:t>
            </w:r>
          </w:p>
        </w:tc>
        <w:tc>
          <w:tcPr>
            <w:tcW w:w="156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9.9</w:t>
            </w:r>
          </w:p>
        </w:tc>
        <w:tc>
          <w:tcPr>
            <w:tcW w:w="1844"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10" w:type="dxa"/>
            <w:tcBorders>
              <w:top w:val="single" w:color="auto" w:sz="6" w:space="0"/>
              <w:left w:val="single" w:color="auto" w:sz="6" w:space="0"/>
              <w:bottom w:val="single" w:color="auto" w:sz="6"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8323" w:type="dxa"/>
            <w:gridSpan w:val="5"/>
            <w:tcBorders>
              <w:top w:val="single" w:color="auto" w:sz="6"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注：统计值代表均值；极值代表极端值</w:t>
            </w:r>
          </w:p>
        </w:tc>
      </w:tr>
    </w:tbl>
    <w:p>
      <w:pPr>
        <w:pStyle w:val="89"/>
      </w:pPr>
      <w:r>
        <w:t>5.2.1.2气象站风观测数据统计</w:t>
      </w:r>
    </w:p>
    <w:p>
      <w:pPr>
        <w:pStyle w:val="89"/>
      </w:pPr>
      <w:r>
        <w:t>1、月平均风速</w:t>
      </w:r>
    </w:p>
    <w:p>
      <w:pPr>
        <w:pStyle w:val="89"/>
      </w:pPr>
      <w:r>
        <w:t>新乡气象站月平均风速如表5-2-3，04月平均风速最大（2.6米/秒），09月风最小（1.7米/秒）。</w:t>
      </w:r>
    </w:p>
    <w:p>
      <w:pPr>
        <w:pStyle w:val="632"/>
        <w:rPr>
          <w:color w:val="000000" w:themeColor="text1"/>
          <w14:textFill>
            <w14:solidFill>
              <w14:schemeClr w14:val="tx1"/>
            </w14:solidFill>
          </w14:textFill>
        </w:rPr>
      </w:pPr>
      <w:r>
        <w:rPr>
          <w:color w:val="000000" w:themeColor="text1"/>
          <w14:textFill>
            <w14:solidFill>
              <w14:schemeClr w14:val="tx1"/>
            </w14:solidFill>
          </w14:textFill>
        </w:rPr>
        <w:t>表5.2-3          新乡气象站月平均风速统计       单位：m/s</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47"/>
        <w:gridCol w:w="631"/>
        <w:gridCol w:w="650"/>
        <w:gridCol w:w="629"/>
        <w:gridCol w:w="650"/>
        <w:gridCol w:w="650"/>
        <w:gridCol w:w="629"/>
        <w:gridCol w:w="650"/>
        <w:gridCol w:w="650"/>
        <w:gridCol w:w="630"/>
        <w:gridCol w:w="651"/>
        <w:gridCol w:w="630"/>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9" w:type="pct"/>
            <w:vAlign w:val="center"/>
          </w:tcPr>
          <w:p>
            <w:pPr>
              <w:jc w:val="center"/>
              <w:rPr>
                <w:b/>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85888" behindDoc="1" locked="0" layoutInCell="0" allowOverlap="1">
                  <wp:simplePos x="0" y="0"/>
                  <wp:positionH relativeFrom="column">
                    <wp:posOffset>275590</wp:posOffset>
                  </wp:positionH>
                  <wp:positionV relativeFrom="paragraph">
                    <wp:posOffset>-4344670</wp:posOffset>
                  </wp:positionV>
                  <wp:extent cx="1270" cy="7620"/>
                  <wp:effectExtent l="0" t="0" r="0" b="0"/>
                  <wp:wrapNone/>
                  <wp:docPr id="161" name="图片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144"/>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86912" behindDoc="1" locked="0" layoutInCell="0" allowOverlap="1">
                  <wp:simplePos x="0" y="0"/>
                  <wp:positionH relativeFrom="column">
                    <wp:posOffset>666750</wp:posOffset>
                  </wp:positionH>
                  <wp:positionV relativeFrom="paragraph">
                    <wp:posOffset>-4344670</wp:posOffset>
                  </wp:positionV>
                  <wp:extent cx="1270" cy="7620"/>
                  <wp:effectExtent l="0" t="0" r="0" b="0"/>
                  <wp:wrapNone/>
                  <wp:docPr id="160" name="图片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145"/>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87936" behindDoc="1" locked="0" layoutInCell="0" allowOverlap="1">
                  <wp:simplePos x="0" y="0"/>
                  <wp:positionH relativeFrom="column">
                    <wp:posOffset>1054100</wp:posOffset>
                  </wp:positionH>
                  <wp:positionV relativeFrom="paragraph">
                    <wp:posOffset>-4344670</wp:posOffset>
                  </wp:positionV>
                  <wp:extent cx="1270" cy="7620"/>
                  <wp:effectExtent l="0" t="0" r="0" b="0"/>
                  <wp:wrapNone/>
                  <wp:docPr id="159" name="图片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146"/>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88960" behindDoc="1" locked="0" layoutInCell="0" allowOverlap="1">
                  <wp:simplePos x="0" y="0"/>
                  <wp:positionH relativeFrom="column">
                    <wp:posOffset>1442720</wp:posOffset>
                  </wp:positionH>
                  <wp:positionV relativeFrom="paragraph">
                    <wp:posOffset>-4344670</wp:posOffset>
                  </wp:positionV>
                  <wp:extent cx="1270" cy="7620"/>
                  <wp:effectExtent l="0" t="0" r="0" b="0"/>
                  <wp:wrapNone/>
                  <wp:docPr id="15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3"/>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89984" behindDoc="1" locked="0" layoutInCell="0" allowOverlap="1">
                  <wp:simplePos x="0" y="0"/>
                  <wp:positionH relativeFrom="column">
                    <wp:posOffset>1831340</wp:posOffset>
                  </wp:positionH>
                  <wp:positionV relativeFrom="paragraph">
                    <wp:posOffset>-4344670</wp:posOffset>
                  </wp:positionV>
                  <wp:extent cx="1270" cy="7620"/>
                  <wp:effectExtent l="0" t="0" r="0" b="0"/>
                  <wp:wrapNone/>
                  <wp:docPr id="15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64"/>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91008" behindDoc="1" locked="0" layoutInCell="0" allowOverlap="1">
                  <wp:simplePos x="0" y="0"/>
                  <wp:positionH relativeFrom="column">
                    <wp:posOffset>2218690</wp:posOffset>
                  </wp:positionH>
                  <wp:positionV relativeFrom="paragraph">
                    <wp:posOffset>-4344670</wp:posOffset>
                  </wp:positionV>
                  <wp:extent cx="1270" cy="7620"/>
                  <wp:effectExtent l="0" t="0" r="0" b="0"/>
                  <wp:wrapNone/>
                  <wp:docPr id="15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65"/>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92032" behindDoc="1" locked="0" layoutInCell="0" allowOverlap="1">
                  <wp:simplePos x="0" y="0"/>
                  <wp:positionH relativeFrom="column">
                    <wp:posOffset>2607310</wp:posOffset>
                  </wp:positionH>
                  <wp:positionV relativeFrom="paragraph">
                    <wp:posOffset>-4344670</wp:posOffset>
                  </wp:positionV>
                  <wp:extent cx="1270" cy="7620"/>
                  <wp:effectExtent l="0" t="0" r="0" b="0"/>
                  <wp:wrapNone/>
                  <wp:docPr id="15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6"/>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93056" behindDoc="1" locked="0" layoutInCell="0" allowOverlap="1">
                  <wp:simplePos x="0" y="0"/>
                  <wp:positionH relativeFrom="column">
                    <wp:posOffset>2998470</wp:posOffset>
                  </wp:positionH>
                  <wp:positionV relativeFrom="paragraph">
                    <wp:posOffset>-4344670</wp:posOffset>
                  </wp:positionV>
                  <wp:extent cx="1270" cy="7620"/>
                  <wp:effectExtent l="0" t="0" r="0" b="0"/>
                  <wp:wrapNone/>
                  <wp:docPr id="15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7"/>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94080" behindDoc="1" locked="0" layoutInCell="0" allowOverlap="1">
                  <wp:simplePos x="0" y="0"/>
                  <wp:positionH relativeFrom="column">
                    <wp:posOffset>3387090</wp:posOffset>
                  </wp:positionH>
                  <wp:positionV relativeFrom="paragraph">
                    <wp:posOffset>-4344670</wp:posOffset>
                  </wp:positionV>
                  <wp:extent cx="1270" cy="7620"/>
                  <wp:effectExtent l="0" t="0" r="0" b="0"/>
                  <wp:wrapNone/>
                  <wp:docPr id="15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8"/>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95104" behindDoc="1" locked="0" layoutInCell="0" allowOverlap="1">
                  <wp:simplePos x="0" y="0"/>
                  <wp:positionH relativeFrom="column">
                    <wp:posOffset>3775710</wp:posOffset>
                  </wp:positionH>
                  <wp:positionV relativeFrom="paragraph">
                    <wp:posOffset>-4344670</wp:posOffset>
                  </wp:positionV>
                  <wp:extent cx="1270" cy="7620"/>
                  <wp:effectExtent l="0" t="0" r="0" b="0"/>
                  <wp:wrapNone/>
                  <wp:docPr id="15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9"/>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96128" behindDoc="1" locked="0" layoutInCell="0" allowOverlap="1">
                  <wp:simplePos x="0" y="0"/>
                  <wp:positionH relativeFrom="column">
                    <wp:posOffset>4164330</wp:posOffset>
                  </wp:positionH>
                  <wp:positionV relativeFrom="paragraph">
                    <wp:posOffset>-4344670</wp:posOffset>
                  </wp:positionV>
                  <wp:extent cx="1270" cy="7620"/>
                  <wp:effectExtent l="0" t="0" r="0" b="0"/>
                  <wp:wrapNone/>
                  <wp:docPr id="15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70"/>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97152" behindDoc="1" locked="0" layoutInCell="0" allowOverlap="1">
                  <wp:simplePos x="0" y="0"/>
                  <wp:positionH relativeFrom="column">
                    <wp:posOffset>4550410</wp:posOffset>
                  </wp:positionH>
                  <wp:positionV relativeFrom="paragraph">
                    <wp:posOffset>-4344670</wp:posOffset>
                  </wp:positionV>
                  <wp:extent cx="1270" cy="7620"/>
                  <wp:effectExtent l="0" t="0" r="0" b="0"/>
                  <wp:wrapNone/>
                  <wp:docPr id="15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1"/>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rPr>
                <w:b/>
                <w:color w:val="000000" w:themeColor="text1"/>
                <w14:textFill>
                  <w14:solidFill>
                    <w14:schemeClr w14:val="tx1"/>
                  </w14:solidFill>
                </w14:textFill>
              </w:rPr>
              <w:t>月份</w:t>
            </w:r>
          </w:p>
        </w:tc>
        <w:tc>
          <w:tcPr>
            <w:tcW w:w="361"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1</w:t>
            </w:r>
          </w:p>
        </w:tc>
        <w:tc>
          <w:tcPr>
            <w:tcW w:w="372"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2</w:t>
            </w:r>
          </w:p>
        </w:tc>
        <w:tc>
          <w:tcPr>
            <w:tcW w:w="360"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3</w:t>
            </w:r>
          </w:p>
        </w:tc>
        <w:tc>
          <w:tcPr>
            <w:tcW w:w="372"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4</w:t>
            </w:r>
          </w:p>
        </w:tc>
        <w:tc>
          <w:tcPr>
            <w:tcW w:w="372"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5</w:t>
            </w:r>
          </w:p>
        </w:tc>
        <w:tc>
          <w:tcPr>
            <w:tcW w:w="360"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6</w:t>
            </w:r>
          </w:p>
        </w:tc>
        <w:tc>
          <w:tcPr>
            <w:tcW w:w="372"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7</w:t>
            </w:r>
          </w:p>
        </w:tc>
        <w:tc>
          <w:tcPr>
            <w:tcW w:w="372"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8</w:t>
            </w:r>
          </w:p>
        </w:tc>
        <w:tc>
          <w:tcPr>
            <w:tcW w:w="360"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9</w:t>
            </w:r>
          </w:p>
        </w:tc>
        <w:tc>
          <w:tcPr>
            <w:tcW w:w="372"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10</w:t>
            </w:r>
          </w:p>
        </w:tc>
        <w:tc>
          <w:tcPr>
            <w:tcW w:w="360"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11</w:t>
            </w:r>
          </w:p>
        </w:tc>
        <w:tc>
          <w:tcPr>
            <w:tcW w:w="368"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9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平均风速</w:t>
            </w:r>
          </w:p>
        </w:tc>
        <w:tc>
          <w:tcPr>
            <w:tcW w:w="36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3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w:t>
            </w:r>
          </w:p>
        </w:tc>
        <w:tc>
          <w:tcPr>
            <w:tcW w:w="36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3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3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36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w:t>
            </w:r>
          </w:p>
        </w:tc>
        <w:tc>
          <w:tcPr>
            <w:tcW w:w="3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3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36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37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36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368"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bl>
    <w:p>
      <w:pPr>
        <w:pStyle w:val="89"/>
      </w:pPr>
      <w:r>
        <w:drawing>
          <wp:anchor distT="0" distB="0" distL="114300" distR="114300" simplePos="0" relativeHeight="251661312" behindDoc="1" locked="0" layoutInCell="0" allowOverlap="1">
            <wp:simplePos x="0" y="0"/>
            <wp:positionH relativeFrom="column">
              <wp:posOffset>1280795</wp:posOffset>
            </wp:positionH>
            <wp:positionV relativeFrom="paragraph">
              <wp:posOffset>-381000</wp:posOffset>
            </wp:positionV>
            <wp:extent cx="1270" cy="3810"/>
            <wp:effectExtent l="0" t="0" r="0" b="0"/>
            <wp:wrapNone/>
            <wp:docPr id="149" name="图片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6156"/>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drawing>
          <wp:anchor distT="0" distB="0" distL="114300" distR="114300" simplePos="0" relativeHeight="251662336" behindDoc="1" locked="0" layoutInCell="0" allowOverlap="1">
            <wp:simplePos x="0" y="0"/>
            <wp:positionH relativeFrom="column">
              <wp:posOffset>1671955</wp:posOffset>
            </wp:positionH>
            <wp:positionV relativeFrom="paragraph">
              <wp:posOffset>-381000</wp:posOffset>
            </wp:positionV>
            <wp:extent cx="1270" cy="3810"/>
            <wp:effectExtent l="0" t="0" r="0" b="0"/>
            <wp:wrapNone/>
            <wp:docPr id="148" name="图片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157"/>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drawing>
          <wp:anchor distT="0" distB="0" distL="114300" distR="114300" simplePos="0" relativeHeight="251663360" behindDoc="1" locked="0" layoutInCell="0" allowOverlap="1">
            <wp:simplePos x="0" y="0"/>
            <wp:positionH relativeFrom="column">
              <wp:posOffset>2059305</wp:posOffset>
            </wp:positionH>
            <wp:positionV relativeFrom="paragraph">
              <wp:posOffset>-381000</wp:posOffset>
            </wp:positionV>
            <wp:extent cx="1270" cy="3810"/>
            <wp:effectExtent l="0" t="0" r="0" b="0"/>
            <wp:wrapNone/>
            <wp:docPr id="147" name="图片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158"/>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drawing>
          <wp:anchor distT="0" distB="0" distL="114300" distR="114300" simplePos="0" relativeHeight="251664384" behindDoc="1" locked="0" layoutInCell="0" allowOverlap="1">
            <wp:simplePos x="0" y="0"/>
            <wp:positionH relativeFrom="column">
              <wp:posOffset>2447925</wp:posOffset>
            </wp:positionH>
            <wp:positionV relativeFrom="paragraph">
              <wp:posOffset>-381000</wp:posOffset>
            </wp:positionV>
            <wp:extent cx="1270" cy="3810"/>
            <wp:effectExtent l="0" t="0" r="0" b="0"/>
            <wp:wrapNone/>
            <wp:docPr id="146" name="图片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159"/>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drawing>
          <wp:anchor distT="0" distB="0" distL="114300" distR="114300" simplePos="0" relativeHeight="251665408" behindDoc="1" locked="0" layoutInCell="0" allowOverlap="1">
            <wp:simplePos x="0" y="0"/>
            <wp:positionH relativeFrom="column">
              <wp:posOffset>2836545</wp:posOffset>
            </wp:positionH>
            <wp:positionV relativeFrom="paragraph">
              <wp:posOffset>-381000</wp:posOffset>
            </wp:positionV>
            <wp:extent cx="1270" cy="3810"/>
            <wp:effectExtent l="0" t="0" r="0" b="0"/>
            <wp:wrapNone/>
            <wp:docPr id="145" name="图片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160"/>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drawing>
          <wp:anchor distT="0" distB="0" distL="114300" distR="114300" simplePos="0" relativeHeight="251666432" behindDoc="1" locked="0" layoutInCell="0" allowOverlap="1">
            <wp:simplePos x="0" y="0"/>
            <wp:positionH relativeFrom="column">
              <wp:posOffset>3223895</wp:posOffset>
            </wp:positionH>
            <wp:positionV relativeFrom="paragraph">
              <wp:posOffset>-381000</wp:posOffset>
            </wp:positionV>
            <wp:extent cx="1270" cy="3810"/>
            <wp:effectExtent l="0" t="0" r="0" b="0"/>
            <wp:wrapNone/>
            <wp:docPr id="144" name="图片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161"/>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drawing>
          <wp:anchor distT="0" distB="0" distL="114300" distR="114300" simplePos="0" relativeHeight="251667456" behindDoc="1" locked="0" layoutInCell="0" allowOverlap="1">
            <wp:simplePos x="0" y="0"/>
            <wp:positionH relativeFrom="column">
              <wp:posOffset>3612515</wp:posOffset>
            </wp:positionH>
            <wp:positionV relativeFrom="paragraph">
              <wp:posOffset>-381000</wp:posOffset>
            </wp:positionV>
            <wp:extent cx="1270" cy="3810"/>
            <wp:effectExtent l="0" t="0" r="0" b="0"/>
            <wp:wrapNone/>
            <wp:docPr id="143" name="图片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162"/>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drawing>
          <wp:anchor distT="0" distB="0" distL="114300" distR="114300" simplePos="0" relativeHeight="251668480" behindDoc="1" locked="0" layoutInCell="0" allowOverlap="1">
            <wp:simplePos x="0" y="0"/>
            <wp:positionH relativeFrom="column">
              <wp:posOffset>4003675</wp:posOffset>
            </wp:positionH>
            <wp:positionV relativeFrom="paragraph">
              <wp:posOffset>-381000</wp:posOffset>
            </wp:positionV>
            <wp:extent cx="1270" cy="3810"/>
            <wp:effectExtent l="0" t="0" r="0" b="0"/>
            <wp:wrapNone/>
            <wp:docPr id="142" name="图片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163"/>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drawing>
          <wp:anchor distT="0" distB="0" distL="114300" distR="114300" simplePos="0" relativeHeight="251669504" behindDoc="1" locked="0" layoutInCell="0" allowOverlap="1">
            <wp:simplePos x="0" y="0"/>
            <wp:positionH relativeFrom="column">
              <wp:posOffset>4392295</wp:posOffset>
            </wp:positionH>
            <wp:positionV relativeFrom="paragraph">
              <wp:posOffset>-381000</wp:posOffset>
            </wp:positionV>
            <wp:extent cx="1270" cy="3810"/>
            <wp:effectExtent l="0" t="0" r="0" b="0"/>
            <wp:wrapNone/>
            <wp:docPr id="141" name="图片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164"/>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drawing>
          <wp:anchor distT="0" distB="0" distL="114300" distR="114300" simplePos="0" relativeHeight="251670528" behindDoc="1" locked="0" layoutInCell="0" allowOverlap="1">
            <wp:simplePos x="0" y="0"/>
            <wp:positionH relativeFrom="column">
              <wp:posOffset>4780915</wp:posOffset>
            </wp:positionH>
            <wp:positionV relativeFrom="paragraph">
              <wp:posOffset>-381000</wp:posOffset>
            </wp:positionV>
            <wp:extent cx="1270" cy="3810"/>
            <wp:effectExtent l="0" t="0" r="0" b="0"/>
            <wp:wrapNone/>
            <wp:docPr id="140" name="图片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165"/>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drawing>
          <wp:anchor distT="0" distB="0" distL="114300" distR="114300" simplePos="0" relativeHeight="251671552" behindDoc="1" locked="0" layoutInCell="0" allowOverlap="1">
            <wp:simplePos x="0" y="0"/>
            <wp:positionH relativeFrom="column">
              <wp:posOffset>5169535</wp:posOffset>
            </wp:positionH>
            <wp:positionV relativeFrom="paragraph">
              <wp:posOffset>-381000</wp:posOffset>
            </wp:positionV>
            <wp:extent cx="1270" cy="3810"/>
            <wp:effectExtent l="0" t="0" r="0" b="0"/>
            <wp:wrapNone/>
            <wp:docPr id="139" name="图片 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166"/>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drawing>
          <wp:anchor distT="0" distB="0" distL="114300" distR="114300" simplePos="0" relativeHeight="251672576" behindDoc="1" locked="0" layoutInCell="0" allowOverlap="1">
            <wp:simplePos x="0" y="0"/>
            <wp:positionH relativeFrom="column">
              <wp:posOffset>5555615</wp:posOffset>
            </wp:positionH>
            <wp:positionV relativeFrom="paragraph">
              <wp:posOffset>-381000</wp:posOffset>
            </wp:positionV>
            <wp:extent cx="1270" cy="3810"/>
            <wp:effectExtent l="0" t="0" r="0" b="0"/>
            <wp:wrapNone/>
            <wp:docPr id="138" name="图片 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167"/>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drawing>
          <wp:anchor distT="0" distB="0" distL="114300" distR="114300" simplePos="0" relativeHeight="251673600" behindDoc="1" locked="0" layoutInCell="0" allowOverlap="1">
            <wp:simplePos x="0" y="0"/>
            <wp:positionH relativeFrom="column">
              <wp:posOffset>1280795</wp:posOffset>
            </wp:positionH>
            <wp:positionV relativeFrom="paragraph">
              <wp:posOffset>-13335</wp:posOffset>
            </wp:positionV>
            <wp:extent cx="1270" cy="7620"/>
            <wp:effectExtent l="0" t="0" r="0" b="0"/>
            <wp:wrapNone/>
            <wp:docPr id="137" name="图片 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168"/>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674624" behindDoc="1" locked="0" layoutInCell="0" allowOverlap="1">
            <wp:simplePos x="0" y="0"/>
            <wp:positionH relativeFrom="column">
              <wp:posOffset>1671955</wp:posOffset>
            </wp:positionH>
            <wp:positionV relativeFrom="paragraph">
              <wp:posOffset>-13335</wp:posOffset>
            </wp:positionV>
            <wp:extent cx="1270" cy="7620"/>
            <wp:effectExtent l="0" t="0" r="0" b="0"/>
            <wp:wrapNone/>
            <wp:docPr id="136" name="图片 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169"/>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675648" behindDoc="1" locked="0" layoutInCell="0" allowOverlap="1">
            <wp:simplePos x="0" y="0"/>
            <wp:positionH relativeFrom="column">
              <wp:posOffset>2059305</wp:posOffset>
            </wp:positionH>
            <wp:positionV relativeFrom="paragraph">
              <wp:posOffset>-13335</wp:posOffset>
            </wp:positionV>
            <wp:extent cx="1270" cy="7620"/>
            <wp:effectExtent l="0" t="0" r="0" b="0"/>
            <wp:wrapNone/>
            <wp:docPr id="135" name="图片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170"/>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676672" behindDoc="1" locked="0" layoutInCell="0" allowOverlap="1">
            <wp:simplePos x="0" y="0"/>
            <wp:positionH relativeFrom="column">
              <wp:posOffset>2447925</wp:posOffset>
            </wp:positionH>
            <wp:positionV relativeFrom="paragraph">
              <wp:posOffset>-13335</wp:posOffset>
            </wp:positionV>
            <wp:extent cx="1270" cy="7620"/>
            <wp:effectExtent l="0" t="0" r="0" b="0"/>
            <wp:wrapNone/>
            <wp:docPr id="134" name="图片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171"/>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677696" behindDoc="1" locked="0" layoutInCell="0" allowOverlap="1">
            <wp:simplePos x="0" y="0"/>
            <wp:positionH relativeFrom="column">
              <wp:posOffset>2836545</wp:posOffset>
            </wp:positionH>
            <wp:positionV relativeFrom="paragraph">
              <wp:posOffset>-13335</wp:posOffset>
            </wp:positionV>
            <wp:extent cx="1270" cy="7620"/>
            <wp:effectExtent l="0" t="0" r="0" b="0"/>
            <wp:wrapNone/>
            <wp:docPr id="133" name="图片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172"/>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678720" behindDoc="1" locked="0" layoutInCell="0" allowOverlap="1">
            <wp:simplePos x="0" y="0"/>
            <wp:positionH relativeFrom="column">
              <wp:posOffset>3223895</wp:posOffset>
            </wp:positionH>
            <wp:positionV relativeFrom="paragraph">
              <wp:posOffset>-13335</wp:posOffset>
            </wp:positionV>
            <wp:extent cx="1270" cy="7620"/>
            <wp:effectExtent l="0" t="0" r="0" b="0"/>
            <wp:wrapNone/>
            <wp:docPr id="132" name="图片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173"/>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679744" behindDoc="1" locked="0" layoutInCell="0" allowOverlap="1">
            <wp:simplePos x="0" y="0"/>
            <wp:positionH relativeFrom="column">
              <wp:posOffset>3612515</wp:posOffset>
            </wp:positionH>
            <wp:positionV relativeFrom="paragraph">
              <wp:posOffset>-13335</wp:posOffset>
            </wp:positionV>
            <wp:extent cx="1270" cy="7620"/>
            <wp:effectExtent l="0" t="0" r="0" b="0"/>
            <wp:wrapNone/>
            <wp:docPr id="131" name="图片 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174"/>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680768" behindDoc="1" locked="0" layoutInCell="0" allowOverlap="1">
            <wp:simplePos x="0" y="0"/>
            <wp:positionH relativeFrom="column">
              <wp:posOffset>4003675</wp:posOffset>
            </wp:positionH>
            <wp:positionV relativeFrom="paragraph">
              <wp:posOffset>-13335</wp:posOffset>
            </wp:positionV>
            <wp:extent cx="1270" cy="7620"/>
            <wp:effectExtent l="0" t="0" r="0" b="0"/>
            <wp:wrapNone/>
            <wp:docPr id="130" name="图片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175"/>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681792" behindDoc="1" locked="0" layoutInCell="0" allowOverlap="1">
            <wp:simplePos x="0" y="0"/>
            <wp:positionH relativeFrom="column">
              <wp:posOffset>4392295</wp:posOffset>
            </wp:positionH>
            <wp:positionV relativeFrom="paragraph">
              <wp:posOffset>-13335</wp:posOffset>
            </wp:positionV>
            <wp:extent cx="1270" cy="7620"/>
            <wp:effectExtent l="0" t="0" r="0" b="0"/>
            <wp:wrapNone/>
            <wp:docPr id="129" name="图片 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176"/>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682816" behindDoc="1" locked="0" layoutInCell="0" allowOverlap="1">
            <wp:simplePos x="0" y="0"/>
            <wp:positionH relativeFrom="column">
              <wp:posOffset>4780915</wp:posOffset>
            </wp:positionH>
            <wp:positionV relativeFrom="paragraph">
              <wp:posOffset>-13335</wp:posOffset>
            </wp:positionV>
            <wp:extent cx="1270" cy="7620"/>
            <wp:effectExtent l="0" t="0" r="0" b="0"/>
            <wp:wrapNone/>
            <wp:docPr id="128" name="图片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177"/>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683840" behindDoc="1" locked="0" layoutInCell="0" allowOverlap="1">
            <wp:simplePos x="0" y="0"/>
            <wp:positionH relativeFrom="column">
              <wp:posOffset>5169535</wp:posOffset>
            </wp:positionH>
            <wp:positionV relativeFrom="paragraph">
              <wp:posOffset>-13335</wp:posOffset>
            </wp:positionV>
            <wp:extent cx="1270" cy="7620"/>
            <wp:effectExtent l="0" t="0" r="0" b="0"/>
            <wp:wrapNone/>
            <wp:docPr id="127" name="图片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178"/>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684864" behindDoc="1" locked="0" layoutInCell="0" allowOverlap="1">
            <wp:simplePos x="0" y="0"/>
            <wp:positionH relativeFrom="column">
              <wp:posOffset>5555615</wp:posOffset>
            </wp:positionH>
            <wp:positionV relativeFrom="paragraph">
              <wp:posOffset>-13335</wp:posOffset>
            </wp:positionV>
            <wp:extent cx="1270" cy="7620"/>
            <wp:effectExtent l="0" t="0" r="0" b="0"/>
            <wp:wrapNone/>
            <wp:docPr id="126" name="图片 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179"/>
                    <pic:cNvPicPr>
                      <a:picLocks noChangeAspect="1" noChangeArrowheads="1"/>
                    </pic:cNvPicPr>
                  </pic:nvPicPr>
                  <pic:blipFill>
                    <a:blip r:embed="rId67"/>
                    <a:srcRect/>
                    <a:stretch>
                      <a:fillRect/>
                    </a:stretch>
                  </pic:blipFill>
                  <pic:spPr>
                    <a:xfrm>
                      <a:off x="0" y="0"/>
                      <a:ext cx="1270" cy="7620"/>
                    </a:xfrm>
                    <a:prstGeom prst="rect">
                      <a:avLst/>
                    </a:prstGeom>
                    <a:noFill/>
                    <a:ln>
                      <a:noFill/>
                    </a:ln>
                  </pic:spPr>
                </pic:pic>
              </a:graphicData>
            </a:graphic>
          </wp:anchor>
        </w:drawing>
      </w:r>
      <w:r>
        <w:t>2、风向特征</w:t>
      </w:r>
    </w:p>
    <w:p>
      <w:pPr>
        <w:pStyle w:val="457"/>
        <w:rPr>
          <w:color w:val="000000" w:themeColor="text1"/>
          <w14:textFill>
            <w14:solidFill>
              <w14:schemeClr w14:val="tx1"/>
            </w14:solidFill>
          </w14:textFill>
        </w:rPr>
      </w:pPr>
      <w:r>
        <w:rPr>
          <w:color w:val="000000" w:themeColor="text1"/>
          <w14:textFill>
            <w14:solidFill>
              <w14:schemeClr w14:val="tx1"/>
            </w14:solidFill>
          </w14:textFill>
        </w:rPr>
        <w:t>近20年资料分析的风向玫瑰图如图5.1-1所示，新乡气象站主要风向为ENE 和NE、E、C，占49.5％，其中以ENE为主风向，占到全年17.1％左右。</w:t>
      </w:r>
    </w:p>
    <w:p>
      <w:pPr>
        <w:spacing w:line="520" w:lineRule="exact"/>
        <w:ind w:firstLine="482"/>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表5.2-5          新乡气象站年风向频率统计       单位：m/s</w:t>
      </w:r>
    </w:p>
    <w:tbl>
      <w:tblPr>
        <w:tblStyle w:val="49"/>
        <w:tblW w:w="5000" w:type="pct"/>
        <w:jc w:val="center"/>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Layout w:type="autofit"/>
        <w:tblCellMar>
          <w:top w:w="0" w:type="dxa"/>
          <w:left w:w="0" w:type="dxa"/>
          <w:bottom w:w="0" w:type="dxa"/>
          <w:right w:w="0" w:type="dxa"/>
        </w:tblCellMar>
      </w:tblPr>
      <w:tblGrid>
        <w:gridCol w:w="494"/>
        <w:gridCol w:w="548"/>
        <w:gridCol w:w="485"/>
        <w:gridCol w:w="438"/>
        <w:gridCol w:w="471"/>
        <w:gridCol w:w="450"/>
        <w:gridCol w:w="452"/>
        <w:gridCol w:w="467"/>
        <w:gridCol w:w="452"/>
        <w:gridCol w:w="452"/>
        <w:gridCol w:w="485"/>
        <w:gridCol w:w="439"/>
        <w:gridCol w:w="586"/>
        <w:gridCol w:w="334"/>
        <w:gridCol w:w="620"/>
        <w:gridCol w:w="397"/>
        <w:gridCol w:w="558"/>
        <w:gridCol w:w="623"/>
      </w:tblGrid>
      <w:tr>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jc w:val="center"/>
        </w:trPr>
        <w:tc>
          <w:tcPr>
            <w:tcW w:w="283" w:type="pct"/>
            <w:tcBorders>
              <w:top w:val="single" w:color="000001" w:sz="8" w:space="0"/>
              <w:left w:val="single" w:color="000001" w:sz="8" w:space="0"/>
              <w:bottom w:val="single" w:color="000001" w:sz="6" w:space="0"/>
              <w:right w:val="single" w:color="000001" w:sz="6" w:space="0"/>
            </w:tcBorders>
            <w:vAlign w:val="center"/>
          </w:tcPr>
          <w:p>
            <w:pPr>
              <w:jc w:val="center"/>
              <w:rPr>
                <w:b/>
              </w:rPr>
            </w:pPr>
            <w:r>
              <w:drawing>
                <wp:anchor distT="0" distB="0" distL="114300" distR="114300" simplePos="0" relativeHeight="251723776" behindDoc="1" locked="0" layoutInCell="0" allowOverlap="1">
                  <wp:simplePos x="0" y="0"/>
                  <wp:positionH relativeFrom="column">
                    <wp:posOffset>-621665</wp:posOffset>
                  </wp:positionH>
                  <wp:positionV relativeFrom="paragraph">
                    <wp:posOffset>-6227445</wp:posOffset>
                  </wp:positionV>
                  <wp:extent cx="1270" cy="7620"/>
                  <wp:effectExtent l="0" t="0" r="0" b="0"/>
                  <wp:wrapNone/>
                  <wp:docPr id="1623229321" name="图片 162322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29321" name="图片 1623229321"/>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24800" behindDoc="1" locked="0" layoutInCell="0" allowOverlap="1">
                  <wp:simplePos x="0" y="0"/>
                  <wp:positionH relativeFrom="column">
                    <wp:posOffset>-187325</wp:posOffset>
                  </wp:positionH>
                  <wp:positionV relativeFrom="paragraph">
                    <wp:posOffset>-6227445</wp:posOffset>
                  </wp:positionV>
                  <wp:extent cx="1270" cy="7620"/>
                  <wp:effectExtent l="0" t="0" r="0" b="0"/>
                  <wp:wrapNone/>
                  <wp:docPr id="310353504" name="图片 31035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53504" name="图片 310353504"/>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25824" behindDoc="1" locked="0" layoutInCell="0" allowOverlap="1">
                  <wp:simplePos x="0" y="0"/>
                  <wp:positionH relativeFrom="column">
                    <wp:posOffset>172085</wp:posOffset>
                  </wp:positionH>
                  <wp:positionV relativeFrom="paragraph">
                    <wp:posOffset>-6227445</wp:posOffset>
                  </wp:positionV>
                  <wp:extent cx="1270" cy="7620"/>
                  <wp:effectExtent l="0" t="0" r="0" b="0"/>
                  <wp:wrapNone/>
                  <wp:docPr id="180" name="图片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6182"/>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26848" behindDoc="1" locked="0" layoutInCell="0" allowOverlap="1">
                  <wp:simplePos x="0" y="0"/>
                  <wp:positionH relativeFrom="column">
                    <wp:posOffset>531495</wp:posOffset>
                  </wp:positionH>
                  <wp:positionV relativeFrom="paragraph">
                    <wp:posOffset>-6227445</wp:posOffset>
                  </wp:positionV>
                  <wp:extent cx="1270" cy="7620"/>
                  <wp:effectExtent l="0" t="0" r="0" b="0"/>
                  <wp:wrapNone/>
                  <wp:docPr id="181" name="图片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6183"/>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27872" behindDoc="1" locked="0" layoutInCell="0" allowOverlap="1">
                  <wp:simplePos x="0" y="0"/>
                  <wp:positionH relativeFrom="column">
                    <wp:posOffset>892175</wp:posOffset>
                  </wp:positionH>
                  <wp:positionV relativeFrom="paragraph">
                    <wp:posOffset>-6227445</wp:posOffset>
                  </wp:positionV>
                  <wp:extent cx="1270" cy="7620"/>
                  <wp:effectExtent l="0" t="0" r="0" b="0"/>
                  <wp:wrapNone/>
                  <wp:docPr id="182" name="图片 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6184"/>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28896" behindDoc="1" locked="0" layoutInCell="0" allowOverlap="1">
                  <wp:simplePos x="0" y="0"/>
                  <wp:positionH relativeFrom="column">
                    <wp:posOffset>1251585</wp:posOffset>
                  </wp:positionH>
                  <wp:positionV relativeFrom="paragraph">
                    <wp:posOffset>-6227445</wp:posOffset>
                  </wp:positionV>
                  <wp:extent cx="1270" cy="7620"/>
                  <wp:effectExtent l="0" t="0" r="0" b="0"/>
                  <wp:wrapNone/>
                  <wp:docPr id="183" name="图片 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6185"/>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29920" behindDoc="1" locked="0" layoutInCell="0" allowOverlap="1">
                  <wp:simplePos x="0" y="0"/>
                  <wp:positionH relativeFrom="column">
                    <wp:posOffset>1610995</wp:posOffset>
                  </wp:positionH>
                  <wp:positionV relativeFrom="paragraph">
                    <wp:posOffset>-6227445</wp:posOffset>
                  </wp:positionV>
                  <wp:extent cx="1270" cy="7620"/>
                  <wp:effectExtent l="0" t="0" r="0" b="0"/>
                  <wp:wrapNone/>
                  <wp:docPr id="184" name="图片 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6186"/>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30944" behindDoc="1" locked="0" layoutInCell="0" allowOverlap="1">
                  <wp:simplePos x="0" y="0"/>
                  <wp:positionH relativeFrom="column">
                    <wp:posOffset>1971675</wp:posOffset>
                  </wp:positionH>
                  <wp:positionV relativeFrom="paragraph">
                    <wp:posOffset>-6227445</wp:posOffset>
                  </wp:positionV>
                  <wp:extent cx="1270" cy="7620"/>
                  <wp:effectExtent l="0" t="0" r="0" b="0"/>
                  <wp:wrapNone/>
                  <wp:docPr id="185" name="图片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6187"/>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31968" behindDoc="1" locked="0" layoutInCell="0" allowOverlap="1">
                  <wp:simplePos x="0" y="0"/>
                  <wp:positionH relativeFrom="column">
                    <wp:posOffset>2331085</wp:posOffset>
                  </wp:positionH>
                  <wp:positionV relativeFrom="paragraph">
                    <wp:posOffset>-6227445</wp:posOffset>
                  </wp:positionV>
                  <wp:extent cx="1270" cy="7620"/>
                  <wp:effectExtent l="0" t="0" r="0" b="0"/>
                  <wp:wrapNone/>
                  <wp:docPr id="186" name="图片 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6188"/>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32992" behindDoc="1" locked="0" layoutInCell="0" allowOverlap="1">
                  <wp:simplePos x="0" y="0"/>
                  <wp:positionH relativeFrom="column">
                    <wp:posOffset>2690495</wp:posOffset>
                  </wp:positionH>
                  <wp:positionV relativeFrom="paragraph">
                    <wp:posOffset>-6227445</wp:posOffset>
                  </wp:positionV>
                  <wp:extent cx="1270" cy="7620"/>
                  <wp:effectExtent l="0" t="0" r="0" b="0"/>
                  <wp:wrapNone/>
                  <wp:docPr id="187" name="图片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6189"/>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34016" behindDoc="1" locked="0" layoutInCell="0" allowOverlap="1">
                  <wp:simplePos x="0" y="0"/>
                  <wp:positionH relativeFrom="column">
                    <wp:posOffset>3051175</wp:posOffset>
                  </wp:positionH>
                  <wp:positionV relativeFrom="paragraph">
                    <wp:posOffset>-6227445</wp:posOffset>
                  </wp:positionV>
                  <wp:extent cx="1270" cy="7620"/>
                  <wp:effectExtent l="0" t="0" r="0" b="0"/>
                  <wp:wrapNone/>
                  <wp:docPr id="188" name="图片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6190"/>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35040" behindDoc="1" locked="0" layoutInCell="0" allowOverlap="1">
                  <wp:simplePos x="0" y="0"/>
                  <wp:positionH relativeFrom="column">
                    <wp:posOffset>3410585</wp:posOffset>
                  </wp:positionH>
                  <wp:positionV relativeFrom="paragraph">
                    <wp:posOffset>-6227445</wp:posOffset>
                  </wp:positionV>
                  <wp:extent cx="1270" cy="7620"/>
                  <wp:effectExtent l="0" t="0" r="0" b="0"/>
                  <wp:wrapNone/>
                  <wp:docPr id="189" name="图片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6191"/>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36064" behindDoc="1" locked="0" layoutInCell="0" allowOverlap="1">
                  <wp:simplePos x="0" y="0"/>
                  <wp:positionH relativeFrom="column">
                    <wp:posOffset>3860165</wp:posOffset>
                  </wp:positionH>
                  <wp:positionV relativeFrom="paragraph">
                    <wp:posOffset>-6227445</wp:posOffset>
                  </wp:positionV>
                  <wp:extent cx="1270" cy="7620"/>
                  <wp:effectExtent l="0" t="0" r="0" b="0"/>
                  <wp:wrapNone/>
                  <wp:docPr id="190" name="图片 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6192"/>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37088" behindDoc="1" locked="0" layoutInCell="0" allowOverlap="1">
                  <wp:simplePos x="0" y="0"/>
                  <wp:positionH relativeFrom="column">
                    <wp:posOffset>4130675</wp:posOffset>
                  </wp:positionH>
                  <wp:positionV relativeFrom="paragraph">
                    <wp:posOffset>-6227445</wp:posOffset>
                  </wp:positionV>
                  <wp:extent cx="1270" cy="7620"/>
                  <wp:effectExtent l="0" t="0" r="0" b="0"/>
                  <wp:wrapNone/>
                  <wp:docPr id="191" name="图片 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6193"/>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38112" behindDoc="1" locked="0" layoutInCell="0" allowOverlap="1">
                  <wp:simplePos x="0" y="0"/>
                  <wp:positionH relativeFrom="column">
                    <wp:posOffset>4580255</wp:posOffset>
                  </wp:positionH>
                  <wp:positionV relativeFrom="paragraph">
                    <wp:posOffset>-6227445</wp:posOffset>
                  </wp:positionV>
                  <wp:extent cx="1270" cy="7620"/>
                  <wp:effectExtent l="0" t="0" r="0" b="0"/>
                  <wp:wrapNone/>
                  <wp:docPr id="224" name="图片 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6194"/>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39136" behindDoc="1" locked="0" layoutInCell="0" allowOverlap="1">
                  <wp:simplePos x="0" y="0"/>
                  <wp:positionH relativeFrom="column">
                    <wp:posOffset>4849495</wp:posOffset>
                  </wp:positionH>
                  <wp:positionV relativeFrom="paragraph">
                    <wp:posOffset>-6227445</wp:posOffset>
                  </wp:positionV>
                  <wp:extent cx="1270" cy="7620"/>
                  <wp:effectExtent l="0" t="0" r="0" b="0"/>
                  <wp:wrapNone/>
                  <wp:docPr id="245" name="图片 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6195"/>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drawing>
                <wp:anchor distT="0" distB="0" distL="114300" distR="114300" simplePos="0" relativeHeight="251740160" behindDoc="1" locked="0" layoutInCell="0" allowOverlap="1">
                  <wp:simplePos x="0" y="0"/>
                  <wp:positionH relativeFrom="column">
                    <wp:posOffset>5300345</wp:posOffset>
                  </wp:positionH>
                  <wp:positionV relativeFrom="paragraph">
                    <wp:posOffset>-6227445</wp:posOffset>
                  </wp:positionV>
                  <wp:extent cx="1270" cy="7620"/>
                  <wp:effectExtent l="0" t="0" r="0" b="0"/>
                  <wp:wrapNone/>
                  <wp:docPr id="246" name="图片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6196"/>
                          <pic:cNvPicPr>
                            <a:picLocks noChangeAspect="1"/>
                          </pic:cNvPicPr>
                        </pic:nvPicPr>
                        <pic:blipFill>
                          <a:blip r:embed="rId67"/>
                          <a:stretch>
                            <a:fillRect/>
                          </a:stretch>
                        </pic:blipFill>
                        <pic:spPr>
                          <a:xfrm>
                            <a:off x="0" y="0"/>
                            <a:ext cx="1270" cy="7620"/>
                          </a:xfrm>
                          <a:prstGeom prst="rect">
                            <a:avLst/>
                          </a:prstGeom>
                          <a:noFill/>
                          <a:ln>
                            <a:noFill/>
                          </a:ln>
                        </pic:spPr>
                      </pic:pic>
                    </a:graphicData>
                  </a:graphic>
                </wp:anchor>
              </w:drawing>
            </w:r>
            <w:r>
              <w:rPr>
                <w:b/>
              </w:rPr>
              <w:t>风向</w:t>
            </w:r>
          </w:p>
        </w:tc>
        <w:tc>
          <w:tcPr>
            <w:tcW w:w="313" w:type="pct"/>
            <w:tcBorders>
              <w:top w:val="single" w:color="000001" w:sz="8" w:space="0"/>
              <w:left w:val="single" w:color="000001" w:sz="6" w:space="0"/>
              <w:bottom w:val="single" w:color="000001" w:sz="6" w:space="0"/>
              <w:right w:val="single" w:color="000001" w:sz="6" w:space="0"/>
            </w:tcBorders>
            <w:vAlign w:val="center"/>
          </w:tcPr>
          <w:p>
            <w:pPr>
              <w:jc w:val="center"/>
              <w:rPr>
                <w:b/>
                <w:w w:val="94"/>
              </w:rPr>
            </w:pPr>
            <w:r>
              <w:rPr>
                <w:b/>
                <w:w w:val="94"/>
              </w:rPr>
              <w:t>N</w:t>
            </w:r>
          </w:p>
        </w:tc>
        <w:tc>
          <w:tcPr>
            <w:tcW w:w="277" w:type="pct"/>
            <w:tcBorders>
              <w:top w:val="single" w:color="000001" w:sz="8" w:space="0"/>
              <w:left w:val="single" w:color="000001" w:sz="6" w:space="0"/>
              <w:bottom w:val="single" w:color="000001" w:sz="6" w:space="0"/>
              <w:right w:val="single" w:color="000001" w:sz="6" w:space="0"/>
            </w:tcBorders>
            <w:vAlign w:val="center"/>
          </w:tcPr>
          <w:p>
            <w:pPr>
              <w:jc w:val="center"/>
              <w:rPr>
                <w:b/>
              </w:rPr>
            </w:pPr>
            <w:r>
              <w:rPr>
                <w:b/>
              </w:rPr>
              <w:t>NNE</w:t>
            </w:r>
          </w:p>
        </w:tc>
        <w:tc>
          <w:tcPr>
            <w:tcW w:w="250" w:type="pct"/>
            <w:tcBorders>
              <w:top w:val="single" w:color="000001" w:sz="8" w:space="0"/>
              <w:left w:val="single" w:color="000001" w:sz="6" w:space="0"/>
              <w:bottom w:val="single" w:color="000001" w:sz="6" w:space="0"/>
              <w:right w:val="single" w:color="000001" w:sz="6" w:space="0"/>
            </w:tcBorders>
            <w:vAlign w:val="center"/>
          </w:tcPr>
          <w:p>
            <w:pPr>
              <w:jc w:val="center"/>
              <w:rPr>
                <w:b/>
                <w:w w:val="95"/>
              </w:rPr>
            </w:pPr>
            <w:r>
              <w:rPr>
                <w:b/>
                <w:w w:val="95"/>
              </w:rPr>
              <w:t>NE</w:t>
            </w:r>
          </w:p>
        </w:tc>
        <w:tc>
          <w:tcPr>
            <w:tcW w:w="269" w:type="pct"/>
            <w:tcBorders>
              <w:top w:val="single" w:color="000001" w:sz="8" w:space="0"/>
              <w:left w:val="single" w:color="000001" w:sz="6" w:space="0"/>
              <w:bottom w:val="single" w:color="000001" w:sz="6" w:space="0"/>
              <w:right w:val="single" w:color="000001" w:sz="6" w:space="0"/>
            </w:tcBorders>
            <w:vAlign w:val="center"/>
          </w:tcPr>
          <w:p>
            <w:pPr>
              <w:jc w:val="center"/>
              <w:rPr>
                <w:b/>
              </w:rPr>
            </w:pPr>
            <w:r>
              <w:rPr>
                <w:b/>
              </w:rPr>
              <w:t>ENE</w:t>
            </w:r>
          </w:p>
        </w:tc>
        <w:tc>
          <w:tcPr>
            <w:tcW w:w="257" w:type="pct"/>
            <w:tcBorders>
              <w:top w:val="single" w:color="000001" w:sz="8" w:space="0"/>
              <w:left w:val="single" w:color="000001" w:sz="6" w:space="0"/>
              <w:bottom w:val="single" w:color="000001" w:sz="6" w:space="0"/>
              <w:right w:val="single" w:color="000001" w:sz="6" w:space="0"/>
            </w:tcBorders>
            <w:vAlign w:val="center"/>
          </w:tcPr>
          <w:p>
            <w:pPr>
              <w:jc w:val="center"/>
              <w:rPr>
                <w:b/>
                <w:w w:val="94"/>
              </w:rPr>
            </w:pPr>
            <w:r>
              <w:rPr>
                <w:b/>
                <w:w w:val="94"/>
              </w:rPr>
              <w:t>E</w:t>
            </w:r>
          </w:p>
        </w:tc>
        <w:tc>
          <w:tcPr>
            <w:tcW w:w="258" w:type="pct"/>
            <w:tcBorders>
              <w:top w:val="single" w:color="000001" w:sz="8" w:space="0"/>
              <w:left w:val="single" w:color="000001" w:sz="6" w:space="0"/>
              <w:bottom w:val="single" w:color="000001" w:sz="6" w:space="0"/>
              <w:right w:val="single" w:color="000001" w:sz="6" w:space="0"/>
            </w:tcBorders>
            <w:vAlign w:val="center"/>
          </w:tcPr>
          <w:p>
            <w:pPr>
              <w:jc w:val="center"/>
              <w:rPr>
                <w:b/>
              </w:rPr>
            </w:pPr>
            <w:r>
              <w:rPr>
                <w:b/>
              </w:rPr>
              <w:t>ESE</w:t>
            </w:r>
          </w:p>
        </w:tc>
        <w:tc>
          <w:tcPr>
            <w:tcW w:w="267" w:type="pct"/>
            <w:tcBorders>
              <w:top w:val="single" w:color="000001" w:sz="8" w:space="0"/>
              <w:left w:val="single" w:color="000001" w:sz="6" w:space="0"/>
              <w:bottom w:val="single" w:color="000001" w:sz="6" w:space="0"/>
              <w:right w:val="single" w:color="000001" w:sz="6" w:space="0"/>
            </w:tcBorders>
            <w:vAlign w:val="center"/>
          </w:tcPr>
          <w:p>
            <w:pPr>
              <w:jc w:val="center"/>
              <w:rPr>
                <w:b/>
                <w:w w:val="95"/>
              </w:rPr>
            </w:pPr>
            <w:r>
              <w:rPr>
                <w:b/>
                <w:w w:val="95"/>
              </w:rPr>
              <w:t>SE</w:t>
            </w:r>
          </w:p>
        </w:tc>
        <w:tc>
          <w:tcPr>
            <w:tcW w:w="258" w:type="pct"/>
            <w:tcBorders>
              <w:top w:val="single" w:color="000001" w:sz="8" w:space="0"/>
              <w:left w:val="single" w:color="000001" w:sz="6" w:space="0"/>
              <w:bottom w:val="single" w:color="000001" w:sz="6" w:space="0"/>
              <w:right w:val="single" w:color="000001" w:sz="6" w:space="0"/>
            </w:tcBorders>
            <w:vAlign w:val="center"/>
          </w:tcPr>
          <w:p>
            <w:pPr>
              <w:jc w:val="center"/>
              <w:rPr>
                <w:b/>
              </w:rPr>
            </w:pPr>
            <w:r>
              <w:rPr>
                <w:b/>
              </w:rPr>
              <w:t>SSE</w:t>
            </w:r>
          </w:p>
        </w:tc>
        <w:tc>
          <w:tcPr>
            <w:tcW w:w="258" w:type="pct"/>
            <w:tcBorders>
              <w:top w:val="single" w:color="000001" w:sz="8" w:space="0"/>
              <w:left w:val="single" w:color="000001" w:sz="6" w:space="0"/>
              <w:bottom w:val="single" w:color="000001" w:sz="6" w:space="0"/>
              <w:right w:val="single" w:color="000001" w:sz="6" w:space="0"/>
            </w:tcBorders>
            <w:vAlign w:val="center"/>
          </w:tcPr>
          <w:p>
            <w:pPr>
              <w:jc w:val="center"/>
              <w:rPr>
                <w:b/>
                <w:w w:val="94"/>
              </w:rPr>
            </w:pPr>
            <w:r>
              <w:rPr>
                <w:b/>
                <w:w w:val="94"/>
              </w:rPr>
              <w:t>S</w:t>
            </w:r>
          </w:p>
        </w:tc>
        <w:tc>
          <w:tcPr>
            <w:tcW w:w="277" w:type="pct"/>
            <w:tcBorders>
              <w:top w:val="single" w:color="000001" w:sz="8" w:space="0"/>
              <w:left w:val="single" w:color="000001" w:sz="6" w:space="0"/>
              <w:bottom w:val="single" w:color="000001" w:sz="6" w:space="0"/>
              <w:right w:val="single" w:color="000001" w:sz="6" w:space="0"/>
            </w:tcBorders>
            <w:vAlign w:val="center"/>
          </w:tcPr>
          <w:p>
            <w:pPr>
              <w:jc w:val="center"/>
              <w:rPr>
                <w:b/>
              </w:rPr>
            </w:pPr>
            <w:r>
              <w:rPr>
                <w:b/>
              </w:rPr>
              <w:t>SSW</w:t>
            </w:r>
          </w:p>
        </w:tc>
        <w:tc>
          <w:tcPr>
            <w:tcW w:w="251" w:type="pct"/>
            <w:tcBorders>
              <w:top w:val="single" w:color="000001" w:sz="8" w:space="0"/>
              <w:left w:val="single" w:color="000001" w:sz="6" w:space="0"/>
              <w:bottom w:val="single" w:color="000001" w:sz="6" w:space="0"/>
              <w:right w:val="single" w:color="000001" w:sz="6" w:space="0"/>
            </w:tcBorders>
            <w:vAlign w:val="center"/>
          </w:tcPr>
          <w:p>
            <w:pPr>
              <w:jc w:val="center"/>
              <w:rPr>
                <w:b/>
              </w:rPr>
            </w:pPr>
            <w:r>
              <w:rPr>
                <w:b/>
              </w:rPr>
              <w:t>SW</w:t>
            </w:r>
          </w:p>
        </w:tc>
        <w:tc>
          <w:tcPr>
            <w:tcW w:w="335" w:type="pct"/>
            <w:tcBorders>
              <w:top w:val="single" w:color="000001" w:sz="8" w:space="0"/>
              <w:left w:val="single" w:color="000001" w:sz="6" w:space="0"/>
              <w:bottom w:val="single" w:color="000001" w:sz="6" w:space="0"/>
              <w:right w:val="single" w:color="000001" w:sz="6" w:space="0"/>
            </w:tcBorders>
            <w:vAlign w:val="center"/>
          </w:tcPr>
          <w:p>
            <w:pPr>
              <w:jc w:val="center"/>
              <w:rPr>
                <w:b/>
              </w:rPr>
            </w:pPr>
            <w:r>
              <w:rPr>
                <w:b/>
              </w:rPr>
              <w:t>WSW</w:t>
            </w:r>
          </w:p>
        </w:tc>
        <w:tc>
          <w:tcPr>
            <w:tcW w:w="191" w:type="pct"/>
            <w:tcBorders>
              <w:top w:val="single" w:color="000001" w:sz="8" w:space="0"/>
              <w:left w:val="single" w:color="000001" w:sz="6" w:space="0"/>
              <w:bottom w:val="single" w:color="000001" w:sz="6" w:space="0"/>
              <w:right w:val="single" w:color="000001" w:sz="6" w:space="0"/>
            </w:tcBorders>
            <w:vAlign w:val="center"/>
          </w:tcPr>
          <w:p>
            <w:pPr>
              <w:jc w:val="center"/>
              <w:rPr>
                <w:b/>
                <w:w w:val="94"/>
              </w:rPr>
            </w:pPr>
            <w:r>
              <w:rPr>
                <w:b/>
                <w:w w:val="94"/>
              </w:rPr>
              <w:t>W</w:t>
            </w:r>
          </w:p>
        </w:tc>
        <w:tc>
          <w:tcPr>
            <w:tcW w:w="354" w:type="pct"/>
            <w:tcBorders>
              <w:top w:val="single" w:color="000001" w:sz="8" w:space="0"/>
              <w:left w:val="single" w:color="000001" w:sz="6" w:space="0"/>
              <w:bottom w:val="single" w:color="000001" w:sz="6" w:space="0"/>
              <w:right w:val="single" w:color="000001" w:sz="6" w:space="0"/>
            </w:tcBorders>
            <w:vAlign w:val="center"/>
          </w:tcPr>
          <w:p>
            <w:pPr>
              <w:jc w:val="center"/>
              <w:rPr>
                <w:b/>
              </w:rPr>
            </w:pPr>
            <w:r>
              <w:rPr>
                <w:b/>
              </w:rPr>
              <w:t>WNW</w:t>
            </w:r>
          </w:p>
        </w:tc>
        <w:tc>
          <w:tcPr>
            <w:tcW w:w="227" w:type="pct"/>
            <w:tcBorders>
              <w:top w:val="single" w:color="000001" w:sz="8" w:space="0"/>
              <w:left w:val="single" w:color="000001" w:sz="6" w:space="0"/>
              <w:bottom w:val="single" w:color="000001" w:sz="6" w:space="0"/>
              <w:right w:val="single" w:color="000001" w:sz="6" w:space="0"/>
            </w:tcBorders>
            <w:vAlign w:val="center"/>
          </w:tcPr>
          <w:p>
            <w:pPr>
              <w:jc w:val="center"/>
              <w:rPr>
                <w:b/>
              </w:rPr>
            </w:pPr>
            <w:r>
              <w:rPr>
                <w:b/>
              </w:rPr>
              <w:t>NW</w:t>
            </w:r>
          </w:p>
        </w:tc>
        <w:tc>
          <w:tcPr>
            <w:tcW w:w="319" w:type="pct"/>
            <w:tcBorders>
              <w:top w:val="single" w:color="000001" w:sz="8" w:space="0"/>
              <w:left w:val="single" w:color="000001" w:sz="6" w:space="0"/>
              <w:bottom w:val="single" w:color="000001" w:sz="6" w:space="0"/>
              <w:right w:val="single" w:color="000001" w:sz="6" w:space="0"/>
            </w:tcBorders>
            <w:vAlign w:val="center"/>
          </w:tcPr>
          <w:p>
            <w:pPr>
              <w:jc w:val="center"/>
              <w:rPr>
                <w:b/>
              </w:rPr>
            </w:pPr>
            <w:r>
              <w:rPr>
                <w:b/>
              </w:rPr>
              <w:t>NNW</w:t>
            </w:r>
          </w:p>
        </w:tc>
        <w:tc>
          <w:tcPr>
            <w:tcW w:w="356" w:type="pct"/>
            <w:tcBorders>
              <w:top w:val="single" w:color="000001" w:sz="8" w:space="0"/>
              <w:left w:val="single" w:color="000001" w:sz="6" w:space="0"/>
              <w:bottom w:val="single" w:color="000001" w:sz="6" w:space="0"/>
              <w:right w:val="single" w:color="000001" w:sz="8" w:space="0"/>
            </w:tcBorders>
            <w:vAlign w:val="center"/>
          </w:tcPr>
          <w:p>
            <w:pPr>
              <w:jc w:val="center"/>
              <w:rPr>
                <w:b/>
                <w:w w:val="94"/>
              </w:rPr>
            </w:pPr>
            <w:r>
              <w:rPr>
                <w:b/>
                <w:w w:val="94"/>
              </w:rPr>
              <w:t>C</w:t>
            </w:r>
          </w:p>
        </w:tc>
      </w:tr>
      <w:tr>
        <w:tblPrEx>
          <w:tblBorders>
            <w:top w:val="single" w:color="000001" w:sz="8" w:space="0"/>
            <w:left w:val="single" w:color="000001" w:sz="8" w:space="0"/>
            <w:bottom w:val="single" w:color="000001" w:sz="8" w:space="0"/>
            <w:right w:val="single" w:color="000001" w:sz="8" w:space="0"/>
            <w:insideH w:val="single" w:color="000001" w:sz="6" w:space="0"/>
            <w:insideV w:val="single" w:color="000001" w:sz="6" w:space="0"/>
          </w:tblBorders>
          <w:tblCellMar>
            <w:top w:w="0" w:type="dxa"/>
            <w:left w:w="0" w:type="dxa"/>
            <w:bottom w:w="0" w:type="dxa"/>
            <w:right w:w="0" w:type="dxa"/>
          </w:tblCellMar>
        </w:tblPrEx>
        <w:trPr>
          <w:trHeight w:val="454" w:hRule="atLeast"/>
          <w:jc w:val="center"/>
        </w:trPr>
        <w:tc>
          <w:tcPr>
            <w:tcW w:w="283" w:type="pct"/>
            <w:tcBorders>
              <w:top w:val="single" w:color="000001" w:sz="6" w:space="0"/>
              <w:left w:val="single" w:color="000001" w:sz="8" w:space="0"/>
              <w:bottom w:val="single" w:color="000001" w:sz="8" w:space="0"/>
              <w:right w:val="single" w:color="000001" w:sz="6" w:space="0"/>
            </w:tcBorders>
            <w:vAlign w:val="center"/>
          </w:tcPr>
          <w:p>
            <w:pPr>
              <w:jc w:val="center"/>
              <w:rPr>
                <w:szCs w:val="21"/>
              </w:rPr>
            </w:pPr>
            <w:r>
              <w:rPr>
                <w:szCs w:val="21"/>
              </w:rPr>
              <w:t>频率</w:t>
            </w:r>
          </w:p>
        </w:tc>
        <w:tc>
          <w:tcPr>
            <w:tcW w:w="313"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rPr>
                <w:rFonts w:hint="eastAsia"/>
              </w:rPr>
              <w:t>1.4</w:t>
            </w:r>
          </w:p>
        </w:tc>
        <w:tc>
          <w:tcPr>
            <w:tcW w:w="277"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t>1.</w:t>
            </w:r>
            <w:r>
              <w:rPr>
                <w:rFonts w:hint="eastAsia"/>
              </w:rPr>
              <w:t>8</w:t>
            </w:r>
          </w:p>
        </w:tc>
        <w:tc>
          <w:tcPr>
            <w:tcW w:w="250"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rPr>
                <w:rFonts w:hint="eastAsia"/>
              </w:rPr>
              <w:t>12.0</w:t>
            </w:r>
          </w:p>
        </w:tc>
        <w:tc>
          <w:tcPr>
            <w:tcW w:w="269"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t>17.</w:t>
            </w:r>
            <w:r>
              <w:rPr>
                <w:rFonts w:hint="eastAsia"/>
              </w:rPr>
              <w:t>1</w:t>
            </w:r>
          </w:p>
        </w:tc>
        <w:tc>
          <w:tcPr>
            <w:tcW w:w="257"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t>10.</w:t>
            </w:r>
            <w:r>
              <w:rPr>
                <w:rFonts w:hint="eastAsia"/>
              </w:rPr>
              <w:t>5</w:t>
            </w:r>
          </w:p>
        </w:tc>
        <w:tc>
          <w:tcPr>
            <w:tcW w:w="258"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t>4.</w:t>
            </w:r>
            <w:r>
              <w:rPr>
                <w:rFonts w:hint="eastAsia"/>
              </w:rPr>
              <w:t>4</w:t>
            </w:r>
          </w:p>
        </w:tc>
        <w:tc>
          <w:tcPr>
            <w:tcW w:w="267"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t>2.</w:t>
            </w:r>
            <w:r>
              <w:rPr>
                <w:rFonts w:hint="eastAsia"/>
              </w:rPr>
              <w:t>8</w:t>
            </w:r>
          </w:p>
        </w:tc>
        <w:tc>
          <w:tcPr>
            <w:tcW w:w="258"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t>2.</w:t>
            </w:r>
            <w:r>
              <w:rPr>
                <w:rFonts w:hint="eastAsia"/>
              </w:rPr>
              <w:t>6</w:t>
            </w:r>
          </w:p>
        </w:tc>
        <w:tc>
          <w:tcPr>
            <w:tcW w:w="258"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rPr>
                <w:rFonts w:hint="eastAsia"/>
              </w:rPr>
              <w:t>7.0</w:t>
            </w:r>
          </w:p>
        </w:tc>
        <w:tc>
          <w:tcPr>
            <w:tcW w:w="277"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rPr>
                <w:rFonts w:hint="eastAsia"/>
              </w:rPr>
              <w:t>9.1</w:t>
            </w:r>
          </w:p>
        </w:tc>
        <w:tc>
          <w:tcPr>
            <w:tcW w:w="251"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t>8.</w:t>
            </w:r>
            <w:r>
              <w:rPr>
                <w:rFonts w:hint="eastAsia"/>
              </w:rPr>
              <w:t>1</w:t>
            </w:r>
          </w:p>
        </w:tc>
        <w:tc>
          <w:tcPr>
            <w:tcW w:w="335"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t>4.</w:t>
            </w:r>
            <w:r>
              <w:rPr>
                <w:rFonts w:hint="eastAsia"/>
              </w:rPr>
              <w:t>5</w:t>
            </w:r>
          </w:p>
        </w:tc>
        <w:tc>
          <w:tcPr>
            <w:tcW w:w="191"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rPr>
                <w:rFonts w:hint="eastAsia"/>
              </w:rPr>
              <w:t>3.7</w:t>
            </w:r>
          </w:p>
        </w:tc>
        <w:tc>
          <w:tcPr>
            <w:tcW w:w="354"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t>2.2</w:t>
            </w:r>
          </w:p>
        </w:tc>
        <w:tc>
          <w:tcPr>
            <w:tcW w:w="227"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t>1.</w:t>
            </w:r>
            <w:r>
              <w:rPr>
                <w:rFonts w:hint="eastAsia"/>
              </w:rPr>
              <w:t>8</w:t>
            </w:r>
          </w:p>
        </w:tc>
        <w:tc>
          <w:tcPr>
            <w:tcW w:w="319" w:type="pct"/>
            <w:tcBorders>
              <w:top w:val="single" w:color="000001" w:sz="6" w:space="0"/>
              <w:left w:val="single" w:color="000001" w:sz="6" w:space="0"/>
              <w:bottom w:val="single" w:color="000001" w:sz="8" w:space="0"/>
              <w:right w:val="single" w:color="000001" w:sz="6" w:space="0"/>
            </w:tcBorders>
            <w:vAlign w:val="center"/>
          </w:tcPr>
          <w:p>
            <w:pPr>
              <w:pStyle w:val="90"/>
              <w:rPr>
                <w:bCs/>
                <w:kern w:val="2"/>
              </w:rPr>
            </w:pPr>
            <w:r>
              <w:t>1.1</w:t>
            </w:r>
          </w:p>
        </w:tc>
        <w:tc>
          <w:tcPr>
            <w:tcW w:w="356" w:type="pct"/>
            <w:tcBorders>
              <w:top w:val="single" w:color="000001" w:sz="6" w:space="0"/>
              <w:left w:val="single" w:color="000001" w:sz="6" w:space="0"/>
              <w:bottom w:val="single" w:color="000001" w:sz="8" w:space="0"/>
              <w:right w:val="single" w:color="000001" w:sz="8" w:space="0"/>
            </w:tcBorders>
            <w:vAlign w:val="center"/>
          </w:tcPr>
          <w:p>
            <w:pPr>
              <w:pStyle w:val="90"/>
              <w:rPr>
                <w:bCs/>
                <w:kern w:val="2"/>
              </w:rPr>
            </w:pPr>
            <w:r>
              <w:rPr>
                <w:rFonts w:hint="eastAsia"/>
              </w:rPr>
              <w:t>9.9</w:t>
            </w:r>
          </w:p>
        </w:tc>
      </w:tr>
    </w:tbl>
    <w:p>
      <w:pPr>
        <w:jc w:val="center"/>
        <w:rPr>
          <w:b/>
          <w:color w:val="000000" w:themeColor="text1"/>
          <w14:textFill>
            <w14:solidFill>
              <w14:schemeClr w14:val="tx1"/>
            </w14:solidFill>
          </w14:textFill>
        </w:rPr>
      </w:pPr>
      <w:r>
        <w:rPr>
          <w:sz w:val="20"/>
        </w:rPr>
        <w:drawing>
          <wp:inline distT="0" distB="0" distL="0" distR="0">
            <wp:extent cx="3914775" cy="3351530"/>
            <wp:effectExtent l="0" t="0" r="9525" b="1270"/>
            <wp:docPr id="196" name="image1.jpeg"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jpeg" descr="图表, 雷达图&#10;&#10;描述已自动生成"/>
                    <pic:cNvPicPr>
                      <a:picLocks noChangeAspect="1"/>
                    </pic:cNvPicPr>
                  </pic:nvPicPr>
                  <pic:blipFill>
                    <a:blip r:embed="rId69"/>
                    <a:stretch>
                      <a:fillRect/>
                    </a:stretch>
                  </pic:blipFill>
                  <pic:spPr>
                    <a:xfrm>
                      <a:off x="0" y="0"/>
                      <a:ext cx="3914775" cy="3351530"/>
                    </a:xfrm>
                    <a:prstGeom prst="rect">
                      <a:avLst/>
                    </a:prstGeom>
                  </pic:spPr>
                </pic:pic>
              </a:graphicData>
            </a:graphic>
          </wp:inline>
        </w:drawing>
      </w:r>
      <w:r>
        <w:rPr>
          <w:b/>
          <w:color w:val="000000" w:themeColor="text1"/>
          <w14:textFill>
            <w14:solidFill>
              <w14:schemeClr w14:val="tx1"/>
            </w14:solidFill>
          </w14:textFill>
        </w:rPr>
        <w:t xml:space="preserve"> </w:t>
      </w:r>
    </w:p>
    <w:p>
      <w:pPr>
        <w:pStyle w:val="182"/>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98176" behindDoc="1" locked="0" layoutInCell="0" allowOverlap="1">
            <wp:simplePos x="0" y="0"/>
            <wp:positionH relativeFrom="column">
              <wp:posOffset>380365</wp:posOffset>
            </wp:positionH>
            <wp:positionV relativeFrom="paragraph">
              <wp:posOffset>-381000</wp:posOffset>
            </wp:positionV>
            <wp:extent cx="1270" cy="3810"/>
            <wp:effectExtent l="0" t="0" r="0" b="0"/>
            <wp:wrapNone/>
            <wp:docPr id="17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3"/>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99200" behindDoc="1" locked="0" layoutInCell="0" allowOverlap="1">
            <wp:simplePos x="0" y="0"/>
            <wp:positionH relativeFrom="column">
              <wp:posOffset>814705</wp:posOffset>
            </wp:positionH>
            <wp:positionV relativeFrom="paragraph">
              <wp:posOffset>-381000</wp:posOffset>
            </wp:positionV>
            <wp:extent cx="1270" cy="3810"/>
            <wp:effectExtent l="0" t="0" r="0" b="0"/>
            <wp:wrapNone/>
            <wp:docPr id="17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4"/>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00224" behindDoc="1" locked="0" layoutInCell="0" allowOverlap="1">
            <wp:simplePos x="0" y="0"/>
            <wp:positionH relativeFrom="column">
              <wp:posOffset>1174115</wp:posOffset>
            </wp:positionH>
            <wp:positionV relativeFrom="paragraph">
              <wp:posOffset>-381000</wp:posOffset>
            </wp:positionV>
            <wp:extent cx="1270" cy="3810"/>
            <wp:effectExtent l="0" t="0" r="0" b="0"/>
            <wp:wrapNone/>
            <wp:docPr id="17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5"/>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01248" behindDoc="1" locked="0" layoutInCell="0" allowOverlap="1">
            <wp:simplePos x="0" y="0"/>
            <wp:positionH relativeFrom="column">
              <wp:posOffset>1533525</wp:posOffset>
            </wp:positionH>
            <wp:positionV relativeFrom="paragraph">
              <wp:posOffset>-381000</wp:posOffset>
            </wp:positionV>
            <wp:extent cx="1270" cy="3810"/>
            <wp:effectExtent l="0" t="0" r="0" b="0"/>
            <wp:wrapNone/>
            <wp:docPr id="17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6"/>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02272" behindDoc="1" locked="0" layoutInCell="0" allowOverlap="1">
            <wp:simplePos x="0" y="0"/>
            <wp:positionH relativeFrom="column">
              <wp:posOffset>1894205</wp:posOffset>
            </wp:positionH>
            <wp:positionV relativeFrom="paragraph">
              <wp:posOffset>-381000</wp:posOffset>
            </wp:positionV>
            <wp:extent cx="1270" cy="3810"/>
            <wp:effectExtent l="0" t="0" r="0" b="0"/>
            <wp:wrapNone/>
            <wp:docPr id="17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7"/>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03296" behindDoc="1" locked="0" layoutInCell="0" allowOverlap="1">
            <wp:simplePos x="0" y="0"/>
            <wp:positionH relativeFrom="column">
              <wp:posOffset>2253615</wp:posOffset>
            </wp:positionH>
            <wp:positionV relativeFrom="paragraph">
              <wp:posOffset>-381000</wp:posOffset>
            </wp:positionV>
            <wp:extent cx="1270" cy="3810"/>
            <wp:effectExtent l="0" t="0" r="0" b="0"/>
            <wp:wrapNone/>
            <wp:docPr id="17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8"/>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04320" behindDoc="1" locked="0" layoutInCell="0" allowOverlap="1">
            <wp:simplePos x="0" y="0"/>
            <wp:positionH relativeFrom="column">
              <wp:posOffset>2613025</wp:posOffset>
            </wp:positionH>
            <wp:positionV relativeFrom="paragraph">
              <wp:posOffset>-381000</wp:posOffset>
            </wp:positionV>
            <wp:extent cx="1270" cy="3810"/>
            <wp:effectExtent l="0" t="0" r="0" b="0"/>
            <wp:wrapNone/>
            <wp:docPr id="1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9"/>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05344" behindDoc="1" locked="0" layoutInCell="0" allowOverlap="1">
            <wp:simplePos x="0" y="0"/>
            <wp:positionH relativeFrom="column">
              <wp:posOffset>2973705</wp:posOffset>
            </wp:positionH>
            <wp:positionV relativeFrom="paragraph">
              <wp:posOffset>-381000</wp:posOffset>
            </wp:positionV>
            <wp:extent cx="1270" cy="3810"/>
            <wp:effectExtent l="0" t="0" r="0" b="0"/>
            <wp:wrapNone/>
            <wp:docPr id="17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50"/>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06368" behindDoc="1" locked="0" layoutInCell="0" allowOverlap="1">
            <wp:simplePos x="0" y="0"/>
            <wp:positionH relativeFrom="column">
              <wp:posOffset>3333115</wp:posOffset>
            </wp:positionH>
            <wp:positionV relativeFrom="paragraph">
              <wp:posOffset>-381000</wp:posOffset>
            </wp:positionV>
            <wp:extent cx="1270" cy="3810"/>
            <wp:effectExtent l="0" t="0" r="0" b="0"/>
            <wp:wrapNone/>
            <wp:docPr id="170" name="图片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155"/>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07392" behindDoc="1" locked="0" layoutInCell="0" allowOverlap="1">
            <wp:simplePos x="0" y="0"/>
            <wp:positionH relativeFrom="column">
              <wp:posOffset>3692525</wp:posOffset>
            </wp:positionH>
            <wp:positionV relativeFrom="paragraph">
              <wp:posOffset>-381000</wp:posOffset>
            </wp:positionV>
            <wp:extent cx="1270" cy="3810"/>
            <wp:effectExtent l="0" t="0" r="0" b="0"/>
            <wp:wrapNone/>
            <wp:docPr id="169" name="图片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154"/>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08416" behindDoc="1" locked="0" layoutInCell="0" allowOverlap="1">
            <wp:simplePos x="0" y="0"/>
            <wp:positionH relativeFrom="column">
              <wp:posOffset>4053205</wp:posOffset>
            </wp:positionH>
            <wp:positionV relativeFrom="paragraph">
              <wp:posOffset>-381000</wp:posOffset>
            </wp:positionV>
            <wp:extent cx="1270" cy="3810"/>
            <wp:effectExtent l="0" t="0" r="0" b="0"/>
            <wp:wrapNone/>
            <wp:docPr id="168" name="图片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153"/>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09440" behindDoc="1" locked="0" layoutInCell="0" allowOverlap="1">
            <wp:simplePos x="0" y="0"/>
            <wp:positionH relativeFrom="column">
              <wp:posOffset>4412615</wp:posOffset>
            </wp:positionH>
            <wp:positionV relativeFrom="paragraph">
              <wp:posOffset>-381000</wp:posOffset>
            </wp:positionV>
            <wp:extent cx="1270" cy="3810"/>
            <wp:effectExtent l="0" t="0" r="0" b="0"/>
            <wp:wrapNone/>
            <wp:docPr id="167" name="图片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152"/>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10464" behindDoc="1" locked="0" layoutInCell="0" allowOverlap="1">
            <wp:simplePos x="0" y="0"/>
            <wp:positionH relativeFrom="column">
              <wp:posOffset>4862195</wp:posOffset>
            </wp:positionH>
            <wp:positionV relativeFrom="paragraph">
              <wp:posOffset>-381000</wp:posOffset>
            </wp:positionV>
            <wp:extent cx="1270" cy="3810"/>
            <wp:effectExtent l="0" t="0" r="0" b="0"/>
            <wp:wrapNone/>
            <wp:docPr id="166" name="图片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6151"/>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11488" behindDoc="1" locked="0" layoutInCell="0" allowOverlap="1">
            <wp:simplePos x="0" y="0"/>
            <wp:positionH relativeFrom="column">
              <wp:posOffset>5132705</wp:posOffset>
            </wp:positionH>
            <wp:positionV relativeFrom="paragraph">
              <wp:posOffset>-381000</wp:posOffset>
            </wp:positionV>
            <wp:extent cx="1270" cy="3810"/>
            <wp:effectExtent l="0" t="0" r="0" b="0"/>
            <wp:wrapNone/>
            <wp:docPr id="165" name="图片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150"/>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12512" behindDoc="1" locked="0" layoutInCell="0" allowOverlap="1">
            <wp:simplePos x="0" y="0"/>
            <wp:positionH relativeFrom="column">
              <wp:posOffset>5582285</wp:posOffset>
            </wp:positionH>
            <wp:positionV relativeFrom="paragraph">
              <wp:posOffset>-381000</wp:posOffset>
            </wp:positionV>
            <wp:extent cx="1270" cy="3810"/>
            <wp:effectExtent l="0" t="0" r="0" b="0"/>
            <wp:wrapNone/>
            <wp:docPr id="164" name="图片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149"/>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13536" behindDoc="1" locked="0" layoutInCell="0" allowOverlap="1">
            <wp:simplePos x="0" y="0"/>
            <wp:positionH relativeFrom="column">
              <wp:posOffset>5851525</wp:posOffset>
            </wp:positionH>
            <wp:positionV relativeFrom="paragraph">
              <wp:posOffset>-381000</wp:posOffset>
            </wp:positionV>
            <wp:extent cx="1270" cy="3810"/>
            <wp:effectExtent l="0" t="0" r="0" b="0"/>
            <wp:wrapNone/>
            <wp:docPr id="163" name="图片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148"/>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714560" behindDoc="1" locked="0" layoutInCell="0" allowOverlap="1">
            <wp:simplePos x="0" y="0"/>
            <wp:positionH relativeFrom="column">
              <wp:posOffset>6302375</wp:posOffset>
            </wp:positionH>
            <wp:positionV relativeFrom="paragraph">
              <wp:posOffset>-381000</wp:posOffset>
            </wp:positionV>
            <wp:extent cx="1270" cy="3810"/>
            <wp:effectExtent l="0" t="0" r="0" b="0"/>
            <wp:wrapNone/>
            <wp:docPr id="162" name="图片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147"/>
                    <pic:cNvPicPr>
                      <a:picLocks noChangeAspect="1" noChangeArrowheads="1"/>
                    </pic:cNvPicPr>
                  </pic:nvPicPr>
                  <pic:blipFill>
                    <a:blip r:embed="rId68"/>
                    <a:srcRect/>
                    <a:stretch>
                      <a:fillRect/>
                    </a:stretch>
                  </pic:blipFill>
                  <pic:spPr>
                    <a:xfrm>
                      <a:off x="0" y="0"/>
                      <a:ext cx="1270" cy="3810"/>
                    </a:xfrm>
                    <a:prstGeom prst="rect">
                      <a:avLst/>
                    </a:prstGeom>
                    <a:noFill/>
                    <a:ln>
                      <a:noFill/>
                    </a:ln>
                  </pic:spPr>
                </pic:pic>
              </a:graphicData>
            </a:graphic>
          </wp:anchor>
        </w:drawing>
      </w:r>
      <w:r>
        <w:rPr>
          <w:color w:val="000000" w:themeColor="text1"/>
          <w14:textFill>
            <w14:solidFill>
              <w14:schemeClr w14:val="tx1"/>
            </w14:solidFill>
          </w14:textFill>
        </w:rPr>
        <w:t>图5.2-1新乡风向玫瑰图（静风频率10.8%）</w:t>
      </w:r>
    </w:p>
    <w:p>
      <w:pPr>
        <w:pStyle w:val="89"/>
      </w:pPr>
      <w:r>
        <w:t>各月风向频率如下。</w:t>
      </w:r>
    </w:p>
    <w:p>
      <w:pPr>
        <w:spacing w:line="520" w:lineRule="exact"/>
        <w:ind w:firstLine="482"/>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表5.2-6      新乡气象站（2002-2021）各月风向频率        单位:%</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57" w:type="dxa"/>
          <w:bottom w:w="0" w:type="dxa"/>
          <w:right w:w="57" w:type="dxa"/>
        </w:tblCellMar>
      </w:tblPr>
      <w:tblGrid>
        <w:gridCol w:w="523"/>
        <w:gridCol w:w="329"/>
        <w:gridCol w:w="534"/>
        <w:gridCol w:w="457"/>
        <w:gridCol w:w="504"/>
        <w:gridCol w:w="457"/>
        <w:gridCol w:w="464"/>
        <w:gridCol w:w="329"/>
        <w:gridCol w:w="450"/>
        <w:gridCol w:w="446"/>
        <w:gridCol w:w="534"/>
        <w:gridCol w:w="446"/>
        <w:gridCol w:w="634"/>
        <w:gridCol w:w="362"/>
        <w:gridCol w:w="677"/>
        <w:gridCol w:w="467"/>
        <w:gridCol w:w="621"/>
        <w:gridCol w:w="51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299" w:type="pct"/>
            <w:tcMar>
              <w:top w:w="0" w:type="dxa"/>
              <w:left w:w="0" w:type="dxa"/>
              <w:bottom w:w="0" w:type="dxa"/>
              <w:right w:w="0" w:type="dxa"/>
            </w:tcMar>
            <w:vAlign w:val="center"/>
          </w:tcPr>
          <w:p>
            <w:pPr>
              <w:jc w:val="center"/>
              <w:rPr>
                <w:b/>
              </w:rPr>
            </w:pPr>
            <w:r>
              <w:rPr>
                <w:b/>
              </w:rPr>
              <w:t>月份</w:t>
            </w:r>
          </w:p>
        </w:tc>
        <w:tc>
          <w:tcPr>
            <w:tcW w:w="188" w:type="pct"/>
            <w:tcMar>
              <w:top w:w="0" w:type="dxa"/>
              <w:left w:w="0" w:type="dxa"/>
              <w:bottom w:w="0" w:type="dxa"/>
              <w:right w:w="0" w:type="dxa"/>
            </w:tcMar>
            <w:vAlign w:val="center"/>
          </w:tcPr>
          <w:p>
            <w:pPr>
              <w:jc w:val="center"/>
              <w:rPr>
                <w:b/>
              </w:rPr>
            </w:pPr>
            <w:r>
              <w:rPr>
                <w:b/>
              </w:rPr>
              <w:t>N</w:t>
            </w:r>
          </w:p>
        </w:tc>
        <w:tc>
          <w:tcPr>
            <w:tcW w:w="305" w:type="pct"/>
            <w:tcMar>
              <w:top w:w="0" w:type="dxa"/>
              <w:left w:w="0" w:type="dxa"/>
              <w:bottom w:w="0" w:type="dxa"/>
              <w:right w:w="0" w:type="dxa"/>
            </w:tcMar>
            <w:vAlign w:val="center"/>
          </w:tcPr>
          <w:p>
            <w:pPr>
              <w:jc w:val="center"/>
              <w:rPr>
                <w:b/>
              </w:rPr>
            </w:pPr>
            <w:r>
              <w:rPr>
                <w:b/>
              </w:rPr>
              <w:t>NNE</w:t>
            </w:r>
          </w:p>
        </w:tc>
        <w:tc>
          <w:tcPr>
            <w:tcW w:w="261" w:type="pct"/>
            <w:tcMar>
              <w:top w:w="0" w:type="dxa"/>
              <w:left w:w="0" w:type="dxa"/>
              <w:bottom w:w="0" w:type="dxa"/>
              <w:right w:w="0" w:type="dxa"/>
            </w:tcMar>
            <w:vAlign w:val="center"/>
          </w:tcPr>
          <w:p>
            <w:pPr>
              <w:jc w:val="center"/>
              <w:rPr>
                <w:b/>
              </w:rPr>
            </w:pPr>
            <w:r>
              <w:rPr>
                <w:b/>
              </w:rPr>
              <w:t>NE</w:t>
            </w:r>
          </w:p>
        </w:tc>
        <w:tc>
          <w:tcPr>
            <w:tcW w:w="288" w:type="pct"/>
            <w:tcMar>
              <w:top w:w="0" w:type="dxa"/>
              <w:left w:w="0" w:type="dxa"/>
              <w:bottom w:w="0" w:type="dxa"/>
              <w:right w:w="0" w:type="dxa"/>
            </w:tcMar>
            <w:vAlign w:val="center"/>
          </w:tcPr>
          <w:p>
            <w:pPr>
              <w:jc w:val="center"/>
              <w:rPr>
                <w:b/>
              </w:rPr>
            </w:pPr>
            <w:r>
              <w:rPr>
                <w:b/>
              </w:rPr>
              <w:t>ENE</w:t>
            </w:r>
          </w:p>
        </w:tc>
        <w:tc>
          <w:tcPr>
            <w:tcW w:w="261" w:type="pct"/>
            <w:tcMar>
              <w:top w:w="0" w:type="dxa"/>
              <w:left w:w="0" w:type="dxa"/>
              <w:bottom w:w="0" w:type="dxa"/>
              <w:right w:w="0" w:type="dxa"/>
            </w:tcMar>
            <w:vAlign w:val="center"/>
          </w:tcPr>
          <w:p>
            <w:pPr>
              <w:jc w:val="center"/>
              <w:rPr>
                <w:b/>
              </w:rPr>
            </w:pPr>
            <w:r>
              <w:rPr>
                <w:b/>
              </w:rPr>
              <w:t>E</w:t>
            </w:r>
          </w:p>
        </w:tc>
        <w:tc>
          <w:tcPr>
            <w:tcW w:w="265" w:type="pct"/>
            <w:tcMar>
              <w:top w:w="0" w:type="dxa"/>
              <w:left w:w="0" w:type="dxa"/>
              <w:bottom w:w="0" w:type="dxa"/>
              <w:right w:w="0" w:type="dxa"/>
            </w:tcMar>
            <w:vAlign w:val="center"/>
          </w:tcPr>
          <w:p>
            <w:pPr>
              <w:jc w:val="center"/>
              <w:rPr>
                <w:b/>
              </w:rPr>
            </w:pPr>
            <w:r>
              <w:rPr>
                <w:b/>
              </w:rPr>
              <w:t>ESE</w:t>
            </w:r>
          </w:p>
        </w:tc>
        <w:tc>
          <w:tcPr>
            <w:tcW w:w="188" w:type="pct"/>
            <w:tcMar>
              <w:top w:w="0" w:type="dxa"/>
              <w:left w:w="0" w:type="dxa"/>
              <w:bottom w:w="0" w:type="dxa"/>
              <w:right w:w="0" w:type="dxa"/>
            </w:tcMar>
            <w:vAlign w:val="center"/>
          </w:tcPr>
          <w:p>
            <w:pPr>
              <w:jc w:val="center"/>
              <w:rPr>
                <w:b/>
              </w:rPr>
            </w:pPr>
            <w:r>
              <w:rPr>
                <w:b/>
              </w:rPr>
              <w:t>SE</w:t>
            </w:r>
          </w:p>
        </w:tc>
        <w:tc>
          <w:tcPr>
            <w:tcW w:w="257" w:type="pct"/>
            <w:tcMar>
              <w:top w:w="0" w:type="dxa"/>
              <w:left w:w="0" w:type="dxa"/>
              <w:bottom w:w="0" w:type="dxa"/>
              <w:right w:w="0" w:type="dxa"/>
            </w:tcMar>
            <w:vAlign w:val="center"/>
          </w:tcPr>
          <w:p>
            <w:pPr>
              <w:jc w:val="center"/>
              <w:rPr>
                <w:b/>
              </w:rPr>
            </w:pPr>
            <w:r>
              <w:rPr>
                <w:b/>
              </w:rPr>
              <w:t>SSE</w:t>
            </w:r>
          </w:p>
        </w:tc>
        <w:tc>
          <w:tcPr>
            <w:tcW w:w="255" w:type="pct"/>
            <w:tcMar>
              <w:top w:w="0" w:type="dxa"/>
              <w:left w:w="0" w:type="dxa"/>
              <w:bottom w:w="0" w:type="dxa"/>
              <w:right w:w="0" w:type="dxa"/>
            </w:tcMar>
            <w:vAlign w:val="center"/>
          </w:tcPr>
          <w:p>
            <w:pPr>
              <w:jc w:val="center"/>
              <w:rPr>
                <w:b/>
              </w:rPr>
            </w:pPr>
            <w:r>
              <w:rPr>
                <w:b/>
              </w:rPr>
              <w:t>S</w:t>
            </w:r>
          </w:p>
        </w:tc>
        <w:tc>
          <w:tcPr>
            <w:tcW w:w="305" w:type="pct"/>
            <w:tcMar>
              <w:top w:w="0" w:type="dxa"/>
              <w:left w:w="0" w:type="dxa"/>
              <w:bottom w:w="0" w:type="dxa"/>
              <w:right w:w="0" w:type="dxa"/>
            </w:tcMar>
            <w:vAlign w:val="center"/>
          </w:tcPr>
          <w:p>
            <w:pPr>
              <w:jc w:val="center"/>
              <w:rPr>
                <w:b/>
              </w:rPr>
            </w:pPr>
            <w:r>
              <w:rPr>
                <w:b/>
              </w:rPr>
              <w:t>SSW</w:t>
            </w:r>
          </w:p>
        </w:tc>
        <w:tc>
          <w:tcPr>
            <w:tcW w:w="255" w:type="pct"/>
            <w:tcMar>
              <w:top w:w="0" w:type="dxa"/>
              <w:left w:w="0" w:type="dxa"/>
              <w:bottom w:w="0" w:type="dxa"/>
              <w:right w:w="0" w:type="dxa"/>
            </w:tcMar>
            <w:vAlign w:val="center"/>
          </w:tcPr>
          <w:p>
            <w:pPr>
              <w:jc w:val="center"/>
              <w:rPr>
                <w:b/>
              </w:rPr>
            </w:pPr>
            <w:r>
              <w:rPr>
                <w:b/>
              </w:rPr>
              <w:t>SW</w:t>
            </w:r>
          </w:p>
        </w:tc>
        <w:tc>
          <w:tcPr>
            <w:tcW w:w="362" w:type="pct"/>
            <w:tcMar>
              <w:top w:w="0" w:type="dxa"/>
              <w:left w:w="0" w:type="dxa"/>
              <w:bottom w:w="0" w:type="dxa"/>
              <w:right w:w="0" w:type="dxa"/>
            </w:tcMar>
            <w:vAlign w:val="center"/>
          </w:tcPr>
          <w:p>
            <w:pPr>
              <w:jc w:val="center"/>
              <w:rPr>
                <w:b/>
              </w:rPr>
            </w:pPr>
            <w:r>
              <w:rPr>
                <w:b/>
              </w:rPr>
              <w:t>WSW</w:t>
            </w:r>
          </w:p>
        </w:tc>
        <w:tc>
          <w:tcPr>
            <w:tcW w:w="207" w:type="pct"/>
            <w:tcMar>
              <w:top w:w="0" w:type="dxa"/>
              <w:left w:w="0" w:type="dxa"/>
              <w:bottom w:w="0" w:type="dxa"/>
              <w:right w:w="0" w:type="dxa"/>
            </w:tcMar>
            <w:vAlign w:val="center"/>
          </w:tcPr>
          <w:p>
            <w:pPr>
              <w:jc w:val="center"/>
              <w:rPr>
                <w:b/>
              </w:rPr>
            </w:pPr>
            <w:r>
              <w:rPr>
                <w:b/>
              </w:rPr>
              <w:t>W</w:t>
            </w:r>
          </w:p>
        </w:tc>
        <w:tc>
          <w:tcPr>
            <w:tcW w:w="387" w:type="pct"/>
            <w:tcMar>
              <w:top w:w="0" w:type="dxa"/>
              <w:left w:w="0" w:type="dxa"/>
              <w:bottom w:w="0" w:type="dxa"/>
              <w:right w:w="0" w:type="dxa"/>
            </w:tcMar>
            <w:vAlign w:val="center"/>
          </w:tcPr>
          <w:p>
            <w:pPr>
              <w:jc w:val="center"/>
              <w:rPr>
                <w:b/>
              </w:rPr>
            </w:pPr>
            <w:r>
              <w:rPr>
                <w:b/>
              </w:rPr>
              <w:t>WNW</w:t>
            </w:r>
          </w:p>
        </w:tc>
        <w:tc>
          <w:tcPr>
            <w:tcW w:w="267" w:type="pct"/>
            <w:tcMar>
              <w:top w:w="0" w:type="dxa"/>
              <w:left w:w="0" w:type="dxa"/>
              <w:bottom w:w="0" w:type="dxa"/>
              <w:right w:w="0" w:type="dxa"/>
            </w:tcMar>
            <w:vAlign w:val="center"/>
          </w:tcPr>
          <w:p>
            <w:pPr>
              <w:jc w:val="center"/>
              <w:rPr>
                <w:b/>
              </w:rPr>
            </w:pPr>
            <w:r>
              <w:rPr>
                <w:b/>
              </w:rPr>
              <w:t>NW</w:t>
            </w:r>
          </w:p>
        </w:tc>
        <w:tc>
          <w:tcPr>
            <w:tcW w:w="355" w:type="pct"/>
            <w:tcMar>
              <w:top w:w="0" w:type="dxa"/>
              <w:left w:w="0" w:type="dxa"/>
              <w:bottom w:w="0" w:type="dxa"/>
              <w:right w:w="0" w:type="dxa"/>
            </w:tcMar>
            <w:vAlign w:val="center"/>
          </w:tcPr>
          <w:p>
            <w:pPr>
              <w:jc w:val="center"/>
              <w:rPr>
                <w:b/>
              </w:rPr>
            </w:pPr>
            <w:r>
              <w:rPr>
                <w:b/>
              </w:rPr>
              <w:t>NNW</w:t>
            </w:r>
          </w:p>
        </w:tc>
        <w:tc>
          <w:tcPr>
            <w:tcW w:w="295" w:type="pct"/>
            <w:tcMar>
              <w:top w:w="0" w:type="dxa"/>
              <w:left w:w="0" w:type="dxa"/>
              <w:bottom w:w="0" w:type="dxa"/>
              <w:right w:w="0" w:type="dxa"/>
            </w:tcMar>
            <w:vAlign w:val="center"/>
          </w:tcPr>
          <w:p>
            <w:pPr>
              <w:jc w:val="center"/>
              <w:rPr>
                <w:b/>
              </w:rPr>
            </w:pPr>
            <w:r>
              <w:rPr>
                <w:b/>
              </w:rPr>
              <w:t>静风</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97"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01</w:t>
            </w:r>
          </w:p>
        </w:tc>
        <w:tc>
          <w:tcPr>
            <w:tcW w:w="312"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1.3</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2.3</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11.6</w:t>
            </w:r>
          </w:p>
        </w:tc>
        <w:tc>
          <w:tcPr>
            <w:tcW w:w="480"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21.0</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12.6</w:t>
            </w:r>
          </w:p>
        </w:tc>
        <w:tc>
          <w:tcPr>
            <w:tcW w:w="44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3.5</w:t>
            </w:r>
          </w:p>
        </w:tc>
        <w:tc>
          <w:tcPr>
            <w:tcW w:w="31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2.2</w:t>
            </w:r>
          </w:p>
        </w:tc>
        <w:tc>
          <w:tcPr>
            <w:tcW w:w="42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1.4</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4.4</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6.6</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7.8</w:t>
            </w:r>
          </w:p>
        </w:tc>
        <w:tc>
          <w:tcPr>
            <w:tcW w:w="60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4.5</w:t>
            </w:r>
          </w:p>
        </w:tc>
        <w:tc>
          <w:tcPr>
            <w:tcW w:w="3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3.9</w:t>
            </w:r>
          </w:p>
        </w:tc>
        <w:tc>
          <w:tcPr>
            <w:tcW w:w="644"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2.0</w:t>
            </w:r>
          </w:p>
        </w:tc>
        <w:tc>
          <w:tcPr>
            <w:tcW w:w="4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1.9</w:t>
            </w:r>
          </w:p>
        </w:tc>
        <w:tc>
          <w:tcPr>
            <w:tcW w:w="5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1.2</w:t>
            </w:r>
          </w:p>
        </w:tc>
        <w:tc>
          <w:tcPr>
            <w:tcW w:w="4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11.9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97"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02</w:t>
            </w:r>
          </w:p>
        </w:tc>
        <w:tc>
          <w:tcPr>
            <w:tcW w:w="312"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0.9</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1.1</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13.6</w:t>
            </w:r>
          </w:p>
        </w:tc>
        <w:tc>
          <w:tcPr>
            <w:tcW w:w="480"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21.6</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10.9</w:t>
            </w:r>
          </w:p>
        </w:tc>
        <w:tc>
          <w:tcPr>
            <w:tcW w:w="44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4.6</w:t>
            </w:r>
          </w:p>
        </w:tc>
        <w:tc>
          <w:tcPr>
            <w:tcW w:w="31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2.1</w:t>
            </w:r>
          </w:p>
        </w:tc>
        <w:tc>
          <w:tcPr>
            <w:tcW w:w="42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1.6</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5.6</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8.4</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7.6</w:t>
            </w:r>
          </w:p>
        </w:tc>
        <w:tc>
          <w:tcPr>
            <w:tcW w:w="60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4.0</w:t>
            </w:r>
          </w:p>
        </w:tc>
        <w:tc>
          <w:tcPr>
            <w:tcW w:w="3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3.9</w:t>
            </w:r>
          </w:p>
        </w:tc>
        <w:tc>
          <w:tcPr>
            <w:tcW w:w="644"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2.0</w:t>
            </w:r>
          </w:p>
        </w:tc>
        <w:tc>
          <w:tcPr>
            <w:tcW w:w="4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1.5</w:t>
            </w:r>
          </w:p>
        </w:tc>
        <w:tc>
          <w:tcPr>
            <w:tcW w:w="5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0.7</w:t>
            </w:r>
          </w:p>
        </w:tc>
        <w:tc>
          <w:tcPr>
            <w:tcW w:w="4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9.9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97"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03</w:t>
            </w:r>
          </w:p>
        </w:tc>
        <w:tc>
          <w:tcPr>
            <w:tcW w:w="312"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0.9</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1.9</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12.9</w:t>
            </w:r>
          </w:p>
        </w:tc>
        <w:tc>
          <w:tcPr>
            <w:tcW w:w="480"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16.7</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8.5</w:t>
            </w:r>
          </w:p>
        </w:tc>
        <w:tc>
          <w:tcPr>
            <w:tcW w:w="44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3.6</w:t>
            </w:r>
          </w:p>
        </w:tc>
        <w:tc>
          <w:tcPr>
            <w:tcW w:w="31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2.3</w:t>
            </w:r>
          </w:p>
        </w:tc>
        <w:tc>
          <w:tcPr>
            <w:tcW w:w="42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2.8</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8.5</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10.7</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10.0</w:t>
            </w:r>
          </w:p>
        </w:tc>
        <w:tc>
          <w:tcPr>
            <w:tcW w:w="60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5.1</w:t>
            </w:r>
          </w:p>
        </w:tc>
        <w:tc>
          <w:tcPr>
            <w:tcW w:w="3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3.8</w:t>
            </w:r>
          </w:p>
        </w:tc>
        <w:tc>
          <w:tcPr>
            <w:tcW w:w="644"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3.0</w:t>
            </w:r>
          </w:p>
        </w:tc>
        <w:tc>
          <w:tcPr>
            <w:tcW w:w="4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1.7</w:t>
            </w:r>
          </w:p>
        </w:tc>
        <w:tc>
          <w:tcPr>
            <w:tcW w:w="5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1.4</w:t>
            </w:r>
          </w:p>
        </w:tc>
        <w:tc>
          <w:tcPr>
            <w:tcW w:w="4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6.2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97"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04</w:t>
            </w:r>
          </w:p>
        </w:tc>
        <w:tc>
          <w:tcPr>
            <w:tcW w:w="312"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0.9</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1.6</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11.7</w:t>
            </w:r>
          </w:p>
        </w:tc>
        <w:tc>
          <w:tcPr>
            <w:tcW w:w="480"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14.9</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9.1</w:t>
            </w:r>
          </w:p>
        </w:tc>
        <w:tc>
          <w:tcPr>
            <w:tcW w:w="44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4.9</w:t>
            </w:r>
          </w:p>
        </w:tc>
        <w:tc>
          <w:tcPr>
            <w:tcW w:w="31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3.0</w:t>
            </w:r>
          </w:p>
        </w:tc>
        <w:tc>
          <w:tcPr>
            <w:tcW w:w="42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3.1</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10.6</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11.8</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10.4</w:t>
            </w:r>
          </w:p>
        </w:tc>
        <w:tc>
          <w:tcPr>
            <w:tcW w:w="60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4.5</w:t>
            </w:r>
          </w:p>
        </w:tc>
        <w:tc>
          <w:tcPr>
            <w:tcW w:w="3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3.3</w:t>
            </w:r>
          </w:p>
        </w:tc>
        <w:tc>
          <w:tcPr>
            <w:tcW w:w="644"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2.0</w:t>
            </w:r>
          </w:p>
        </w:tc>
        <w:tc>
          <w:tcPr>
            <w:tcW w:w="4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1.6</w:t>
            </w:r>
          </w:p>
        </w:tc>
        <w:tc>
          <w:tcPr>
            <w:tcW w:w="5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0.7</w:t>
            </w:r>
          </w:p>
        </w:tc>
        <w:tc>
          <w:tcPr>
            <w:tcW w:w="4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5.8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97"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05</w:t>
            </w:r>
          </w:p>
        </w:tc>
        <w:tc>
          <w:tcPr>
            <w:tcW w:w="312"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1.1</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1.4</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10.1</w:t>
            </w:r>
          </w:p>
        </w:tc>
        <w:tc>
          <w:tcPr>
            <w:tcW w:w="480"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14.2</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9.0</w:t>
            </w:r>
          </w:p>
        </w:tc>
        <w:tc>
          <w:tcPr>
            <w:tcW w:w="44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4.6</w:t>
            </w:r>
          </w:p>
        </w:tc>
        <w:tc>
          <w:tcPr>
            <w:tcW w:w="31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3.6</w:t>
            </w:r>
          </w:p>
        </w:tc>
        <w:tc>
          <w:tcPr>
            <w:tcW w:w="42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3.5</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9.3</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12.0</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10.8</w:t>
            </w:r>
          </w:p>
        </w:tc>
        <w:tc>
          <w:tcPr>
            <w:tcW w:w="60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4.8</w:t>
            </w:r>
          </w:p>
        </w:tc>
        <w:tc>
          <w:tcPr>
            <w:tcW w:w="3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4.8</w:t>
            </w:r>
          </w:p>
        </w:tc>
        <w:tc>
          <w:tcPr>
            <w:tcW w:w="644"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2.0</w:t>
            </w:r>
          </w:p>
        </w:tc>
        <w:tc>
          <w:tcPr>
            <w:tcW w:w="4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1.6</w:t>
            </w:r>
          </w:p>
        </w:tc>
        <w:tc>
          <w:tcPr>
            <w:tcW w:w="5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1.1</w:t>
            </w:r>
          </w:p>
        </w:tc>
        <w:tc>
          <w:tcPr>
            <w:tcW w:w="4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97"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06</w:t>
            </w:r>
          </w:p>
        </w:tc>
        <w:tc>
          <w:tcPr>
            <w:tcW w:w="312"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1.7</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1.3</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12.1</w:t>
            </w:r>
          </w:p>
        </w:tc>
        <w:tc>
          <w:tcPr>
            <w:tcW w:w="480"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14.7</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10.3</w:t>
            </w:r>
          </w:p>
        </w:tc>
        <w:tc>
          <w:tcPr>
            <w:tcW w:w="44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6.3</w:t>
            </w:r>
          </w:p>
        </w:tc>
        <w:tc>
          <w:tcPr>
            <w:tcW w:w="31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3.9</w:t>
            </w:r>
          </w:p>
        </w:tc>
        <w:tc>
          <w:tcPr>
            <w:tcW w:w="42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5.0</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10.9</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10.5</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7.4</w:t>
            </w:r>
          </w:p>
        </w:tc>
        <w:tc>
          <w:tcPr>
            <w:tcW w:w="60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3.0</w:t>
            </w:r>
          </w:p>
        </w:tc>
        <w:tc>
          <w:tcPr>
            <w:tcW w:w="3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2.0</w:t>
            </w:r>
          </w:p>
        </w:tc>
        <w:tc>
          <w:tcPr>
            <w:tcW w:w="644"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1.7</w:t>
            </w:r>
          </w:p>
        </w:tc>
        <w:tc>
          <w:tcPr>
            <w:tcW w:w="4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1.7</w:t>
            </w:r>
          </w:p>
        </w:tc>
        <w:tc>
          <w:tcPr>
            <w:tcW w:w="5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0.9</w:t>
            </w:r>
          </w:p>
        </w:tc>
        <w:tc>
          <w:tcPr>
            <w:tcW w:w="4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6.7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97"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07</w:t>
            </w:r>
          </w:p>
        </w:tc>
        <w:tc>
          <w:tcPr>
            <w:tcW w:w="312"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1.3</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2.2</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10.8</w:t>
            </w:r>
          </w:p>
        </w:tc>
        <w:tc>
          <w:tcPr>
            <w:tcW w:w="480"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15.6</w:t>
            </w:r>
          </w:p>
        </w:tc>
        <w:tc>
          <w:tcPr>
            <w:tcW w:w="43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13.7</w:t>
            </w:r>
          </w:p>
        </w:tc>
        <w:tc>
          <w:tcPr>
            <w:tcW w:w="44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6.5</w:t>
            </w:r>
          </w:p>
        </w:tc>
        <w:tc>
          <w:tcPr>
            <w:tcW w:w="31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4.2</w:t>
            </w:r>
          </w:p>
        </w:tc>
        <w:tc>
          <w:tcPr>
            <w:tcW w:w="42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3.7</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9.8</w:t>
            </w:r>
          </w:p>
        </w:tc>
        <w:tc>
          <w:tcPr>
            <w:tcW w:w="508"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9.0</w:t>
            </w:r>
          </w:p>
        </w:tc>
        <w:tc>
          <w:tcPr>
            <w:tcW w:w="42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6.1</w:t>
            </w:r>
          </w:p>
        </w:tc>
        <w:tc>
          <w:tcPr>
            <w:tcW w:w="603"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2.6</w:t>
            </w:r>
          </w:p>
        </w:tc>
        <w:tc>
          <w:tcPr>
            <w:tcW w:w="3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1.8</w:t>
            </w:r>
          </w:p>
        </w:tc>
        <w:tc>
          <w:tcPr>
            <w:tcW w:w="644"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1.6</w:t>
            </w:r>
          </w:p>
        </w:tc>
        <w:tc>
          <w:tcPr>
            <w:tcW w:w="445"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1.5</w:t>
            </w:r>
          </w:p>
        </w:tc>
        <w:tc>
          <w:tcPr>
            <w:tcW w:w="5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1.5</w:t>
            </w:r>
          </w:p>
        </w:tc>
        <w:tc>
          <w:tcPr>
            <w:tcW w:w="491" w:type="dxa"/>
            <w:tcMar>
              <w:top w:w="0" w:type="dxa"/>
              <w:left w:w="0" w:type="dxa"/>
              <w:bottom w:w="0" w:type="dxa"/>
              <w:right w:w="0" w:type="dxa"/>
            </w:tcMar>
            <w:vAlign w:val="center"/>
          </w:tcPr>
          <w:p>
            <w:pPr>
              <w:pStyle w:val="803"/>
              <w:autoSpaceDE w:val="0"/>
              <w:autoSpaceDN w:val="0"/>
              <w:textAlignment w:val="auto"/>
              <w:rPr>
                <w:szCs w:val="21"/>
              </w:rPr>
            </w:pPr>
            <w:r>
              <w:rPr>
                <w:rFonts w:cs="Times New Roman"/>
                <w:szCs w:val="21"/>
              </w:rPr>
              <w:t>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97" w:type="dxa"/>
            <w:tcMar>
              <w:top w:w="0" w:type="dxa"/>
              <w:left w:w="0" w:type="dxa"/>
              <w:bottom w:w="0" w:type="dxa"/>
              <w:right w:w="0" w:type="dxa"/>
            </w:tcMar>
            <w:vAlign w:val="center"/>
          </w:tcPr>
          <w:p>
            <w:pPr>
              <w:pStyle w:val="803"/>
              <w:rPr>
                <w:szCs w:val="21"/>
              </w:rPr>
            </w:pPr>
            <w:r>
              <w:rPr>
                <w:rFonts w:cs="Times New Roman"/>
                <w:szCs w:val="21"/>
              </w:rPr>
              <w:t>08</w:t>
            </w:r>
          </w:p>
        </w:tc>
        <w:tc>
          <w:tcPr>
            <w:tcW w:w="312" w:type="dxa"/>
            <w:tcMar>
              <w:top w:w="0" w:type="dxa"/>
              <w:left w:w="0" w:type="dxa"/>
              <w:bottom w:w="0" w:type="dxa"/>
              <w:right w:w="0" w:type="dxa"/>
            </w:tcMar>
            <w:vAlign w:val="center"/>
          </w:tcPr>
          <w:p>
            <w:pPr>
              <w:pStyle w:val="803"/>
              <w:rPr>
                <w:szCs w:val="21"/>
              </w:rPr>
            </w:pPr>
            <w:r>
              <w:rPr>
                <w:rFonts w:cs="Times New Roman"/>
                <w:szCs w:val="21"/>
              </w:rPr>
              <w:t>1.8</w:t>
            </w:r>
          </w:p>
        </w:tc>
        <w:tc>
          <w:tcPr>
            <w:tcW w:w="508" w:type="dxa"/>
            <w:tcMar>
              <w:top w:w="0" w:type="dxa"/>
              <w:left w:w="0" w:type="dxa"/>
              <w:bottom w:w="0" w:type="dxa"/>
              <w:right w:w="0" w:type="dxa"/>
            </w:tcMar>
            <w:vAlign w:val="center"/>
          </w:tcPr>
          <w:p>
            <w:pPr>
              <w:pStyle w:val="803"/>
              <w:rPr>
                <w:szCs w:val="21"/>
              </w:rPr>
            </w:pPr>
            <w:r>
              <w:rPr>
                <w:rFonts w:cs="Times New Roman"/>
                <w:szCs w:val="21"/>
              </w:rPr>
              <w:t>2.1</w:t>
            </w:r>
          </w:p>
        </w:tc>
        <w:tc>
          <w:tcPr>
            <w:tcW w:w="435" w:type="dxa"/>
            <w:tcMar>
              <w:top w:w="0" w:type="dxa"/>
              <w:left w:w="0" w:type="dxa"/>
              <w:bottom w:w="0" w:type="dxa"/>
              <w:right w:w="0" w:type="dxa"/>
            </w:tcMar>
            <w:vAlign w:val="center"/>
          </w:tcPr>
          <w:p>
            <w:pPr>
              <w:pStyle w:val="803"/>
              <w:rPr>
                <w:szCs w:val="21"/>
              </w:rPr>
            </w:pPr>
            <w:r>
              <w:rPr>
                <w:rFonts w:cs="Times New Roman"/>
                <w:szCs w:val="21"/>
              </w:rPr>
              <w:t>16.0</w:t>
            </w:r>
          </w:p>
        </w:tc>
        <w:tc>
          <w:tcPr>
            <w:tcW w:w="480" w:type="dxa"/>
            <w:tcMar>
              <w:top w:w="0" w:type="dxa"/>
              <w:left w:w="0" w:type="dxa"/>
              <w:bottom w:w="0" w:type="dxa"/>
              <w:right w:w="0" w:type="dxa"/>
            </w:tcMar>
            <w:vAlign w:val="center"/>
          </w:tcPr>
          <w:p>
            <w:pPr>
              <w:pStyle w:val="803"/>
              <w:rPr>
                <w:szCs w:val="21"/>
              </w:rPr>
            </w:pPr>
            <w:r>
              <w:rPr>
                <w:rFonts w:cs="Times New Roman"/>
                <w:szCs w:val="21"/>
              </w:rPr>
              <w:t>18.0</w:t>
            </w:r>
          </w:p>
        </w:tc>
        <w:tc>
          <w:tcPr>
            <w:tcW w:w="435" w:type="dxa"/>
            <w:tcMar>
              <w:top w:w="0" w:type="dxa"/>
              <w:left w:w="0" w:type="dxa"/>
              <w:bottom w:w="0" w:type="dxa"/>
              <w:right w:w="0" w:type="dxa"/>
            </w:tcMar>
            <w:vAlign w:val="center"/>
          </w:tcPr>
          <w:p>
            <w:pPr>
              <w:pStyle w:val="803"/>
              <w:rPr>
                <w:szCs w:val="21"/>
              </w:rPr>
            </w:pPr>
            <w:r>
              <w:rPr>
                <w:rFonts w:cs="Times New Roman"/>
                <w:szCs w:val="21"/>
              </w:rPr>
              <w:t>12.8</w:t>
            </w:r>
          </w:p>
        </w:tc>
        <w:tc>
          <w:tcPr>
            <w:tcW w:w="441" w:type="dxa"/>
            <w:tcMar>
              <w:top w:w="0" w:type="dxa"/>
              <w:left w:w="0" w:type="dxa"/>
              <w:bottom w:w="0" w:type="dxa"/>
              <w:right w:w="0" w:type="dxa"/>
            </w:tcMar>
            <w:vAlign w:val="center"/>
          </w:tcPr>
          <w:p>
            <w:pPr>
              <w:pStyle w:val="803"/>
              <w:rPr>
                <w:szCs w:val="21"/>
              </w:rPr>
            </w:pPr>
            <w:r>
              <w:rPr>
                <w:rFonts w:cs="Times New Roman"/>
                <w:szCs w:val="21"/>
              </w:rPr>
              <w:t>5.0</w:t>
            </w:r>
          </w:p>
        </w:tc>
        <w:tc>
          <w:tcPr>
            <w:tcW w:w="313" w:type="dxa"/>
            <w:tcMar>
              <w:top w:w="0" w:type="dxa"/>
              <w:left w:w="0" w:type="dxa"/>
              <w:bottom w:w="0" w:type="dxa"/>
              <w:right w:w="0" w:type="dxa"/>
            </w:tcMar>
            <w:vAlign w:val="center"/>
          </w:tcPr>
          <w:p>
            <w:pPr>
              <w:pStyle w:val="803"/>
              <w:rPr>
                <w:szCs w:val="21"/>
              </w:rPr>
            </w:pPr>
            <w:r>
              <w:rPr>
                <w:rFonts w:cs="Times New Roman"/>
                <w:szCs w:val="21"/>
              </w:rPr>
              <w:t>3.6</w:t>
            </w:r>
          </w:p>
        </w:tc>
        <w:tc>
          <w:tcPr>
            <w:tcW w:w="428" w:type="dxa"/>
            <w:tcMar>
              <w:top w:w="0" w:type="dxa"/>
              <w:left w:w="0" w:type="dxa"/>
              <w:bottom w:w="0" w:type="dxa"/>
              <w:right w:w="0" w:type="dxa"/>
            </w:tcMar>
            <w:vAlign w:val="center"/>
          </w:tcPr>
          <w:p>
            <w:pPr>
              <w:pStyle w:val="803"/>
              <w:rPr>
                <w:szCs w:val="21"/>
              </w:rPr>
            </w:pPr>
            <w:r>
              <w:rPr>
                <w:rFonts w:cs="Times New Roman"/>
                <w:szCs w:val="21"/>
              </w:rPr>
              <w:t>3.1</w:t>
            </w:r>
          </w:p>
        </w:tc>
        <w:tc>
          <w:tcPr>
            <w:tcW w:w="425" w:type="dxa"/>
            <w:tcMar>
              <w:top w:w="0" w:type="dxa"/>
              <w:left w:w="0" w:type="dxa"/>
              <w:bottom w:w="0" w:type="dxa"/>
              <w:right w:w="0" w:type="dxa"/>
            </w:tcMar>
            <w:vAlign w:val="center"/>
          </w:tcPr>
          <w:p>
            <w:pPr>
              <w:pStyle w:val="803"/>
              <w:rPr>
                <w:szCs w:val="21"/>
              </w:rPr>
            </w:pPr>
            <w:r>
              <w:rPr>
                <w:rFonts w:cs="Times New Roman"/>
                <w:szCs w:val="21"/>
              </w:rPr>
              <w:t>6.0</w:t>
            </w:r>
          </w:p>
        </w:tc>
        <w:tc>
          <w:tcPr>
            <w:tcW w:w="508" w:type="dxa"/>
            <w:tcMar>
              <w:top w:w="0" w:type="dxa"/>
              <w:left w:w="0" w:type="dxa"/>
              <w:bottom w:w="0" w:type="dxa"/>
              <w:right w:w="0" w:type="dxa"/>
            </w:tcMar>
            <w:vAlign w:val="center"/>
          </w:tcPr>
          <w:p>
            <w:pPr>
              <w:pStyle w:val="803"/>
              <w:rPr>
                <w:szCs w:val="21"/>
              </w:rPr>
            </w:pPr>
            <w:r>
              <w:rPr>
                <w:rFonts w:cs="Times New Roman"/>
                <w:szCs w:val="21"/>
              </w:rPr>
              <w:t>5.9</w:t>
            </w:r>
          </w:p>
        </w:tc>
        <w:tc>
          <w:tcPr>
            <w:tcW w:w="425" w:type="dxa"/>
            <w:tcMar>
              <w:top w:w="0" w:type="dxa"/>
              <w:left w:w="0" w:type="dxa"/>
              <w:bottom w:w="0" w:type="dxa"/>
              <w:right w:w="0" w:type="dxa"/>
            </w:tcMar>
            <w:vAlign w:val="center"/>
          </w:tcPr>
          <w:p>
            <w:pPr>
              <w:pStyle w:val="803"/>
              <w:rPr>
                <w:szCs w:val="21"/>
              </w:rPr>
            </w:pPr>
            <w:r>
              <w:rPr>
                <w:rFonts w:cs="Times New Roman"/>
                <w:szCs w:val="21"/>
              </w:rPr>
              <w:t>4.7</w:t>
            </w:r>
          </w:p>
        </w:tc>
        <w:tc>
          <w:tcPr>
            <w:tcW w:w="603" w:type="dxa"/>
            <w:tcMar>
              <w:top w:w="0" w:type="dxa"/>
              <w:left w:w="0" w:type="dxa"/>
              <w:bottom w:w="0" w:type="dxa"/>
              <w:right w:w="0" w:type="dxa"/>
            </w:tcMar>
            <w:vAlign w:val="center"/>
          </w:tcPr>
          <w:p>
            <w:pPr>
              <w:pStyle w:val="803"/>
              <w:rPr>
                <w:szCs w:val="21"/>
              </w:rPr>
            </w:pPr>
            <w:r>
              <w:rPr>
                <w:rFonts w:cs="Times New Roman"/>
                <w:szCs w:val="21"/>
              </w:rPr>
              <w:t>1.9</w:t>
            </w:r>
          </w:p>
        </w:tc>
        <w:tc>
          <w:tcPr>
            <w:tcW w:w="345" w:type="dxa"/>
            <w:tcMar>
              <w:top w:w="0" w:type="dxa"/>
              <w:left w:w="0" w:type="dxa"/>
              <w:bottom w:w="0" w:type="dxa"/>
              <w:right w:w="0" w:type="dxa"/>
            </w:tcMar>
            <w:vAlign w:val="center"/>
          </w:tcPr>
          <w:p>
            <w:pPr>
              <w:pStyle w:val="803"/>
              <w:rPr>
                <w:szCs w:val="21"/>
              </w:rPr>
            </w:pPr>
            <w:r>
              <w:rPr>
                <w:rFonts w:cs="Times New Roman"/>
                <w:szCs w:val="21"/>
              </w:rPr>
              <w:t>2.4</w:t>
            </w:r>
          </w:p>
        </w:tc>
        <w:tc>
          <w:tcPr>
            <w:tcW w:w="644" w:type="dxa"/>
            <w:tcMar>
              <w:top w:w="0" w:type="dxa"/>
              <w:left w:w="0" w:type="dxa"/>
              <w:bottom w:w="0" w:type="dxa"/>
              <w:right w:w="0" w:type="dxa"/>
            </w:tcMar>
            <w:vAlign w:val="center"/>
          </w:tcPr>
          <w:p>
            <w:pPr>
              <w:pStyle w:val="803"/>
              <w:rPr>
                <w:szCs w:val="21"/>
              </w:rPr>
            </w:pPr>
            <w:r>
              <w:rPr>
                <w:rFonts w:cs="Times New Roman"/>
                <w:szCs w:val="21"/>
              </w:rPr>
              <w:t>2.3</w:t>
            </w:r>
          </w:p>
        </w:tc>
        <w:tc>
          <w:tcPr>
            <w:tcW w:w="445" w:type="dxa"/>
            <w:tcMar>
              <w:top w:w="0" w:type="dxa"/>
              <w:left w:w="0" w:type="dxa"/>
              <w:bottom w:w="0" w:type="dxa"/>
              <w:right w:w="0" w:type="dxa"/>
            </w:tcMar>
            <w:vAlign w:val="center"/>
          </w:tcPr>
          <w:p>
            <w:pPr>
              <w:pStyle w:val="803"/>
              <w:rPr>
                <w:szCs w:val="21"/>
              </w:rPr>
            </w:pPr>
            <w:r>
              <w:rPr>
                <w:rFonts w:cs="Times New Roman"/>
                <w:szCs w:val="21"/>
              </w:rPr>
              <w:t>2.0</w:t>
            </w:r>
          </w:p>
        </w:tc>
        <w:tc>
          <w:tcPr>
            <w:tcW w:w="591" w:type="dxa"/>
            <w:tcMar>
              <w:top w:w="0" w:type="dxa"/>
              <w:left w:w="0" w:type="dxa"/>
              <w:bottom w:w="0" w:type="dxa"/>
              <w:right w:w="0" w:type="dxa"/>
            </w:tcMar>
            <w:vAlign w:val="center"/>
          </w:tcPr>
          <w:p>
            <w:pPr>
              <w:pStyle w:val="803"/>
              <w:rPr>
                <w:szCs w:val="21"/>
              </w:rPr>
            </w:pPr>
            <w:r>
              <w:rPr>
                <w:rFonts w:cs="Times New Roman"/>
                <w:szCs w:val="21"/>
              </w:rPr>
              <w:t>1.2</w:t>
            </w:r>
          </w:p>
        </w:tc>
        <w:tc>
          <w:tcPr>
            <w:tcW w:w="491" w:type="dxa"/>
            <w:tcMar>
              <w:top w:w="0" w:type="dxa"/>
              <w:left w:w="0" w:type="dxa"/>
              <w:bottom w:w="0" w:type="dxa"/>
              <w:right w:w="0" w:type="dxa"/>
            </w:tcMar>
            <w:vAlign w:val="center"/>
          </w:tcPr>
          <w:p>
            <w:pPr>
              <w:pStyle w:val="803"/>
              <w:rPr>
                <w:szCs w:val="21"/>
              </w:rPr>
            </w:pPr>
            <w:r>
              <w:rPr>
                <w:rFonts w:cs="Times New Roman"/>
                <w:szCs w:val="21"/>
              </w:rPr>
              <w:t>11</w:t>
            </w:r>
            <w:r>
              <w:rPr>
                <w:rFonts w:hint="eastAsia" w:cs="Times New Roman"/>
                <w:szCs w:val="21"/>
                <w:lang w:val="en-US"/>
              </w:rPr>
              <w:t>.</w:t>
            </w:r>
            <w:r>
              <w:rPr>
                <w:rFonts w:cs="Times New Roman"/>
                <w:szCs w:val="21"/>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97" w:type="dxa"/>
            <w:tcMar>
              <w:top w:w="0" w:type="dxa"/>
              <w:left w:w="0" w:type="dxa"/>
              <w:bottom w:w="0" w:type="dxa"/>
              <w:right w:w="0" w:type="dxa"/>
            </w:tcMar>
            <w:vAlign w:val="center"/>
          </w:tcPr>
          <w:p>
            <w:pPr>
              <w:pStyle w:val="803"/>
              <w:rPr>
                <w:szCs w:val="21"/>
              </w:rPr>
            </w:pPr>
            <w:r>
              <w:rPr>
                <w:rFonts w:cs="Times New Roman"/>
                <w:szCs w:val="21"/>
              </w:rPr>
              <w:t>09</w:t>
            </w:r>
          </w:p>
        </w:tc>
        <w:tc>
          <w:tcPr>
            <w:tcW w:w="312" w:type="dxa"/>
            <w:tcMar>
              <w:top w:w="0" w:type="dxa"/>
              <w:left w:w="0" w:type="dxa"/>
              <w:bottom w:w="0" w:type="dxa"/>
              <w:right w:w="0" w:type="dxa"/>
            </w:tcMar>
            <w:vAlign w:val="center"/>
          </w:tcPr>
          <w:p>
            <w:pPr>
              <w:pStyle w:val="803"/>
              <w:rPr>
                <w:szCs w:val="21"/>
              </w:rPr>
            </w:pPr>
            <w:r>
              <w:rPr>
                <w:rFonts w:cs="Times New Roman"/>
                <w:szCs w:val="21"/>
              </w:rPr>
              <w:t>1.8</w:t>
            </w:r>
          </w:p>
        </w:tc>
        <w:tc>
          <w:tcPr>
            <w:tcW w:w="508" w:type="dxa"/>
            <w:tcMar>
              <w:top w:w="0" w:type="dxa"/>
              <w:left w:w="0" w:type="dxa"/>
              <w:bottom w:w="0" w:type="dxa"/>
              <w:right w:w="0" w:type="dxa"/>
            </w:tcMar>
            <w:vAlign w:val="center"/>
          </w:tcPr>
          <w:p>
            <w:pPr>
              <w:pStyle w:val="803"/>
              <w:rPr>
                <w:szCs w:val="21"/>
              </w:rPr>
            </w:pPr>
            <w:r>
              <w:rPr>
                <w:rFonts w:cs="Times New Roman"/>
                <w:szCs w:val="21"/>
              </w:rPr>
              <w:t>2.6</w:t>
            </w:r>
          </w:p>
        </w:tc>
        <w:tc>
          <w:tcPr>
            <w:tcW w:w="435" w:type="dxa"/>
            <w:tcMar>
              <w:top w:w="0" w:type="dxa"/>
              <w:left w:w="0" w:type="dxa"/>
              <w:bottom w:w="0" w:type="dxa"/>
              <w:right w:w="0" w:type="dxa"/>
            </w:tcMar>
            <w:vAlign w:val="center"/>
          </w:tcPr>
          <w:p>
            <w:pPr>
              <w:pStyle w:val="803"/>
              <w:rPr>
                <w:szCs w:val="21"/>
              </w:rPr>
            </w:pPr>
            <w:r>
              <w:rPr>
                <w:rFonts w:cs="Times New Roman"/>
                <w:szCs w:val="21"/>
              </w:rPr>
              <w:t>12.9</w:t>
            </w:r>
          </w:p>
        </w:tc>
        <w:tc>
          <w:tcPr>
            <w:tcW w:w="480" w:type="dxa"/>
            <w:tcMar>
              <w:top w:w="0" w:type="dxa"/>
              <w:left w:w="0" w:type="dxa"/>
              <w:bottom w:w="0" w:type="dxa"/>
              <w:right w:w="0" w:type="dxa"/>
            </w:tcMar>
            <w:vAlign w:val="center"/>
          </w:tcPr>
          <w:p>
            <w:pPr>
              <w:pStyle w:val="803"/>
              <w:rPr>
                <w:szCs w:val="21"/>
              </w:rPr>
            </w:pPr>
            <w:r>
              <w:rPr>
                <w:rFonts w:cs="Times New Roman"/>
                <w:szCs w:val="21"/>
              </w:rPr>
              <w:t>14.9</w:t>
            </w:r>
          </w:p>
        </w:tc>
        <w:tc>
          <w:tcPr>
            <w:tcW w:w="435" w:type="dxa"/>
            <w:tcMar>
              <w:top w:w="0" w:type="dxa"/>
              <w:left w:w="0" w:type="dxa"/>
              <w:bottom w:w="0" w:type="dxa"/>
              <w:right w:w="0" w:type="dxa"/>
            </w:tcMar>
            <w:vAlign w:val="center"/>
          </w:tcPr>
          <w:p>
            <w:pPr>
              <w:pStyle w:val="803"/>
              <w:rPr>
                <w:szCs w:val="21"/>
              </w:rPr>
            </w:pPr>
            <w:r>
              <w:rPr>
                <w:rFonts w:cs="Times New Roman"/>
                <w:szCs w:val="21"/>
              </w:rPr>
              <w:t>10.8</w:t>
            </w:r>
          </w:p>
        </w:tc>
        <w:tc>
          <w:tcPr>
            <w:tcW w:w="441" w:type="dxa"/>
            <w:tcMar>
              <w:top w:w="0" w:type="dxa"/>
              <w:left w:w="0" w:type="dxa"/>
              <w:bottom w:w="0" w:type="dxa"/>
              <w:right w:w="0" w:type="dxa"/>
            </w:tcMar>
            <w:vAlign w:val="center"/>
          </w:tcPr>
          <w:p>
            <w:pPr>
              <w:pStyle w:val="803"/>
              <w:rPr>
                <w:szCs w:val="21"/>
              </w:rPr>
            </w:pPr>
            <w:r>
              <w:rPr>
                <w:rFonts w:cs="Times New Roman"/>
                <w:szCs w:val="21"/>
              </w:rPr>
              <w:t>4.9</w:t>
            </w:r>
          </w:p>
        </w:tc>
        <w:tc>
          <w:tcPr>
            <w:tcW w:w="313" w:type="dxa"/>
            <w:tcMar>
              <w:top w:w="0" w:type="dxa"/>
              <w:left w:w="0" w:type="dxa"/>
              <w:bottom w:w="0" w:type="dxa"/>
              <w:right w:w="0" w:type="dxa"/>
            </w:tcMar>
            <w:vAlign w:val="center"/>
          </w:tcPr>
          <w:p>
            <w:pPr>
              <w:pStyle w:val="803"/>
              <w:rPr>
                <w:szCs w:val="21"/>
              </w:rPr>
            </w:pPr>
            <w:r>
              <w:rPr>
                <w:rFonts w:cs="Times New Roman"/>
                <w:szCs w:val="21"/>
              </w:rPr>
              <w:t>2.8</w:t>
            </w:r>
          </w:p>
        </w:tc>
        <w:tc>
          <w:tcPr>
            <w:tcW w:w="428" w:type="dxa"/>
            <w:tcMar>
              <w:top w:w="0" w:type="dxa"/>
              <w:left w:w="0" w:type="dxa"/>
              <w:bottom w:w="0" w:type="dxa"/>
              <w:right w:w="0" w:type="dxa"/>
            </w:tcMar>
            <w:vAlign w:val="center"/>
          </w:tcPr>
          <w:p>
            <w:pPr>
              <w:pStyle w:val="803"/>
              <w:rPr>
                <w:szCs w:val="21"/>
              </w:rPr>
            </w:pPr>
            <w:r>
              <w:rPr>
                <w:rFonts w:cs="Times New Roman"/>
                <w:szCs w:val="21"/>
              </w:rPr>
              <w:t>2.1</w:t>
            </w:r>
          </w:p>
        </w:tc>
        <w:tc>
          <w:tcPr>
            <w:tcW w:w="425" w:type="dxa"/>
            <w:tcMar>
              <w:top w:w="0" w:type="dxa"/>
              <w:left w:w="0" w:type="dxa"/>
              <w:bottom w:w="0" w:type="dxa"/>
              <w:right w:w="0" w:type="dxa"/>
            </w:tcMar>
            <w:vAlign w:val="center"/>
          </w:tcPr>
          <w:p>
            <w:pPr>
              <w:pStyle w:val="803"/>
              <w:rPr>
                <w:szCs w:val="21"/>
              </w:rPr>
            </w:pPr>
            <w:r>
              <w:rPr>
                <w:rFonts w:cs="Times New Roman"/>
                <w:szCs w:val="21"/>
              </w:rPr>
              <w:t>6.6</w:t>
            </w:r>
          </w:p>
        </w:tc>
        <w:tc>
          <w:tcPr>
            <w:tcW w:w="508" w:type="dxa"/>
            <w:tcMar>
              <w:top w:w="0" w:type="dxa"/>
              <w:left w:w="0" w:type="dxa"/>
              <w:bottom w:w="0" w:type="dxa"/>
              <w:right w:w="0" w:type="dxa"/>
            </w:tcMar>
            <w:vAlign w:val="center"/>
          </w:tcPr>
          <w:p>
            <w:pPr>
              <w:pStyle w:val="803"/>
              <w:rPr>
                <w:szCs w:val="21"/>
              </w:rPr>
            </w:pPr>
            <w:r>
              <w:rPr>
                <w:rFonts w:cs="Times New Roman"/>
                <w:szCs w:val="21"/>
              </w:rPr>
              <w:t>6.7</w:t>
            </w:r>
          </w:p>
        </w:tc>
        <w:tc>
          <w:tcPr>
            <w:tcW w:w="425" w:type="dxa"/>
            <w:tcMar>
              <w:top w:w="0" w:type="dxa"/>
              <w:left w:w="0" w:type="dxa"/>
              <w:bottom w:w="0" w:type="dxa"/>
              <w:right w:w="0" w:type="dxa"/>
            </w:tcMar>
            <w:vAlign w:val="center"/>
          </w:tcPr>
          <w:p>
            <w:pPr>
              <w:pStyle w:val="803"/>
              <w:rPr>
                <w:szCs w:val="21"/>
              </w:rPr>
            </w:pPr>
            <w:r>
              <w:rPr>
                <w:rFonts w:cs="Times New Roman"/>
                <w:szCs w:val="21"/>
              </w:rPr>
              <w:t>5.4</w:t>
            </w:r>
          </w:p>
        </w:tc>
        <w:tc>
          <w:tcPr>
            <w:tcW w:w="603" w:type="dxa"/>
            <w:tcMar>
              <w:top w:w="0" w:type="dxa"/>
              <w:left w:w="0" w:type="dxa"/>
              <w:bottom w:w="0" w:type="dxa"/>
              <w:right w:w="0" w:type="dxa"/>
            </w:tcMar>
            <w:vAlign w:val="center"/>
          </w:tcPr>
          <w:p>
            <w:pPr>
              <w:pStyle w:val="803"/>
              <w:rPr>
                <w:szCs w:val="21"/>
              </w:rPr>
            </w:pPr>
            <w:r>
              <w:rPr>
                <w:rFonts w:cs="Times New Roman"/>
                <w:szCs w:val="21"/>
              </w:rPr>
              <w:t>3.1</w:t>
            </w:r>
          </w:p>
        </w:tc>
        <w:tc>
          <w:tcPr>
            <w:tcW w:w="345" w:type="dxa"/>
            <w:tcMar>
              <w:top w:w="0" w:type="dxa"/>
              <w:left w:w="0" w:type="dxa"/>
              <w:bottom w:w="0" w:type="dxa"/>
              <w:right w:w="0" w:type="dxa"/>
            </w:tcMar>
            <w:vAlign w:val="center"/>
          </w:tcPr>
          <w:p>
            <w:pPr>
              <w:pStyle w:val="803"/>
              <w:rPr>
                <w:szCs w:val="21"/>
              </w:rPr>
            </w:pPr>
            <w:r>
              <w:rPr>
                <w:rFonts w:cs="Times New Roman"/>
                <w:szCs w:val="21"/>
              </w:rPr>
              <w:t>3.8</w:t>
            </w:r>
          </w:p>
        </w:tc>
        <w:tc>
          <w:tcPr>
            <w:tcW w:w="644" w:type="dxa"/>
            <w:tcMar>
              <w:top w:w="0" w:type="dxa"/>
              <w:left w:w="0" w:type="dxa"/>
              <w:bottom w:w="0" w:type="dxa"/>
              <w:right w:w="0" w:type="dxa"/>
            </w:tcMar>
            <w:vAlign w:val="center"/>
          </w:tcPr>
          <w:p>
            <w:pPr>
              <w:pStyle w:val="803"/>
              <w:rPr>
                <w:szCs w:val="21"/>
              </w:rPr>
            </w:pPr>
            <w:r>
              <w:rPr>
                <w:rFonts w:cs="Times New Roman"/>
                <w:szCs w:val="21"/>
              </w:rPr>
              <w:t>2.8</w:t>
            </w:r>
          </w:p>
        </w:tc>
        <w:tc>
          <w:tcPr>
            <w:tcW w:w="445" w:type="dxa"/>
            <w:tcMar>
              <w:top w:w="0" w:type="dxa"/>
              <w:left w:w="0" w:type="dxa"/>
              <w:bottom w:w="0" w:type="dxa"/>
              <w:right w:w="0" w:type="dxa"/>
            </w:tcMar>
            <w:vAlign w:val="center"/>
          </w:tcPr>
          <w:p>
            <w:pPr>
              <w:pStyle w:val="803"/>
              <w:rPr>
                <w:szCs w:val="21"/>
              </w:rPr>
            </w:pPr>
            <w:r>
              <w:rPr>
                <w:rFonts w:cs="Times New Roman"/>
                <w:szCs w:val="21"/>
              </w:rPr>
              <w:t>2.4</w:t>
            </w:r>
          </w:p>
        </w:tc>
        <w:tc>
          <w:tcPr>
            <w:tcW w:w="591" w:type="dxa"/>
            <w:tcMar>
              <w:top w:w="0" w:type="dxa"/>
              <w:left w:w="0" w:type="dxa"/>
              <w:bottom w:w="0" w:type="dxa"/>
              <w:right w:w="0" w:type="dxa"/>
            </w:tcMar>
            <w:vAlign w:val="center"/>
          </w:tcPr>
          <w:p>
            <w:pPr>
              <w:pStyle w:val="803"/>
              <w:rPr>
                <w:szCs w:val="21"/>
              </w:rPr>
            </w:pPr>
            <w:r>
              <w:rPr>
                <w:rFonts w:cs="Times New Roman"/>
                <w:szCs w:val="21"/>
              </w:rPr>
              <w:t>1.3</w:t>
            </w:r>
          </w:p>
        </w:tc>
        <w:tc>
          <w:tcPr>
            <w:tcW w:w="491" w:type="dxa"/>
            <w:tcMar>
              <w:top w:w="0" w:type="dxa"/>
              <w:left w:w="0" w:type="dxa"/>
              <w:bottom w:w="0" w:type="dxa"/>
              <w:right w:w="0" w:type="dxa"/>
            </w:tcMar>
            <w:vAlign w:val="center"/>
          </w:tcPr>
          <w:p>
            <w:pPr>
              <w:pStyle w:val="803"/>
              <w:rPr>
                <w:szCs w:val="21"/>
              </w:rPr>
            </w:pPr>
            <w:r>
              <w:rPr>
                <w:rFonts w:cs="Times New Roman"/>
                <w:szCs w:val="21"/>
              </w:rPr>
              <w:t>15.1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97" w:type="dxa"/>
            <w:tcMar>
              <w:top w:w="0" w:type="dxa"/>
              <w:left w:w="0" w:type="dxa"/>
              <w:bottom w:w="0" w:type="dxa"/>
              <w:right w:w="0" w:type="dxa"/>
            </w:tcMar>
            <w:vAlign w:val="center"/>
          </w:tcPr>
          <w:p>
            <w:pPr>
              <w:pStyle w:val="803"/>
              <w:rPr>
                <w:szCs w:val="21"/>
              </w:rPr>
            </w:pPr>
            <w:r>
              <w:rPr>
                <w:rFonts w:cs="Times New Roman"/>
                <w:szCs w:val="21"/>
              </w:rPr>
              <w:t>10</w:t>
            </w:r>
          </w:p>
        </w:tc>
        <w:tc>
          <w:tcPr>
            <w:tcW w:w="312" w:type="dxa"/>
            <w:tcMar>
              <w:top w:w="0" w:type="dxa"/>
              <w:left w:w="0" w:type="dxa"/>
              <w:bottom w:w="0" w:type="dxa"/>
              <w:right w:w="0" w:type="dxa"/>
            </w:tcMar>
            <w:vAlign w:val="center"/>
          </w:tcPr>
          <w:p>
            <w:pPr>
              <w:pStyle w:val="803"/>
              <w:rPr>
                <w:szCs w:val="21"/>
              </w:rPr>
            </w:pPr>
            <w:r>
              <w:rPr>
                <w:rFonts w:cs="Times New Roman"/>
                <w:szCs w:val="21"/>
              </w:rPr>
              <w:t>1.6</w:t>
            </w:r>
          </w:p>
        </w:tc>
        <w:tc>
          <w:tcPr>
            <w:tcW w:w="508" w:type="dxa"/>
            <w:tcMar>
              <w:top w:w="0" w:type="dxa"/>
              <w:left w:w="0" w:type="dxa"/>
              <w:bottom w:w="0" w:type="dxa"/>
              <w:right w:w="0" w:type="dxa"/>
            </w:tcMar>
            <w:vAlign w:val="center"/>
          </w:tcPr>
          <w:p>
            <w:pPr>
              <w:pStyle w:val="803"/>
              <w:rPr>
                <w:szCs w:val="21"/>
              </w:rPr>
            </w:pPr>
            <w:r>
              <w:rPr>
                <w:rFonts w:cs="Times New Roman"/>
                <w:szCs w:val="21"/>
              </w:rPr>
              <w:t>1.4</w:t>
            </w:r>
          </w:p>
        </w:tc>
        <w:tc>
          <w:tcPr>
            <w:tcW w:w="435" w:type="dxa"/>
            <w:tcMar>
              <w:top w:w="0" w:type="dxa"/>
              <w:left w:w="0" w:type="dxa"/>
              <w:bottom w:w="0" w:type="dxa"/>
              <w:right w:w="0" w:type="dxa"/>
            </w:tcMar>
            <w:vAlign w:val="center"/>
          </w:tcPr>
          <w:p>
            <w:pPr>
              <w:pStyle w:val="803"/>
              <w:rPr>
                <w:szCs w:val="21"/>
              </w:rPr>
            </w:pPr>
            <w:r>
              <w:rPr>
                <w:rFonts w:cs="Times New Roman"/>
                <w:szCs w:val="21"/>
              </w:rPr>
              <w:t>10.1</w:t>
            </w:r>
          </w:p>
        </w:tc>
        <w:tc>
          <w:tcPr>
            <w:tcW w:w="480" w:type="dxa"/>
            <w:tcMar>
              <w:top w:w="0" w:type="dxa"/>
              <w:left w:w="0" w:type="dxa"/>
              <w:bottom w:w="0" w:type="dxa"/>
              <w:right w:w="0" w:type="dxa"/>
            </w:tcMar>
            <w:vAlign w:val="center"/>
          </w:tcPr>
          <w:p>
            <w:pPr>
              <w:pStyle w:val="803"/>
              <w:rPr>
                <w:szCs w:val="21"/>
              </w:rPr>
            </w:pPr>
            <w:r>
              <w:rPr>
                <w:rFonts w:cs="Times New Roman"/>
                <w:szCs w:val="21"/>
              </w:rPr>
              <w:t>17.9</w:t>
            </w:r>
          </w:p>
        </w:tc>
        <w:tc>
          <w:tcPr>
            <w:tcW w:w="435" w:type="dxa"/>
            <w:tcMar>
              <w:top w:w="0" w:type="dxa"/>
              <w:left w:w="0" w:type="dxa"/>
              <w:bottom w:w="0" w:type="dxa"/>
              <w:right w:w="0" w:type="dxa"/>
            </w:tcMar>
            <w:vAlign w:val="center"/>
          </w:tcPr>
          <w:p>
            <w:pPr>
              <w:pStyle w:val="803"/>
              <w:rPr>
                <w:szCs w:val="21"/>
              </w:rPr>
            </w:pPr>
            <w:r>
              <w:rPr>
                <w:rFonts w:cs="Times New Roman"/>
                <w:szCs w:val="21"/>
              </w:rPr>
              <w:t>6.8</w:t>
            </w:r>
          </w:p>
        </w:tc>
        <w:tc>
          <w:tcPr>
            <w:tcW w:w="441" w:type="dxa"/>
            <w:tcMar>
              <w:top w:w="0" w:type="dxa"/>
              <w:left w:w="0" w:type="dxa"/>
              <w:bottom w:w="0" w:type="dxa"/>
              <w:right w:w="0" w:type="dxa"/>
            </w:tcMar>
            <w:vAlign w:val="center"/>
          </w:tcPr>
          <w:p>
            <w:pPr>
              <w:pStyle w:val="803"/>
              <w:rPr>
                <w:szCs w:val="21"/>
              </w:rPr>
            </w:pPr>
            <w:r>
              <w:rPr>
                <w:rFonts w:cs="Times New Roman"/>
                <w:szCs w:val="21"/>
              </w:rPr>
              <w:t>3.2</w:t>
            </w:r>
          </w:p>
        </w:tc>
        <w:tc>
          <w:tcPr>
            <w:tcW w:w="313" w:type="dxa"/>
            <w:tcMar>
              <w:top w:w="0" w:type="dxa"/>
              <w:left w:w="0" w:type="dxa"/>
              <w:bottom w:w="0" w:type="dxa"/>
              <w:right w:w="0" w:type="dxa"/>
            </w:tcMar>
            <w:vAlign w:val="center"/>
          </w:tcPr>
          <w:p>
            <w:pPr>
              <w:pStyle w:val="803"/>
              <w:rPr>
                <w:szCs w:val="21"/>
              </w:rPr>
            </w:pPr>
            <w:r>
              <w:rPr>
                <w:rFonts w:cs="Times New Roman"/>
                <w:szCs w:val="21"/>
              </w:rPr>
              <w:t>2.2</w:t>
            </w:r>
          </w:p>
        </w:tc>
        <w:tc>
          <w:tcPr>
            <w:tcW w:w="428" w:type="dxa"/>
            <w:tcMar>
              <w:top w:w="0" w:type="dxa"/>
              <w:left w:w="0" w:type="dxa"/>
              <w:bottom w:w="0" w:type="dxa"/>
              <w:right w:w="0" w:type="dxa"/>
            </w:tcMar>
            <w:vAlign w:val="center"/>
          </w:tcPr>
          <w:p>
            <w:pPr>
              <w:pStyle w:val="803"/>
              <w:rPr>
                <w:szCs w:val="21"/>
              </w:rPr>
            </w:pPr>
            <w:r>
              <w:rPr>
                <w:rFonts w:cs="Times New Roman"/>
                <w:szCs w:val="21"/>
              </w:rPr>
              <w:t>1.4</w:t>
            </w:r>
          </w:p>
        </w:tc>
        <w:tc>
          <w:tcPr>
            <w:tcW w:w="425" w:type="dxa"/>
            <w:tcMar>
              <w:top w:w="0" w:type="dxa"/>
              <w:left w:w="0" w:type="dxa"/>
              <w:bottom w:w="0" w:type="dxa"/>
              <w:right w:w="0" w:type="dxa"/>
            </w:tcMar>
            <w:vAlign w:val="center"/>
          </w:tcPr>
          <w:p>
            <w:pPr>
              <w:pStyle w:val="803"/>
              <w:rPr>
                <w:szCs w:val="21"/>
              </w:rPr>
            </w:pPr>
            <w:r>
              <w:rPr>
                <w:rFonts w:cs="Times New Roman"/>
                <w:szCs w:val="21"/>
              </w:rPr>
              <w:t>5.1</w:t>
            </w:r>
          </w:p>
        </w:tc>
        <w:tc>
          <w:tcPr>
            <w:tcW w:w="508" w:type="dxa"/>
            <w:tcMar>
              <w:top w:w="0" w:type="dxa"/>
              <w:left w:w="0" w:type="dxa"/>
              <w:bottom w:w="0" w:type="dxa"/>
              <w:right w:w="0" w:type="dxa"/>
            </w:tcMar>
            <w:vAlign w:val="center"/>
          </w:tcPr>
          <w:p>
            <w:pPr>
              <w:pStyle w:val="803"/>
              <w:rPr>
                <w:szCs w:val="21"/>
              </w:rPr>
            </w:pPr>
            <w:r>
              <w:rPr>
                <w:rFonts w:cs="Times New Roman"/>
                <w:szCs w:val="21"/>
              </w:rPr>
              <w:t>10.8</w:t>
            </w:r>
          </w:p>
        </w:tc>
        <w:tc>
          <w:tcPr>
            <w:tcW w:w="425" w:type="dxa"/>
            <w:tcMar>
              <w:top w:w="0" w:type="dxa"/>
              <w:left w:w="0" w:type="dxa"/>
              <w:bottom w:w="0" w:type="dxa"/>
              <w:right w:w="0" w:type="dxa"/>
            </w:tcMar>
            <w:vAlign w:val="center"/>
          </w:tcPr>
          <w:p>
            <w:pPr>
              <w:pStyle w:val="803"/>
              <w:rPr>
                <w:szCs w:val="21"/>
              </w:rPr>
            </w:pPr>
            <w:r>
              <w:rPr>
                <w:rFonts w:cs="Times New Roman"/>
                <w:szCs w:val="21"/>
              </w:rPr>
              <w:t>9.4</w:t>
            </w:r>
          </w:p>
        </w:tc>
        <w:tc>
          <w:tcPr>
            <w:tcW w:w="603" w:type="dxa"/>
            <w:tcMar>
              <w:top w:w="0" w:type="dxa"/>
              <w:left w:w="0" w:type="dxa"/>
              <w:bottom w:w="0" w:type="dxa"/>
              <w:right w:w="0" w:type="dxa"/>
            </w:tcMar>
            <w:vAlign w:val="center"/>
          </w:tcPr>
          <w:p>
            <w:pPr>
              <w:pStyle w:val="803"/>
              <w:rPr>
                <w:szCs w:val="21"/>
              </w:rPr>
            </w:pPr>
            <w:r>
              <w:rPr>
                <w:rFonts w:cs="Times New Roman"/>
                <w:szCs w:val="21"/>
              </w:rPr>
              <w:t>6.0</w:t>
            </w:r>
          </w:p>
        </w:tc>
        <w:tc>
          <w:tcPr>
            <w:tcW w:w="345" w:type="dxa"/>
            <w:tcMar>
              <w:top w:w="0" w:type="dxa"/>
              <w:left w:w="0" w:type="dxa"/>
              <w:bottom w:w="0" w:type="dxa"/>
              <w:right w:w="0" w:type="dxa"/>
            </w:tcMar>
            <w:vAlign w:val="center"/>
          </w:tcPr>
          <w:p>
            <w:pPr>
              <w:pStyle w:val="803"/>
              <w:rPr>
                <w:szCs w:val="21"/>
              </w:rPr>
            </w:pPr>
            <w:r>
              <w:rPr>
                <w:rFonts w:cs="Times New Roman"/>
                <w:szCs w:val="21"/>
              </w:rPr>
              <w:t>3.4</w:t>
            </w:r>
          </w:p>
        </w:tc>
        <w:tc>
          <w:tcPr>
            <w:tcW w:w="644" w:type="dxa"/>
            <w:tcMar>
              <w:top w:w="0" w:type="dxa"/>
              <w:left w:w="0" w:type="dxa"/>
              <w:bottom w:w="0" w:type="dxa"/>
              <w:right w:w="0" w:type="dxa"/>
            </w:tcMar>
            <w:vAlign w:val="center"/>
          </w:tcPr>
          <w:p>
            <w:pPr>
              <w:pStyle w:val="803"/>
              <w:rPr>
                <w:szCs w:val="21"/>
              </w:rPr>
            </w:pPr>
            <w:r>
              <w:rPr>
                <w:rFonts w:cs="Times New Roman"/>
                <w:szCs w:val="21"/>
              </w:rPr>
              <w:t>1.9</w:t>
            </w:r>
          </w:p>
        </w:tc>
        <w:tc>
          <w:tcPr>
            <w:tcW w:w="445" w:type="dxa"/>
            <w:tcMar>
              <w:top w:w="0" w:type="dxa"/>
              <w:left w:w="0" w:type="dxa"/>
              <w:bottom w:w="0" w:type="dxa"/>
              <w:right w:w="0" w:type="dxa"/>
            </w:tcMar>
            <w:vAlign w:val="center"/>
          </w:tcPr>
          <w:p>
            <w:pPr>
              <w:pStyle w:val="803"/>
              <w:rPr>
                <w:szCs w:val="21"/>
              </w:rPr>
            </w:pPr>
            <w:r>
              <w:rPr>
                <w:rFonts w:cs="Times New Roman"/>
                <w:szCs w:val="21"/>
              </w:rPr>
              <w:t>1.9</w:t>
            </w:r>
          </w:p>
        </w:tc>
        <w:tc>
          <w:tcPr>
            <w:tcW w:w="591" w:type="dxa"/>
            <w:tcMar>
              <w:top w:w="0" w:type="dxa"/>
              <w:left w:w="0" w:type="dxa"/>
              <w:bottom w:w="0" w:type="dxa"/>
              <w:right w:w="0" w:type="dxa"/>
            </w:tcMar>
            <w:vAlign w:val="center"/>
          </w:tcPr>
          <w:p>
            <w:pPr>
              <w:pStyle w:val="803"/>
              <w:rPr>
                <w:szCs w:val="21"/>
              </w:rPr>
            </w:pPr>
            <w:r>
              <w:rPr>
                <w:rFonts w:cs="Times New Roman"/>
                <w:szCs w:val="21"/>
              </w:rPr>
              <w:t>0.7</w:t>
            </w:r>
          </w:p>
        </w:tc>
        <w:tc>
          <w:tcPr>
            <w:tcW w:w="491" w:type="dxa"/>
            <w:tcMar>
              <w:top w:w="0" w:type="dxa"/>
              <w:left w:w="0" w:type="dxa"/>
              <w:bottom w:w="0" w:type="dxa"/>
              <w:right w:w="0" w:type="dxa"/>
            </w:tcMar>
            <w:vAlign w:val="center"/>
          </w:tcPr>
          <w:p>
            <w:pPr>
              <w:pStyle w:val="803"/>
              <w:rPr>
                <w:szCs w:val="21"/>
              </w:rPr>
            </w:pPr>
            <w:r>
              <w:rPr>
                <w:rFonts w:cs="Times New Roman"/>
                <w:szCs w:val="21"/>
              </w:rPr>
              <w:t>16.1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97" w:type="dxa"/>
            <w:tcMar>
              <w:top w:w="0" w:type="dxa"/>
              <w:left w:w="0" w:type="dxa"/>
              <w:bottom w:w="0" w:type="dxa"/>
              <w:right w:w="0" w:type="dxa"/>
            </w:tcMar>
            <w:vAlign w:val="center"/>
          </w:tcPr>
          <w:p>
            <w:pPr>
              <w:pStyle w:val="803"/>
              <w:rPr>
                <w:szCs w:val="21"/>
              </w:rPr>
            </w:pPr>
            <w:r>
              <w:rPr>
                <w:rFonts w:cs="Times New Roman"/>
                <w:szCs w:val="21"/>
              </w:rPr>
              <w:t>11</w:t>
            </w:r>
          </w:p>
        </w:tc>
        <w:tc>
          <w:tcPr>
            <w:tcW w:w="312" w:type="dxa"/>
            <w:tcMar>
              <w:top w:w="0" w:type="dxa"/>
              <w:left w:w="0" w:type="dxa"/>
              <w:bottom w:w="0" w:type="dxa"/>
              <w:right w:w="0" w:type="dxa"/>
            </w:tcMar>
            <w:vAlign w:val="center"/>
          </w:tcPr>
          <w:p>
            <w:pPr>
              <w:pStyle w:val="803"/>
              <w:rPr>
                <w:szCs w:val="21"/>
              </w:rPr>
            </w:pPr>
            <w:r>
              <w:rPr>
                <w:rFonts w:cs="Times New Roman"/>
                <w:szCs w:val="21"/>
              </w:rPr>
              <w:t>1.5</w:t>
            </w:r>
          </w:p>
        </w:tc>
        <w:tc>
          <w:tcPr>
            <w:tcW w:w="508" w:type="dxa"/>
            <w:tcMar>
              <w:top w:w="0" w:type="dxa"/>
              <w:left w:w="0" w:type="dxa"/>
              <w:bottom w:w="0" w:type="dxa"/>
              <w:right w:w="0" w:type="dxa"/>
            </w:tcMar>
            <w:vAlign w:val="center"/>
          </w:tcPr>
          <w:p>
            <w:pPr>
              <w:pStyle w:val="803"/>
              <w:rPr>
                <w:szCs w:val="21"/>
              </w:rPr>
            </w:pPr>
            <w:r>
              <w:rPr>
                <w:rFonts w:cs="Times New Roman"/>
                <w:szCs w:val="21"/>
              </w:rPr>
              <w:t>1.6</w:t>
            </w:r>
          </w:p>
        </w:tc>
        <w:tc>
          <w:tcPr>
            <w:tcW w:w="435" w:type="dxa"/>
            <w:tcMar>
              <w:top w:w="0" w:type="dxa"/>
              <w:left w:w="0" w:type="dxa"/>
              <w:bottom w:w="0" w:type="dxa"/>
              <w:right w:w="0" w:type="dxa"/>
            </w:tcMar>
            <w:vAlign w:val="center"/>
          </w:tcPr>
          <w:p>
            <w:pPr>
              <w:pStyle w:val="803"/>
              <w:rPr>
                <w:szCs w:val="21"/>
              </w:rPr>
            </w:pPr>
            <w:r>
              <w:rPr>
                <w:rFonts w:cs="Times New Roman"/>
                <w:szCs w:val="21"/>
              </w:rPr>
              <w:t>10.9</w:t>
            </w:r>
          </w:p>
        </w:tc>
        <w:tc>
          <w:tcPr>
            <w:tcW w:w="480" w:type="dxa"/>
            <w:tcMar>
              <w:top w:w="0" w:type="dxa"/>
              <w:left w:w="0" w:type="dxa"/>
              <w:bottom w:w="0" w:type="dxa"/>
              <w:right w:w="0" w:type="dxa"/>
            </w:tcMar>
            <w:vAlign w:val="center"/>
          </w:tcPr>
          <w:p>
            <w:pPr>
              <w:pStyle w:val="803"/>
              <w:rPr>
                <w:szCs w:val="21"/>
              </w:rPr>
            </w:pPr>
            <w:r>
              <w:rPr>
                <w:rFonts w:cs="Times New Roman"/>
                <w:szCs w:val="21"/>
              </w:rPr>
              <w:t>16.7</w:t>
            </w:r>
          </w:p>
        </w:tc>
        <w:tc>
          <w:tcPr>
            <w:tcW w:w="435" w:type="dxa"/>
            <w:tcMar>
              <w:top w:w="0" w:type="dxa"/>
              <w:left w:w="0" w:type="dxa"/>
              <w:bottom w:w="0" w:type="dxa"/>
              <w:right w:w="0" w:type="dxa"/>
            </w:tcMar>
            <w:vAlign w:val="center"/>
          </w:tcPr>
          <w:p>
            <w:pPr>
              <w:pStyle w:val="803"/>
              <w:rPr>
                <w:szCs w:val="21"/>
              </w:rPr>
            </w:pPr>
            <w:r>
              <w:rPr>
                <w:rFonts w:cs="Times New Roman"/>
                <w:szCs w:val="21"/>
              </w:rPr>
              <w:t>10.2</w:t>
            </w:r>
          </w:p>
        </w:tc>
        <w:tc>
          <w:tcPr>
            <w:tcW w:w="441" w:type="dxa"/>
            <w:tcMar>
              <w:top w:w="0" w:type="dxa"/>
              <w:left w:w="0" w:type="dxa"/>
              <w:bottom w:w="0" w:type="dxa"/>
              <w:right w:w="0" w:type="dxa"/>
            </w:tcMar>
            <w:vAlign w:val="center"/>
          </w:tcPr>
          <w:p>
            <w:pPr>
              <w:pStyle w:val="803"/>
              <w:rPr>
                <w:szCs w:val="21"/>
              </w:rPr>
            </w:pPr>
            <w:r>
              <w:rPr>
                <w:rFonts w:cs="Times New Roman"/>
                <w:szCs w:val="21"/>
              </w:rPr>
              <w:t>2.3</w:t>
            </w:r>
          </w:p>
        </w:tc>
        <w:tc>
          <w:tcPr>
            <w:tcW w:w="313" w:type="dxa"/>
            <w:tcMar>
              <w:top w:w="0" w:type="dxa"/>
              <w:left w:w="0" w:type="dxa"/>
              <w:bottom w:w="0" w:type="dxa"/>
              <w:right w:w="0" w:type="dxa"/>
            </w:tcMar>
            <w:vAlign w:val="center"/>
          </w:tcPr>
          <w:p>
            <w:pPr>
              <w:pStyle w:val="803"/>
              <w:rPr>
                <w:szCs w:val="21"/>
              </w:rPr>
            </w:pPr>
            <w:r>
              <w:rPr>
                <w:rFonts w:cs="Times New Roman"/>
                <w:szCs w:val="21"/>
              </w:rPr>
              <w:t>1.6</w:t>
            </w:r>
          </w:p>
        </w:tc>
        <w:tc>
          <w:tcPr>
            <w:tcW w:w="428" w:type="dxa"/>
            <w:tcMar>
              <w:top w:w="0" w:type="dxa"/>
              <w:left w:w="0" w:type="dxa"/>
              <w:bottom w:w="0" w:type="dxa"/>
              <w:right w:w="0" w:type="dxa"/>
            </w:tcMar>
            <w:vAlign w:val="center"/>
          </w:tcPr>
          <w:p>
            <w:pPr>
              <w:pStyle w:val="803"/>
              <w:rPr>
                <w:szCs w:val="21"/>
              </w:rPr>
            </w:pPr>
            <w:r>
              <w:rPr>
                <w:rFonts w:cs="Times New Roman"/>
                <w:szCs w:val="21"/>
              </w:rPr>
              <w:t>1.6</w:t>
            </w:r>
          </w:p>
        </w:tc>
        <w:tc>
          <w:tcPr>
            <w:tcW w:w="425" w:type="dxa"/>
            <w:tcMar>
              <w:top w:w="0" w:type="dxa"/>
              <w:left w:w="0" w:type="dxa"/>
              <w:bottom w:w="0" w:type="dxa"/>
              <w:right w:w="0" w:type="dxa"/>
            </w:tcMar>
            <w:vAlign w:val="center"/>
          </w:tcPr>
          <w:p>
            <w:pPr>
              <w:pStyle w:val="803"/>
              <w:rPr>
                <w:szCs w:val="21"/>
              </w:rPr>
            </w:pPr>
            <w:r>
              <w:rPr>
                <w:rFonts w:cs="Times New Roman"/>
                <w:szCs w:val="21"/>
              </w:rPr>
              <w:t>3.5</w:t>
            </w:r>
          </w:p>
        </w:tc>
        <w:tc>
          <w:tcPr>
            <w:tcW w:w="508" w:type="dxa"/>
            <w:tcMar>
              <w:top w:w="0" w:type="dxa"/>
              <w:left w:w="0" w:type="dxa"/>
              <w:bottom w:w="0" w:type="dxa"/>
              <w:right w:w="0" w:type="dxa"/>
            </w:tcMar>
            <w:vAlign w:val="center"/>
          </w:tcPr>
          <w:p>
            <w:pPr>
              <w:pStyle w:val="803"/>
              <w:rPr>
                <w:szCs w:val="21"/>
              </w:rPr>
            </w:pPr>
            <w:r>
              <w:rPr>
                <w:rFonts w:cs="Times New Roman"/>
                <w:szCs w:val="21"/>
              </w:rPr>
              <w:t>9.7</w:t>
            </w:r>
          </w:p>
        </w:tc>
        <w:tc>
          <w:tcPr>
            <w:tcW w:w="425" w:type="dxa"/>
            <w:tcMar>
              <w:top w:w="0" w:type="dxa"/>
              <w:left w:w="0" w:type="dxa"/>
              <w:bottom w:w="0" w:type="dxa"/>
              <w:right w:w="0" w:type="dxa"/>
            </w:tcMar>
            <w:vAlign w:val="center"/>
          </w:tcPr>
          <w:p>
            <w:pPr>
              <w:pStyle w:val="803"/>
              <w:rPr>
                <w:szCs w:val="21"/>
              </w:rPr>
            </w:pPr>
            <w:r>
              <w:rPr>
                <w:rFonts w:cs="Times New Roman"/>
                <w:szCs w:val="21"/>
              </w:rPr>
              <w:t>9.3</w:t>
            </w:r>
          </w:p>
        </w:tc>
        <w:tc>
          <w:tcPr>
            <w:tcW w:w="603" w:type="dxa"/>
            <w:tcMar>
              <w:top w:w="0" w:type="dxa"/>
              <w:left w:w="0" w:type="dxa"/>
              <w:bottom w:w="0" w:type="dxa"/>
              <w:right w:w="0" w:type="dxa"/>
            </w:tcMar>
            <w:vAlign w:val="center"/>
          </w:tcPr>
          <w:p>
            <w:pPr>
              <w:pStyle w:val="803"/>
              <w:rPr>
                <w:szCs w:val="21"/>
              </w:rPr>
            </w:pPr>
            <w:r>
              <w:rPr>
                <w:rFonts w:cs="Times New Roman"/>
                <w:szCs w:val="21"/>
              </w:rPr>
              <w:t>6.7</w:t>
            </w:r>
          </w:p>
        </w:tc>
        <w:tc>
          <w:tcPr>
            <w:tcW w:w="345" w:type="dxa"/>
            <w:tcMar>
              <w:top w:w="0" w:type="dxa"/>
              <w:left w:w="0" w:type="dxa"/>
              <w:bottom w:w="0" w:type="dxa"/>
              <w:right w:w="0" w:type="dxa"/>
            </w:tcMar>
            <w:vAlign w:val="center"/>
          </w:tcPr>
          <w:p>
            <w:pPr>
              <w:pStyle w:val="803"/>
              <w:rPr>
                <w:szCs w:val="21"/>
              </w:rPr>
            </w:pPr>
            <w:r>
              <w:rPr>
                <w:rFonts w:cs="Times New Roman"/>
                <w:szCs w:val="21"/>
              </w:rPr>
              <w:t>5.1</w:t>
            </w:r>
          </w:p>
        </w:tc>
        <w:tc>
          <w:tcPr>
            <w:tcW w:w="644" w:type="dxa"/>
            <w:tcMar>
              <w:top w:w="0" w:type="dxa"/>
              <w:left w:w="0" w:type="dxa"/>
              <w:bottom w:w="0" w:type="dxa"/>
              <w:right w:w="0" w:type="dxa"/>
            </w:tcMar>
            <w:vAlign w:val="center"/>
          </w:tcPr>
          <w:p>
            <w:pPr>
              <w:pStyle w:val="803"/>
              <w:rPr>
                <w:szCs w:val="21"/>
              </w:rPr>
            </w:pPr>
            <w:r>
              <w:rPr>
                <w:rFonts w:cs="Times New Roman"/>
                <w:szCs w:val="21"/>
              </w:rPr>
              <w:t>2.5</w:t>
            </w:r>
          </w:p>
        </w:tc>
        <w:tc>
          <w:tcPr>
            <w:tcW w:w="445" w:type="dxa"/>
            <w:tcMar>
              <w:top w:w="0" w:type="dxa"/>
              <w:left w:w="0" w:type="dxa"/>
              <w:bottom w:w="0" w:type="dxa"/>
              <w:right w:w="0" w:type="dxa"/>
            </w:tcMar>
            <w:vAlign w:val="center"/>
          </w:tcPr>
          <w:p>
            <w:pPr>
              <w:pStyle w:val="803"/>
              <w:rPr>
                <w:szCs w:val="21"/>
              </w:rPr>
            </w:pPr>
            <w:r>
              <w:rPr>
                <w:rFonts w:cs="Times New Roman"/>
                <w:szCs w:val="21"/>
              </w:rPr>
              <w:t>2.2</w:t>
            </w:r>
          </w:p>
        </w:tc>
        <w:tc>
          <w:tcPr>
            <w:tcW w:w="591" w:type="dxa"/>
            <w:tcMar>
              <w:top w:w="0" w:type="dxa"/>
              <w:left w:w="0" w:type="dxa"/>
              <w:bottom w:w="0" w:type="dxa"/>
              <w:right w:w="0" w:type="dxa"/>
            </w:tcMar>
            <w:vAlign w:val="center"/>
          </w:tcPr>
          <w:p>
            <w:pPr>
              <w:pStyle w:val="803"/>
              <w:rPr>
                <w:szCs w:val="21"/>
              </w:rPr>
            </w:pPr>
            <w:r>
              <w:rPr>
                <w:rFonts w:cs="Times New Roman"/>
                <w:szCs w:val="21"/>
              </w:rPr>
              <w:t>1.3</w:t>
            </w:r>
          </w:p>
        </w:tc>
        <w:tc>
          <w:tcPr>
            <w:tcW w:w="491" w:type="dxa"/>
            <w:tcMar>
              <w:top w:w="0" w:type="dxa"/>
              <w:left w:w="0" w:type="dxa"/>
              <w:bottom w:w="0" w:type="dxa"/>
              <w:right w:w="0" w:type="dxa"/>
            </w:tcMar>
            <w:vAlign w:val="center"/>
          </w:tcPr>
          <w:p>
            <w:pPr>
              <w:pStyle w:val="803"/>
              <w:rPr>
                <w:szCs w:val="21"/>
              </w:rPr>
            </w:pPr>
            <w:r>
              <w:rPr>
                <w:rFonts w:cs="Times New Roman"/>
                <w:szCs w:val="21"/>
              </w:rPr>
              <w:t>13.4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97" w:type="dxa"/>
            <w:tcMar>
              <w:top w:w="0" w:type="dxa"/>
              <w:left w:w="0" w:type="dxa"/>
              <w:bottom w:w="0" w:type="dxa"/>
              <w:right w:w="0" w:type="dxa"/>
            </w:tcMar>
            <w:vAlign w:val="center"/>
          </w:tcPr>
          <w:p>
            <w:pPr>
              <w:pStyle w:val="803"/>
              <w:rPr>
                <w:szCs w:val="21"/>
              </w:rPr>
            </w:pPr>
            <w:r>
              <w:rPr>
                <w:rFonts w:cs="Times New Roman"/>
                <w:szCs w:val="21"/>
              </w:rPr>
              <w:t>12</w:t>
            </w:r>
          </w:p>
        </w:tc>
        <w:tc>
          <w:tcPr>
            <w:tcW w:w="312" w:type="dxa"/>
            <w:tcMar>
              <w:top w:w="0" w:type="dxa"/>
              <w:left w:w="0" w:type="dxa"/>
              <w:bottom w:w="0" w:type="dxa"/>
              <w:right w:w="0" w:type="dxa"/>
            </w:tcMar>
            <w:vAlign w:val="center"/>
          </w:tcPr>
          <w:p>
            <w:pPr>
              <w:pStyle w:val="803"/>
              <w:rPr>
                <w:szCs w:val="21"/>
              </w:rPr>
            </w:pPr>
            <w:r>
              <w:rPr>
                <w:rFonts w:cs="Times New Roman"/>
                <w:szCs w:val="21"/>
              </w:rPr>
              <w:t>1.6</w:t>
            </w:r>
          </w:p>
        </w:tc>
        <w:tc>
          <w:tcPr>
            <w:tcW w:w="508" w:type="dxa"/>
            <w:tcMar>
              <w:top w:w="0" w:type="dxa"/>
              <w:left w:w="0" w:type="dxa"/>
              <w:bottom w:w="0" w:type="dxa"/>
              <w:right w:w="0" w:type="dxa"/>
            </w:tcMar>
            <w:vAlign w:val="center"/>
          </w:tcPr>
          <w:p>
            <w:pPr>
              <w:pStyle w:val="803"/>
              <w:rPr>
                <w:szCs w:val="21"/>
              </w:rPr>
            </w:pPr>
            <w:r>
              <w:rPr>
                <w:rFonts w:cs="Times New Roman"/>
                <w:szCs w:val="21"/>
              </w:rPr>
              <w:t>2.1</w:t>
            </w:r>
          </w:p>
        </w:tc>
        <w:tc>
          <w:tcPr>
            <w:tcW w:w="435" w:type="dxa"/>
            <w:tcMar>
              <w:top w:w="0" w:type="dxa"/>
              <w:left w:w="0" w:type="dxa"/>
              <w:bottom w:w="0" w:type="dxa"/>
              <w:right w:w="0" w:type="dxa"/>
            </w:tcMar>
            <w:vAlign w:val="center"/>
          </w:tcPr>
          <w:p>
            <w:pPr>
              <w:pStyle w:val="803"/>
              <w:rPr>
                <w:szCs w:val="21"/>
              </w:rPr>
            </w:pPr>
            <w:r>
              <w:rPr>
                <w:rFonts w:cs="Times New Roman"/>
                <w:szCs w:val="21"/>
              </w:rPr>
              <w:t>12.1</w:t>
            </w:r>
          </w:p>
        </w:tc>
        <w:tc>
          <w:tcPr>
            <w:tcW w:w="480" w:type="dxa"/>
            <w:tcMar>
              <w:top w:w="0" w:type="dxa"/>
              <w:left w:w="0" w:type="dxa"/>
              <w:bottom w:w="0" w:type="dxa"/>
              <w:right w:w="0" w:type="dxa"/>
            </w:tcMar>
            <w:vAlign w:val="center"/>
          </w:tcPr>
          <w:p>
            <w:pPr>
              <w:pStyle w:val="803"/>
              <w:rPr>
                <w:szCs w:val="21"/>
              </w:rPr>
            </w:pPr>
            <w:r>
              <w:rPr>
                <w:rFonts w:cs="Times New Roman"/>
                <w:szCs w:val="21"/>
              </w:rPr>
              <w:t>18.6</w:t>
            </w:r>
          </w:p>
        </w:tc>
        <w:tc>
          <w:tcPr>
            <w:tcW w:w="435" w:type="dxa"/>
            <w:tcMar>
              <w:top w:w="0" w:type="dxa"/>
              <w:left w:w="0" w:type="dxa"/>
              <w:bottom w:w="0" w:type="dxa"/>
              <w:right w:w="0" w:type="dxa"/>
            </w:tcMar>
            <w:vAlign w:val="center"/>
          </w:tcPr>
          <w:p>
            <w:pPr>
              <w:pStyle w:val="803"/>
              <w:rPr>
                <w:szCs w:val="21"/>
              </w:rPr>
            </w:pPr>
            <w:r>
              <w:rPr>
                <w:rFonts w:cs="Times New Roman"/>
                <w:szCs w:val="21"/>
              </w:rPr>
              <w:t>11.6</w:t>
            </w:r>
          </w:p>
        </w:tc>
        <w:tc>
          <w:tcPr>
            <w:tcW w:w="441" w:type="dxa"/>
            <w:tcMar>
              <w:top w:w="0" w:type="dxa"/>
              <w:left w:w="0" w:type="dxa"/>
              <w:bottom w:w="0" w:type="dxa"/>
              <w:right w:w="0" w:type="dxa"/>
            </w:tcMar>
            <w:vAlign w:val="center"/>
          </w:tcPr>
          <w:p>
            <w:pPr>
              <w:pStyle w:val="803"/>
              <w:rPr>
                <w:szCs w:val="21"/>
              </w:rPr>
            </w:pPr>
            <w:r>
              <w:rPr>
                <w:rFonts w:cs="Times New Roman"/>
                <w:szCs w:val="21"/>
              </w:rPr>
              <w:t>3.2</w:t>
            </w:r>
          </w:p>
        </w:tc>
        <w:tc>
          <w:tcPr>
            <w:tcW w:w="313" w:type="dxa"/>
            <w:tcMar>
              <w:top w:w="0" w:type="dxa"/>
              <w:left w:w="0" w:type="dxa"/>
              <w:bottom w:w="0" w:type="dxa"/>
              <w:right w:w="0" w:type="dxa"/>
            </w:tcMar>
            <w:vAlign w:val="center"/>
          </w:tcPr>
          <w:p>
            <w:pPr>
              <w:pStyle w:val="803"/>
              <w:rPr>
                <w:szCs w:val="21"/>
              </w:rPr>
            </w:pPr>
            <w:r>
              <w:rPr>
                <w:rFonts w:cs="Times New Roman"/>
                <w:szCs w:val="21"/>
              </w:rPr>
              <w:t>1.6</w:t>
            </w:r>
          </w:p>
        </w:tc>
        <w:tc>
          <w:tcPr>
            <w:tcW w:w="428" w:type="dxa"/>
            <w:tcMar>
              <w:top w:w="0" w:type="dxa"/>
              <w:left w:w="0" w:type="dxa"/>
              <w:bottom w:w="0" w:type="dxa"/>
              <w:right w:w="0" w:type="dxa"/>
            </w:tcMar>
            <w:vAlign w:val="center"/>
          </w:tcPr>
          <w:p>
            <w:pPr>
              <w:pStyle w:val="803"/>
              <w:rPr>
                <w:szCs w:val="21"/>
              </w:rPr>
            </w:pPr>
            <w:r>
              <w:rPr>
                <w:rFonts w:cs="Times New Roman"/>
                <w:szCs w:val="21"/>
              </w:rPr>
              <w:t>1.4</w:t>
            </w:r>
          </w:p>
        </w:tc>
        <w:tc>
          <w:tcPr>
            <w:tcW w:w="425" w:type="dxa"/>
            <w:tcMar>
              <w:top w:w="0" w:type="dxa"/>
              <w:left w:w="0" w:type="dxa"/>
              <w:bottom w:w="0" w:type="dxa"/>
              <w:right w:w="0" w:type="dxa"/>
            </w:tcMar>
            <w:vAlign w:val="center"/>
          </w:tcPr>
          <w:p>
            <w:pPr>
              <w:pStyle w:val="803"/>
              <w:rPr>
                <w:szCs w:val="21"/>
              </w:rPr>
            </w:pPr>
            <w:r>
              <w:rPr>
                <w:rFonts w:cs="Times New Roman"/>
                <w:szCs w:val="21"/>
              </w:rPr>
              <w:t>4.2</w:t>
            </w:r>
          </w:p>
        </w:tc>
        <w:tc>
          <w:tcPr>
            <w:tcW w:w="508" w:type="dxa"/>
            <w:tcMar>
              <w:top w:w="0" w:type="dxa"/>
              <w:left w:w="0" w:type="dxa"/>
              <w:bottom w:w="0" w:type="dxa"/>
              <w:right w:w="0" w:type="dxa"/>
            </w:tcMar>
            <w:vAlign w:val="center"/>
          </w:tcPr>
          <w:p>
            <w:pPr>
              <w:pStyle w:val="803"/>
              <w:rPr>
                <w:szCs w:val="21"/>
              </w:rPr>
            </w:pPr>
            <w:r>
              <w:rPr>
                <w:rFonts w:cs="Times New Roman"/>
                <w:szCs w:val="21"/>
              </w:rPr>
              <w:t>7.2</w:t>
            </w:r>
          </w:p>
        </w:tc>
        <w:tc>
          <w:tcPr>
            <w:tcW w:w="425" w:type="dxa"/>
            <w:tcMar>
              <w:top w:w="0" w:type="dxa"/>
              <w:left w:w="0" w:type="dxa"/>
              <w:bottom w:w="0" w:type="dxa"/>
              <w:right w:w="0" w:type="dxa"/>
            </w:tcMar>
            <w:vAlign w:val="center"/>
          </w:tcPr>
          <w:p>
            <w:pPr>
              <w:pStyle w:val="803"/>
              <w:rPr>
                <w:szCs w:val="21"/>
              </w:rPr>
            </w:pPr>
            <w:r>
              <w:rPr>
                <w:rFonts w:cs="Times New Roman"/>
                <w:szCs w:val="21"/>
              </w:rPr>
              <w:t>8.2</w:t>
            </w:r>
          </w:p>
        </w:tc>
        <w:tc>
          <w:tcPr>
            <w:tcW w:w="603" w:type="dxa"/>
            <w:tcMar>
              <w:top w:w="0" w:type="dxa"/>
              <w:left w:w="0" w:type="dxa"/>
              <w:bottom w:w="0" w:type="dxa"/>
              <w:right w:w="0" w:type="dxa"/>
            </w:tcMar>
            <w:vAlign w:val="center"/>
          </w:tcPr>
          <w:p>
            <w:pPr>
              <w:pStyle w:val="803"/>
              <w:rPr>
                <w:szCs w:val="21"/>
              </w:rPr>
            </w:pPr>
            <w:r>
              <w:rPr>
                <w:rFonts w:cs="Times New Roman"/>
                <w:szCs w:val="21"/>
              </w:rPr>
              <w:t>7.7</w:t>
            </w:r>
          </w:p>
        </w:tc>
        <w:tc>
          <w:tcPr>
            <w:tcW w:w="345" w:type="dxa"/>
            <w:tcMar>
              <w:top w:w="0" w:type="dxa"/>
              <w:left w:w="0" w:type="dxa"/>
              <w:bottom w:w="0" w:type="dxa"/>
              <w:right w:w="0" w:type="dxa"/>
            </w:tcMar>
            <w:vAlign w:val="center"/>
          </w:tcPr>
          <w:p>
            <w:pPr>
              <w:pStyle w:val="803"/>
              <w:rPr>
                <w:szCs w:val="21"/>
              </w:rPr>
            </w:pPr>
            <w:r>
              <w:rPr>
                <w:rFonts w:cs="Times New Roman"/>
                <w:szCs w:val="21"/>
              </w:rPr>
              <w:t>5.7</w:t>
            </w:r>
          </w:p>
        </w:tc>
        <w:tc>
          <w:tcPr>
            <w:tcW w:w="644" w:type="dxa"/>
            <w:tcMar>
              <w:top w:w="0" w:type="dxa"/>
              <w:left w:w="0" w:type="dxa"/>
              <w:bottom w:w="0" w:type="dxa"/>
              <w:right w:w="0" w:type="dxa"/>
            </w:tcMar>
            <w:vAlign w:val="center"/>
          </w:tcPr>
          <w:p>
            <w:pPr>
              <w:pStyle w:val="803"/>
              <w:rPr>
                <w:szCs w:val="21"/>
              </w:rPr>
            </w:pPr>
            <w:r>
              <w:rPr>
                <w:rFonts w:cs="Times New Roman"/>
                <w:szCs w:val="21"/>
              </w:rPr>
              <w:t>3.2</w:t>
            </w:r>
          </w:p>
        </w:tc>
        <w:tc>
          <w:tcPr>
            <w:tcW w:w="445" w:type="dxa"/>
            <w:tcMar>
              <w:top w:w="0" w:type="dxa"/>
              <w:left w:w="0" w:type="dxa"/>
              <w:bottom w:w="0" w:type="dxa"/>
              <w:right w:w="0" w:type="dxa"/>
            </w:tcMar>
            <w:vAlign w:val="center"/>
          </w:tcPr>
          <w:p>
            <w:pPr>
              <w:pStyle w:val="803"/>
              <w:rPr>
                <w:szCs w:val="21"/>
              </w:rPr>
            </w:pPr>
            <w:r>
              <w:rPr>
                <w:rFonts w:cs="Times New Roman"/>
                <w:szCs w:val="21"/>
              </w:rPr>
              <w:t>1.7</w:t>
            </w:r>
          </w:p>
        </w:tc>
        <w:tc>
          <w:tcPr>
            <w:tcW w:w="591" w:type="dxa"/>
            <w:tcMar>
              <w:top w:w="0" w:type="dxa"/>
              <w:left w:w="0" w:type="dxa"/>
              <w:bottom w:w="0" w:type="dxa"/>
              <w:right w:w="0" w:type="dxa"/>
            </w:tcMar>
            <w:vAlign w:val="center"/>
          </w:tcPr>
          <w:p>
            <w:pPr>
              <w:pStyle w:val="803"/>
              <w:rPr>
                <w:szCs w:val="21"/>
              </w:rPr>
            </w:pPr>
            <w:r>
              <w:rPr>
                <w:rFonts w:cs="Times New Roman"/>
                <w:szCs w:val="21"/>
              </w:rPr>
              <w:t>1.1</w:t>
            </w:r>
          </w:p>
        </w:tc>
        <w:tc>
          <w:tcPr>
            <w:tcW w:w="491" w:type="dxa"/>
            <w:tcMar>
              <w:top w:w="0" w:type="dxa"/>
              <w:left w:w="0" w:type="dxa"/>
              <w:bottom w:w="0" w:type="dxa"/>
              <w:right w:w="0" w:type="dxa"/>
            </w:tcMar>
            <w:vAlign w:val="center"/>
          </w:tcPr>
          <w:p>
            <w:pPr>
              <w:pStyle w:val="803"/>
              <w:rPr>
                <w:szCs w:val="21"/>
              </w:rPr>
            </w:pPr>
            <w:r>
              <w:rPr>
                <w:rFonts w:cs="Times New Roman"/>
                <w:szCs w:val="21"/>
              </w:rPr>
              <w:t>9.0</w:t>
            </w:r>
          </w:p>
        </w:tc>
      </w:tr>
    </w:tbl>
    <w:p>
      <w:pPr>
        <w:jc w:val="center"/>
        <w:rPr>
          <w:b/>
          <w:color w:val="000000" w:themeColor="text1"/>
          <w:highlight w:val="yellow"/>
          <w14:textFill>
            <w14:solidFill>
              <w14:schemeClr w14:val="tx1"/>
            </w14:solidFill>
          </w14:textFill>
        </w:rPr>
      </w:pPr>
      <w:r>
        <w:rPr>
          <w:b/>
          <w:color w:val="000000" w:themeColor="text1"/>
          <w14:textFill>
            <w14:solidFill>
              <w14:schemeClr w14:val="tx1"/>
            </w14:solidFill>
          </w14:textFill>
        </w:rPr>
        <w:t xml:space="preserve"> </w:t>
      </w:r>
      <w:r>
        <w:drawing>
          <wp:inline distT="0" distB="0" distL="114300" distR="114300">
            <wp:extent cx="5315585" cy="4684395"/>
            <wp:effectExtent l="0" t="0" r="18415" b="1905"/>
            <wp:docPr id="197" name="图片 2" descr="图示, 工程绘图,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 descr="图示, 工程绘图, 雷达图&#10;&#10;描述已自动生成"/>
                    <pic:cNvPicPr>
                      <a:picLocks noChangeAspect="1"/>
                    </pic:cNvPicPr>
                  </pic:nvPicPr>
                  <pic:blipFill>
                    <a:blip r:embed="rId70"/>
                    <a:stretch>
                      <a:fillRect/>
                    </a:stretch>
                  </pic:blipFill>
                  <pic:spPr>
                    <a:xfrm>
                      <a:off x="0" y="0"/>
                      <a:ext cx="5315585" cy="4684395"/>
                    </a:xfrm>
                    <a:prstGeom prst="rect">
                      <a:avLst/>
                    </a:prstGeom>
                    <a:noFill/>
                    <a:ln>
                      <a:noFill/>
                    </a:ln>
                  </pic:spPr>
                </pic:pic>
              </a:graphicData>
            </a:graphic>
          </wp:inline>
        </w:drawing>
      </w:r>
      <w:r>
        <w:rPr>
          <w:b/>
          <w:color w:val="000000" w:themeColor="text1"/>
          <w14:textFill>
            <w14:solidFill>
              <w14:schemeClr w14:val="tx1"/>
            </w14:solidFill>
          </w14:textFill>
        </w:rPr>
        <w:t xml:space="preserve"> </w:t>
      </w:r>
    </w:p>
    <w:p>
      <w:pPr>
        <w:jc w:val="center"/>
        <w:rPr>
          <w:color w:val="000000" w:themeColor="text1"/>
          <w:highlight w:val="yellow"/>
          <w14:textFill>
            <w14:solidFill>
              <w14:schemeClr w14:val="tx1"/>
            </w14:solidFill>
          </w14:textFill>
        </w:rPr>
      </w:pPr>
    </w:p>
    <w:p>
      <w:pPr>
        <w:jc w:val="center"/>
        <w:rPr>
          <w:color w:val="000000" w:themeColor="text1"/>
          <w:highlight w:val="yellow"/>
          <w14:textFill>
            <w14:solidFill>
              <w14:schemeClr w14:val="tx1"/>
            </w14:solidFill>
          </w14:textFill>
        </w:rPr>
      </w:pPr>
    </w:p>
    <w:p>
      <w:pPr>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 </w:t>
      </w:r>
    </w:p>
    <w:p>
      <w:pPr>
        <w:jc w:val="center"/>
        <w:rPr>
          <w:b/>
          <w:color w:val="000000" w:themeColor="text1"/>
          <w:highlight w:val="yellow"/>
          <w14:textFill>
            <w14:solidFill>
              <w14:schemeClr w14:val="tx1"/>
            </w14:solidFill>
          </w14:textFill>
        </w:rPr>
      </w:pPr>
      <w:r>
        <w:drawing>
          <wp:inline distT="0" distB="0" distL="114300" distR="114300">
            <wp:extent cx="5476875" cy="7468870"/>
            <wp:effectExtent l="0" t="0" r="9525" b="17780"/>
            <wp:docPr id="198" name="图片 3" descr="巨大的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3" descr="巨大的钟表&#10;&#10;描述已自动生成"/>
                    <pic:cNvPicPr>
                      <a:picLocks noChangeAspect="1"/>
                    </pic:cNvPicPr>
                  </pic:nvPicPr>
                  <pic:blipFill>
                    <a:blip r:embed="rId71"/>
                    <a:stretch>
                      <a:fillRect/>
                    </a:stretch>
                  </pic:blipFill>
                  <pic:spPr>
                    <a:xfrm>
                      <a:off x="0" y="0"/>
                      <a:ext cx="5476875" cy="7468870"/>
                    </a:xfrm>
                    <a:prstGeom prst="rect">
                      <a:avLst/>
                    </a:prstGeom>
                    <a:noFill/>
                    <a:ln>
                      <a:noFill/>
                    </a:ln>
                  </pic:spPr>
                </pic:pic>
              </a:graphicData>
            </a:graphic>
          </wp:inline>
        </w:drawing>
      </w:r>
    </w:p>
    <w:p>
      <w:pPr>
        <w:jc w:val="center"/>
        <w:rPr>
          <w:b/>
          <w:color w:val="000000" w:themeColor="text1"/>
          <w14:textFill>
            <w14:solidFill>
              <w14:schemeClr w14:val="tx1"/>
            </w14:solidFill>
          </w14:textFill>
        </w:rPr>
      </w:pPr>
      <w:r>
        <w:drawing>
          <wp:inline distT="0" distB="0" distL="114300" distR="114300">
            <wp:extent cx="5267325" cy="2856865"/>
            <wp:effectExtent l="0" t="0" r="9525" b="635"/>
            <wp:docPr id="199" name="图片 4" descr="墙上的钟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 descr="墙上的钟表&#10;&#10;低可信度描述已自动生成"/>
                    <pic:cNvPicPr>
                      <a:picLocks noChangeAspect="1"/>
                    </pic:cNvPicPr>
                  </pic:nvPicPr>
                  <pic:blipFill>
                    <a:blip r:embed="rId72"/>
                    <a:stretch>
                      <a:fillRect/>
                    </a:stretch>
                  </pic:blipFill>
                  <pic:spPr>
                    <a:xfrm>
                      <a:off x="0" y="0"/>
                      <a:ext cx="5267325" cy="2856865"/>
                    </a:xfrm>
                    <a:prstGeom prst="rect">
                      <a:avLst/>
                    </a:prstGeom>
                    <a:noFill/>
                    <a:ln>
                      <a:noFill/>
                    </a:ln>
                  </pic:spPr>
                </pic:pic>
              </a:graphicData>
            </a:graphic>
          </wp:inline>
        </w:drawing>
      </w:r>
      <w:r>
        <w:rPr>
          <w:b/>
          <w:color w:val="000000" w:themeColor="text1"/>
          <w14:textFill>
            <w14:solidFill>
              <w14:schemeClr w14:val="tx1"/>
            </w14:solidFill>
          </w14:textFill>
        </w:rPr>
        <w:t xml:space="preserve"> </w:t>
      </w:r>
    </w:p>
    <w:p>
      <w:pPr>
        <w:spacing w:before="120" w:beforeLines="50" w:after="120" w:afterLines="50"/>
        <w:jc w:val="center"/>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图5.2-2    新乡月风向玫瑰图</w:t>
      </w:r>
    </w:p>
    <w:p>
      <w:pPr>
        <w:pStyle w:val="89"/>
      </w:pPr>
      <w:r>
        <w:t>3、风速年际变化特征与周期分析</w:t>
      </w:r>
    </w:p>
    <w:p>
      <w:pPr>
        <w:pStyle w:val="89"/>
      </w:pPr>
      <w:r>
        <w:t>根据近20年资料分析，新乡气象站风速无明显变化趋势，2021年年平均风速最大（2.5米/秒），2012年年平均风速最小（1.8 米/秒），周期为5年。</w:t>
      </w:r>
    </w:p>
    <w:p>
      <w:pPr>
        <w:pStyle w:val="89"/>
      </w:pPr>
      <w:r>
        <w:t xml:space="preserve">新乡近20年风速变化见下图： </w:t>
      </w:r>
    </w:p>
    <w:p>
      <w:pPr>
        <w:jc w:val="center"/>
        <w:rPr>
          <w:b/>
          <w:color w:val="000000" w:themeColor="text1"/>
          <w14:textFill>
            <w14:solidFill>
              <w14:schemeClr w14:val="tx1"/>
            </w14:solidFill>
          </w14:textFill>
        </w:rPr>
      </w:pPr>
      <w:r>
        <w:drawing>
          <wp:inline distT="0" distB="0" distL="0" distR="0">
            <wp:extent cx="4424045" cy="3478530"/>
            <wp:effectExtent l="0" t="0" r="14605" b="7620"/>
            <wp:docPr id="200" name="image14.jpeg"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4.jpeg" descr="图表, 折线图&#10;&#10;描述已自动生成"/>
                    <pic:cNvPicPr>
                      <a:picLocks noChangeAspect="1"/>
                    </pic:cNvPicPr>
                  </pic:nvPicPr>
                  <pic:blipFill>
                    <a:blip r:embed="rId73"/>
                    <a:stretch>
                      <a:fillRect/>
                    </a:stretch>
                  </pic:blipFill>
                  <pic:spPr>
                    <a:xfrm>
                      <a:off x="0" y="0"/>
                      <a:ext cx="4424045" cy="3478530"/>
                    </a:xfrm>
                    <a:prstGeom prst="rect">
                      <a:avLst/>
                    </a:prstGeom>
                  </pic:spPr>
                </pic:pic>
              </a:graphicData>
            </a:graphic>
          </wp:inline>
        </w:drawing>
      </w:r>
    </w:p>
    <w:p>
      <w:pPr>
        <w:spacing w:before="120" w:beforeLines="50" w:after="120" w:afterLines="50"/>
        <w:jc w:val="center"/>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图5.2-3新乡</w:t>
      </w:r>
      <w:r>
        <w:rPr>
          <w:rFonts w:hint="eastAsia" w:eastAsia="黑体"/>
          <w:color w:val="000000" w:themeColor="text1"/>
          <w:sz w:val="24"/>
          <w:szCs w:val="24"/>
          <w14:textFill>
            <w14:solidFill>
              <w14:schemeClr w14:val="tx1"/>
            </w14:solidFill>
          </w14:textFill>
        </w:rPr>
        <w:t>（2</w:t>
      </w:r>
      <w:r>
        <w:rPr>
          <w:rFonts w:eastAsia="黑体"/>
          <w:color w:val="000000" w:themeColor="text1"/>
          <w:sz w:val="24"/>
          <w:szCs w:val="24"/>
          <w14:textFill>
            <w14:solidFill>
              <w14:schemeClr w14:val="tx1"/>
            </w14:solidFill>
          </w14:textFill>
        </w:rPr>
        <w:t>002-2021</w:t>
      </w:r>
      <w:r>
        <w:rPr>
          <w:rFonts w:hint="eastAsia" w:eastAsia="黑体"/>
          <w:color w:val="000000" w:themeColor="text1"/>
          <w:sz w:val="24"/>
          <w:szCs w:val="24"/>
          <w14:textFill>
            <w14:solidFill>
              <w14:schemeClr w14:val="tx1"/>
            </w14:solidFill>
          </w14:textFill>
        </w:rPr>
        <w:t>）</w:t>
      </w:r>
      <w:r>
        <w:rPr>
          <w:rFonts w:eastAsia="黑体"/>
          <w:color w:val="000000" w:themeColor="text1"/>
          <w:sz w:val="24"/>
          <w:szCs w:val="24"/>
          <w14:textFill>
            <w14:solidFill>
              <w14:schemeClr w14:val="tx1"/>
            </w14:solidFill>
          </w14:textFill>
        </w:rPr>
        <w:t>年平均风速（单位：m/s，虚线为趋势线）</w:t>
      </w:r>
    </w:p>
    <w:p>
      <w:pPr>
        <w:pStyle w:val="89"/>
      </w:pPr>
      <w:r>
        <w:t>5.2.1.3气象站温度分析</w:t>
      </w:r>
    </w:p>
    <w:p>
      <w:pPr>
        <w:pStyle w:val="89"/>
      </w:pPr>
      <w:r>
        <w:t>1、月平均气温与极端气温</w:t>
      </w:r>
    </w:p>
    <w:p>
      <w:pPr>
        <w:pStyle w:val="89"/>
      </w:pPr>
      <w:r>
        <w:t>新乡气象站07月气温最高（27.8℃），01月气温最低（0.4℃），近20年极端最高气温出现在2009-06-25（40.9℃），近20年极端最低气温出现在2021-01-07（-16.2℃）。</w:t>
      </w:r>
    </w:p>
    <w:p>
      <w:pPr>
        <w:ind w:firstLine="480"/>
        <w:rPr>
          <w:color w:val="000000" w:themeColor="text1"/>
          <w:szCs w:val="24"/>
          <w:highlight w:val="yellow"/>
          <w14:textFill>
            <w14:solidFill>
              <w14:schemeClr w14:val="tx1"/>
            </w14:solidFill>
          </w14:textFill>
        </w:rPr>
      </w:pPr>
      <w:r>
        <w:drawing>
          <wp:inline distT="0" distB="0" distL="0" distR="0">
            <wp:extent cx="4366895" cy="3477895"/>
            <wp:effectExtent l="0" t="0" r="14605" b="8255"/>
            <wp:docPr id="201" name="image15.jpeg" descr="图表, 条形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5.jpeg" descr="图表, 条形图, 直方图&#10;&#10;描述已自动生成"/>
                    <pic:cNvPicPr>
                      <a:picLocks noChangeAspect="1"/>
                    </pic:cNvPicPr>
                  </pic:nvPicPr>
                  <pic:blipFill>
                    <a:blip r:embed="rId74"/>
                    <a:stretch>
                      <a:fillRect/>
                    </a:stretch>
                  </pic:blipFill>
                  <pic:spPr>
                    <a:xfrm>
                      <a:off x="0" y="0"/>
                      <a:ext cx="4366895" cy="3477895"/>
                    </a:xfrm>
                    <a:prstGeom prst="rect">
                      <a:avLst/>
                    </a:prstGeom>
                  </pic:spPr>
                </pic:pic>
              </a:graphicData>
            </a:graphic>
          </wp:inline>
        </w:drawing>
      </w:r>
    </w:p>
    <w:p>
      <w:pPr>
        <w:spacing w:before="120" w:beforeLines="50" w:after="120" w:afterLines="50"/>
        <w:jc w:val="center"/>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图5.2-4新乡月平均气温（单位：℃）</w:t>
      </w:r>
    </w:p>
    <w:p>
      <w:pPr>
        <w:pStyle w:val="89"/>
      </w:pPr>
      <w:r>
        <w:t>2、温度年际变化趋势与周期分析</w:t>
      </w:r>
    </w:p>
    <w:p>
      <w:pPr>
        <w:pStyle w:val="89"/>
      </w:pPr>
      <w:r>
        <w:t>新乡气象站近20年气温呈现上升趋势，每年上升0.07%，2019年年平均气温最高（16.2℃），2003年年平均气温最低（14.2℃），无明显周期。</w:t>
      </w:r>
    </w:p>
    <w:p>
      <w:pPr>
        <w:pStyle w:val="89"/>
      </w:pPr>
      <w:r>
        <w:t>新乡近20年年平均气温变化见下图：</w:t>
      </w:r>
    </w:p>
    <w:p>
      <w:pPr>
        <w:jc w:val="center"/>
        <w:rPr>
          <w:b/>
          <w:color w:val="000000" w:themeColor="text1"/>
          <w14:textFill>
            <w14:solidFill>
              <w14:schemeClr w14:val="tx1"/>
            </w14:solidFill>
          </w14:textFill>
        </w:rPr>
      </w:pPr>
      <w:r>
        <w:rPr>
          <w:sz w:val="20"/>
        </w:rPr>
        <w:drawing>
          <wp:inline distT="0" distB="0" distL="0" distR="0">
            <wp:extent cx="4556125" cy="3476625"/>
            <wp:effectExtent l="0" t="0" r="15875" b="9525"/>
            <wp:docPr id="202" name="image16.jpeg"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jpeg" descr="图表, 折线图&#10;&#10;描述已自动生成"/>
                    <pic:cNvPicPr>
                      <a:picLocks noChangeAspect="1"/>
                    </pic:cNvPicPr>
                  </pic:nvPicPr>
                  <pic:blipFill>
                    <a:blip r:embed="rId75"/>
                    <a:stretch>
                      <a:fillRect/>
                    </a:stretch>
                  </pic:blipFill>
                  <pic:spPr>
                    <a:xfrm>
                      <a:off x="0" y="0"/>
                      <a:ext cx="4556125" cy="3476625"/>
                    </a:xfrm>
                    <a:prstGeom prst="rect">
                      <a:avLst/>
                    </a:prstGeom>
                  </pic:spPr>
                </pic:pic>
              </a:graphicData>
            </a:graphic>
          </wp:inline>
        </w:drawing>
      </w:r>
      <w:r>
        <w:rPr>
          <w:b/>
          <w:color w:val="000000" w:themeColor="text1"/>
          <w14:textFill>
            <w14:solidFill>
              <w14:schemeClr w14:val="tx1"/>
            </w14:solidFill>
          </w14:textFill>
        </w:rPr>
        <w:t xml:space="preserve"> </w:t>
      </w:r>
    </w:p>
    <w:p>
      <w:pPr>
        <w:spacing w:before="120" w:beforeLines="50" w:after="120" w:afterLines="50"/>
        <w:jc w:val="center"/>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图5.2-5新乡（2002-2021）年平均气温（单位：℃，虚线为趋势线）</w:t>
      </w:r>
    </w:p>
    <w:p>
      <w:pPr>
        <w:pStyle w:val="89"/>
      </w:pPr>
      <w:r>
        <w:t>5.2.1.4</w:t>
      </w:r>
      <w:r>
        <w:rPr>
          <w:rFonts w:hint="eastAsia"/>
        </w:rPr>
        <w:t>气象站降水分析</w:t>
      </w:r>
    </w:p>
    <w:p>
      <w:pPr>
        <w:pStyle w:val="89"/>
      </w:pPr>
      <w:r>
        <w:t>1、月平均降水与极端降水</w:t>
      </w:r>
    </w:p>
    <w:p>
      <w:pPr>
        <w:pStyle w:val="89"/>
      </w:pPr>
      <w:r>
        <w:rPr>
          <w:rFonts w:hint="eastAsia"/>
        </w:rPr>
        <w:t>新乡气象站07月降水量最大（151.6毫米），12月降水量最小（4.8毫米），近20年极端最大日降水出现在2016-07-09（414.0毫米）。</w:t>
      </w:r>
    </w:p>
    <w:p>
      <w:pPr>
        <w:jc w:val="center"/>
        <w:rPr>
          <w:b/>
        </w:rPr>
      </w:pPr>
      <w:r>
        <w:rPr>
          <w:sz w:val="20"/>
        </w:rPr>
        <w:drawing>
          <wp:inline distT="0" distB="0" distL="0" distR="0">
            <wp:extent cx="4423410" cy="3477895"/>
            <wp:effectExtent l="0" t="0" r="15240" b="8255"/>
            <wp:docPr id="203" name="image17.jpeg" descr="图表, 条形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7.jpeg" descr="图表, 条形图, 直方图&#10;&#10;描述已自动生成"/>
                    <pic:cNvPicPr>
                      <a:picLocks noChangeAspect="1"/>
                    </pic:cNvPicPr>
                  </pic:nvPicPr>
                  <pic:blipFill>
                    <a:blip r:embed="rId76"/>
                    <a:stretch>
                      <a:fillRect/>
                    </a:stretch>
                  </pic:blipFill>
                  <pic:spPr>
                    <a:xfrm>
                      <a:off x="0" y="0"/>
                      <a:ext cx="4423410" cy="3477895"/>
                    </a:xfrm>
                    <a:prstGeom prst="rect">
                      <a:avLst/>
                    </a:prstGeom>
                  </pic:spPr>
                </pic:pic>
              </a:graphicData>
            </a:graphic>
          </wp:inline>
        </w:drawing>
      </w:r>
    </w:p>
    <w:p>
      <w:pPr>
        <w:spacing w:before="120" w:beforeLines="50" w:after="120" w:afterLines="50"/>
        <w:jc w:val="center"/>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 xml:space="preserve">图5.2-6  </w:t>
      </w:r>
      <w:r>
        <w:rPr>
          <w:rFonts w:hint="eastAsia" w:eastAsia="黑体"/>
          <w:color w:val="000000" w:themeColor="text1"/>
          <w:sz w:val="24"/>
          <w:szCs w:val="24"/>
          <w14:textFill>
            <w14:solidFill>
              <w14:schemeClr w14:val="tx1"/>
            </w14:solidFill>
          </w14:textFill>
        </w:rPr>
        <w:t>新乡</w:t>
      </w:r>
      <w:r>
        <w:rPr>
          <w:rFonts w:eastAsia="黑体"/>
          <w:color w:val="000000" w:themeColor="text1"/>
          <w:sz w:val="24"/>
          <w:szCs w:val="24"/>
          <w14:textFill>
            <w14:solidFill>
              <w14:schemeClr w14:val="tx1"/>
            </w14:solidFill>
          </w14:textFill>
        </w:rPr>
        <w:t>（2001-2020）月平均降水量（单位：毫米）</w:t>
      </w:r>
    </w:p>
    <w:p>
      <w:pPr>
        <w:pStyle w:val="89"/>
      </w:pPr>
      <w:r>
        <w:t>2、降水年际变化趋势与周期分析</w:t>
      </w:r>
    </w:p>
    <w:p>
      <w:pPr>
        <w:pStyle w:val="89"/>
      </w:pPr>
      <w:r>
        <w:rPr>
          <w:rFonts w:hint="eastAsia"/>
        </w:rPr>
        <w:t>新乡气象站近20年年降水总量无明显变化趋势，2021 年年总降水量最大（1217.0 毫米），2002年年总降水量最小（327.7毫米），周期为2-3年。</w:t>
      </w:r>
    </w:p>
    <w:p>
      <w:pPr>
        <w:jc w:val="center"/>
        <w:rPr>
          <w:b/>
        </w:rPr>
      </w:pPr>
      <w:r>
        <w:rPr>
          <w:sz w:val="20"/>
        </w:rPr>
        <w:drawing>
          <wp:inline distT="0" distB="0" distL="0" distR="0">
            <wp:extent cx="4303395" cy="3287395"/>
            <wp:effectExtent l="0" t="0" r="1905" b="8255"/>
            <wp:docPr id="204" name="image18.jpeg"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8.jpeg" descr="图表, 折线图&#10;&#10;描述已自动生成"/>
                    <pic:cNvPicPr>
                      <a:picLocks noChangeAspect="1"/>
                    </pic:cNvPicPr>
                  </pic:nvPicPr>
                  <pic:blipFill>
                    <a:blip r:embed="rId77"/>
                    <a:stretch>
                      <a:fillRect/>
                    </a:stretch>
                  </pic:blipFill>
                  <pic:spPr>
                    <a:xfrm>
                      <a:off x="0" y="0"/>
                      <a:ext cx="4303395" cy="3287395"/>
                    </a:xfrm>
                    <a:prstGeom prst="rect">
                      <a:avLst/>
                    </a:prstGeom>
                  </pic:spPr>
                </pic:pic>
              </a:graphicData>
            </a:graphic>
          </wp:inline>
        </w:drawing>
      </w:r>
    </w:p>
    <w:p>
      <w:pPr>
        <w:spacing w:before="120" w:beforeLines="50" w:after="120" w:afterLines="50"/>
        <w:jc w:val="center"/>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 xml:space="preserve">图5.2-7  </w:t>
      </w:r>
      <w:r>
        <w:rPr>
          <w:rFonts w:hint="eastAsia" w:eastAsia="黑体"/>
          <w:color w:val="000000" w:themeColor="text1"/>
          <w:sz w:val="24"/>
          <w:szCs w:val="24"/>
          <w14:textFill>
            <w14:solidFill>
              <w14:schemeClr w14:val="tx1"/>
            </w14:solidFill>
          </w14:textFill>
        </w:rPr>
        <w:t>新乡</w:t>
      </w:r>
      <w:r>
        <w:rPr>
          <w:rFonts w:eastAsia="黑体"/>
          <w:color w:val="000000" w:themeColor="text1"/>
          <w:sz w:val="24"/>
          <w:szCs w:val="24"/>
          <w14:textFill>
            <w14:solidFill>
              <w14:schemeClr w14:val="tx1"/>
            </w14:solidFill>
          </w14:textFill>
        </w:rPr>
        <w:t>（200</w:t>
      </w:r>
      <w:r>
        <w:rPr>
          <w:rFonts w:hint="eastAsia" w:eastAsia="黑体"/>
          <w:color w:val="000000" w:themeColor="text1"/>
          <w:sz w:val="24"/>
          <w:szCs w:val="24"/>
          <w14:textFill>
            <w14:solidFill>
              <w14:schemeClr w14:val="tx1"/>
            </w14:solidFill>
          </w14:textFill>
        </w:rPr>
        <w:t>2</w:t>
      </w:r>
      <w:r>
        <w:rPr>
          <w:rFonts w:eastAsia="黑体"/>
          <w:color w:val="000000" w:themeColor="text1"/>
          <w:sz w:val="24"/>
          <w:szCs w:val="24"/>
          <w14:textFill>
            <w14:solidFill>
              <w14:schemeClr w14:val="tx1"/>
            </w14:solidFill>
          </w14:textFill>
        </w:rPr>
        <w:t>-202</w:t>
      </w:r>
      <w:r>
        <w:rPr>
          <w:rFonts w:hint="eastAsia" w:eastAsia="黑体"/>
          <w:color w:val="000000" w:themeColor="text1"/>
          <w:sz w:val="24"/>
          <w:szCs w:val="24"/>
          <w14:textFill>
            <w14:solidFill>
              <w14:schemeClr w14:val="tx1"/>
            </w14:solidFill>
          </w14:textFill>
        </w:rPr>
        <w:t>1</w:t>
      </w:r>
      <w:r>
        <w:rPr>
          <w:rFonts w:eastAsia="黑体"/>
          <w:color w:val="000000" w:themeColor="text1"/>
          <w:sz w:val="24"/>
          <w:szCs w:val="24"/>
          <w14:textFill>
            <w14:solidFill>
              <w14:schemeClr w14:val="tx1"/>
            </w14:solidFill>
          </w14:textFill>
        </w:rPr>
        <w:t>）年总降水量（单位:mm,虚线为趋势线）</w:t>
      </w:r>
    </w:p>
    <w:p>
      <w:pPr>
        <w:pStyle w:val="89"/>
      </w:pPr>
      <w:r>
        <w:rPr>
          <w:rFonts w:hint="eastAsia"/>
        </w:rPr>
        <w:t>5</w:t>
      </w:r>
      <w:r>
        <w:t>.2.1.5气象站湿度分析</w:t>
      </w:r>
    </w:p>
    <w:p>
      <w:pPr>
        <w:pStyle w:val="89"/>
      </w:pPr>
      <w:r>
        <w:t>1、月相对湿度分析</w:t>
      </w:r>
    </w:p>
    <w:p>
      <w:pPr>
        <w:pStyle w:val="89"/>
      </w:pPr>
      <w:r>
        <w:t>新乡气象站08月平均相对湿度最大（75.9%），03月平均相对湿度最小（51.8%）。</w:t>
      </w:r>
    </w:p>
    <w:p>
      <w:pPr>
        <w:spacing w:before="120" w:beforeLines="50" w:after="120" w:afterLines="50"/>
        <w:jc w:val="center"/>
        <w:rPr>
          <w:rFonts w:eastAsia="黑体"/>
          <w:color w:val="000000" w:themeColor="text1"/>
          <w:sz w:val="24"/>
          <w:szCs w:val="24"/>
          <w14:textFill>
            <w14:solidFill>
              <w14:schemeClr w14:val="tx1"/>
            </w14:solidFill>
          </w14:textFill>
        </w:rPr>
      </w:pPr>
      <w:r>
        <w:rPr>
          <w:sz w:val="20"/>
        </w:rPr>
        <w:drawing>
          <wp:inline distT="0" distB="0" distL="0" distR="0">
            <wp:extent cx="4366260" cy="3477260"/>
            <wp:effectExtent l="0" t="0" r="15240" b="8890"/>
            <wp:docPr id="50" name="image21.jpeg"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descr="图表, 条形图&#10;&#10;描述已自动生成"/>
                    <pic:cNvPicPr>
                      <a:picLocks noChangeAspect="1"/>
                    </pic:cNvPicPr>
                  </pic:nvPicPr>
                  <pic:blipFill>
                    <a:blip r:embed="rId78"/>
                    <a:stretch>
                      <a:fillRect/>
                    </a:stretch>
                  </pic:blipFill>
                  <pic:spPr>
                    <a:xfrm>
                      <a:off x="0" y="0"/>
                      <a:ext cx="4366260" cy="3477260"/>
                    </a:xfrm>
                    <a:prstGeom prst="rect">
                      <a:avLst/>
                    </a:prstGeom>
                  </pic:spPr>
                </pic:pic>
              </a:graphicData>
            </a:graphic>
          </wp:inline>
        </w:drawing>
      </w:r>
      <w:r>
        <w:rPr>
          <w:rFonts w:eastAsia="黑体"/>
          <w:color w:val="000000" w:themeColor="text1"/>
          <w:sz w:val="24"/>
          <w:szCs w:val="24"/>
          <w14:textFill>
            <w14:solidFill>
              <w14:schemeClr w14:val="tx1"/>
            </w14:solidFill>
          </w14:textFill>
        </w:rPr>
        <w:t xml:space="preserve"> </w:t>
      </w:r>
    </w:p>
    <w:p>
      <w:pPr>
        <w:spacing w:before="120" w:beforeLines="50" w:after="120" w:afterLines="50"/>
        <w:jc w:val="center"/>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图5.2-8新乡月平均相对湿度（纵轴为百分比）</w:t>
      </w:r>
    </w:p>
    <w:p>
      <w:pPr>
        <w:pStyle w:val="457"/>
        <w:rPr>
          <w:color w:val="000000" w:themeColor="text1"/>
          <w14:textFill>
            <w14:solidFill>
              <w14:schemeClr w14:val="tx1"/>
            </w14:solidFill>
          </w14:textFill>
        </w:rPr>
      </w:pPr>
      <w:r>
        <w:rPr>
          <w:color w:val="000000" w:themeColor="text1"/>
          <w14:textFill>
            <w14:solidFill>
              <w14:schemeClr w14:val="tx1"/>
            </w14:solidFill>
          </w14:textFill>
        </w:rPr>
        <w:t>2、相对湿度年际变化趋势与周期分析</w:t>
      </w:r>
    </w:p>
    <w:p>
      <w:pPr>
        <w:pStyle w:val="89"/>
      </w:pPr>
      <w:r>
        <w:rPr>
          <w:rFonts w:hint="eastAsia"/>
        </w:rPr>
        <w:t>新乡气象站近20年年平均相对湿度无明显变化趋势，2003年年平均相对湿度最大（72.0%），2019年年平均相对湿度最小（57.7%），无明显周期。新乡</w:t>
      </w:r>
      <w:r>
        <w:t>近20年年平均相对湿度变化见下图：</w:t>
      </w:r>
    </w:p>
    <w:p>
      <w:pPr>
        <w:jc w:val="center"/>
        <w:rPr>
          <w:b/>
          <w:color w:val="000000" w:themeColor="text1"/>
          <w14:textFill>
            <w14:solidFill>
              <w14:schemeClr w14:val="tx1"/>
            </w14:solidFill>
          </w14:textFill>
        </w:rPr>
      </w:pPr>
      <w:r>
        <w:rPr>
          <w:sz w:val="20"/>
        </w:rPr>
        <w:drawing>
          <wp:inline distT="0" distB="0" distL="0" distR="0">
            <wp:extent cx="4366260" cy="3477260"/>
            <wp:effectExtent l="0" t="0" r="15240" b="8890"/>
            <wp:docPr id="5" name="image22.jpeg"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2.jpeg" descr="图表, 折线图&#10;&#10;描述已自动生成"/>
                    <pic:cNvPicPr>
                      <a:picLocks noChangeAspect="1"/>
                    </pic:cNvPicPr>
                  </pic:nvPicPr>
                  <pic:blipFill>
                    <a:blip r:embed="rId79"/>
                    <a:stretch>
                      <a:fillRect/>
                    </a:stretch>
                  </pic:blipFill>
                  <pic:spPr>
                    <a:xfrm>
                      <a:off x="0" y="0"/>
                      <a:ext cx="4366260" cy="3477260"/>
                    </a:xfrm>
                    <a:prstGeom prst="rect">
                      <a:avLst/>
                    </a:prstGeom>
                  </pic:spPr>
                </pic:pic>
              </a:graphicData>
            </a:graphic>
          </wp:inline>
        </w:drawing>
      </w:r>
      <w:r>
        <w:rPr>
          <w:b/>
          <w:color w:val="000000" w:themeColor="text1"/>
          <w14:textFill>
            <w14:solidFill>
              <w14:schemeClr w14:val="tx1"/>
            </w14:solidFill>
          </w14:textFill>
        </w:rPr>
        <w:t xml:space="preserve"> </w:t>
      </w:r>
    </w:p>
    <w:p>
      <w:pPr>
        <w:spacing w:before="120" w:beforeLines="50" w:after="120" w:afterLines="50"/>
        <w:jc w:val="center"/>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图5.2-9新乡年平均相对湿度（纵轴为百分比，虚线为趋势线）</w:t>
      </w:r>
    </w:p>
    <w:p>
      <w:pPr>
        <w:pStyle w:val="727"/>
        <w:rPr>
          <w:color w:val="000000" w:themeColor="text1"/>
          <w14:textFill>
            <w14:solidFill>
              <w14:schemeClr w14:val="tx1"/>
            </w14:solidFill>
          </w14:textFill>
        </w:rPr>
      </w:pPr>
      <w:r>
        <w:rPr>
          <w:color w:val="000000" w:themeColor="text1"/>
          <w14:textFill>
            <w14:solidFill>
              <w14:schemeClr w14:val="tx1"/>
            </w14:solidFill>
          </w14:textFill>
        </w:rPr>
        <w:t>5.2.2环境空气质量预测</w:t>
      </w:r>
    </w:p>
    <w:p>
      <w:pPr>
        <w:pStyle w:val="460"/>
      </w:pPr>
      <w:r>
        <w:t>5.2.2.1预测因子</w:t>
      </w:r>
    </w:p>
    <w:p>
      <w:pPr>
        <w:pStyle w:val="457"/>
        <w:rPr>
          <w:color w:val="000000" w:themeColor="text1"/>
          <w14:textFill>
            <w14:solidFill>
              <w14:schemeClr w14:val="tx1"/>
            </w14:solidFill>
          </w14:textFill>
        </w:rPr>
      </w:pPr>
      <w:r>
        <w:rPr>
          <w:color w:val="000000" w:themeColor="text1"/>
          <w14:textFill>
            <w14:solidFill>
              <w14:schemeClr w14:val="tx1"/>
            </w14:solidFill>
          </w14:textFill>
        </w:rPr>
        <w:t>根据工程分析结果，确定本次环境空气影响预测因子为H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w:t>
      </w:r>
    </w:p>
    <w:p>
      <w:pPr>
        <w:pStyle w:val="460"/>
      </w:pPr>
      <w:bookmarkStart w:id="102" w:name="_Toc324839615"/>
      <w:bookmarkStart w:id="103" w:name="_Toc324839318"/>
      <w:r>
        <w:t>5.2.2.2评价标准</w:t>
      </w:r>
      <w:bookmarkEnd w:id="102"/>
      <w:bookmarkEnd w:id="103"/>
    </w:p>
    <w:p>
      <w:pPr>
        <w:pStyle w:val="632"/>
        <w:rPr>
          <w:color w:val="000000" w:themeColor="text1"/>
          <w14:textFill>
            <w14:solidFill>
              <w14:schemeClr w14:val="tx1"/>
            </w14:solidFill>
          </w14:textFill>
        </w:rPr>
      </w:pPr>
      <w:r>
        <w:rPr>
          <w:color w:val="000000" w:themeColor="text1"/>
          <w14:textFill>
            <w14:solidFill>
              <w14:schemeClr w14:val="tx1"/>
            </w14:solidFill>
          </w14:textFill>
        </w:rPr>
        <w:t>表5.2-7            环境空气质量评价标准</w:t>
      </w:r>
    </w:p>
    <w:tbl>
      <w:tblPr>
        <w:tblStyle w:val="49"/>
        <w:tblW w:w="508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28" w:type="dxa"/>
          <w:bottom w:w="0" w:type="dxa"/>
          <w:right w:w="28" w:type="dxa"/>
        </w:tblCellMar>
      </w:tblPr>
      <w:tblGrid>
        <w:gridCol w:w="1439"/>
        <w:gridCol w:w="2086"/>
        <w:gridCol w:w="1864"/>
        <w:gridCol w:w="3539"/>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806" w:type="pct"/>
            <w:tcBorders>
              <w:top w:val="single" w:color="000000" w:sz="8" w:space="0"/>
              <w:left w:val="single" w:color="000000" w:sz="8" w:space="0"/>
              <w:bottom w:val="single" w:color="000000" w:sz="6" w:space="0"/>
              <w:right w:val="single" w:color="000000"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评价因子</w:t>
            </w:r>
          </w:p>
        </w:tc>
        <w:tc>
          <w:tcPr>
            <w:tcW w:w="1168" w:type="pct"/>
            <w:tcBorders>
              <w:top w:val="single" w:color="000000" w:sz="8" w:space="0"/>
              <w:left w:val="single" w:color="000000" w:sz="6" w:space="0"/>
              <w:bottom w:val="single" w:color="000000" w:sz="6" w:space="0"/>
              <w:right w:val="single" w:color="000000"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平均时段/厂界</w:t>
            </w:r>
          </w:p>
        </w:tc>
        <w:tc>
          <w:tcPr>
            <w:tcW w:w="1044" w:type="pct"/>
            <w:tcBorders>
              <w:top w:val="single" w:color="000000" w:sz="8" w:space="0"/>
              <w:left w:val="single" w:color="000000" w:sz="6" w:space="0"/>
              <w:bottom w:val="single" w:color="000000" w:sz="6" w:space="0"/>
              <w:right w:val="single" w:color="000000"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标准值（mg/m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1982" w:type="pct"/>
            <w:tcBorders>
              <w:top w:val="single" w:color="000000" w:sz="8" w:space="0"/>
              <w:left w:val="single" w:color="000000" w:sz="6" w:space="0"/>
              <w:bottom w:val="single" w:color="000000" w:sz="6" w:space="0"/>
              <w:right w:val="single" w:color="000000" w:sz="8"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限值来源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806" w:type="pct"/>
            <w:tcBorders>
              <w:top w:val="single" w:color="000000" w:sz="6" w:space="0"/>
              <w:left w:val="single" w:color="000000" w:sz="8" w:space="0"/>
              <w:bottom w:val="single" w:color="000000" w:sz="6" w:space="0"/>
              <w:right w:val="single" w:color="000000" w:sz="6"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p>
        </w:tc>
        <w:tc>
          <w:tcPr>
            <w:tcW w:w="1168" w:type="pct"/>
            <w:tcBorders>
              <w:top w:val="single" w:color="000000" w:sz="6" w:space="0"/>
              <w:left w:val="single" w:color="000000" w:sz="6" w:space="0"/>
              <w:bottom w:val="single" w:color="000000" w:sz="6" w:space="0"/>
              <w:right w:val="single" w:color="000000" w:sz="6"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1小时平均值</w:t>
            </w:r>
          </w:p>
        </w:tc>
        <w:tc>
          <w:tcPr>
            <w:tcW w:w="1044" w:type="pct"/>
            <w:tcBorders>
              <w:top w:val="single" w:color="000000" w:sz="6" w:space="0"/>
              <w:left w:val="single" w:color="000000" w:sz="6" w:space="0"/>
              <w:bottom w:val="single" w:color="000000" w:sz="6" w:space="0"/>
              <w:right w:val="single" w:color="000000" w:sz="6"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c>
          <w:tcPr>
            <w:tcW w:w="1982" w:type="pct"/>
            <w:vMerge w:val="restart"/>
            <w:tcBorders>
              <w:top w:val="single" w:color="000000" w:sz="6" w:space="0"/>
              <w:left w:val="single" w:color="000000" w:sz="6" w:space="0"/>
              <w:bottom w:val="single" w:color="000000" w:sz="6" w:space="0"/>
              <w:right w:val="single" w:color="000000" w:sz="8"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《环境影响评价技术导则大气环境》（HJ2.2-2018）附录D</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806" w:type="pct"/>
            <w:tcBorders>
              <w:top w:val="single" w:color="000000" w:sz="6" w:space="0"/>
              <w:left w:val="single" w:color="000000" w:sz="8" w:space="0"/>
              <w:bottom w:val="single" w:color="000000" w:sz="6" w:space="0"/>
              <w:right w:val="single" w:color="000000" w:sz="6"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w:t>
            </w:r>
          </w:p>
        </w:tc>
        <w:tc>
          <w:tcPr>
            <w:tcW w:w="1168" w:type="pct"/>
            <w:tcBorders>
              <w:top w:val="single" w:color="000000" w:sz="6" w:space="0"/>
              <w:left w:val="single" w:color="000000" w:sz="6" w:space="0"/>
              <w:bottom w:val="single" w:color="000000" w:sz="6" w:space="0"/>
              <w:right w:val="single" w:color="000000" w:sz="6"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1小时平均值</w:t>
            </w:r>
          </w:p>
        </w:tc>
        <w:tc>
          <w:tcPr>
            <w:tcW w:w="1044" w:type="pct"/>
            <w:tcBorders>
              <w:top w:val="single" w:color="000000" w:sz="6" w:space="0"/>
              <w:left w:val="single" w:color="000000" w:sz="6" w:space="0"/>
              <w:bottom w:val="single" w:color="000000" w:sz="6" w:space="0"/>
              <w:right w:val="single" w:color="000000" w:sz="6"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0" w:type="auto"/>
            <w:vMerge w:val="continue"/>
            <w:tcBorders>
              <w:top w:val="single" w:color="000000" w:sz="6" w:space="0"/>
              <w:left w:val="single" w:color="000000" w:sz="6" w:space="0"/>
              <w:bottom w:val="single" w:color="000000" w:sz="6" w:space="0"/>
              <w:right w:val="single" w:color="000000" w:sz="8" w:space="0"/>
            </w:tcBorders>
            <w:vAlign w:val="center"/>
          </w:tcPr>
          <w:p>
            <w:pPr>
              <w:widowControl/>
              <w:jc w:val="left"/>
              <w:rPr>
                <w:color w:val="000000" w:themeColor="text1"/>
                <w:szCs w:val="21"/>
                <w:highlight w:val="yellow"/>
                <w14:textFill>
                  <w14:solidFill>
                    <w14:schemeClr w14:val="tx1"/>
                  </w14:solidFill>
                </w14:textFill>
              </w:rPr>
            </w:pPr>
          </w:p>
        </w:tc>
      </w:tr>
    </w:tbl>
    <w:p>
      <w:pPr>
        <w:pStyle w:val="460"/>
      </w:pPr>
      <w:r>
        <w:t>5.2.2.3预测参数</w:t>
      </w:r>
    </w:p>
    <w:p>
      <w:pPr>
        <w:pStyle w:val="457"/>
        <w:rPr>
          <w:color w:val="000000" w:themeColor="text1"/>
          <w14:textFill>
            <w14:solidFill>
              <w14:schemeClr w14:val="tx1"/>
            </w14:solidFill>
          </w14:textFill>
        </w:rPr>
      </w:pPr>
      <w:r>
        <w:rPr>
          <w:color w:val="000000" w:themeColor="text1"/>
          <w14:textFill>
            <w14:solidFill>
              <w14:schemeClr w14:val="tx1"/>
            </w14:solidFill>
          </w14:textFill>
        </w:rPr>
        <w:t>1、正常工况下污染源参数</w:t>
      </w:r>
    </w:p>
    <w:p>
      <w:pPr>
        <w:pStyle w:val="457"/>
        <w:rPr>
          <w:color w:val="000000" w:themeColor="text1"/>
          <w14:textFill>
            <w14:solidFill>
              <w14:schemeClr w14:val="tx1"/>
            </w14:solidFill>
          </w14:textFill>
        </w:rPr>
      </w:pPr>
      <w:r>
        <w:rPr>
          <w:color w:val="000000" w:themeColor="text1"/>
          <w14:textFill>
            <w14:solidFill>
              <w14:schemeClr w14:val="tx1"/>
            </w14:solidFill>
          </w14:textFill>
        </w:rPr>
        <w:t>本次工程涉及到的废气污染源的各项污染物参数见下表。</w:t>
      </w:r>
    </w:p>
    <w:p>
      <w:pPr>
        <w:pStyle w:val="457"/>
        <w:rPr>
          <w:color w:val="000000" w:themeColor="text1"/>
          <w14:textFill>
            <w14:solidFill>
              <w14:schemeClr w14:val="tx1"/>
            </w14:solidFill>
          </w14:textFill>
        </w:rPr>
      </w:pPr>
    </w:p>
    <w:p>
      <w:pPr>
        <w:pStyle w:val="457"/>
        <w:rPr>
          <w:color w:val="000000" w:themeColor="text1"/>
          <w14:textFill>
            <w14:solidFill>
              <w14:schemeClr w14:val="tx1"/>
            </w14:solidFill>
          </w14:textFill>
        </w:rPr>
      </w:pPr>
    </w:p>
    <w:p>
      <w:pPr>
        <w:pStyle w:val="457"/>
        <w:rPr>
          <w:color w:val="000000" w:themeColor="text1"/>
          <w14:textFill>
            <w14:solidFill>
              <w14:schemeClr w14:val="tx1"/>
            </w14:solidFill>
          </w14:textFill>
        </w:rPr>
      </w:pPr>
    </w:p>
    <w:p>
      <w:pPr>
        <w:pStyle w:val="632"/>
        <w:rPr>
          <w:color w:val="000000" w:themeColor="text1"/>
          <w14:textFill>
            <w14:solidFill>
              <w14:schemeClr w14:val="tx1"/>
            </w14:solidFill>
          </w14:textFill>
        </w:rPr>
      </w:pPr>
      <w:r>
        <w:rPr>
          <w:color w:val="000000" w:themeColor="text1"/>
          <w14:textFill>
            <w14:solidFill>
              <w14:schemeClr w14:val="tx1"/>
            </w14:solidFill>
          </w14:textFill>
        </w:rPr>
        <w:t>表5.2-8                本项目点源参数表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1184"/>
        <w:gridCol w:w="656"/>
        <w:gridCol w:w="520"/>
        <w:gridCol w:w="641"/>
        <w:gridCol w:w="854"/>
        <w:gridCol w:w="534"/>
        <w:gridCol w:w="767"/>
        <w:gridCol w:w="469"/>
        <w:gridCol w:w="469"/>
        <w:gridCol w:w="642"/>
        <w:gridCol w:w="520"/>
        <w:gridCol w:w="807"/>
        <w:gridCol w:w="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677" w:type="pct"/>
            <w:tcBorders>
              <w:right w:val="single" w:color="auto" w:sz="4" w:space="0"/>
            </w:tcBorders>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点源位置</w:t>
            </w:r>
          </w:p>
        </w:tc>
        <w:tc>
          <w:tcPr>
            <w:tcW w:w="375" w:type="pct"/>
            <w:tcBorders>
              <w:right w:val="single" w:color="auto" w:sz="4" w:space="0"/>
            </w:tcBorders>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排气筒编号</w:t>
            </w:r>
          </w:p>
        </w:tc>
        <w:tc>
          <w:tcPr>
            <w:tcW w:w="297"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X坐标</w:t>
            </w:r>
          </w:p>
        </w:tc>
        <w:tc>
          <w:tcPr>
            <w:tcW w:w="366"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Y坐标</w:t>
            </w:r>
          </w:p>
        </w:tc>
        <w:tc>
          <w:tcPr>
            <w:tcW w:w="488"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排气筒底部海拔高度</w:t>
            </w:r>
          </w:p>
        </w:tc>
        <w:tc>
          <w:tcPr>
            <w:tcW w:w="305"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排气筒高度</w:t>
            </w:r>
          </w:p>
        </w:tc>
        <w:tc>
          <w:tcPr>
            <w:tcW w:w="438"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排气筒出口内径</w:t>
            </w:r>
          </w:p>
        </w:tc>
        <w:tc>
          <w:tcPr>
            <w:tcW w:w="268"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烟气</w:t>
            </w:r>
          </w:p>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流速</w:t>
            </w:r>
          </w:p>
        </w:tc>
        <w:tc>
          <w:tcPr>
            <w:tcW w:w="268"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烟气</w:t>
            </w:r>
          </w:p>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温度</w:t>
            </w:r>
          </w:p>
        </w:tc>
        <w:tc>
          <w:tcPr>
            <w:tcW w:w="367"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年排放小时数</w:t>
            </w:r>
          </w:p>
        </w:tc>
        <w:tc>
          <w:tcPr>
            <w:tcW w:w="297"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排放工况</w:t>
            </w:r>
          </w:p>
        </w:tc>
        <w:tc>
          <w:tcPr>
            <w:tcW w:w="461" w:type="pct"/>
            <w:vMerge w:val="restar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污染物</w:t>
            </w:r>
          </w:p>
        </w:tc>
        <w:tc>
          <w:tcPr>
            <w:tcW w:w="393"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源强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677" w:type="pct"/>
            <w:tcBorders>
              <w:right w:val="single" w:color="auto" w:sz="4" w:space="0"/>
            </w:tcBorders>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单位</w:t>
            </w:r>
          </w:p>
        </w:tc>
        <w:tc>
          <w:tcPr>
            <w:tcW w:w="375" w:type="pct"/>
            <w:tcBorders>
              <w:right w:val="single" w:color="auto" w:sz="4" w:space="0"/>
            </w:tcBorders>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297"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p>
        </w:tc>
        <w:tc>
          <w:tcPr>
            <w:tcW w:w="366"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p>
        </w:tc>
        <w:tc>
          <w:tcPr>
            <w:tcW w:w="488"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p>
        </w:tc>
        <w:tc>
          <w:tcPr>
            <w:tcW w:w="305"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p>
        </w:tc>
        <w:tc>
          <w:tcPr>
            <w:tcW w:w="438"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p>
        </w:tc>
        <w:tc>
          <w:tcPr>
            <w:tcW w:w="268"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m/s</w:t>
            </w:r>
          </w:p>
        </w:tc>
        <w:tc>
          <w:tcPr>
            <w:tcW w:w="268"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367"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h</w:t>
            </w:r>
          </w:p>
        </w:tc>
        <w:tc>
          <w:tcPr>
            <w:tcW w:w="297"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461" w:type="pct"/>
            <w:vMerge w:val="continue"/>
            <w:vAlign w:val="center"/>
          </w:tcPr>
          <w:p>
            <w:pPr>
              <w:pStyle w:val="94"/>
              <w:rPr>
                <w:rFonts w:cs="Times New Roman"/>
                <w:color w:val="000000" w:themeColor="text1"/>
                <w14:textFill>
                  <w14:solidFill>
                    <w14:schemeClr w14:val="tx1"/>
                  </w14:solidFill>
                </w14:textFill>
              </w:rPr>
            </w:pPr>
          </w:p>
        </w:tc>
        <w:tc>
          <w:tcPr>
            <w:tcW w:w="393"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kg/h</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677" w:type="pct"/>
            <w:vMerge w:val="restart"/>
            <w:tcBorders>
              <w:right w:val="single" w:color="auto" w:sz="4" w:space="0"/>
            </w:tcBorders>
            <w:vAlign w:val="center"/>
          </w:tcPr>
          <w:p>
            <w:pPr>
              <w:pStyle w:val="90"/>
              <w:rPr>
                <w:color w:val="000000" w:themeColor="text1"/>
                <w:kern w:val="2"/>
                <w:highlight w:val="yellow"/>
                <w14:textFill>
                  <w14:solidFill>
                    <w14:schemeClr w14:val="tx1"/>
                  </w14:solidFill>
                </w14:textFill>
              </w:rPr>
            </w:pPr>
            <w:r>
              <w:rPr>
                <w:color w:val="000000" w:themeColor="text1"/>
                <w:kern w:val="2"/>
                <w14:textFill>
                  <w14:solidFill>
                    <w14:schemeClr w14:val="tx1"/>
                  </w14:solidFill>
                </w14:textFill>
              </w:rPr>
              <w:t>污水处理站废气排气筒</w:t>
            </w:r>
          </w:p>
        </w:tc>
        <w:tc>
          <w:tcPr>
            <w:tcW w:w="375" w:type="pct"/>
            <w:vMerge w:val="restart"/>
            <w:tcBorders>
              <w:right w:val="single" w:color="auto" w:sz="4" w:space="0"/>
            </w:tcBorders>
            <w:vAlign w:val="center"/>
          </w:tcPr>
          <w:p>
            <w:pPr>
              <w:pStyle w:val="90"/>
              <w:rPr>
                <w:color w:val="000000" w:themeColor="text1"/>
                <w:kern w:val="2"/>
                <w:highlight w:val="yellow"/>
                <w14:textFill>
                  <w14:solidFill>
                    <w14:schemeClr w14:val="tx1"/>
                  </w14:solidFill>
                </w14:textFill>
              </w:rPr>
            </w:pPr>
            <w:r>
              <w:rPr>
                <w:color w:val="000000" w:themeColor="text1"/>
                <w:kern w:val="2"/>
                <w14:textFill>
                  <w14:solidFill>
                    <w14:schemeClr w14:val="tx1"/>
                  </w14:solidFill>
                </w14:textFill>
              </w:rPr>
              <w:t>P</w:t>
            </w:r>
          </w:p>
        </w:tc>
        <w:tc>
          <w:tcPr>
            <w:tcW w:w="29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65</w:t>
            </w:r>
          </w:p>
        </w:tc>
        <w:tc>
          <w:tcPr>
            <w:tcW w:w="36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87</w:t>
            </w:r>
          </w:p>
        </w:tc>
        <w:tc>
          <w:tcPr>
            <w:tcW w:w="488" w:type="pct"/>
            <w:vMerge w:val="restart"/>
            <w:vAlign w:val="center"/>
          </w:tcPr>
          <w:p>
            <w:pPr>
              <w:pStyle w:val="90"/>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8</w:t>
            </w:r>
            <w:r>
              <w:rPr>
                <w:color w:val="000000" w:themeColor="text1"/>
                <w:kern w:val="2"/>
                <w14:textFill>
                  <w14:solidFill>
                    <w14:schemeClr w14:val="tx1"/>
                  </w14:solidFill>
                </w14:textFill>
              </w:rPr>
              <w:t>0</w:t>
            </w:r>
          </w:p>
        </w:tc>
        <w:tc>
          <w:tcPr>
            <w:tcW w:w="305" w:type="pct"/>
            <w:vMerge w:val="restart"/>
            <w:vAlign w:val="center"/>
          </w:tcPr>
          <w:p>
            <w:pPr>
              <w:pStyle w:val="90"/>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c>
          <w:tcPr>
            <w:tcW w:w="438"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0.6</w:t>
            </w:r>
          </w:p>
        </w:tc>
        <w:tc>
          <w:tcPr>
            <w:tcW w:w="268"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14.7</w:t>
            </w:r>
          </w:p>
        </w:tc>
        <w:tc>
          <w:tcPr>
            <w:tcW w:w="268" w:type="pct"/>
            <w:vMerge w:val="restart"/>
            <w:vAlign w:val="center"/>
          </w:tcPr>
          <w:p>
            <w:pPr>
              <w:pStyle w:val="90"/>
              <w:rPr>
                <w:color w:val="000000" w:themeColor="text1"/>
                <w:kern w:val="2"/>
                <w:highlight w:val="yellow"/>
                <w14:textFill>
                  <w14:solidFill>
                    <w14:schemeClr w14:val="tx1"/>
                  </w14:solidFill>
                </w14:textFill>
              </w:rPr>
            </w:pPr>
            <w:r>
              <w:rPr>
                <w:color w:val="000000" w:themeColor="text1"/>
                <w:kern w:val="2"/>
                <w14:textFill>
                  <w14:solidFill>
                    <w14:schemeClr w14:val="tx1"/>
                  </w14:solidFill>
                </w14:textFill>
              </w:rPr>
              <w:t>25</w:t>
            </w:r>
          </w:p>
        </w:tc>
        <w:tc>
          <w:tcPr>
            <w:tcW w:w="36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8760</w:t>
            </w:r>
          </w:p>
        </w:tc>
        <w:tc>
          <w:tcPr>
            <w:tcW w:w="29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正常</w:t>
            </w:r>
          </w:p>
        </w:tc>
        <w:tc>
          <w:tcPr>
            <w:tcW w:w="461"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氨</w:t>
            </w:r>
          </w:p>
        </w:tc>
        <w:tc>
          <w:tcPr>
            <w:tcW w:w="393" w:type="pct"/>
            <w:vAlign w:val="center"/>
          </w:tcPr>
          <w:p>
            <w:pPr>
              <w:pStyle w:val="90"/>
              <w:rPr>
                <w:color w:val="000000" w:themeColor="text1"/>
                <w:kern w:val="2"/>
                <w14:textFill>
                  <w14:solidFill>
                    <w14:schemeClr w14:val="tx1"/>
                  </w14:solidFill>
                </w14:textFill>
              </w:rPr>
            </w:pPr>
            <w:r>
              <w:rPr>
                <w:color w:val="000000" w:themeColor="text1"/>
                <w14:textFill>
                  <w14:solidFill>
                    <w14:schemeClr w14:val="tx1"/>
                  </w14:solidFill>
                </w14:textFill>
              </w:rPr>
              <w:t>0.0119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677" w:type="pct"/>
            <w:vMerge w:val="continue"/>
            <w:tcBorders>
              <w:right w:val="single" w:color="auto" w:sz="4" w:space="0"/>
            </w:tcBorders>
            <w:vAlign w:val="center"/>
          </w:tcPr>
          <w:p>
            <w:pPr>
              <w:pStyle w:val="90"/>
              <w:rPr>
                <w:color w:val="000000" w:themeColor="text1"/>
                <w:kern w:val="2"/>
                <w:highlight w:val="yellow"/>
                <w14:textFill>
                  <w14:solidFill>
                    <w14:schemeClr w14:val="tx1"/>
                  </w14:solidFill>
                </w14:textFill>
              </w:rPr>
            </w:pPr>
          </w:p>
        </w:tc>
        <w:tc>
          <w:tcPr>
            <w:tcW w:w="375" w:type="pct"/>
            <w:vMerge w:val="continue"/>
            <w:tcBorders>
              <w:right w:val="single" w:color="auto" w:sz="4" w:space="0"/>
            </w:tcBorders>
            <w:vAlign w:val="center"/>
          </w:tcPr>
          <w:p>
            <w:pPr>
              <w:pStyle w:val="90"/>
              <w:rPr>
                <w:color w:val="000000" w:themeColor="text1"/>
                <w:kern w:val="2"/>
                <w:highlight w:val="yellow"/>
                <w14:textFill>
                  <w14:solidFill>
                    <w14:schemeClr w14:val="tx1"/>
                  </w14:solidFill>
                </w14:textFill>
              </w:rPr>
            </w:pPr>
          </w:p>
        </w:tc>
        <w:tc>
          <w:tcPr>
            <w:tcW w:w="297" w:type="pct"/>
            <w:vMerge w:val="continue"/>
            <w:vAlign w:val="center"/>
          </w:tcPr>
          <w:p>
            <w:pPr>
              <w:pStyle w:val="90"/>
              <w:rPr>
                <w:color w:val="000000" w:themeColor="text1"/>
                <w:kern w:val="2"/>
                <w:highlight w:val="yellow"/>
                <w14:textFill>
                  <w14:solidFill>
                    <w14:schemeClr w14:val="tx1"/>
                  </w14:solidFill>
                </w14:textFill>
              </w:rPr>
            </w:pPr>
          </w:p>
        </w:tc>
        <w:tc>
          <w:tcPr>
            <w:tcW w:w="366" w:type="pct"/>
            <w:vMerge w:val="continue"/>
            <w:vAlign w:val="center"/>
          </w:tcPr>
          <w:p>
            <w:pPr>
              <w:pStyle w:val="90"/>
              <w:rPr>
                <w:color w:val="000000" w:themeColor="text1"/>
                <w:kern w:val="2"/>
                <w:highlight w:val="yellow"/>
                <w14:textFill>
                  <w14:solidFill>
                    <w14:schemeClr w14:val="tx1"/>
                  </w14:solidFill>
                </w14:textFill>
              </w:rPr>
            </w:pPr>
          </w:p>
        </w:tc>
        <w:tc>
          <w:tcPr>
            <w:tcW w:w="488" w:type="pct"/>
            <w:vMerge w:val="continue"/>
            <w:vAlign w:val="center"/>
          </w:tcPr>
          <w:p>
            <w:pPr>
              <w:pStyle w:val="90"/>
              <w:rPr>
                <w:color w:val="000000" w:themeColor="text1"/>
                <w:kern w:val="2"/>
                <w:highlight w:val="yellow"/>
                <w14:textFill>
                  <w14:solidFill>
                    <w14:schemeClr w14:val="tx1"/>
                  </w14:solidFill>
                </w14:textFill>
              </w:rPr>
            </w:pPr>
          </w:p>
        </w:tc>
        <w:tc>
          <w:tcPr>
            <w:tcW w:w="305" w:type="pct"/>
            <w:vMerge w:val="continue"/>
            <w:vAlign w:val="center"/>
          </w:tcPr>
          <w:p>
            <w:pPr>
              <w:pStyle w:val="90"/>
              <w:rPr>
                <w:color w:val="000000" w:themeColor="text1"/>
                <w:highlight w:val="yellow"/>
                <w14:textFill>
                  <w14:solidFill>
                    <w14:schemeClr w14:val="tx1"/>
                  </w14:solidFill>
                </w14:textFill>
              </w:rPr>
            </w:pPr>
          </w:p>
        </w:tc>
        <w:tc>
          <w:tcPr>
            <w:tcW w:w="438" w:type="pct"/>
            <w:vMerge w:val="continue"/>
            <w:vAlign w:val="center"/>
          </w:tcPr>
          <w:p>
            <w:pPr>
              <w:pStyle w:val="90"/>
              <w:rPr>
                <w:color w:val="000000" w:themeColor="text1"/>
                <w:highlight w:val="yellow"/>
                <w14:textFill>
                  <w14:solidFill>
                    <w14:schemeClr w14:val="tx1"/>
                  </w14:solidFill>
                </w14:textFill>
              </w:rPr>
            </w:pPr>
          </w:p>
        </w:tc>
        <w:tc>
          <w:tcPr>
            <w:tcW w:w="268" w:type="pct"/>
            <w:vMerge w:val="continue"/>
            <w:vAlign w:val="center"/>
          </w:tcPr>
          <w:p>
            <w:pPr>
              <w:pStyle w:val="90"/>
              <w:rPr>
                <w:color w:val="000000" w:themeColor="text1"/>
                <w:highlight w:val="yellow"/>
                <w14:textFill>
                  <w14:solidFill>
                    <w14:schemeClr w14:val="tx1"/>
                  </w14:solidFill>
                </w14:textFill>
              </w:rPr>
            </w:pPr>
          </w:p>
        </w:tc>
        <w:tc>
          <w:tcPr>
            <w:tcW w:w="268" w:type="pct"/>
            <w:vMerge w:val="continue"/>
            <w:vAlign w:val="center"/>
          </w:tcPr>
          <w:p>
            <w:pPr>
              <w:pStyle w:val="90"/>
              <w:rPr>
                <w:color w:val="000000" w:themeColor="text1"/>
                <w:kern w:val="2"/>
                <w:highlight w:val="yellow"/>
                <w14:textFill>
                  <w14:solidFill>
                    <w14:schemeClr w14:val="tx1"/>
                  </w14:solidFill>
                </w14:textFill>
              </w:rPr>
            </w:pPr>
          </w:p>
        </w:tc>
        <w:tc>
          <w:tcPr>
            <w:tcW w:w="367" w:type="pct"/>
            <w:vMerge w:val="continue"/>
            <w:vAlign w:val="center"/>
          </w:tcPr>
          <w:p>
            <w:pPr>
              <w:pStyle w:val="90"/>
              <w:rPr>
                <w:color w:val="000000" w:themeColor="text1"/>
                <w:kern w:val="2"/>
                <w14:textFill>
                  <w14:solidFill>
                    <w14:schemeClr w14:val="tx1"/>
                  </w14:solidFill>
                </w14:textFill>
              </w:rPr>
            </w:pPr>
          </w:p>
        </w:tc>
        <w:tc>
          <w:tcPr>
            <w:tcW w:w="297" w:type="pct"/>
            <w:vMerge w:val="continue"/>
            <w:vAlign w:val="center"/>
          </w:tcPr>
          <w:p>
            <w:pPr>
              <w:pStyle w:val="90"/>
              <w:rPr>
                <w:color w:val="000000" w:themeColor="text1"/>
                <w:kern w:val="2"/>
                <w14:textFill>
                  <w14:solidFill>
                    <w14:schemeClr w14:val="tx1"/>
                  </w14:solidFill>
                </w14:textFill>
              </w:rPr>
            </w:pPr>
          </w:p>
        </w:tc>
        <w:tc>
          <w:tcPr>
            <w:tcW w:w="461"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硫化氢</w:t>
            </w:r>
          </w:p>
        </w:tc>
        <w:tc>
          <w:tcPr>
            <w:tcW w:w="39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 xml:space="preserve">0.0005 </w:t>
            </w:r>
          </w:p>
        </w:tc>
      </w:tr>
    </w:tbl>
    <w:p>
      <w:pPr>
        <w:pStyle w:val="632"/>
        <w:rPr>
          <w:color w:val="000000" w:themeColor="text1"/>
          <w14:textFill>
            <w14:solidFill>
              <w14:schemeClr w14:val="tx1"/>
            </w14:solidFill>
          </w14:textFill>
        </w:rPr>
      </w:pPr>
      <w:r>
        <w:rPr>
          <w:color w:val="000000" w:themeColor="text1"/>
          <w14:textFill>
            <w14:solidFill>
              <w14:schemeClr w14:val="tx1"/>
            </w14:solidFill>
          </w14:textFill>
        </w:rPr>
        <w:t>表5.2-9              本项目面源参数表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512"/>
        <w:gridCol w:w="760"/>
        <w:gridCol w:w="711"/>
        <w:gridCol w:w="712"/>
        <w:gridCol w:w="998"/>
        <w:gridCol w:w="1139"/>
        <w:gridCol w:w="996"/>
        <w:gridCol w:w="998"/>
        <w:gridCol w:w="854"/>
        <w:gridCol w:w="107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93" w:type="pct"/>
            <w:vMerge w:val="restar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编号</w:t>
            </w:r>
          </w:p>
        </w:tc>
        <w:tc>
          <w:tcPr>
            <w:tcW w:w="434" w:type="pct"/>
            <w:vMerge w:val="restar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名称</w:t>
            </w:r>
          </w:p>
        </w:tc>
        <w:tc>
          <w:tcPr>
            <w:tcW w:w="813" w:type="pct"/>
            <w:gridSpan w:val="2"/>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面源起点坐标</w:t>
            </w:r>
          </w:p>
        </w:tc>
        <w:tc>
          <w:tcPr>
            <w:tcW w:w="570" w:type="pct"/>
            <w:vMerge w:val="restar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面源海拔高度</w:t>
            </w:r>
          </w:p>
        </w:tc>
        <w:tc>
          <w:tcPr>
            <w:tcW w:w="651" w:type="pct"/>
            <w:vMerge w:val="restar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面源</w:t>
            </w:r>
            <w:r>
              <w:rPr>
                <w:rFonts w:hint="eastAsia" w:cs="Times New Roman"/>
                <w:color w:val="000000" w:themeColor="text1"/>
                <w14:textFill>
                  <w14:solidFill>
                    <w14:schemeClr w14:val="tx1"/>
                  </w14:solidFill>
                </w14:textFill>
              </w:rPr>
              <w:t>有效排放</w:t>
            </w:r>
            <w:r>
              <w:rPr>
                <w:rFonts w:cs="Times New Roman"/>
                <w:color w:val="000000" w:themeColor="text1"/>
                <w14:textFill>
                  <w14:solidFill>
                    <w14:schemeClr w14:val="tx1"/>
                  </w14:solidFill>
                </w14:textFill>
              </w:rPr>
              <w:t>高度</w:t>
            </w:r>
          </w:p>
        </w:tc>
        <w:tc>
          <w:tcPr>
            <w:tcW w:w="569" w:type="pct"/>
            <w:vMerge w:val="restar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年排放小时数</w:t>
            </w:r>
          </w:p>
        </w:tc>
        <w:tc>
          <w:tcPr>
            <w:tcW w:w="570" w:type="pct"/>
            <w:vMerge w:val="restar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排放工况</w:t>
            </w:r>
          </w:p>
        </w:tc>
        <w:tc>
          <w:tcPr>
            <w:tcW w:w="488" w:type="pct"/>
            <w:vMerge w:val="restar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污染物</w:t>
            </w:r>
          </w:p>
        </w:tc>
        <w:tc>
          <w:tcPr>
            <w:tcW w:w="612" w:type="pct"/>
            <w:vMerge w:val="restar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源强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93" w:type="pct"/>
            <w:vMerge w:val="continue"/>
            <w:vAlign w:val="center"/>
          </w:tcPr>
          <w:p>
            <w:pPr>
              <w:pStyle w:val="94"/>
              <w:rPr>
                <w:rFonts w:cs="Times New Roman"/>
                <w:color w:val="000000" w:themeColor="text1"/>
                <w14:textFill>
                  <w14:solidFill>
                    <w14:schemeClr w14:val="tx1"/>
                  </w14:solidFill>
                </w14:textFill>
              </w:rPr>
            </w:pPr>
          </w:p>
        </w:tc>
        <w:tc>
          <w:tcPr>
            <w:tcW w:w="434" w:type="pct"/>
            <w:vMerge w:val="continue"/>
            <w:vAlign w:val="center"/>
          </w:tcPr>
          <w:p>
            <w:pPr>
              <w:pStyle w:val="94"/>
              <w:rPr>
                <w:rFonts w:cs="Times New Roman"/>
                <w:color w:val="000000" w:themeColor="text1"/>
                <w14:textFill>
                  <w14:solidFill>
                    <w14:schemeClr w14:val="tx1"/>
                  </w14:solidFill>
                </w14:textFill>
              </w:rPr>
            </w:pPr>
          </w:p>
        </w:tc>
        <w:tc>
          <w:tcPr>
            <w:tcW w:w="406"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X</w:t>
            </w:r>
          </w:p>
        </w:tc>
        <w:tc>
          <w:tcPr>
            <w:tcW w:w="407"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Y</w:t>
            </w:r>
          </w:p>
        </w:tc>
        <w:tc>
          <w:tcPr>
            <w:tcW w:w="570" w:type="pct"/>
            <w:vMerge w:val="continue"/>
            <w:vAlign w:val="center"/>
          </w:tcPr>
          <w:p>
            <w:pPr>
              <w:pStyle w:val="94"/>
              <w:rPr>
                <w:rFonts w:cs="Times New Roman"/>
                <w:color w:val="000000" w:themeColor="text1"/>
                <w14:textFill>
                  <w14:solidFill>
                    <w14:schemeClr w14:val="tx1"/>
                  </w14:solidFill>
                </w14:textFill>
              </w:rPr>
            </w:pPr>
          </w:p>
        </w:tc>
        <w:tc>
          <w:tcPr>
            <w:tcW w:w="651" w:type="pct"/>
            <w:vMerge w:val="continue"/>
            <w:vAlign w:val="center"/>
          </w:tcPr>
          <w:p>
            <w:pPr>
              <w:pStyle w:val="94"/>
              <w:rPr>
                <w:rFonts w:cs="Times New Roman"/>
                <w:color w:val="000000" w:themeColor="text1"/>
                <w14:textFill>
                  <w14:solidFill>
                    <w14:schemeClr w14:val="tx1"/>
                  </w14:solidFill>
                </w14:textFill>
              </w:rPr>
            </w:pPr>
          </w:p>
        </w:tc>
        <w:tc>
          <w:tcPr>
            <w:tcW w:w="569" w:type="pct"/>
            <w:vMerge w:val="continue"/>
            <w:vAlign w:val="center"/>
          </w:tcPr>
          <w:p>
            <w:pPr>
              <w:pStyle w:val="94"/>
              <w:rPr>
                <w:rFonts w:cs="Times New Roman"/>
                <w:color w:val="000000" w:themeColor="text1"/>
                <w14:textFill>
                  <w14:solidFill>
                    <w14:schemeClr w14:val="tx1"/>
                  </w14:solidFill>
                </w14:textFill>
              </w:rPr>
            </w:pPr>
          </w:p>
        </w:tc>
        <w:tc>
          <w:tcPr>
            <w:tcW w:w="570" w:type="pct"/>
            <w:vMerge w:val="continue"/>
            <w:vAlign w:val="center"/>
          </w:tcPr>
          <w:p>
            <w:pPr>
              <w:pStyle w:val="94"/>
              <w:rPr>
                <w:rFonts w:cs="Times New Roman"/>
                <w:color w:val="000000" w:themeColor="text1"/>
                <w14:textFill>
                  <w14:solidFill>
                    <w14:schemeClr w14:val="tx1"/>
                  </w14:solidFill>
                </w14:textFill>
              </w:rPr>
            </w:pPr>
          </w:p>
        </w:tc>
        <w:tc>
          <w:tcPr>
            <w:tcW w:w="488" w:type="pct"/>
            <w:vMerge w:val="continue"/>
            <w:vAlign w:val="center"/>
          </w:tcPr>
          <w:p>
            <w:pPr>
              <w:pStyle w:val="94"/>
              <w:rPr>
                <w:rFonts w:cs="Times New Roman"/>
                <w:color w:val="000000" w:themeColor="text1"/>
                <w14:textFill>
                  <w14:solidFill>
                    <w14:schemeClr w14:val="tx1"/>
                  </w14:solidFill>
                </w14:textFill>
              </w:rPr>
            </w:pPr>
          </w:p>
        </w:tc>
        <w:tc>
          <w:tcPr>
            <w:tcW w:w="612" w:type="pct"/>
            <w:vMerge w:val="continue"/>
            <w:vAlign w:val="center"/>
          </w:tcPr>
          <w:p>
            <w:pPr>
              <w:pStyle w:val="94"/>
              <w:rPr>
                <w:rFonts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727" w:type="pct"/>
            <w:gridSpan w:val="2"/>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单位</w:t>
            </w:r>
          </w:p>
        </w:tc>
        <w:tc>
          <w:tcPr>
            <w:tcW w:w="406"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p>
        </w:tc>
        <w:tc>
          <w:tcPr>
            <w:tcW w:w="407"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p>
        </w:tc>
        <w:tc>
          <w:tcPr>
            <w:tcW w:w="570"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p>
        </w:tc>
        <w:tc>
          <w:tcPr>
            <w:tcW w:w="651"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m</w:t>
            </w:r>
          </w:p>
        </w:tc>
        <w:tc>
          <w:tcPr>
            <w:tcW w:w="569"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h</w:t>
            </w:r>
          </w:p>
        </w:tc>
        <w:tc>
          <w:tcPr>
            <w:tcW w:w="570"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488" w:type="pct"/>
            <w:vMerge w:val="continue"/>
            <w:vAlign w:val="center"/>
          </w:tcPr>
          <w:p>
            <w:pPr>
              <w:pStyle w:val="94"/>
              <w:rPr>
                <w:rFonts w:cs="Times New Roman"/>
                <w:color w:val="000000" w:themeColor="text1"/>
                <w14:textFill>
                  <w14:solidFill>
                    <w14:schemeClr w14:val="tx1"/>
                  </w14:solidFill>
                </w14:textFill>
              </w:rPr>
            </w:pPr>
          </w:p>
        </w:tc>
        <w:tc>
          <w:tcPr>
            <w:tcW w:w="612"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kg/h</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93"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面源</w:t>
            </w:r>
          </w:p>
        </w:tc>
        <w:tc>
          <w:tcPr>
            <w:tcW w:w="434" w:type="pct"/>
            <w:vMerge w:val="restart"/>
            <w:vAlign w:val="center"/>
          </w:tcPr>
          <w:p>
            <w:pPr>
              <w:pStyle w:val="90"/>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污水处理站</w:t>
            </w:r>
          </w:p>
        </w:tc>
        <w:tc>
          <w:tcPr>
            <w:tcW w:w="406"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87</w:t>
            </w:r>
          </w:p>
        </w:tc>
        <w:tc>
          <w:tcPr>
            <w:tcW w:w="40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72</w:t>
            </w:r>
          </w:p>
        </w:tc>
        <w:tc>
          <w:tcPr>
            <w:tcW w:w="570"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80</w:t>
            </w:r>
          </w:p>
        </w:tc>
        <w:tc>
          <w:tcPr>
            <w:tcW w:w="651" w:type="pct"/>
            <w:vMerge w:val="restart"/>
            <w:vAlign w:val="center"/>
          </w:tcPr>
          <w:p>
            <w:pPr>
              <w:pStyle w:val="90"/>
              <w:rPr>
                <w:color w:val="000000" w:themeColor="text1"/>
                <w:highlight w:val="yellow"/>
                <w14:textFill>
                  <w14:solidFill>
                    <w14:schemeClr w14:val="tx1"/>
                  </w14:solidFill>
                </w14:textFill>
              </w:rPr>
            </w:pPr>
            <w:r>
              <w:rPr>
                <w:color w:val="000000" w:themeColor="text1"/>
                <w14:textFill>
                  <w14:solidFill>
                    <w14:schemeClr w14:val="tx1"/>
                  </w14:solidFill>
                </w14:textFill>
              </w:rPr>
              <w:t>4</w:t>
            </w:r>
          </w:p>
        </w:tc>
        <w:tc>
          <w:tcPr>
            <w:tcW w:w="569"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8760</w:t>
            </w:r>
          </w:p>
        </w:tc>
        <w:tc>
          <w:tcPr>
            <w:tcW w:w="570"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488"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61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293" w:type="pct"/>
            <w:vMerge w:val="continue"/>
            <w:vAlign w:val="center"/>
          </w:tcPr>
          <w:p>
            <w:pPr>
              <w:pStyle w:val="90"/>
              <w:rPr>
                <w:color w:val="000000" w:themeColor="text1"/>
                <w:highlight w:val="yellow"/>
                <w14:textFill>
                  <w14:solidFill>
                    <w14:schemeClr w14:val="tx1"/>
                  </w14:solidFill>
                </w14:textFill>
              </w:rPr>
            </w:pPr>
          </w:p>
        </w:tc>
        <w:tc>
          <w:tcPr>
            <w:tcW w:w="434" w:type="pct"/>
            <w:vMerge w:val="continue"/>
            <w:vAlign w:val="center"/>
          </w:tcPr>
          <w:p>
            <w:pPr>
              <w:pStyle w:val="90"/>
              <w:rPr>
                <w:snapToGrid w:val="0"/>
                <w:color w:val="000000" w:themeColor="text1"/>
                <w:highlight w:val="yellow"/>
                <w14:textFill>
                  <w14:solidFill>
                    <w14:schemeClr w14:val="tx1"/>
                  </w14:solidFill>
                </w14:textFill>
              </w:rPr>
            </w:pPr>
          </w:p>
        </w:tc>
        <w:tc>
          <w:tcPr>
            <w:tcW w:w="406" w:type="pct"/>
            <w:vMerge w:val="continue"/>
            <w:vAlign w:val="center"/>
          </w:tcPr>
          <w:p>
            <w:pPr>
              <w:pStyle w:val="90"/>
              <w:rPr>
                <w:color w:val="000000" w:themeColor="text1"/>
                <w:highlight w:val="yellow"/>
                <w14:textFill>
                  <w14:solidFill>
                    <w14:schemeClr w14:val="tx1"/>
                  </w14:solidFill>
                </w14:textFill>
              </w:rPr>
            </w:pPr>
          </w:p>
        </w:tc>
        <w:tc>
          <w:tcPr>
            <w:tcW w:w="407" w:type="pct"/>
            <w:vMerge w:val="continue"/>
            <w:vAlign w:val="center"/>
          </w:tcPr>
          <w:p>
            <w:pPr>
              <w:pStyle w:val="90"/>
              <w:rPr>
                <w:color w:val="000000" w:themeColor="text1"/>
                <w:highlight w:val="yellow"/>
                <w14:textFill>
                  <w14:solidFill>
                    <w14:schemeClr w14:val="tx1"/>
                  </w14:solidFill>
                </w14:textFill>
              </w:rPr>
            </w:pPr>
          </w:p>
        </w:tc>
        <w:tc>
          <w:tcPr>
            <w:tcW w:w="570" w:type="pct"/>
            <w:vMerge w:val="continue"/>
            <w:vAlign w:val="center"/>
          </w:tcPr>
          <w:p>
            <w:pPr>
              <w:pStyle w:val="90"/>
              <w:rPr>
                <w:color w:val="000000" w:themeColor="text1"/>
                <w:highlight w:val="yellow"/>
                <w14:textFill>
                  <w14:solidFill>
                    <w14:schemeClr w14:val="tx1"/>
                  </w14:solidFill>
                </w14:textFill>
              </w:rPr>
            </w:pPr>
          </w:p>
        </w:tc>
        <w:tc>
          <w:tcPr>
            <w:tcW w:w="651" w:type="pct"/>
            <w:vMerge w:val="continue"/>
            <w:vAlign w:val="center"/>
          </w:tcPr>
          <w:p>
            <w:pPr>
              <w:pStyle w:val="90"/>
              <w:rPr>
                <w:color w:val="000000" w:themeColor="text1"/>
                <w:highlight w:val="yellow"/>
                <w14:textFill>
                  <w14:solidFill>
                    <w14:schemeClr w14:val="tx1"/>
                  </w14:solidFill>
                </w14:textFill>
              </w:rPr>
            </w:pPr>
          </w:p>
        </w:tc>
        <w:tc>
          <w:tcPr>
            <w:tcW w:w="569" w:type="pct"/>
            <w:vMerge w:val="continue"/>
            <w:vAlign w:val="center"/>
          </w:tcPr>
          <w:p>
            <w:pPr>
              <w:pStyle w:val="90"/>
              <w:rPr>
                <w:color w:val="000000" w:themeColor="text1"/>
                <w14:textFill>
                  <w14:solidFill>
                    <w14:schemeClr w14:val="tx1"/>
                  </w14:solidFill>
                </w14:textFill>
              </w:rPr>
            </w:pPr>
          </w:p>
        </w:tc>
        <w:tc>
          <w:tcPr>
            <w:tcW w:w="570" w:type="pct"/>
            <w:vMerge w:val="continue"/>
            <w:vAlign w:val="center"/>
          </w:tcPr>
          <w:p>
            <w:pPr>
              <w:pStyle w:val="90"/>
              <w:rPr>
                <w:color w:val="000000" w:themeColor="text1"/>
                <w14:textFill>
                  <w14:solidFill>
                    <w14:schemeClr w14:val="tx1"/>
                  </w14:solidFill>
                </w14:textFill>
              </w:rPr>
            </w:pPr>
          </w:p>
        </w:tc>
        <w:tc>
          <w:tcPr>
            <w:tcW w:w="488"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612" w:type="pct"/>
            <w:vAlign w:val="center"/>
          </w:tcPr>
          <w:p>
            <w:pPr>
              <w:pStyle w:val="9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w:t>
            </w:r>
            <w:r>
              <w:rPr>
                <w:color w:val="000000" w:themeColor="text1"/>
                <w:sz w:val="22"/>
                <w:szCs w:val="22"/>
                <w14:textFill>
                  <w14:solidFill>
                    <w14:schemeClr w14:val="tx1"/>
                  </w14:solidFill>
                </w14:textFill>
              </w:rPr>
              <w:t>.0002</w:t>
            </w:r>
          </w:p>
        </w:tc>
      </w:tr>
    </w:tbl>
    <w:p>
      <w:pPr>
        <w:spacing w:line="520" w:lineRule="exact"/>
        <w:ind w:firstLine="482"/>
        <w:rPr>
          <w:bCs/>
          <w:color w:val="000000" w:themeColor="text1"/>
          <w14:textFill>
            <w14:solidFill>
              <w14:schemeClr w14:val="tx1"/>
            </w14:solidFill>
          </w14:textFill>
        </w:rPr>
      </w:pPr>
      <w:r>
        <w:rPr>
          <w:bCs/>
          <w:color w:val="000000" w:themeColor="text1"/>
          <w:sz w:val="24"/>
          <w:szCs w:val="24"/>
          <w14:textFill>
            <w14:solidFill>
              <w14:schemeClr w14:val="tx1"/>
            </w14:solidFill>
          </w14:textFill>
        </w:rPr>
        <w:t>2、非正常工况下污染源参数</w:t>
      </w:r>
    </w:p>
    <w:p>
      <w:pPr>
        <w:pStyle w:val="632"/>
        <w:rPr>
          <w:color w:val="000000" w:themeColor="text1"/>
          <w14:textFill>
            <w14:solidFill>
              <w14:schemeClr w14:val="tx1"/>
            </w14:solidFill>
          </w14:textFill>
        </w:rPr>
      </w:pPr>
      <w:r>
        <w:rPr>
          <w:color w:val="000000" w:themeColor="text1"/>
          <w14:textFill>
            <w14:solidFill>
              <w14:schemeClr w14:val="tx1"/>
            </w14:solidFill>
          </w14:textFill>
        </w:rPr>
        <w:t>表5.2-10          本次工程非正常工况参数调查清单</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1288"/>
        <w:gridCol w:w="839"/>
        <w:gridCol w:w="1509"/>
        <w:gridCol w:w="1474"/>
        <w:gridCol w:w="1250"/>
        <w:gridCol w:w="1199"/>
        <w:gridCol w:w="11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737" w:type="pct"/>
            <w:tcBorders>
              <w:top w:val="single" w:color="auto" w:sz="4" w:space="0"/>
              <w:left w:val="single" w:color="auto" w:sz="4" w:space="0"/>
              <w:bottom w:val="single" w:color="auto" w:sz="6" w:space="0"/>
              <w:right w:val="single" w:color="auto" w:sz="6"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非正常排放污染源</w:t>
            </w:r>
          </w:p>
        </w:tc>
        <w:tc>
          <w:tcPr>
            <w:tcW w:w="480" w:type="pct"/>
            <w:tcBorders>
              <w:top w:val="single" w:color="auto" w:sz="4" w:space="0"/>
              <w:left w:val="single" w:color="auto" w:sz="6" w:space="0"/>
              <w:bottom w:val="single" w:color="auto" w:sz="6" w:space="0"/>
              <w:right w:val="single" w:color="auto" w:sz="4" w:space="0"/>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污染物名称</w:t>
            </w:r>
          </w:p>
        </w:tc>
        <w:tc>
          <w:tcPr>
            <w:tcW w:w="863" w:type="pct"/>
            <w:tcBorders>
              <w:top w:val="single" w:color="auto" w:sz="4" w:space="0"/>
              <w:left w:val="single" w:color="auto" w:sz="4" w:space="0"/>
              <w:bottom w:val="single" w:color="auto" w:sz="6" w:space="0"/>
              <w:right w:val="single" w:color="auto" w:sz="6" w:space="0"/>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污染物非正常排放量（kg/h）</w:t>
            </w:r>
          </w:p>
        </w:tc>
        <w:tc>
          <w:tcPr>
            <w:tcW w:w="843" w:type="pct"/>
            <w:tcBorders>
              <w:top w:val="single" w:color="auto" w:sz="4" w:space="0"/>
              <w:left w:val="single" w:color="auto" w:sz="6" w:space="0"/>
              <w:bottom w:val="single" w:color="auto" w:sz="6" w:space="0"/>
              <w:right w:val="single" w:color="auto" w:sz="4" w:space="0"/>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非正常排放原因</w:t>
            </w:r>
          </w:p>
        </w:tc>
        <w:tc>
          <w:tcPr>
            <w:tcW w:w="715" w:type="pct"/>
            <w:tcBorders>
              <w:top w:val="single" w:color="auto" w:sz="4" w:space="0"/>
              <w:left w:val="single" w:color="auto" w:sz="4" w:space="0"/>
              <w:bottom w:val="single" w:color="auto" w:sz="6" w:space="0"/>
              <w:right w:val="single" w:color="auto" w:sz="6" w:space="0"/>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排气筒高度（m）</w:t>
            </w:r>
          </w:p>
        </w:tc>
        <w:tc>
          <w:tcPr>
            <w:tcW w:w="686" w:type="pct"/>
            <w:tcBorders>
              <w:top w:val="single" w:color="auto" w:sz="4" w:space="0"/>
              <w:left w:val="single" w:color="auto" w:sz="6" w:space="0"/>
              <w:bottom w:val="single" w:color="auto" w:sz="6" w:space="0"/>
              <w:right w:val="single" w:color="auto" w:sz="6" w:space="0"/>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排气筒内径（m）</w:t>
            </w:r>
          </w:p>
        </w:tc>
        <w:tc>
          <w:tcPr>
            <w:tcW w:w="676" w:type="pct"/>
            <w:tcBorders>
              <w:top w:val="single" w:color="auto" w:sz="4" w:space="0"/>
              <w:left w:val="single" w:color="auto" w:sz="6" w:space="0"/>
              <w:bottom w:val="single" w:color="auto" w:sz="6" w:space="0"/>
              <w:right w:val="single" w:color="auto" w:sz="4" w:space="0"/>
            </w:tcBorders>
            <w:vAlign w:val="center"/>
          </w:tcPr>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排气量（m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737" w:type="pct"/>
            <w:vMerge w:val="restart"/>
            <w:tcBorders>
              <w:top w:val="single" w:color="auto" w:sz="6" w:space="0"/>
              <w:left w:val="single" w:color="auto" w:sz="4" w:space="0"/>
              <w:right w:val="single" w:color="auto" w:sz="6"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污水处理站废气排气筒</w:t>
            </w:r>
            <w:r>
              <w:rPr>
                <w:rFonts w:hint="eastAsia"/>
                <w:color w:val="000000" w:themeColor="text1"/>
                <w14:textFill>
                  <w14:solidFill>
                    <w14:schemeClr w14:val="tx1"/>
                  </w14:solidFill>
                </w14:textFill>
              </w:rPr>
              <w:t>（P）</w:t>
            </w:r>
          </w:p>
        </w:tc>
        <w:tc>
          <w:tcPr>
            <w:tcW w:w="480" w:type="pct"/>
            <w:tcBorders>
              <w:top w:val="single" w:color="auto" w:sz="6" w:space="0"/>
              <w:left w:val="single" w:color="auto" w:sz="6" w:space="0"/>
              <w:bottom w:val="single" w:color="auto" w:sz="6"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氨</w:t>
            </w:r>
          </w:p>
        </w:tc>
        <w:tc>
          <w:tcPr>
            <w:tcW w:w="863" w:type="pct"/>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 w:val="22"/>
                <w14:textFill>
                  <w14:solidFill>
                    <w14:schemeClr w14:val="tx1"/>
                  </w14:solidFill>
                </w14:textFill>
              </w:rPr>
            </w:pPr>
            <w:r>
              <w:rPr>
                <w:color w:val="000000" w:themeColor="text1"/>
                <w:szCs w:val="21"/>
                <w14:textFill>
                  <w14:solidFill>
                    <w14:schemeClr w14:val="tx1"/>
                  </w14:solidFill>
                </w14:textFill>
              </w:rPr>
              <w:t>0.2385</w:t>
            </w:r>
          </w:p>
        </w:tc>
        <w:tc>
          <w:tcPr>
            <w:tcW w:w="843" w:type="pct"/>
            <w:vMerge w:val="restart"/>
            <w:tcBorders>
              <w:top w:val="single" w:color="auto" w:sz="6" w:space="0"/>
              <w:left w:val="single" w:color="auto" w:sz="6"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恶臭气体治理装置发生故障</w:t>
            </w:r>
          </w:p>
        </w:tc>
        <w:tc>
          <w:tcPr>
            <w:tcW w:w="715" w:type="pct"/>
            <w:vMerge w:val="restart"/>
            <w:tcBorders>
              <w:top w:val="single" w:color="auto" w:sz="6" w:space="0"/>
              <w:left w:val="single" w:color="auto" w:sz="4" w:space="0"/>
              <w:right w:val="single" w:color="auto" w:sz="6"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c>
          <w:tcPr>
            <w:tcW w:w="686" w:type="pct"/>
            <w:vMerge w:val="restart"/>
            <w:tcBorders>
              <w:top w:val="single" w:color="auto" w:sz="6" w:space="0"/>
              <w:left w:val="single" w:color="auto" w:sz="6" w:space="0"/>
              <w:right w:val="single" w:color="auto" w:sz="6"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.6</w:t>
            </w:r>
          </w:p>
        </w:tc>
        <w:tc>
          <w:tcPr>
            <w:tcW w:w="676" w:type="pct"/>
            <w:vMerge w:val="restart"/>
            <w:tcBorders>
              <w:top w:val="single" w:color="auto" w:sz="6" w:space="0"/>
              <w:left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737" w:type="pct"/>
            <w:vMerge w:val="continue"/>
            <w:tcBorders>
              <w:left w:val="single" w:color="auto" w:sz="4" w:space="0"/>
              <w:right w:val="single" w:color="auto" w:sz="6" w:space="0"/>
            </w:tcBorders>
            <w:vAlign w:val="center"/>
          </w:tcPr>
          <w:p>
            <w:pPr>
              <w:jc w:val="center"/>
              <w:rPr>
                <w:color w:val="000000" w:themeColor="text1"/>
                <w:highlight w:val="yellow"/>
                <w14:textFill>
                  <w14:solidFill>
                    <w14:schemeClr w14:val="tx1"/>
                  </w14:solidFill>
                </w14:textFill>
              </w:rPr>
            </w:pPr>
          </w:p>
        </w:tc>
        <w:tc>
          <w:tcPr>
            <w:tcW w:w="480" w:type="pct"/>
            <w:tcBorders>
              <w:top w:val="single" w:color="auto" w:sz="6" w:space="0"/>
              <w:left w:val="single" w:color="auto" w:sz="6" w:space="0"/>
              <w:bottom w:val="single" w:color="auto" w:sz="6" w:space="0"/>
              <w:right w:val="single" w:color="auto" w:sz="4" w:space="0"/>
            </w:tcBorders>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硫化氢</w:t>
            </w:r>
          </w:p>
        </w:tc>
        <w:tc>
          <w:tcPr>
            <w:tcW w:w="863" w:type="pct"/>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 w:val="22"/>
                <w14:textFill>
                  <w14:solidFill>
                    <w14:schemeClr w14:val="tx1"/>
                  </w14:solidFill>
                </w14:textFill>
              </w:rPr>
            </w:pPr>
            <w:r>
              <w:rPr>
                <w:color w:val="000000" w:themeColor="text1"/>
                <w:szCs w:val="21"/>
                <w14:textFill>
                  <w14:solidFill>
                    <w14:schemeClr w14:val="tx1"/>
                  </w14:solidFill>
                </w14:textFill>
              </w:rPr>
              <w:t>0.0092</w:t>
            </w:r>
          </w:p>
        </w:tc>
        <w:tc>
          <w:tcPr>
            <w:tcW w:w="843" w:type="pct"/>
            <w:vMerge w:val="continue"/>
            <w:tcBorders>
              <w:left w:val="single" w:color="auto" w:sz="6" w:space="0"/>
              <w:right w:val="single" w:color="auto" w:sz="4" w:space="0"/>
            </w:tcBorders>
            <w:vAlign w:val="center"/>
          </w:tcPr>
          <w:p>
            <w:pPr>
              <w:jc w:val="center"/>
              <w:rPr>
                <w:color w:val="000000" w:themeColor="text1"/>
                <w:highlight w:val="yellow"/>
                <w14:textFill>
                  <w14:solidFill>
                    <w14:schemeClr w14:val="tx1"/>
                  </w14:solidFill>
                </w14:textFill>
              </w:rPr>
            </w:pPr>
          </w:p>
        </w:tc>
        <w:tc>
          <w:tcPr>
            <w:tcW w:w="715" w:type="pct"/>
            <w:vMerge w:val="continue"/>
            <w:tcBorders>
              <w:left w:val="single" w:color="auto" w:sz="4" w:space="0"/>
              <w:right w:val="single" w:color="auto" w:sz="6" w:space="0"/>
            </w:tcBorders>
            <w:vAlign w:val="center"/>
          </w:tcPr>
          <w:p>
            <w:pPr>
              <w:jc w:val="center"/>
              <w:rPr>
                <w:color w:val="000000" w:themeColor="text1"/>
                <w:highlight w:val="yellow"/>
                <w14:textFill>
                  <w14:solidFill>
                    <w14:schemeClr w14:val="tx1"/>
                  </w14:solidFill>
                </w14:textFill>
              </w:rPr>
            </w:pPr>
          </w:p>
        </w:tc>
        <w:tc>
          <w:tcPr>
            <w:tcW w:w="686" w:type="pct"/>
            <w:vMerge w:val="continue"/>
            <w:tcBorders>
              <w:left w:val="single" w:color="auto" w:sz="6" w:space="0"/>
              <w:right w:val="single" w:color="auto" w:sz="6" w:space="0"/>
            </w:tcBorders>
            <w:vAlign w:val="center"/>
          </w:tcPr>
          <w:p>
            <w:pPr>
              <w:jc w:val="center"/>
              <w:rPr>
                <w:color w:val="000000" w:themeColor="text1"/>
                <w:highlight w:val="yellow"/>
                <w14:textFill>
                  <w14:solidFill>
                    <w14:schemeClr w14:val="tx1"/>
                  </w14:solidFill>
                </w14:textFill>
              </w:rPr>
            </w:pPr>
          </w:p>
        </w:tc>
        <w:tc>
          <w:tcPr>
            <w:tcW w:w="676" w:type="pct"/>
            <w:vMerge w:val="continue"/>
            <w:tcBorders>
              <w:left w:val="single" w:color="auto" w:sz="6" w:space="0"/>
              <w:right w:val="single" w:color="auto" w:sz="6" w:space="0"/>
            </w:tcBorders>
            <w:vAlign w:val="center"/>
          </w:tcPr>
          <w:p>
            <w:pPr>
              <w:jc w:val="center"/>
              <w:rPr>
                <w:color w:val="000000" w:themeColor="text1"/>
                <w:szCs w:val="21"/>
                <w:highlight w:val="yellow"/>
                <w14:textFill>
                  <w14:solidFill>
                    <w14:schemeClr w14:val="tx1"/>
                  </w14:solidFill>
                </w14:textFill>
              </w:rPr>
            </w:pPr>
          </w:p>
        </w:tc>
      </w:tr>
    </w:tbl>
    <w:p>
      <w:pPr>
        <w:pStyle w:val="457"/>
        <w:rPr>
          <w:color w:val="000000" w:themeColor="text1"/>
          <w:highlight w:val="yellow"/>
          <w14:textFill>
            <w14:solidFill>
              <w14:schemeClr w14:val="tx1"/>
            </w14:solidFill>
          </w14:textFill>
        </w:rPr>
        <w:sectPr>
          <w:footerReference r:id="rId19" w:type="default"/>
          <w:pgSz w:w="11907" w:h="16840"/>
          <w:pgMar w:top="1701" w:right="1588" w:bottom="1701" w:left="1588" w:header="851" w:footer="1134" w:gutter="0"/>
          <w:pgNumType w:start="1" w:chapStyle="1"/>
          <w:cols w:space="720" w:num="1"/>
        </w:sectPr>
      </w:pPr>
    </w:p>
    <w:p>
      <w:pPr>
        <w:pStyle w:val="460"/>
      </w:pPr>
      <w:r>
        <w:t>5.2.2.4 评价工作等级及评价范围的确定</w:t>
      </w:r>
    </w:p>
    <w:p>
      <w:pPr>
        <w:tabs>
          <w:tab w:val="left" w:pos="3780"/>
        </w:tabs>
        <w:spacing w:line="500" w:lineRule="exact"/>
        <w:ind w:firstLine="480" w:firstLineChars="200"/>
        <w:outlineLvl w:val="4"/>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一、模型参数</w:t>
      </w:r>
    </w:p>
    <w:p>
      <w:pPr>
        <w:tabs>
          <w:tab w:val="left" w:pos="3780"/>
        </w:tabs>
        <w:spacing w:line="500" w:lineRule="exact"/>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依据《环境影响评价技术导则-大气环境》（HJ2.2-2018）评价工作等级的划分原则和方法，对项目选取的预测因子，利用附录A推荐模型中的AERSCREEN估算模式对项目的大气环境环境评价工作进行分级，</w:t>
      </w:r>
      <w:r>
        <w:rPr>
          <w:bCs/>
          <w:color w:val="000000" w:themeColor="text1"/>
          <w:sz w:val="24"/>
          <w14:textFill>
            <w14:solidFill>
              <w14:schemeClr w14:val="tx1"/>
            </w14:solidFill>
          </w14:textFill>
        </w:rPr>
        <w:t>计算工程</w:t>
      </w:r>
      <w:r>
        <w:rPr>
          <w:color w:val="000000" w:themeColor="text1"/>
          <w:sz w:val="24"/>
          <w14:textFill>
            <w14:solidFill>
              <w14:schemeClr w14:val="tx1"/>
            </w14:solidFill>
          </w14:textFill>
        </w:rPr>
        <w:t>主要污染源污染物的最大落地浓度及其出现距离，估算模型参数见表5.1-11</w:t>
      </w:r>
      <w:r>
        <w:rPr>
          <w:bCs/>
          <w:color w:val="000000" w:themeColor="text1"/>
          <w:sz w:val="24"/>
          <w14:textFill>
            <w14:solidFill>
              <w14:schemeClr w14:val="tx1"/>
            </w14:solidFill>
          </w14:textFill>
        </w:rPr>
        <w:t>。</w:t>
      </w:r>
    </w:p>
    <w:p>
      <w:pPr>
        <w:tabs>
          <w:tab w:val="left" w:pos="3780"/>
        </w:tabs>
        <w:spacing w:line="500" w:lineRule="exact"/>
        <w:ind w:firstLine="480" w:firstLineChars="20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表5.2-11              本项目估算模型参数一览表</w:t>
      </w:r>
    </w:p>
    <w:tbl>
      <w:tblPr>
        <w:tblStyle w:val="49"/>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1"/>
        <w:gridCol w:w="2982"/>
        <w:gridCol w:w="2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3" w:type="dxa"/>
            <w:gridSpan w:val="2"/>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参数</w:t>
            </w:r>
          </w:p>
        </w:tc>
        <w:tc>
          <w:tcPr>
            <w:tcW w:w="2983"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1" w:type="dxa"/>
            <w:vMerge w:val="restart"/>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城市/农村选项</w:t>
            </w:r>
          </w:p>
        </w:tc>
        <w:tc>
          <w:tcPr>
            <w:tcW w:w="2982"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城市/农村</w:t>
            </w:r>
          </w:p>
        </w:tc>
        <w:tc>
          <w:tcPr>
            <w:tcW w:w="2983"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color w:val="000000" w:themeColor="text1"/>
                <w:szCs w:val="21"/>
                <w14:textFill>
                  <w14:solidFill>
                    <w14:schemeClr w14:val="tx1"/>
                  </w14:solidFill>
                </w14:textFill>
              </w:rPr>
            </w:pPr>
          </w:p>
        </w:tc>
        <w:tc>
          <w:tcPr>
            <w:tcW w:w="2982"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人口数（城市选项时）</w:t>
            </w:r>
          </w:p>
        </w:tc>
        <w:tc>
          <w:tcPr>
            <w:tcW w:w="2983"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3" w:type="dxa"/>
            <w:gridSpan w:val="2"/>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最高环境温度/℃</w:t>
            </w:r>
          </w:p>
        </w:tc>
        <w:tc>
          <w:tcPr>
            <w:tcW w:w="2983"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3" w:type="dxa"/>
            <w:gridSpan w:val="2"/>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最低环境温度/℃</w:t>
            </w:r>
          </w:p>
        </w:tc>
        <w:tc>
          <w:tcPr>
            <w:tcW w:w="2983"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3" w:type="dxa"/>
            <w:gridSpan w:val="2"/>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土地利用类型</w:t>
            </w:r>
          </w:p>
        </w:tc>
        <w:tc>
          <w:tcPr>
            <w:tcW w:w="2983"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3" w:type="dxa"/>
            <w:gridSpan w:val="2"/>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区域湿度条件</w:t>
            </w:r>
          </w:p>
        </w:tc>
        <w:tc>
          <w:tcPr>
            <w:tcW w:w="2983"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中等湿度气候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1" w:type="dxa"/>
            <w:vMerge w:val="restart"/>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是否考虑地形</w:t>
            </w:r>
          </w:p>
        </w:tc>
        <w:tc>
          <w:tcPr>
            <w:tcW w:w="2982"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考虑地形</w:t>
            </w:r>
          </w:p>
        </w:tc>
        <w:tc>
          <w:tcPr>
            <w:tcW w:w="2983"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color w:val="000000" w:themeColor="text1"/>
                <w:szCs w:val="21"/>
                <w14:textFill>
                  <w14:solidFill>
                    <w14:schemeClr w14:val="tx1"/>
                  </w14:solidFill>
                </w14:textFill>
              </w:rPr>
            </w:pPr>
          </w:p>
        </w:tc>
        <w:tc>
          <w:tcPr>
            <w:tcW w:w="2982"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地形数据分辨率/m</w:t>
            </w:r>
          </w:p>
        </w:tc>
        <w:tc>
          <w:tcPr>
            <w:tcW w:w="2983"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1" w:type="dxa"/>
            <w:vMerge w:val="restart"/>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是否考虑岸线熏烟</w:t>
            </w:r>
          </w:p>
        </w:tc>
        <w:tc>
          <w:tcPr>
            <w:tcW w:w="2982"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考虑岸线熏烟</w:t>
            </w:r>
          </w:p>
        </w:tc>
        <w:tc>
          <w:tcPr>
            <w:tcW w:w="2983"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color w:val="000000" w:themeColor="text1"/>
                <w:szCs w:val="21"/>
                <w14:textFill>
                  <w14:solidFill>
                    <w14:schemeClr w14:val="tx1"/>
                  </w14:solidFill>
                </w14:textFill>
              </w:rPr>
            </w:pPr>
          </w:p>
        </w:tc>
        <w:tc>
          <w:tcPr>
            <w:tcW w:w="2982"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岸线距离/km</w:t>
            </w:r>
          </w:p>
        </w:tc>
        <w:tc>
          <w:tcPr>
            <w:tcW w:w="2983"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color w:val="000000" w:themeColor="text1"/>
                <w:szCs w:val="21"/>
                <w14:textFill>
                  <w14:solidFill>
                    <w14:schemeClr w14:val="tx1"/>
                  </w14:solidFill>
                </w14:textFill>
              </w:rPr>
            </w:pPr>
          </w:p>
        </w:tc>
        <w:tc>
          <w:tcPr>
            <w:tcW w:w="2982"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岸线方向/°</w:t>
            </w:r>
          </w:p>
        </w:tc>
        <w:tc>
          <w:tcPr>
            <w:tcW w:w="2983" w:type="dxa"/>
            <w:tcBorders>
              <w:top w:val="single" w:color="auto" w:sz="4" w:space="0"/>
              <w:left w:val="single" w:color="auto" w:sz="4" w:space="0"/>
              <w:bottom w:val="single" w:color="auto" w:sz="4" w:space="0"/>
              <w:right w:val="single" w:color="auto" w:sz="4" w:space="0"/>
            </w:tcBorders>
            <w:vAlign w:val="center"/>
          </w:tcPr>
          <w:p>
            <w:pPr>
              <w:tabs>
                <w:tab w:val="left" w:pos="3780"/>
              </w:tabs>
              <w:spacing w:line="32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bl>
    <w:p>
      <w:pPr>
        <w:tabs>
          <w:tab w:val="left" w:pos="3780"/>
        </w:tabs>
        <w:spacing w:line="500" w:lineRule="exact"/>
        <w:ind w:firstLine="480" w:firstLineChars="200"/>
        <w:outlineLvl w:val="4"/>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二、点源估算结果</w:t>
      </w:r>
    </w:p>
    <w:p>
      <w:pPr>
        <w:adjustRightInd w:val="0"/>
        <w:snapToGrid w:val="0"/>
        <w:spacing w:line="520" w:lineRule="exact"/>
        <w:ind w:firstLine="480" w:firstLineChars="200"/>
        <w:textAlignment w:val="baseline"/>
        <w:rPr>
          <w:rFonts w:cs="宋体"/>
          <w:color w:val="000000" w:themeColor="text1"/>
          <w:kern w:val="0"/>
          <w:sz w:val="24"/>
          <w:szCs w:val="20"/>
          <w14:textFill>
            <w14:solidFill>
              <w14:schemeClr w14:val="tx1"/>
            </w14:solidFill>
          </w14:textFill>
        </w:rPr>
      </w:pPr>
      <w:r>
        <w:rPr>
          <w:rFonts w:hint="eastAsia" w:cs="宋体"/>
          <w:color w:val="000000" w:themeColor="text1"/>
          <w:kern w:val="0"/>
          <w:sz w:val="24"/>
          <w:szCs w:val="20"/>
          <w14:textFill>
            <w14:solidFill>
              <w14:schemeClr w14:val="tx1"/>
            </w14:solidFill>
          </w14:textFill>
        </w:rPr>
        <w:t>主要污染源点源估算模型计算结果见表5</w:t>
      </w:r>
      <w:r>
        <w:rPr>
          <w:rFonts w:cs="宋体"/>
          <w:color w:val="000000" w:themeColor="text1"/>
          <w:kern w:val="0"/>
          <w:sz w:val="24"/>
          <w:szCs w:val="20"/>
          <w14:textFill>
            <w14:solidFill>
              <w14:schemeClr w14:val="tx1"/>
            </w14:solidFill>
          </w14:textFill>
        </w:rPr>
        <w:t>.2</w:t>
      </w:r>
      <w:r>
        <w:rPr>
          <w:rFonts w:hint="eastAsia" w:cs="宋体"/>
          <w:color w:val="000000" w:themeColor="text1"/>
          <w:kern w:val="0"/>
          <w:sz w:val="24"/>
          <w:szCs w:val="20"/>
          <w14:textFill>
            <w14:solidFill>
              <w14:schemeClr w14:val="tx1"/>
            </w14:solidFill>
          </w14:textFill>
        </w:rPr>
        <w:t>-</w:t>
      </w:r>
      <w:r>
        <w:rPr>
          <w:rFonts w:cs="宋体"/>
          <w:color w:val="000000" w:themeColor="text1"/>
          <w:kern w:val="0"/>
          <w:sz w:val="24"/>
          <w:szCs w:val="20"/>
          <w14:textFill>
            <w14:solidFill>
              <w14:schemeClr w14:val="tx1"/>
            </w14:solidFill>
          </w14:textFill>
        </w:rPr>
        <w:t>12</w:t>
      </w:r>
      <w:r>
        <w:rPr>
          <w:rFonts w:hint="eastAsia" w:cs="宋体"/>
          <w:color w:val="000000" w:themeColor="text1"/>
          <w:kern w:val="0"/>
          <w:sz w:val="24"/>
          <w:szCs w:val="20"/>
          <w14:textFill>
            <w14:solidFill>
              <w14:schemeClr w14:val="tx1"/>
            </w14:solidFill>
          </w14:textFill>
        </w:rPr>
        <w:t>。</w:t>
      </w:r>
    </w:p>
    <w:p>
      <w:pPr>
        <w:tabs>
          <w:tab w:val="left" w:pos="3780"/>
        </w:tabs>
        <w:spacing w:line="500" w:lineRule="exact"/>
        <w:ind w:firstLine="480" w:firstLineChars="200"/>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表5</w:t>
      </w:r>
      <w:r>
        <w:rPr>
          <w:rFonts w:eastAsia="黑体"/>
          <w:color w:val="000000" w:themeColor="text1"/>
          <w:sz w:val="24"/>
          <w14:textFill>
            <w14:solidFill>
              <w14:schemeClr w14:val="tx1"/>
            </w14:solidFill>
          </w14:textFill>
        </w:rPr>
        <w:t>.2</w:t>
      </w:r>
      <w:r>
        <w:rPr>
          <w:rFonts w:hint="eastAsia" w:eastAsia="黑体"/>
          <w:color w:val="000000" w:themeColor="text1"/>
          <w:sz w:val="24"/>
          <w14:textFill>
            <w14:solidFill>
              <w14:schemeClr w14:val="tx1"/>
            </w14:solidFill>
          </w14:textFill>
        </w:rPr>
        <w:t>-</w:t>
      </w:r>
      <w:r>
        <w:rPr>
          <w:rFonts w:eastAsia="黑体"/>
          <w:color w:val="000000" w:themeColor="text1"/>
          <w:sz w:val="24"/>
          <w14:textFill>
            <w14:solidFill>
              <w14:schemeClr w14:val="tx1"/>
            </w14:solidFill>
          </w14:textFill>
        </w:rPr>
        <w:t>12</w:t>
      </w:r>
      <w:r>
        <w:rPr>
          <w:rFonts w:hint="eastAsia" w:eastAsia="黑体"/>
          <w:color w:val="000000" w:themeColor="text1"/>
          <w:sz w:val="24"/>
          <w14:textFill>
            <w14:solidFill>
              <w14:schemeClr w14:val="tx1"/>
            </w14:solidFill>
          </w14:textFill>
        </w:rPr>
        <w:t xml:space="preserve">              本项目估算模式预测结果</w:t>
      </w:r>
    </w:p>
    <w:tbl>
      <w:tblPr>
        <w:tblStyle w:val="4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191"/>
        <w:gridCol w:w="2552"/>
        <w:gridCol w:w="1379"/>
        <w:gridCol w:w="1944"/>
        <w:gridCol w:w="13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1191" w:type="dxa"/>
            <w:vMerge w:val="restar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下风向距离</w:t>
            </w:r>
          </w:p>
          <w:p>
            <w:pPr>
              <w:pStyle w:val="94"/>
              <w:rPr>
                <w:rFonts w:cs="Times New Roman"/>
                <w:b w:val="0"/>
                <w:bCs/>
                <w:color w:val="000000" w:themeColor="text1"/>
                <w14:textFill>
                  <w14:solidFill>
                    <w14:schemeClr w14:val="tx1"/>
                  </w14:solidFill>
                </w14:textFill>
              </w:rPr>
            </w:pPr>
            <w:r>
              <w:rPr>
                <w:rFonts w:cs="Times New Roman"/>
                <w:color w:val="000000" w:themeColor="text1"/>
                <w14:textFill>
                  <w14:solidFill>
                    <w14:schemeClr w14:val="tx1"/>
                  </w14:solidFill>
                </w14:textFill>
              </w:rPr>
              <w:t>D（m）</w:t>
            </w:r>
          </w:p>
        </w:tc>
        <w:tc>
          <w:tcPr>
            <w:tcW w:w="7239" w:type="dxa"/>
            <w:gridSpan w:val="4"/>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排气筒P</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1191" w:type="dxa"/>
            <w:vMerge w:val="continue"/>
            <w:vAlign w:val="center"/>
          </w:tcPr>
          <w:p>
            <w:pPr>
              <w:pStyle w:val="94"/>
              <w:rPr>
                <w:rFonts w:cs="Times New Roman"/>
                <w:b w:val="0"/>
                <w:bCs/>
                <w:color w:val="000000" w:themeColor="text1"/>
                <w14:textFill>
                  <w14:solidFill>
                    <w14:schemeClr w14:val="tx1"/>
                  </w14:solidFill>
                </w14:textFill>
              </w:rPr>
            </w:pPr>
          </w:p>
        </w:tc>
        <w:tc>
          <w:tcPr>
            <w:tcW w:w="3931" w:type="dxa"/>
            <w:gridSpan w:val="2"/>
            <w:vAlign w:val="center"/>
          </w:tcPr>
          <w:p>
            <w:pPr>
              <w:pStyle w:val="94"/>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氨</w:t>
            </w:r>
          </w:p>
        </w:tc>
        <w:tc>
          <w:tcPr>
            <w:tcW w:w="3308" w:type="dxa"/>
            <w:gridSpan w:val="2"/>
            <w:vAlign w:val="center"/>
          </w:tcPr>
          <w:p>
            <w:pPr>
              <w:pStyle w:val="94"/>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硫化氢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1191" w:type="dxa"/>
            <w:vMerge w:val="continue"/>
            <w:vAlign w:val="center"/>
          </w:tcPr>
          <w:p>
            <w:pPr>
              <w:pStyle w:val="94"/>
              <w:rPr>
                <w:rFonts w:cs="Times New Roman"/>
                <w:b w:val="0"/>
                <w:bCs/>
                <w:color w:val="000000" w:themeColor="text1"/>
                <w14:textFill>
                  <w14:solidFill>
                    <w14:schemeClr w14:val="tx1"/>
                  </w14:solidFill>
                </w14:textFill>
              </w:rPr>
            </w:pPr>
          </w:p>
        </w:tc>
        <w:tc>
          <w:tcPr>
            <w:tcW w:w="2552" w:type="dxa"/>
            <w:vAlign w:val="center"/>
          </w:tcPr>
          <w:p>
            <w:pPr>
              <w:pStyle w:val="94"/>
              <w:rPr>
                <w:rFonts w:cs="Times New Roman"/>
                <w:color w:val="000000" w:themeColor="text1"/>
                <w:highlight w:val="yellow"/>
                <w14:textFill>
                  <w14:solidFill>
                    <w14:schemeClr w14:val="tx1"/>
                  </w14:solidFill>
                </w14:textFill>
              </w:rPr>
            </w:pPr>
            <w:r>
              <w:rPr>
                <w:rFonts w:cs="Times New Roman"/>
                <w:color w:val="000000" w:themeColor="text1"/>
                <w14:textFill>
                  <w14:solidFill>
                    <w14:schemeClr w14:val="tx1"/>
                  </w14:solidFill>
                </w14:textFill>
              </w:rPr>
              <w:t>预测浓度（mg/m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tc>
        <w:tc>
          <w:tcPr>
            <w:tcW w:w="1379" w:type="dxa"/>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占标率（%）</w:t>
            </w:r>
          </w:p>
        </w:tc>
        <w:tc>
          <w:tcPr>
            <w:tcW w:w="1944" w:type="dxa"/>
            <w:vAlign w:val="center"/>
          </w:tcPr>
          <w:p>
            <w:pPr>
              <w:pStyle w:val="94"/>
              <w:rPr>
                <w:rFonts w:cs="Times New Roman"/>
                <w:color w:val="000000" w:themeColor="text1"/>
                <w:highlight w:val="yellow"/>
                <w14:textFill>
                  <w14:solidFill>
                    <w14:schemeClr w14:val="tx1"/>
                  </w14:solidFill>
                </w14:textFill>
              </w:rPr>
            </w:pPr>
            <w:r>
              <w:rPr>
                <w:rFonts w:cs="Times New Roman"/>
                <w:color w:val="000000" w:themeColor="text1"/>
                <w14:textFill>
                  <w14:solidFill>
                    <w14:schemeClr w14:val="tx1"/>
                  </w14:solidFill>
                </w14:textFill>
              </w:rPr>
              <w:t>预测浓度（mg/m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tc>
        <w:tc>
          <w:tcPr>
            <w:tcW w:w="1364" w:type="dxa"/>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占标率（%）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10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.00000297</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.000000123</w:t>
            </w:r>
          </w:p>
        </w:tc>
        <w:tc>
          <w:tcPr>
            <w:tcW w:w="1364"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100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.000793</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.37</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.0000328</w:t>
            </w:r>
          </w:p>
        </w:tc>
        <w:tc>
          <w:tcPr>
            <w:tcW w:w="1364"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200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.00112</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.56</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.0000462</w:t>
            </w:r>
          </w:p>
        </w:tc>
        <w:tc>
          <w:tcPr>
            <w:tcW w:w="1364"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0.46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300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.000984</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.5</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.0000407</w:t>
            </w:r>
          </w:p>
        </w:tc>
        <w:tc>
          <w:tcPr>
            <w:tcW w:w="1364"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0.41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400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.000852</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.43</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.0000352</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500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.000819</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.41</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.0000339</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600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.000754</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.38</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.0000312</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700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.000684</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.34</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.0000283</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800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.000619</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.31</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.0000256</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900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.00056</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.28</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.0000232</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1000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.000509</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.26</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.0000211</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1100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.000465</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.23</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.0000192</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1200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.000426</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.21</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.0000175</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1300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.000391</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.2</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.0000162</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1400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.000362</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.18</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.000015</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1500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.000335</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.17</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.0000139</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1600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.000312</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.16</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.0000129</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1700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.000305</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.15</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.0000126</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1800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.000301</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.15</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.0000125</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1900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.000297</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.15</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.0000123</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2000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.000291</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.15</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.0000121</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2100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.000286</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.14</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.0000118</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2200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.00028</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.14</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.0000116</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2300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.000273</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.14</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.0000113</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2400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.000267</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.13</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.000011</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2500</w:t>
            </w:r>
          </w:p>
        </w:tc>
        <w:tc>
          <w:tcPr>
            <w:tcW w:w="2552"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.000261</w:t>
            </w:r>
          </w:p>
        </w:tc>
        <w:tc>
          <w:tcPr>
            <w:tcW w:w="1379"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.13</w:t>
            </w:r>
          </w:p>
        </w:tc>
        <w:tc>
          <w:tcPr>
            <w:tcW w:w="194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.0000108</w:t>
            </w:r>
          </w:p>
        </w:tc>
        <w:tc>
          <w:tcPr>
            <w:tcW w:w="1364" w:type="dxa"/>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91" w:type="dxa"/>
            <w:vAlign w:val="center"/>
          </w:tcPr>
          <w:p>
            <w:pPr>
              <w:pStyle w:val="90"/>
              <w:rPr>
                <w:b/>
                <w:color w:val="000000" w:themeColor="text1"/>
                <w14:textFill>
                  <w14:solidFill>
                    <w14:schemeClr w14:val="tx1"/>
                  </w14:solidFill>
                </w14:textFill>
              </w:rPr>
            </w:pPr>
            <w:r>
              <w:rPr>
                <w:b/>
                <w:color w:val="000000" w:themeColor="text1"/>
                <w14:textFill>
                  <w14:solidFill>
                    <w14:schemeClr w14:val="tx1"/>
                  </w14:solidFill>
                </w14:textFill>
              </w:rPr>
              <w:t>P</w:t>
            </w:r>
            <w:r>
              <w:rPr>
                <w:b/>
                <w:color w:val="000000" w:themeColor="text1"/>
                <w:vertAlign w:val="subscript"/>
                <w14:textFill>
                  <w14:solidFill>
                    <w14:schemeClr w14:val="tx1"/>
                  </w14:solidFill>
                </w14:textFill>
              </w:rPr>
              <w:t>max</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211</w:t>
            </w:r>
            <w:r>
              <w:rPr>
                <w:b/>
                <w:color w:val="000000" w:themeColor="text1"/>
                <w14:textFill>
                  <w14:solidFill>
                    <w14:schemeClr w14:val="tx1"/>
                  </w14:solidFill>
                </w14:textFill>
              </w:rPr>
              <w:t>m）</w:t>
            </w:r>
          </w:p>
        </w:tc>
        <w:tc>
          <w:tcPr>
            <w:tcW w:w="2552" w:type="dxa"/>
            <w:vAlign w:val="center"/>
          </w:tcPr>
          <w:p>
            <w:pPr>
              <w:pStyle w:val="90"/>
              <w:rPr>
                <w:b/>
                <w:color w:val="000000" w:themeColor="text1"/>
                <w14:textFill>
                  <w14:solidFill>
                    <w14:schemeClr w14:val="tx1"/>
                  </w14:solidFill>
                </w14:textFill>
              </w:rPr>
            </w:pPr>
            <w:r>
              <w:rPr>
                <w:rFonts w:hint="eastAsia"/>
                <w:b/>
                <w:color w:val="000000" w:themeColor="text1"/>
                <w14:textFill>
                  <w14:solidFill>
                    <w14:schemeClr w14:val="tx1"/>
                  </w14:solidFill>
                </w14:textFill>
              </w:rPr>
              <w:t>0</w:t>
            </w:r>
            <w:r>
              <w:rPr>
                <w:b/>
                <w:color w:val="000000" w:themeColor="text1"/>
                <w14:textFill>
                  <w14:solidFill>
                    <w14:schemeClr w14:val="tx1"/>
                  </w14:solidFill>
                </w14:textFill>
              </w:rPr>
              <w:t>.00112</w:t>
            </w:r>
          </w:p>
        </w:tc>
        <w:tc>
          <w:tcPr>
            <w:tcW w:w="1379" w:type="dxa"/>
            <w:vAlign w:val="center"/>
          </w:tcPr>
          <w:p>
            <w:pPr>
              <w:pStyle w:val="90"/>
              <w:rPr>
                <w:b/>
                <w:color w:val="000000" w:themeColor="text1"/>
                <w14:textFill>
                  <w14:solidFill>
                    <w14:schemeClr w14:val="tx1"/>
                  </w14:solidFill>
                </w14:textFill>
              </w:rPr>
            </w:pPr>
            <w:r>
              <w:rPr>
                <w:rFonts w:hint="eastAsia"/>
                <w:b/>
                <w:color w:val="000000" w:themeColor="text1"/>
                <w14:textFill>
                  <w14:solidFill>
                    <w14:schemeClr w14:val="tx1"/>
                  </w14:solidFill>
                </w14:textFill>
              </w:rPr>
              <w:t>0</w:t>
            </w:r>
            <w:r>
              <w:rPr>
                <w:b/>
                <w:color w:val="000000" w:themeColor="text1"/>
                <w14:textFill>
                  <w14:solidFill>
                    <w14:schemeClr w14:val="tx1"/>
                  </w14:solidFill>
                </w14:textFill>
              </w:rPr>
              <w:t>.56</w:t>
            </w:r>
          </w:p>
        </w:tc>
        <w:tc>
          <w:tcPr>
            <w:tcW w:w="1944" w:type="dxa"/>
            <w:vAlign w:val="center"/>
          </w:tcPr>
          <w:p>
            <w:pPr>
              <w:pStyle w:val="90"/>
              <w:rPr>
                <w:b/>
                <w:color w:val="000000" w:themeColor="text1"/>
                <w14:textFill>
                  <w14:solidFill>
                    <w14:schemeClr w14:val="tx1"/>
                  </w14:solidFill>
                </w14:textFill>
              </w:rPr>
            </w:pPr>
            <w:r>
              <w:rPr>
                <w:rFonts w:hint="eastAsia"/>
                <w:b/>
                <w:color w:val="000000" w:themeColor="text1"/>
                <w14:textFill>
                  <w14:solidFill>
                    <w14:schemeClr w14:val="tx1"/>
                  </w14:solidFill>
                </w14:textFill>
              </w:rPr>
              <w:t>0</w:t>
            </w:r>
            <w:r>
              <w:rPr>
                <w:b/>
                <w:color w:val="000000" w:themeColor="text1"/>
                <w14:textFill>
                  <w14:solidFill>
                    <w14:schemeClr w14:val="tx1"/>
                  </w14:solidFill>
                </w14:textFill>
              </w:rPr>
              <w:t>.0000464</w:t>
            </w:r>
          </w:p>
        </w:tc>
        <w:tc>
          <w:tcPr>
            <w:tcW w:w="1364" w:type="dxa"/>
            <w:vAlign w:val="center"/>
          </w:tcPr>
          <w:p>
            <w:pPr>
              <w:pStyle w:val="90"/>
              <w:rPr>
                <w:b/>
                <w:color w:val="000000" w:themeColor="text1"/>
                <w14:textFill>
                  <w14:solidFill>
                    <w14:schemeClr w14:val="tx1"/>
                  </w14:solidFill>
                </w14:textFill>
              </w:rPr>
            </w:pPr>
            <w:r>
              <w:rPr>
                <w:rFonts w:hint="eastAsia"/>
                <w:b/>
                <w:color w:val="000000" w:themeColor="text1"/>
                <w14:textFill>
                  <w14:solidFill>
                    <w14:schemeClr w14:val="tx1"/>
                  </w14:solidFill>
                </w14:textFill>
              </w:rPr>
              <w:t>0</w:t>
            </w:r>
            <w:r>
              <w:rPr>
                <w:b/>
                <w:color w:val="000000" w:themeColor="text1"/>
                <w14:textFill>
                  <w14:solidFill>
                    <w14:schemeClr w14:val="tx1"/>
                  </w14:solidFill>
                </w14:textFill>
              </w:rPr>
              <w:t>.46</w:t>
            </w:r>
          </w:p>
        </w:tc>
      </w:tr>
    </w:tbl>
    <w:p>
      <w:pPr>
        <w:pStyle w:val="25"/>
        <w:spacing w:line="500" w:lineRule="exact"/>
        <w:ind w:left="-34" w:firstLine="482"/>
        <w:rPr>
          <w:rFonts w:ascii="Times New Roman" w:hAnsi="Times New Roman"/>
          <w:bCs/>
          <w:color w:val="000000" w:themeColor="text1"/>
          <w:sz w:val="24"/>
          <w:szCs w:val="24"/>
          <w:lang w:val="en-US"/>
          <w14:textFill>
            <w14:solidFill>
              <w14:schemeClr w14:val="tx1"/>
            </w14:solidFill>
          </w14:textFill>
        </w:rPr>
      </w:pPr>
    </w:p>
    <w:p>
      <w:pPr>
        <w:pStyle w:val="25"/>
        <w:spacing w:line="500" w:lineRule="exact"/>
        <w:ind w:left="-34" w:firstLine="482"/>
        <w:rPr>
          <w:rFonts w:ascii="Times New Roman" w:hAnsi="Times New Roman"/>
          <w:bCs/>
          <w:color w:val="000000" w:themeColor="text1"/>
          <w:sz w:val="24"/>
          <w:szCs w:val="24"/>
          <w:lang w:val="en-US"/>
          <w14:textFill>
            <w14:solidFill>
              <w14:schemeClr w14:val="tx1"/>
            </w14:solidFill>
          </w14:textFill>
        </w:rPr>
      </w:pPr>
    </w:p>
    <w:p>
      <w:pPr>
        <w:pStyle w:val="25"/>
        <w:spacing w:line="500" w:lineRule="exact"/>
        <w:ind w:left="-34" w:firstLine="482"/>
        <w:rPr>
          <w:rFonts w:ascii="Times New Roman" w:hAnsi="Times New Roman"/>
          <w:bCs/>
          <w:color w:val="000000" w:themeColor="text1"/>
          <w:sz w:val="24"/>
          <w:szCs w:val="24"/>
          <w:lang w:val="en-US"/>
          <w14:textFill>
            <w14:solidFill>
              <w14:schemeClr w14:val="tx1"/>
            </w14:solidFill>
          </w14:textFill>
        </w:rPr>
      </w:pPr>
      <w:r>
        <w:rPr>
          <w:rFonts w:ascii="Times New Roman" w:hAnsi="Times New Roman"/>
          <w:bCs/>
          <w:color w:val="000000" w:themeColor="text1"/>
          <w:sz w:val="24"/>
          <w:szCs w:val="24"/>
          <w:lang w:val="en-US"/>
          <w14:textFill>
            <w14:solidFill>
              <w14:schemeClr w14:val="tx1"/>
            </w14:solidFill>
          </w14:textFill>
        </w:rPr>
        <w:t>由</w:t>
      </w:r>
      <w:r>
        <w:rPr>
          <w:rFonts w:hint="eastAsia" w:ascii="Times New Roman" w:hAnsi="Times New Roman"/>
          <w:bCs/>
          <w:color w:val="000000" w:themeColor="text1"/>
          <w:sz w:val="24"/>
          <w:szCs w:val="24"/>
          <w:lang w:val="en-US"/>
          <w14:textFill>
            <w14:solidFill>
              <w14:schemeClr w14:val="tx1"/>
            </w14:solidFill>
          </w14:textFill>
        </w:rPr>
        <w:t>上表</w:t>
      </w:r>
      <w:r>
        <w:rPr>
          <w:rFonts w:ascii="Times New Roman" w:hAnsi="Times New Roman"/>
          <w:bCs/>
          <w:color w:val="000000" w:themeColor="text1"/>
          <w:sz w:val="24"/>
          <w:szCs w:val="24"/>
          <w:lang w:val="en-US"/>
          <w14:textFill>
            <w14:solidFill>
              <w14:schemeClr w14:val="tx1"/>
            </w14:solidFill>
          </w14:textFill>
        </w:rPr>
        <w:t>可知，本项目排气筒P有组织废气排放的污染物：</w:t>
      </w:r>
      <w:r>
        <w:rPr>
          <w:rFonts w:hint="eastAsia" w:ascii="Times New Roman" w:hAnsi="Times New Roman"/>
          <w:bCs/>
          <w:color w:val="000000" w:themeColor="text1"/>
          <w:sz w:val="24"/>
          <w:szCs w:val="24"/>
          <w:lang w:val="en-US"/>
          <w14:textFill>
            <w14:solidFill>
              <w14:schemeClr w14:val="tx1"/>
            </w14:solidFill>
          </w14:textFill>
        </w:rPr>
        <w:t>硫化氢、氨</w:t>
      </w:r>
      <w:r>
        <w:rPr>
          <w:rFonts w:ascii="Times New Roman" w:hAnsi="Times New Roman"/>
          <w:bCs/>
          <w:color w:val="000000" w:themeColor="text1"/>
          <w:sz w:val="24"/>
          <w:szCs w:val="24"/>
          <w:lang w:val="en-US"/>
          <w14:textFill>
            <w14:solidFill>
              <w14:schemeClr w14:val="tx1"/>
            </w14:solidFill>
          </w14:textFill>
        </w:rPr>
        <w:t>的最大落地浓度均出现在下风向211m处，</w:t>
      </w:r>
      <w:r>
        <w:rPr>
          <w:rFonts w:hint="eastAsia" w:ascii="Times New Roman" w:hAnsi="Times New Roman"/>
          <w:bCs/>
          <w:color w:val="000000" w:themeColor="text1"/>
          <w:sz w:val="24"/>
          <w:szCs w:val="24"/>
          <w:lang w:val="en-US"/>
          <w14:textFill>
            <w14:solidFill>
              <w14:schemeClr w14:val="tx1"/>
            </w14:solidFill>
          </w14:textFill>
        </w:rPr>
        <w:t>硫化氢</w:t>
      </w:r>
      <w:r>
        <w:rPr>
          <w:rFonts w:ascii="Times New Roman" w:hAnsi="Times New Roman"/>
          <w:bCs/>
          <w:color w:val="000000" w:themeColor="text1"/>
          <w:sz w:val="24"/>
          <w:szCs w:val="24"/>
          <w:lang w:val="en-US"/>
          <w14:textFill>
            <w14:solidFill>
              <w14:schemeClr w14:val="tx1"/>
            </w14:solidFill>
          </w14:textFill>
        </w:rPr>
        <w:t>最大落地浓度均为</w:t>
      </w:r>
      <w:r>
        <w:rPr>
          <w:rFonts w:hint="eastAsia" w:ascii="Times New Roman" w:hAnsi="Times New Roman"/>
          <w:bCs/>
          <w:color w:val="000000" w:themeColor="text1"/>
          <w:sz w:val="24"/>
          <w:szCs w:val="24"/>
          <w:lang w:val="en-US"/>
          <w14:textFill>
            <w14:solidFill>
              <w14:schemeClr w14:val="tx1"/>
            </w14:solidFill>
          </w14:textFill>
        </w:rPr>
        <w:t>0</w:t>
      </w:r>
      <w:r>
        <w:rPr>
          <w:rFonts w:ascii="Times New Roman" w:hAnsi="Times New Roman"/>
          <w:bCs/>
          <w:color w:val="000000" w:themeColor="text1"/>
          <w:sz w:val="24"/>
          <w:szCs w:val="24"/>
          <w:lang w:val="en-US"/>
          <w14:textFill>
            <w14:solidFill>
              <w14:schemeClr w14:val="tx1"/>
            </w14:solidFill>
          </w14:textFill>
        </w:rPr>
        <w:t>.0000464mg/m</w:t>
      </w:r>
      <w:r>
        <w:rPr>
          <w:rFonts w:ascii="Times New Roman" w:hAnsi="Times New Roman"/>
          <w:bCs/>
          <w:color w:val="000000" w:themeColor="text1"/>
          <w:sz w:val="24"/>
          <w:szCs w:val="24"/>
          <w:vertAlign w:val="superscript"/>
          <w:lang w:val="en-US"/>
          <w14:textFill>
            <w14:solidFill>
              <w14:schemeClr w14:val="tx1"/>
            </w14:solidFill>
          </w14:textFill>
        </w:rPr>
        <w:t>3</w:t>
      </w:r>
      <w:r>
        <w:rPr>
          <w:rFonts w:ascii="Times New Roman" w:hAnsi="Times New Roman"/>
          <w:bCs/>
          <w:color w:val="000000" w:themeColor="text1"/>
          <w:sz w:val="24"/>
          <w:szCs w:val="24"/>
          <w:lang w:val="en-US"/>
          <w14:textFill>
            <w14:solidFill>
              <w14:schemeClr w14:val="tx1"/>
            </w14:solidFill>
          </w14:textFill>
        </w:rPr>
        <w:t>，占标率均为0.46%；</w:t>
      </w:r>
      <w:r>
        <w:rPr>
          <w:rFonts w:hint="eastAsia" w:ascii="Times New Roman" w:hAnsi="Times New Roman"/>
          <w:bCs/>
          <w:color w:val="000000" w:themeColor="text1"/>
          <w:sz w:val="24"/>
          <w:szCs w:val="24"/>
          <w:lang w:val="en-US"/>
          <w14:textFill>
            <w14:solidFill>
              <w14:schemeClr w14:val="tx1"/>
            </w14:solidFill>
          </w14:textFill>
        </w:rPr>
        <w:t>氨</w:t>
      </w:r>
      <w:r>
        <w:rPr>
          <w:rFonts w:ascii="Times New Roman" w:hAnsi="Times New Roman"/>
          <w:bCs/>
          <w:color w:val="000000" w:themeColor="text1"/>
          <w:sz w:val="24"/>
          <w:szCs w:val="24"/>
          <w:lang w:val="en-US"/>
          <w14:textFill>
            <w14:solidFill>
              <w14:schemeClr w14:val="tx1"/>
            </w14:solidFill>
          </w14:textFill>
        </w:rPr>
        <w:t>最大落地浓度均为</w:t>
      </w:r>
      <w:r>
        <w:rPr>
          <w:rFonts w:hint="eastAsia" w:ascii="Times New Roman" w:hAnsi="Times New Roman"/>
          <w:bCs/>
          <w:color w:val="000000" w:themeColor="text1"/>
          <w:sz w:val="24"/>
          <w:szCs w:val="24"/>
          <w:lang w:val="en-US"/>
          <w14:textFill>
            <w14:solidFill>
              <w14:schemeClr w14:val="tx1"/>
            </w14:solidFill>
          </w14:textFill>
        </w:rPr>
        <w:t>0</w:t>
      </w:r>
      <w:r>
        <w:rPr>
          <w:rFonts w:ascii="Times New Roman" w:hAnsi="Times New Roman"/>
          <w:bCs/>
          <w:color w:val="000000" w:themeColor="text1"/>
          <w:sz w:val="24"/>
          <w:szCs w:val="24"/>
          <w:lang w:val="en-US"/>
          <w14:textFill>
            <w14:solidFill>
              <w14:schemeClr w14:val="tx1"/>
            </w14:solidFill>
          </w14:textFill>
        </w:rPr>
        <w:t>.00112mg/m</w:t>
      </w:r>
      <w:r>
        <w:rPr>
          <w:rFonts w:ascii="Times New Roman" w:hAnsi="Times New Roman"/>
          <w:bCs/>
          <w:color w:val="000000" w:themeColor="text1"/>
          <w:sz w:val="24"/>
          <w:szCs w:val="24"/>
          <w:vertAlign w:val="superscript"/>
          <w:lang w:val="en-US"/>
          <w14:textFill>
            <w14:solidFill>
              <w14:schemeClr w14:val="tx1"/>
            </w14:solidFill>
          </w14:textFill>
        </w:rPr>
        <w:t>3</w:t>
      </w:r>
      <w:r>
        <w:rPr>
          <w:rFonts w:ascii="Times New Roman" w:hAnsi="Times New Roman"/>
          <w:bCs/>
          <w:color w:val="000000" w:themeColor="text1"/>
          <w:sz w:val="24"/>
          <w:szCs w:val="24"/>
          <w:lang w:val="en-US"/>
          <w14:textFill>
            <w14:solidFill>
              <w14:schemeClr w14:val="tx1"/>
            </w14:solidFill>
          </w14:textFill>
        </w:rPr>
        <w:t>，占标率均为0.56%</w:t>
      </w:r>
      <w:r>
        <w:rPr>
          <w:rFonts w:hint="eastAsia" w:ascii="Times New Roman" w:hAnsi="Times New Roman"/>
          <w:bCs/>
          <w:color w:val="000000" w:themeColor="text1"/>
          <w:sz w:val="24"/>
          <w:szCs w:val="24"/>
          <w:lang w:val="en-US"/>
          <w14:textFill>
            <w14:solidFill>
              <w14:schemeClr w14:val="tx1"/>
            </w14:solidFill>
          </w14:textFill>
        </w:rPr>
        <w:t>。</w:t>
      </w:r>
      <w:r>
        <w:rPr>
          <w:rFonts w:ascii="Times New Roman" w:hAnsi="Times New Roman"/>
          <w:bCs/>
          <w:color w:val="000000" w:themeColor="text1"/>
          <w:sz w:val="24"/>
          <w:szCs w:val="24"/>
          <w:lang w:val="en-US"/>
          <w14:textFill>
            <w14:solidFill>
              <w14:schemeClr w14:val="tx1"/>
            </w14:solidFill>
          </w14:textFill>
        </w:rPr>
        <w:t>因此，评价认为：项目运营后，大气污染物对周围环境的影响程度是可以接受。</w:t>
      </w:r>
    </w:p>
    <w:p>
      <w:pPr>
        <w:tabs>
          <w:tab w:val="left" w:pos="3780"/>
        </w:tabs>
        <w:spacing w:line="500" w:lineRule="exact"/>
        <w:ind w:firstLine="480" w:firstLineChars="200"/>
        <w:outlineLvl w:val="4"/>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三、面源估算结果</w:t>
      </w:r>
    </w:p>
    <w:p>
      <w:pPr>
        <w:pStyle w:val="25"/>
        <w:spacing w:line="500" w:lineRule="exact"/>
        <w:ind w:left="-34" w:firstLine="482"/>
        <w:rPr>
          <w:color w:val="000000" w:themeColor="text1"/>
          <w:sz w:val="24"/>
          <w:szCs w:val="24"/>
          <w:lang w:val="en-US"/>
          <w14:textFill>
            <w14:solidFill>
              <w14:schemeClr w14:val="tx1"/>
            </w14:solidFill>
          </w14:textFill>
        </w:rPr>
      </w:pPr>
      <w:r>
        <w:rPr>
          <w:rFonts w:hint="eastAsia"/>
          <w:color w:val="000000" w:themeColor="text1"/>
          <w:sz w:val="24"/>
          <w:szCs w:val="24"/>
          <w:lang w:val="en-US"/>
          <w14:textFill>
            <w14:solidFill>
              <w14:schemeClr w14:val="tx1"/>
            </w14:solidFill>
          </w14:textFill>
        </w:rPr>
        <w:t>面源估算模式预测结果如下表：</w:t>
      </w:r>
    </w:p>
    <w:p>
      <w:pPr>
        <w:tabs>
          <w:tab w:val="left" w:pos="3780"/>
        </w:tabs>
        <w:spacing w:line="500" w:lineRule="exact"/>
        <w:ind w:firstLine="480" w:firstLineChars="200"/>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表5</w:t>
      </w:r>
      <w:r>
        <w:rPr>
          <w:rFonts w:eastAsia="黑体"/>
          <w:color w:val="000000" w:themeColor="text1"/>
          <w:sz w:val="24"/>
          <w14:textFill>
            <w14:solidFill>
              <w14:schemeClr w14:val="tx1"/>
            </w14:solidFill>
          </w14:textFill>
        </w:rPr>
        <w:t>.2</w:t>
      </w:r>
      <w:r>
        <w:rPr>
          <w:rFonts w:hint="eastAsia" w:eastAsia="黑体"/>
          <w:color w:val="000000" w:themeColor="text1"/>
          <w:sz w:val="24"/>
          <w14:textFill>
            <w14:solidFill>
              <w14:schemeClr w14:val="tx1"/>
            </w14:solidFill>
          </w14:textFill>
        </w:rPr>
        <w:t>-</w:t>
      </w:r>
      <w:r>
        <w:rPr>
          <w:rFonts w:eastAsia="黑体"/>
          <w:color w:val="000000" w:themeColor="text1"/>
          <w:sz w:val="24"/>
          <w14:textFill>
            <w14:solidFill>
              <w14:schemeClr w14:val="tx1"/>
            </w14:solidFill>
          </w14:textFill>
        </w:rPr>
        <w:t>13</w:t>
      </w:r>
      <w:r>
        <w:rPr>
          <w:rFonts w:hint="eastAsia" w:eastAsia="黑体"/>
          <w:color w:val="000000" w:themeColor="text1"/>
          <w:sz w:val="24"/>
          <w14:textFill>
            <w14:solidFill>
              <w14:schemeClr w14:val="tx1"/>
            </w14:solidFill>
          </w14:textFill>
        </w:rPr>
        <w:t xml:space="preserve">  </w:t>
      </w:r>
      <w:r>
        <w:rPr>
          <w:rFonts w:eastAsia="黑体"/>
          <w:color w:val="000000" w:themeColor="text1"/>
          <w:sz w:val="24"/>
          <w14:textFill>
            <w14:solidFill>
              <w14:schemeClr w14:val="tx1"/>
            </w14:solidFill>
          </w14:textFill>
        </w:rPr>
        <w:t xml:space="preserve">          </w:t>
      </w:r>
      <w:r>
        <w:rPr>
          <w:rFonts w:hint="eastAsia" w:eastAsia="黑体"/>
          <w:color w:val="000000" w:themeColor="text1"/>
          <w:sz w:val="24"/>
          <w14:textFill>
            <w14:solidFill>
              <w14:schemeClr w14:val="tx1"/>
            </w14:solidFill>
          </w14:textFill>
        </w:rPr>
        <w:t xml:space="preserve">  本项目面源估算模式预测结果</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2043"/>
        <w:gridCol w:w="1433"/>
        <w:gridCol w:w="2043"/>
        <w:gridCol w:w="1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002" w:type="pct"/>
            <w:vMerge w:val="restar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下风向距离D（m）</w:t>
            </w:r>
          </w:p>
        </w:tc>
        <w:tc>
          <w:tcPr>
            <w:tcW w:w="1943" w:type="pct"/>
            <w:gridSpan w:val="2"/>
            <w:vAlign w:val="center"/>
          </w:tcPr>
          <w:p>
            <w:pPr>
              <w:pStyle w:val="94"/>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氨</w:t>
            </w:r>
          </w:p>
        </w:tc>
        <w:tc>
          <w:tcPr>
            <w:tcW w:w="2056" w:type="pct"/>
            <w:gridSpan w:val="2"/>
            <w:vAlign w:val="center"/>
          </w:tcPr>
          <w:p>
            <w:pPr>
              <w:pStyle w:val="94"/>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硫化氢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002" w:type="pct"/>
            <w:vMerge w:val="continue"/>
            <w:vAlign w:val="center"/>
          </w:tcPr>
          <w:p>
            <w:pPr>
              <w:pStyle w:val="94"/>
              <w:rPr>
                <w:rFonts w:cs="Times New Roman"/>
                <w:color w:val="000000" w:themeColor="text1"/>
                <w14:textFill>
                  <w14:solidFill>
                    <w14:schemeClr w14:val="tx1"/>
                  </w14:solidFill>
                </w14:textFill>
              </w:rPr>
            </w:pPr>
          </w:p>
        </w:tc>
        <w:tc>
          <w:tcPr>
            <w:tcW w:w="1142" w:type="pct"/>
            <w:vAlign w:val="center"/>
          </w:tcPr>
          <w:p>
            <w:pPr>
              <w:pStyle w:val="94"/>
              <w:rPr>
                <w:rFonts w:cs="Times New Roman"/>
                <w:color w:val="000000" w:themeColor="text1"/>
                <w:highlight w:val="yellow"/>
                <w14:textFill>
                  <w14:solidFill>
                    <w14:schemeClr w14:val="tx1"/>
                  </w14:solidFill>
                </w14:textFill>
              </w:rPr>
            </w:pPr>
            <w:r>
              <w:rPr>
                <w:rFonts w:cs="Times New Roman"/>
                <w:color w:val="000000" w:themeColor="text1"/>
                <w14:textFill>
                  <w14:solidFill>
                    <w14:schemeClr w14:val="tx1"/>
                  </w14:solidFill>
                </w14:textFill>
              </w:rPr>
              <w:t>预测浓度（mg/m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tc>
        <w:tc>
          <w:tcPr>
            <w:tcW w:w="801"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占标率（%）</w:t>
            </w:r>
          </w:p>
        </w:tc>
        <w:tc>
          <w:tcPr>
            <w:tcW w:w="1142" w:type="pct"/>
            <w:vAlign w:val="center"/>
          </w:tcPr>
          <w:p>
            <w:pPr>
              <w:pStyle w:val="94"/>
              <w:rPr>
                <w:rFonts w:cs="Times New Roman"/>
                <w:color w:val="000000" w:themeColor="text1"/>
                <w:highlight w:val="yellow"/>
                <w14:textFill>
                  <w14:solidFill>
                    <w14:schemeClr w14:val="tx1"/>
                  </w14:solidFill>
                </w14:textFill>
              </w:rPr>
            </w:pPr>
            <w:r>
              <w:rPr>
                <w:rFonts w:cs="Times New Roman"/>
                <w:color w:val="000000" w:themeColor="text1"/>
                <w14:textFill>
                  <w14:solidFill>
                    <w14:schemeClr w14:val="tx1"/>
                  </w14:solidFill>
                </w14:textFill>
              </w:rPr>
              <w:t>预测浓度（mg/m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tc>
        <w:tc>
          <w:tcPr>
            <w:tcW w:w="914"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占标率（%）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.00741</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.7</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.000243</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.0119</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.96</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.000391</w:t>
            </w:r>
          </w:p>
        </w:tc>
        <w:tc>
          <w:tcPr>
            <w:tcW w:w="91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.00923</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.62</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.000303</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.0071</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.55</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.000233</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000567</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.83</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.000186</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.00465</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.32</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.000152</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.00409</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.05</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.000134</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700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.00366</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.83</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.00012</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.00329</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.65</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.000108</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900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.00299</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.0000981</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.00278</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.39</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.0000912</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.00257</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.29</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.0000844</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.0024</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.0000787</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1300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.00225</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.12</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.0000737</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1400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.00211</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.05</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.0000692</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1500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.00199</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.99</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.0000651</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1600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.00187</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.94</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.0000614</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1700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.00177</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.89</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.000058</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1800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.00168</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.84</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.0000055</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1900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.00159</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.8</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.0000522</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2000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.00149</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.76</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.0000496</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2100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.00142</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.72</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.0000473</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2200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.00138</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.69</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.0000451</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2300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.00131</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.66</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.0000431</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2400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.00126</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.63</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.0000412</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2500</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.00121</w:t>
            </w:r>
          </w:p>
        </w:tc>
        <w:tc>
          <w:tcPr>
            <w:tcW w:w="801"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.6</w:t>
            </w:r>
          </w:p>
        </w:tc>
        <w:tc>
          <w:tcPr>
            <w:tcW w:w="114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.0000395</w:t>
            </w:r>
          </w:p>
        </w:tc>
        <w:tc>
          <w:tcPr>
            <w:tcW w:w="914"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2" w:type="pct"/>
            <w:vAlign w:val="center"/>
          </w:tcPr>
          <w:p>
            <w:pPr>
              <w:pStyle w:val="90"/>
              <w:rPr>
                <w:b/>
                <w:color w:val="000000" w:themeColor="text1"/>
                <w14:textFill>
                  <w14:solidFill>
                    <w14:schemeClr w14:val="tx1"/>
                  </w14:solidFill>
                </w14:textFill>
              </w:rPr>
            </w:pPr>
            <w:r>
              <w:rPr>
                <w:b/>
                <w:color w:val="000000" w:themeColor="text1"/>
                <w14:textFill>
                  <w14:solidFill>
                    <w14:schemeClr w14:val="tx1"/>
                  </w14:solidFill>
                </w14:textFill>
              </w:rPr>
              <w:t>P</w:t>
            </w:r>
            <w:r>
              <w:rPr>
                <w:b/>
                <w:color w:val="000000" w:themeColor="text1"/>
                <w:vertAlign w:val="subscript"/>
                <w14:textFill>
                  <w14:solidFill>
                    <w14:schemeClr w14:val="tx1"/>
                  </w14:solidFill>
                </w14:textFill>
              </w:rPr>
              <w:t>max</w:t>
            </w:r>
            <w:r>
              <w:rPr>
                <w:b/>
                <w:color w:val="000000" w:themeColor="text1"/>
                <w14:textFill>
                  <w14:solidFill>
                    <w14:schemeClr w14:val="tx1"/>
                  </w14:solidFill>
                </w14:textFill>
              </w:rPr>
              <w:t>（78m）</w:t>
            </w:r>
          </w:p>
        </w:tc>
        <w:tc>
          <w:tcPr>
            <w:tcW w:w="1142" w:type="pct"/>
            <w:vAlign w:val="center"/>
          </w:tcPr>
          <w:p>
            <w:pPr>
              <w:pStyle w:val="90"/>
              <w:rPr>
                <w:b/>
                <w:color w:val="000000" w:themeColor="text1"/>
                <w14:textFill>
                  <w14:solidFill>
                    <w14:schemeClr w14:val="tx1"/>
                  </w14:solidFill>
                </w14:textFill>
              </w:rPr>
            </w:pPr>
            <w:r>
              <w:rPr>
                <w:rFonts w:hint="eastAsia"/>
                <w:b/>
                <w:color w:val="000000" w:themeColor="text1"/>
                <w14:textFill>
                  <w14:solidFill>
                    <w14:schemeClr w14:val="tx1"/>
                  </w14:solidFill>
                </w14:textFill>
              </w:rPr>
              <w:t>0</w:t>
            </w:r>
            <w:r>
              <w:rPr>
                <w:b/>
                <w:color w:val="000000" w:themeColor="text1"/>
                <w14:textFill>
                  <w14:solidFill>
                    <w14:schemeClr w14:val="tx1"/>
                  </w14:solidFill>
                </w14:textFill>
              </w:rPr>
              <w:t>.0121</w:t>
            </w:r>
          </w:p>
        </w:tc>
        <w:tc>
          <w:tcPr>
            <w:tcW w:w="801" w:type="pct"/>
            <w:vAlign w:val="center"/>
          </w:tcPr>
          <w:p>
            <w:pPr>
              <w:pStyle w:val="90"/>
              <w:rPr>
                <w:b/>
                <w:color w:val="000000" w:themeColor="text1"/>
                <w14:textFill>
                  <w14:solidFill>
                    <w14:schemeClr w14:val="tx1"/>
                  </w14:solidFill>
                </w14:textFill>
              </w:rPr>
            </w:pPr>
            <w:r>
              <w:rPr>
                <w:b/>
                <w:color w:val="000000" w:themeColor="text1"/>
                <w14:textFill>
                  <w14:solidFill>
                    <w14:schemeClr w14:val="tx1"/>
                  </w14:solidFill>
                </w14:textFill>
              </w:rPr>
              <w:t>6.07</w:t>
            </w:r>
          </w:p>
        </w:tc>
        <w:tc>
          <w:tcPr>
            <w:tcW w:w="1142" w:type="pct"/>
            <w:vAlign w:val="center"/>
          </w:tcPr>
          <w:p>
            <w:pPr>
              <w:pStyle w:val="90"/>
              <w:rPr>
                <w:b/>
                <w:color w:val="000000" w:themeColor="text1"/>
                <w14:textFill>
                  <w14:solidFill>
                    <w14:schemeClr w14:val="tx1"/>
                  </w14:solidFill>
                </w14:textFill>
              </w:rPr>
            </w:pPr>
            <w:r>
              <w:rPr>
                <w:rFonts w:hint="eastAsia"/>
                <w:b/>
                <w:color w:val="000000" w:themeColor="text1"/>
                <w14:textFill>
                  <w14:solidFill>
                    <w14:schemeClr w14:val="tx1"/>
                  </w14:solidFill>
                </w14:textFill>
              </w:rPr>
              <w:t>0</w:t>
            </w:r>
            <w:r>
              <w:rPr>
                <w:b/>
                <w:color w:val="000000" w:themeColor="text1"/>
                <w14:textFill>
                  <w14:solidFill>
                    <w14:schemeClr w14:val="tx1"/>
                  </w14:solidFill>
                </w14:textFill>
              </w:rPr>
              <w:t>.000398</w:t>
            </w:r>
          </w:p>
        </w:tc>
        <w:tc>
          <w:tcPr>
            <w:tcW w:w="914" w:type="pct"/>
            <w:vAlign w:val="center"/>
          </w:tcPr>
          <w:p>
            <w:pPr>
              <w:pStyle w:val="90"/>
              <w:rPr>
                <w:b/>
                <w:color w:val="000000" w:themeColor="text1"/>
                <w14:textFill>
                  <w14:solidFill>
                    <w14:schemeClr w14:val="tx1"/>
                  </w14:solidFill>
                </w14:textFill>
              </w:rPr>
            </w:pPr>
            <w:r>
              <w:rPr>
                <w:rFonts w:hint="eastAsia"/>
                <w:b/>
                <w:color w:val="000000" w:themeColor="text1"/>
                <w14:textFill>
                  <w14:solidFill>
                    <w14:schemeClr w14:val="tx1"/>
                  </w14:solidFill>
                </w14:textFill>
              </w:rPr>
              <w:t>3</w:t>
            </w:r>
            <w:r>
              <w:rPr>
                <w:b/>
                <w:color w:val="000000" w:themeColor="text1"/>
                <w14:textFill>
                  <w14:solidFill>
                    <w14:schemeClr w14:val="tx1"/>
                  </w14:solidFill>
                </w14:textFill>
              </w:rPr>
              <w:t>.98</w:t>
            </w:r>
          </w:p>
        </w:tc>
      </w:tr>
    </w:tbl>
    <w:p>
      <w:pPr>
        <w:pStyle w:val="25"/>
        <w:spacing w:line="500" w:lineRule="exact"/>
        <w:ind w:left="-34" w:firstLine="482"/>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en-US"/>
          <w14:textFill>
            <w14:solidFill>
              <w14:schemeClr w14:val="tx1"/>
            </w14:solidFill>
          </w14:textFill>
        </w:rPr>
        <w:t>由上表可知：本项目面源</w:t>
      </w:r>
      <w:r>
        <w:rPr>
          <w:rFonts w:ascii="Times New Roman" w:hAnsi="Times New Roman"/>
          <w:color w:val="000000" w:themeColor="text1"/>
          <w:sz w:val="24"/>
          <w:szCs w:val="24"/>
          <w:lang w:val="en-US"/>
          <w14:textFill>
            <w14:solidFill>
              <w14:schemeClr w14:val="tx1"/>
            </w14:solidFill>
          </w14:textFill>
        </w:rPr>
        <w:t>排放</w:t>
      </w:r>
      <w:r>
        <w:rPr>
          <w:rFonts w:hint="eastAsia" w:ascii="Times New Roman" w:hAnsi="Times New Roman"/>
          <w:color w:val="000000" w:themeColor="text1"/>
          <w:sz w:val="24"/>
          <w:szCs w:val="24"/>
          <w:lang w:val="en-US"/>
          <w14:textFill>
            <w14:solidFill>
              <w14:schemeClr w14:val="tx1"/>
            </w14:solidFill>
          </w14:textFill>
        </w:rPr>
        <w:t>的污染物：氨</w:t>
      </w:r>
      <w:r>
        <w:rPr>
          <w:rFonts w:ascii="Times New Roman" w:hAnsi="Times New Roman"/>
          <w:color w:val="000000" w:themeColor="text1"/>
          <w:sz w:val="24"/>
          <w:szCs w:val="24"/>
          <w:lang w:val="en-US"/>
          <w14:textFill>
            <w14:solidFill>
              <w14:schemeClr w14:val="tx1"/>
            </w14:solidFill>
          </w14:textFill>
        </w:rPr>
        <w:t>的最大落地浓度出现在下风向78m处，最大落地浓度为0.0121mg/m</w:t>
      </w:r>
      <w:r>
        <w:rPr>
          <w:rFonts w:ascii="Times New Roman" w:hAnsi="Times New Roman"/>
          <w:color w:val="000000" w:themeColor="text1"/>
          <w:sz w:val="24"/>
          <w:szCs w:val="24"/>
          <w:vertAlign w:val="superscript"/>
          <w:lang w:val="en-US"/>
          <w14:textFill>
            <w14:solidFill>
              <w14:schemeClr w14:val="tx1"/>
            </w14:solidFill>
          </w14:textFill>
        </w:rPr>
        <w:t>3</w:t>
      </w:r>
      <w:r>
        <w:rPr>
          <w:rFonts w:ascii="Times New Roman" w:hAnsi="Times New Roman"/>
          <w:color w:val="000000" w:themeColor="text1"/>
          <w:sz w:val="24"/>
          <w:szCs w:val="24"/>
          <w:lang w:val="en-US"/>
          <w14:textFill>
            <w14:solidFill>
              <w14:schemeClr w14:val="tx1"/>
            </w14:solidFill>
          </w14:textFill>
        </w:rPr>
        <w:t>，占标率为6.07%</w:t>
      </w:r>
      <w:r>
        <w:rPr>
          <w:rFonts w:hint="eastAsia" w:ascii="Times New Roman" w:hAnsi="Times New Roman"/>
          <w:color w:val="000000" w:themeColor="text1"/>
          <w:sz w:val="24"/>
          <w:szCs w:val="24"/>
          <w:lang w:val="en-US"/>
          <w14:textFill>
            <w14:solidFill>
              <w14:schemeClr w14:val="tx1"/>
            </w14:solidFill>
          </w14:textFill>
        </w:rPr>
        <w:t>；硫化氢</w:t>
      </w:r>
      <w:r>
        <w:rPr>
          <w:rFonts w:ascii="Times New Roman" w:hAnsi="Times New Roman"/>
          <w:color w:val="000000" w:themeColor="text1"/>
          <w:sz w:val="24"/>
          <w:szCs w:val="24"/>
          <w:lang w:val="en-US"/>
          <w14:textFill>
            <w14:solidFill>
              <w14:schemeClr w14:val="tx1"/>
            </w14:solidFill>
          </w14:textFill>
        </w:rPr>
        <w:t>的最大落地浓度出现在下风向78m处，最大落地浓度为0.0</w:t>
      </w:r>
      <w:r>
        <w:rPr>
          <w:rFonts w:hint="eastAsia" w:ascii="Times New Roman" w:hAnsi="Times New Roman"/>
          <w:color w:val="000000" w:themeColor="text1"/>
          <w:sz w:val="24"/>
          <w:szCs w:val="24"/>
          <w:lang w:val="en-US"/>
          <w14:textFill>
            <w14:solidFill>
              <w14:schemeClr w14:val="tx1"/>
            </w14:solidFill>
          </w14:textFill>
        </w:rPr>
        <w:t>0</w:t>
      </w:r>
      <w:r>
        <w:rPr>
          <w:rFonts w:ascii="Times New Roman" w:hAnsi="Times New Roman"/>
          <w:color w:val="000000" w:themeColor="text1"/>
          <w:sz w:val="24"/>
          <w:szCs w:val="24"/>
          <w:lang w:val="en-US"/>
          <w14:textFill>
            <w14:solidFill>
              <w14:schemeClr w14:val="tx1"/>
            </w14:solidFill>
          </w14:textFill>
        </w:rPr>
        <w:t>0398mg/m</w:t>
      </w:r>
      <w:r>
        <w:rPr>
          <w:rFonts w:ascii="Times New Roman" w:hAnsi="Times New Roman"/>
          <w:color w:val="000000" w:themeColor="text1"/>
          <w:sz w:val="24"/>
          <w:szCs w:val="24"/>
          <w:vertAlign w:val="superscript"/>
          <w:lang w:val="en-US"/>
          <w14:textFill>
            <w14:solidFill>
              <w14:schemeClr w14:val="tx1"/>
            </w14:solidFill>
          </w14:textFill>
        </w:rPr>
        <w:t>3</w:t>
      </w:r>
      <w:r>
        <w:rPr>
          <w:rFonts w:hint="eastAsia" w:ascii="Times New Roman" w:hAnsi="Times New Roman"/>
          <w:color w:val="000000" w:themeColor="text1"/>
          <w:sz w:val="24"/>
          <w:szCs w:val="24"/>
          <w:lang w:val="en-US"/>
          <w14:textFill>
            <w14:solidFill>
              <w14:schemeClr w14:val="tx1"/>
            </w14:solidFill>
          </w14:textFill>
        </w:rPr>
        <w:t>，</w:t>
      </w:r>
      <w:r>
        <w:rPr>
          <w:rFonts w:ascii="Times New Roman" w:hAnsi="Times New Roman"/>
          <w:color w:val="000000" w:themeColor="text1"/>
          <w:sz w:val="24"/>
          <w:szCs w:val="24"/>
          <w:lang w:val="en-US"/>
          <w14:textFill>
            <w14:solidFill>
              <w14:schemeClr w14:val="tx1"/>
            </w14:solidFill>
          </w14:textFill>
        </w:rPr>
        <w:t>占标率为3.98%</w:t>
      </w:r>
      <w:r>
        <w:rPr>
          <w:rFonts w:hint="eastAsia" w:ascii="Times New Roman" w:hAnsi="Times New Roman"/>
          <w:color w:val="000000" w:themeColor="text1"/>
          <w:sz w:val="24"/>
          <w:szCs w:val="24"/>
          <w:lang w:val="en-US"/>
          <w14:textFill>
            <w14:solidFill>
              <w14:schemeClr w14:val="tx1"/>
            </w14:solidFill>
          </w14:textFill>
        </w:rPr>
        <w:t>。各个排放源的占标率均较小，对周围环境影响不大。因此，评价认为：项目运营后，大气污染物对周围环境的影响程度是可以接受。</w:t>
      </w:r>
    </w:p>
    <w:p>
      <w:pPr>
        <w:tabs>
          <w:tab w:val="left" w:pos="3780"/>
        </w:tabs>
        <w:spacing w:line="500" w:lineRule="exact"/>
        <w:ind w:firstLine="480" w:firstLineChars="200"/>
        <w:outlineLvl w:val="4"/>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四、评级等级确定</w:t>
      </w:r>
    </w:p>
    <w:p>
      <w:pPr>
        <w:pStyle w:val="25"/>
        <w:spacing w:line="500" w:lineRule="exact"/>
        <w:ind w:left="-34" w:firstLine="482"/>
        <w:rPr>
          <w:rFonts w:ascii="Times New Roman" w:hAnsi="Times New Roman"/>
          <w:color w:val="000000" w:themeColor="text1"/>
          <w:sz w:val="24"/>
          <w:szCs w:val="24"/>
          <w:lang w:val="en-US"/>
          <w14:textFill>
            <w14:solidFill>
              <w14:schemeClr w14:val="tx1"/>
            </w14:solidFill>
          </w14:textFill>
        </w:rPr>
      </w:pPr>
      <w:r>
        <w:rPr>
          <w:rFonts w:hint="eastAsia" w:ascii="Times New Roman" w:hAnsi="Times New Roman"/>
          <w:color w:val="000000" w:themeColor="text1"/>
          <w:sz w:val="24"/>
          <w:szCs w:val="24"/>
          <w:lang w:val="en-US"/>
          <w14:textFill>
            <w14:solidFill>
              <w14:schemeClr w14:val="tx1"/>
            </w14:solidFill>
          </w14:textFill>
        </w:rPr>
        <w:t>根据估算模式计算结果，本工程大气评价等级为二级，分级判据见下表。</w:t>
      </w:r>
    </w:p>
    <w:p>
      <w:pPr>
        <w:tabs>
          <w:tab w:val="left" w:pos="3780"/>
        </w:tabs>
        <w:spacing w:line="500" w:lineRule="exact"/>
        <w:ind w:firstLine="480" w:firstLineChars="200"/>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表5</w:t>
      </w:r>
      <w:r>
        <w:rPr>
          <w:rFonts w:eastAsia="黑体"/>
          <w:color w:val="000000" w:themeColor="text1"/>
          <w:sz w:val="24"/>
          <w14:textFill>
            <w14:solidFill>
              <w14:schemeClr w14:val="tx1"/>
            </w14:solidFill>
          </w14:textFill>
        </w:rPr>
        <w:t>.2</w:t>
      </w:r>
      <w:r>
        <w:rPr>
          <w:rFonts w:hint="eastAsia" w:eastAsia="黑体"/>
          <w:color w:val="000000" w:themeColor="text1"/>
          <w:sz w:val="24"/>
          <w14:textFill>
            <w14:solidFill>
              <w14:schemeClr w14:val="tx1"/>
            </w14:solidFill>
          </w14:textFill>
        </w:rPr>
        <w:t>-1</w:t>
      </w:r>
      <w:r>
        <w:rPr>
          <w:rFonts w:eastAsia="黑体"/>
          <w:color w:val="000000" w:themeColor="text1"/>
          <w:sz w:val="24"/>
          <w14:textFill>
            <w14:solidFill>
              <w14:schemeClr w14:val="tx1"/>
            </w14:solidFill>
          </w14:textFill>
        </w:rPr>
        <w:t>4</w:t>
      </w:r>
      <w:r>
        <w:rPr>
          <w:rFonts w:hint="eastAsia" w:eastAsia="黑体"/>
          <w:color w:val="000000" w:themeColor="text1"/>
          <w:sz w:val="24"/>
          <w14:textFill>
            <w14:solidFill>
              <w14:schemeClr w14:val="tx1"/>
            </w14:solidFill>
          </w14:textFill>
        </w:rPr>
        <w:t xml:space="preserve">                 环境空气分级判据表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2006"/>
        <w:gridCol w:w="1726"/>
        <w:gridCol w:w="1871"/>
        <w:gridCol w:w="1438"/>
        <w:gridCol w:w="18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4" w:type="pct"/>
            <w:vMerge w:val="restart"/>
            <w:shd w:val="clear" w:color="auto" w:fill="auto"/>
            <w:vAlign w:val="center"/>
          </w:tcPr>
          <w:p>
            <w:pPr>
              <w:pStyle w:val="94"/>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2034" w:type="pct"/>
            <w:gridSpan w:val="2"/>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有组织排放</w:t>
            </w:r>
          </w:p>
        </w:tc>
        <w:tc>
          <w:tcPr>
            <w:tcW w:w="1832" w:type="pct"/>
            <w:gridSpan w:val="2"/>
            <w:vMerge w:val="restart"/>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无组织排放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4" w:type="pct"/>
            <w:vMerge w:val="continue"/>
            <w:shd w:val="clear" w:color="auto" w:fill="auto"/>
            <w:vAlign w:val="center"/>
          </w:tcPr>
          <w:p>
            <w:pPr>
              <w:pStyle w:val="94"/>
              <w:rPr>
                <w:b w:val="0"/>
                <w:bCs/>
                <w:color w:val="000000" w:themeColor="text1"/>
                <w14:textFill>
                  <w14:solidFill>
                    <w14:schemeClr w14:val="tx1"/>
                  </w14:solidFill>
                </w14:textFill>
              </w:rPr>
            </w:pPr>
          </w:p>
        </w:tc>
        <w:tc>
          <w:tcPr>
            <w:tcW w:w="2034" w:type="pct"/>
            <w:gridSpan w:val="2"/>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排气筒</w:t>
            </w:r>
            <w:r>
              <w:rPr>
                <w:color w:val="000000" w:themeColor="text1"/>
                <w14:textFill>
                  <w14:solidFill>
                    <w14:schemeClr w14:val="tx1"/>
                  </w14:solidFill>
                </w14:textFill>
              </w:rPr>
              <w:t>P</w:t>
            </w:r>
          </w:p>
        </w:tc>
        <w:tc>
          <w:tcPr>
            <w:tcW w:w="1832" w:type="pct"/>
            <w:gridSpan w:val="2"/>
            <w:vMerge w:val="continue"/>
            <w:vAlign w:val="center"/>
          </w:tcPr>
          <w:p>
            <w:pPr>
              <w:pStyle w:val="94"/>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4" w:type="pct"/>
            <w:vMerge w:val="continue"/>
            <w:shd w:val="clear" w:color="auto" w:fill="auto"/>
            <w:vAlign w:val="center"/>
          </w:tcPr>
          <w:p>
            <w:pPr>
              <w:pStyle w:val="94"/>
              <w:rPr>
                <w:b w:val="0"/>
                <w:bCs/>
                <w:color w:val="000000" w:themeColor="text1"/>
                <w14:textFill>
                  <w14:solidFill>
                    <w14:schemeClr w14:val="tx1"/>
                  </w14:solidFill>
                </w14:textFill>
              </w:rPr>
            </w:pPr>
          </w:p>
        </w:tc>
        <w:tc>
          <w:tcPr>
            <w:tcW w:w="976" w:type="pct"/>
            <w:vAlign w:val="center"/>
          </w:tcPr>
          <w:p>
            <w:pPr>
              <w:pStyle w:val="94"/>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氨</w:t>
            </w:r>
          </w:p>
        </w:tc>
        <w:tc>
          <w:tcPr>
            <w:tcW w:w="1058" w:type="pct"/>
            <w:vAlign w:val="center"/>
          </w:tcPr>
          <w:p>
            <w:pPr>
              <w:pStyle w:val="94"/>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硫化氢</w:t>
            </w:r>
          </w:p>
        </w:tc>
        <w:tc>
          <w:tcPr>
            <w:tcW w:w="813" w:type="pct"/>
            <w:vAlign w:val="center"/>
          </w:tcPr>
          <w:p>
            <w:pPr>
              <w:pStyle w:val="94"/>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氨</w:t>
            </w:r>
          </w:p>
        </w:tc>
        <w:tc>
          <w:tcPr>
            <w:tcW w:w="1018" w:type="pct"/>
            <w:vAlign w:val="center"/>
          </w:tcPr>
          <w:p>
            <w:pPr>
              <w:pStyle w:val="94"/>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硫化氢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4" w:type="pct"/>
            <w:shd w:val="clear" w:color="auto" w:fill="auto"/>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P</w:t>
            </w:r>
            <w:r>
              <w:rPr>
                <w:rFonts w:hint="eastAsia"/>
                <w:bCs/>
                <w:color w:val="000000" w:themeColor="text1"/>
                <w:vertAlign w:val="subscript"/>
                <w14:textFill>
                  <w14:solidFill>
                    <w14:schemeClr w14:val="tx1"/>
                  </w14:solidFill>
                </w14:textFill>
              </w:rPr>
              <w:t>max</w:t>
            </w:r>
            <w:r>
              <w:rPr>
                <w:rFonts w:hint="eastAsia"/>
                <w:bCs/>
                <w:color w:val="000000" w:themeColor="text1"/>
                <w14:textFill>
                  <w14:solidFill>
                    <w14:schemeClr w14:val="tx1"/>
                  </w14:solidFill>
                </w14:textFill>
              </w:rPr>
              <w:t>占标率（%）</w:t>
            </w:r>
          </w:p>
        </w:tc>
        <w:tc>
          <w:tcPr>
            <w:tcW w:w="976" w:type="pct"/>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.56</w:t>
            </w:r>
          </w:p>
        </w:tc>
        <w:tc>
          <w:tcPr>
            <w:tcW w:w="1058" w:type="pct"/>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w:t>
            </w:r>
            <w:r>
              <w:rPr>
                <w:bCs/>
                <w:color w:val="000000" w:themeColor="text1"/>
                <w14:textFill>
                  <w14:solidFill>
                    <w14:schemeClr w14:val="tx1"/>
                  </w14:solidFill>
                </w14:textFill>
              </w:rPr>
              <w:t>.46</w:t>
            </w:r>
          </w:p>
        </w:tc>
        <w:tc>
          <w:tcPr>
            <w:tcW w:w="813" w:type="pct"/>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6.07</w:t>
            </w:r>
          </w:p>
        </w:tc>
        <w:tc>
          <w:tcPr>
            <w:tcW w:w="1018" w:type="pct"/>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r>
              <w:rPr>
                <w:bCs/>
                <w:color w:val="000000" w:themeColor="text1"/>
                <w14:textFill>
                  <w14:solidFill>
                    <w14:schemeClr w14:val="tx1"/>
                  </w14:solidFill>
                </w14:textFill>
              </w:rPr>
              <w:t>.98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4" w:type="pct"/>
            <w:shd w:val="clear" w:color="auto" w:fill="auto"/>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P</w:t>
            </w:r>
            <w:r>
              <w:rPr>
                <w:rFonts w:hint="eastAsia"/>
                <w:bCs/>
                <w:color w:val="000000" w:themeColor="text1"/>
                <w:vertAlign w:val="subscript"/>
                <w14:textFill>
                  <w14:solidFill>
                    <w14:schemeClr w14:val="tx1"/>
                  </w14:solidFill>
                </w14:textFill>
              </w:rPr>
              <w:t>max</w:t>
            </w:r>
            <w:r>
              <w:rPr>
                <w:rFonts w:hint="eastAsia"/>
                <w:bCs/>
                <w:color w:val="000000" w:themeColor="text1"/>
                <w14:textFill>
                  <w14:solidFill>
                    <w14:schemeClr w14:val="tx1"/>
                  </w14:solidFill>
                </w14:textFill>
              </w:rPr>
              <w:t>出现距离（m）</w:t>
            </w:r>
          </w:p>
        </w:tc>
        <w:tc>
          <w:tcPr>
            <w:tcW w:w="2034" w:type="pct"/>
            <w:gridSpan w:val="2"/>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211</w:t>
            </w:r>
          </w:p>
        </w:tc>
        <w:tc>
          <w:tcPr>
            <w:tcW w:w="1832" w:type="pct"/>
            <w:gridSpan w:val="2"/>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w:t>
            </w:r>
            <w:r>
              <w:rPr>
                <w:bCs/>
                <w:color w:val="000000" w:themeColor="text1"/>
                <w14:textFill>
                  <w14:solidFill>
                    <w14:schemeClr w14:val="tx1"/>
                  </w14:solidFill>
                </w14:textFill>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4" w:type="pct"/>
            <w:shd w:val="clear" w:color="auto" w:fill="auto"/>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分级判据</w:t>
            </w:r>
          </w:p>
        </w:tc>
        <w:tc>
          <w:tcPr>
            <w:tcW w:w="2034" w:type="pct"/>
            <w:gridSpan w:val="2"/>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P</w:t>
            </w:r>
            <w:r>
              <w:rPr>
                <w:rFonts w:hint="eastAsia"/>
                <w:bCs/>
                <w:color w:val="000000" w:themeColor="text1"/>
                <w:vertAlign w:val="subscript"/>
                <w14:textFill>
                  <w14:solidFill>
                    <w14:schemeClr w14:val="tx1"/>
                  </w14:solidFill>
                </w14:textFill>
              </w:rPr>
              <w:t>max</w:t>
            </w:r>
            <w:r>
              <w:rPr>
                <w:rFonts w:hint="eastAsia"/>
                <w:bCs/>
                <w:color w:val="000000" w:themeColor="text1"/>
                <w14:textFill>
                  <w14:solidFill>
                    <w14:schemeClr w14:val="tx1"/>
                  </w14:solidFill>
                </w14:textFill>
              </w:rPr>
              <w:t>＜1%</w:t>
            </w:r>
          </w:p>
        </w:tc>
        <w:tc>
          <w:tcPr>
            <w:tcW w:w="1832" w:type="pct"/>
            <w:gridSpan w:val="2"/>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1%＜P</w:t>
            </w:r>
            <w:r>
              <w:rPr>
                <w:rFonts w:hint="eastAsia"/>
                <w:bCs/>
                <w:color w:val="000000" w:themeColor="text1"/>
                <w:vertAlign w:val="subscript"/>
                <w14:textFill>
                  <w14:solidFill>
                    <w14:schemeClr w14:val="tx1"/>
                  </w14:solidFill>
                </w14:textFill>
              </w:rPr>
              <w:t>max</w:t>
            </w:r>
            <w:r>
              <w:rPr>
                <w:rFonts w:hint="eastAsia"/>
                <w:bCs/>
                <w:color w:val="000000" w:themeColor="text1"/>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134" w:type="pct"/>
            <w:shd w:val="clear" w:color="auto" w:fill="auto"/>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评价等级</w:t>
            </w:r>
          </w:p>
        </w:tc>
        <w:tc>
          <w:tcPr>
            <w:tcW w:w="3866" w:type="pct"/>
            <w:gridSpan w:val="4"/>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二</w:t>
            </w:r>
            <w:r>
              <w:rPr>
                <w:bCs/>
                <w:color w:val="000000" w:themeColor="text1"/>
                <w14:textFill>
                  <w14:solidFill>
                    <w14:schemeClr w14:val="tx1"/>
                  </w14:solidFill>
                </w14:textFill>
              </w:rPr>
              <w:t>级</w:t>
            </w:r>
          </w:p>
        </w:tc>
      </w:tr>
    </w:tbl>
    <w:p>
      <w:pPr>
        <w:pStyle w:val="25"/>
        <w:spacing w:line="520" w:lineRule="exact"/>
        <w:ind w:left="-34" w:firstLine="480"/>
        <w:rPr>
          <w:rFonts w:ascii="Times New Roman" w:hAnsi="Times New Roman"/>
          <w:color w:val="000000" w:themeColor="text1"/>
          <w:sz w:val="24"/>
          <w:szCs w:val="24"/>
          <w14:textFill>
            <w14:solidFill>
              <w14:schemeClr w14:val="tx1"/>
            </w14:solidFill>
          </w14:textFill>
        </w:rPr>
      </w:pPr>
    </w:p>
    <w:p>
      <w:pPr>
        <w:tabs>
          <w:tab w:val="left" w:pos="3780"/>
        </w:tabs>
        <w:spacing w:line="500" w:lineRule="exact"/>
        <w:ind w:firstLine="480" w:firstLineChars="200"/>
        <w:outlineLvl w:val="4"/>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五、厂界浓度预测</w:t>
      </w:r>
    </w:p>
    <w:p>
      <w:pPr>
        <w:pStyle w:val="25"/>
        <w:spacing w:line="500" w:lineRule="exact"/>
        <w:ind w:left="-34" w:firstLine="482"/>
        <w:rPr>
          <w:rFonts w:ascii="Times New Roman" w:hAnsi="Times New Roman"/>
          <w:color w:val="000000" w:themeColor="text1"/>
          <w:sz w:val="24"/>
          <w:szCs w:val="24"/>
          <w:lang w:val="en-US"/>
          <w14:textFill>
            <w14:solidFill>
              <w14:schemeClr w14:val="tx1"/>
            </w14:solidFill>
          </w14:textFill>
        </w:rPr>
      </w:pPr>
      <w:r>
        <w:rPr>
          <w:rFonts w:hint="eastAsia" w:ascii="Times New Roman" w:hAnsi="Times New Roman"/>
          <w:color w:val="000000" w:themeColor="text1"/>
          <w:sz w:val="24"/>
          <w:szCs w:val="24"/>
          <w:lang w:val="en-US"/>
          <w14:textFill>
            <w14:solidFill>
              <w14:schemeClr w14:val="tx1"/>
            </w14:solidFill>
          </w14:textFill>
        </w:rPr>
        <w:t>项目厂界浓度预测结果见下表。</w:t>
      </w:r>
    </w:p>
    <w:p>
      <w:pPr>
        <w:tabs>
          <w:tab w:val="left" w:pos="3780"/>
        </w:tabs>
        <w:spacing w:line="500" w:lineRule="exact"/>
        <w:ind w:firstLine="480" w:firstLineChars="20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表5.2-15       项目废气污染物排放对厂界影响的预测结果</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08"/>
        <w:gridCol w:w="1369"/>
        <w:gridCol w:w="2091"/>
        <w:gridCol w:w="2091"/>
        <w:gridCol w:w="22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9" w:type="dxa"/>
            <w:vAlign w:val="center"/>
          </w:tcPr>
          <w:p>
            <w:pPr>
              <w:widowControl/>
              <w:jc w:val="center"/>
              <w:rPr>
                <w:bCs/>
                <w:color w:val="000000"/>
                <w:szCs w:val="21"/>
              </w:rPr>
            </w:pPr>
            <w:r>
              <w:rPr>
                <w:bCs/>
                <w:color w:val="000000"/>
                <w:szCs w:val="21"/>
              </w:rPr>
              <w:t>污染物</w:t>
            </w:r>
          </w:p>
        </w:tc>
        <w:tc>
          <w:tcPr>
            <w:tcW w:w="1357" w:type="dxa"/>
            <w:vAlign w:val="center"/>
          </w:tcPr>
          <w:p>
            <w:pPr>
              <w:widowControl/>
              <w:jc w:val="center"/>
              <w:rPr>
                <w:bCs/>
                <w:color w:val="000000"/>
                <w:szCs w:val="21"/>
              </w:rPr>
            </w:pPr>
            <w:r>
              <w:rPr>
                <w:bCs/>
                <w:color w:val="000000"/>
                <w:szCs w:val="21"/>
              </w:rPr>
              <w:t>厂界</w:t>
            </w:r>
          </w:p>
        </w:tc>
        <w:tc>
          <w:tcPr>
            <w:tcW w:w="2073" w:type="dxa"/>
            <w:vAlign w:val="center"/>
          </w:tcPr>
          <w:p>
            <w:pPr>
              <w:widowControl/>
              <w:jc w:val="center"/>
              <w:rPr>
                <w:bCs/>
                <w:color w:val="000000"/>
                <w:szCs w:val="21"/>
              </w:rPr>
            </w:pPr>
            <w:r>
              <w:rPr>
                <w:bCs/>
                <w:color w:val="000000"/>
                <w:szCs w:val="21"/>
              </w:rPr>
              <w:t>预测浓度（mg/m</w:t>
            </w:r>
            <w:r>
              <w:rPr>
                <w:bCs/>
                <w:color w:val="000000"/>
                <w:szCs w:val="21"/>
                <w:vertAlign w:val="superscript"/>
              </w:rPr>
              <w:t>3</w:t>
            </w:r>
            <w:r>
              <w:rPr>
                <w:bCs/>
                <w:color w:val="000000"/>
                <w:szCs w:val="21"/>
              </w:rPr>
              <w:t>）</w:t>
            </w:r>
          </w:p>
        </w:tc>
        <w:tc>
          <w:tcPr>
            <w:tcW w:w="2073" w:type="dxa"/>
            <w:vAlign w:val="center"/>
          </w:tcPr>
          <w:p>
            <w:pPr>
              <w:jc w:val="center"/>
              <w:rPr>
                <w:bCs/>
                <w:color w:val="000000"/>
                <w:szCs w:val="21"/>
              </w:rPr>
            </w:pPr>
            <w:r>
              <w:rPr>
                <w:bCs/>
                <w:color w:val="000000"/>
                <w:szCs w:val="21"/>
              </w:rPr>
              <w:t>《恶臭污染物排放标准》（GB14554-93）</w:t>
            </w:r>
            <w:r>
              <w:rPr>
                <w:rFonts w:hint="eastAsia"/>
                <w:bCs/>
                <w:color w:val="000000"/>
                <w:szCs w:val="21"/>
              </w:rPr>
              <w:t>表1</w:t>
            </w:r>
          </w:p>
        </w:tc>
        <w:tc>
          <w:tcPr>
            <w:tcW w:w="2208" w:type="dxa"/>
            <w:vAlign w:val="center"/>
          </w:tcPr>
          <w:p>
            <w:pPr>
              <w:jc w:val="center"/>
              <w:rPr>
                <w:bCs/>
                <w:color w:val="000000"/>
                <w:szCs w:val="21"/>
              </w:rPr>
            </w:pPr>
            <w:r>
              <w:rPr>
                <w:bCs/>
                <w:color w:val="000000"/>
                <w:szCs w:val="21"/>
              </w:rPr>
              <w:t>《环境影响评价技术导则 大气环境》（HJ2.2-2018）附录D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9" w:type="dxa"/>
            <w:vMerge w:val="restart"/>
            <w:vAlign w:val="center"/>
          </w:tcPr>
          <w:p>
            <w:pPr>
              <w:widowControl/>
              <w:jc w:val="center"/>
              <w:rPr>
                <w:bCs/>
                <w:color w:val="000000"/>
                <w:szCs w:val="21"/>
              </w:rPr>
            </w:pPr>
            <w:r>
              <w:rPr>
                <w:rFonts w:hint="eastAsia"/>
                <w:bCs/>
                <w:color w:val="000000"/>
                <w:szCs w:val="21"/>
              </w:rPr>
              <w:t>H</w:t>
            </w:r>
            <w:r>
              <w:rPr>
                <w:bCs/>
                <w:color w:val="000000"/>
                <w:szCs w:val="21"/>
                <w:vertAlign w:val="subscript"/>
              </w:rPr>
              <w:t>2</w:t>
            </w:r>
            <w:r>
              <w:rPr>
                <w:bCs/>
                <w:color w:val="000000"/>
                <w:szCs w:val="21"/>
              </w:rPr>
              <w:t>S</w:t>
            </w:r>
          </w:p>
        </w:tc>
        <w:tc>
          <w:tcPr>
            <w:tcW w:w="1357" w:type="dxa"/>
            <w:vAlign w:val="center"/>
          </w:tcPr>
          <w:p>
            <w:pPr>
              <w:jc w:val="center"/>
              <w:rPr>
                <w:bCs/>
                <w:color w:val="000000"/>
                <w:szCs w:val="21"/>
              </w:rPr>
            </w:pPr>
            <w:r>
              <w:rPr>
                <w:bCs/>
                <w:color w:val="000000"/>
                <w:szCs w:val="21"/>
              </w:rPr>
              <w:t>东厂界</w:t>
            </w:r>
          </w:p>
        </w:tc>
        <w:tc>
          <w:tcPr>
            <w:tcW w:w="2073" w:type="dxa"/>
            <w:vAlign w:val="center"/>
          </w:tcPr>
          <w:p>
            <w:pPr>
              <w:jc w:val="center"/>
              <w:rPr>
                <w:bCs/>
                <w:color w:val="000000"/>
                <w:szCs w:val="21"/>
              </w:rPr>
            </w:pPr>
            <w:r>
              <w:rPr>
                <w:bCs/>
                <w:color w:val="000000"/>
                <w:szCs w:val="21"/>
              </w:rPr>
              <w:t>0.0002565</w:t>
            </w:r>
          </w:p>
        </w:tc>
        <w:tc>
          <w:tcPr>
            <w:tcW w:w="2073" w:type="dxa"/>
            <w:vMerge w:val="restart"/>
            <w:vAlign w:val="center"/>
          </w:tcPr>
          <w:p>
            <w:pPr>
              <w:widowControl/>
              <w:jc w:val="center"/>
              <w:rPr>
                <w:bCs/>
                <w:color w:val="000000"/>
                <w:szCs w:val="21"/>
              </w:rPr>
            </w:pPr>
            <w:r>
              <w:rPr>
                <w:rFonts w:hint="eastAsia"/>
                <w:bCs/>
                <w:color w:val="000000"/>
                <w:szCs w:val="21"/>
              </w:rPr>
              <w:t>0</w:t>
            </w:r>
            <w:r>
              <w:rPr>
                <w:bCs/>
                <w:color w:val="000000"/>
                <w:szCs w:val="21"/>
              </w:rPr>
              <w:t>.06</w:t>
            </w:r>
          </w:p>
        </w:tc>
        <w:tc>
          <w:tcPr>
            <w:tcW w:w="2208" w:type="dxa"/>
            <w:vMerge w:val="restart"/>
            <w:vAlign w:val="center"/>
          </w:tcPr>
          <w:p>
            <w:pPr>
              <w:widowControl/>
              <w:jc w:val="center"/>
              <w:rPr>
                <w:bCs/>
                <w:color w:val="000000"/>
                <w:szCs w:val="21"/>
              </w:rPr>
            </w:pPr>
            <w:r>
              <w:rPr>
                <w:rFonts w:hint="eastAsia"/>
                <w:bCs/>
                <w:color w:val="000000"/>
                <w:szCs w:val="21"/>
              </w:rPr>
              <w:t>0</w:t>
            </w:r>
            <w:r>
              <w:rPr>
                <w:bCs/>
                <w:color w:val="000000"/>
                <w:szCs w:val="21"/>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9" w:type="dxa"/>
            <w:vMerge w:val="continue"/>
            <w:vAlign w:val="center"/>
          </w:tcPr>
          <w:p>
            <w:pPr>
              <w:widowControl/>
              <w:jc w:val="center"/>
              <w:rPr>
                <w:bCs/>
                <w:color w:val="000000"/>
                <w:szCs w:val="21"/>
              </w:rPr>
            </w:pPr>
          </w:p>
        </w:tc>
        <w:tc>
          <w:tcPr>
            <w:tcW w:w="1357" w:type="dxa"/>
            <w:vAlign w:val="center"/>
          </w:tcPr>
          <w:p>
            <w:pPr>
              <w:jc w:val="center"/>
              <w:rPr>
                <w:bCs/>
                <w:color w:val="000000"/>
                <w:szCs w:val="21"/>
              </w:rPr>
            </w:pPr>
            <w:r>
              <w:rPr>
                <w:bCs/>
                <w:color w:val="000000"/>
                <w:szCs w:val="21"/>
              </w:rPr>
              <w:t>西厂界</w:t>
            </w:r>
          </w:p>
        </w:tc>
        <w:tc>
          <w:tcPr>
            <w:tcW w:w="2073" w:type="dxa"/>
            <w:vAlign w:val="center"/>
          </w:tcPr>
          <w:p>
            <w:pPr>
              <w:jc w:val="center"/>
              <w:rPr>
                <w:bCs/>
                <w:color w:val="000000"/>
                <w:szCs w:val="21"/>
              </w:rPr>
            </w:pPr>
            <w:r>
              <w:rPr>
                <w:rFonts w:hint="eastAsia"/>
                <w:bCs/>
                <w:color w:val="000000"/>
                <w:szCs w:val="21"/>
              </w:rPr>
              <w:t>0</w:t>
            </w:r>
            <w:r>
              <w:rPr>
                <w:bCs/>
                <w:color w:val="000000"/>
                <w:szCs w:val="21"/>
              </w:rPr>
              <w:t>.0003699</w:t>
            </w:r>
          </w:p>
        </w:tc>
        <w:tc>
          <w:tcPr>
            <w:tcW w:w="2073" w:type="dxa"/>
            <w:vMerge w:val="continue"/>
            <w:vAlign w:val="center"/>
          </w:tcPr>
          <w:p>
            <w:pPr>
              <w:widowControl/>
              <w:jc w:val="center"/>
              <w:rPr>
                <w:bCs/>
                <w:color w:val="000000"/>
                <w:szCs w:val="21"/>
              </w:rPr>
            </w:pPr>
          </w:p>
        </w:tc>
        <w:tc>
          <w:tcPr>
            <w:tcW w:w="2208" w:type="dxa"/>
            <w:vMerge w:val="continue"/>
            <w:vAlign w:val="center"/>
          </w:tcPr>
          <w:p>
            <w:pPr>
              <w:widowControl/>
              <w:jc w:val="center"/>
              <w:rPr>
                <w:bCs/>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9" w:type="dxa"/>
            <w:vMerge w:val="continue"/>
            <w:vAlign w:val="center"/>
          </w:tcPr>
          <w:p>
            <w:pPr>
              <w:widowControl/>
              <w:jc w:val="center"/>
              <w:rPr>
                <w:bCs/>
                <w:color w:val="000000"/>
                <w:szCs w:val="21"/>
              </w:rPr>
            </w:pPr>
          </w:p>
        </w:tc>
        <w:tc>
          <w:tcPr>
            <w:tcW w:w="1357" w:type="dxa"/>
            <w:vAlign w:val="center"/>
          </w:tcPr>
          <w:p>
            <w:pPr>
              <w:jc w:val="center"/>
              <w:rPr>
                <w:bCs/>
                <w:color w:val="000000"/>
                <w:szCs w:val="21"/>
              </w:rPr>
            </w:pPr>
            <w:r>
              <w:rPr>
                <w:bCs/>
                <w:color w:val="000000"/>
                <w:szCs w:val="21"/>
              </w:rPr>
              <w:t>南厂界</w:t>
            </w:r>
          </w:p>
        </w:tc>
        <w:tc>
          <w:tcPr>
            <w:tcW w:w="2073" w:type="dxa"/>
            <w:vAlign w:val="center"/>
          </w:tcPr>
          <w:p>
            <w:pPr>
              <w:jc w:val="center"/>
              <w:rPr>
                <w:bCs/>
                <w:color w:val="000000"/>
                <w:szCs w:val="21"/>
              </w:rPr>
            </w:pPr>
            <w:r>
              <w:rPr>
                <w:rFonts w:hint="eastAsia"/>
                <w:bCs/>
                <w:color w:val="000000"/>
                <w:szCs w:val="21"/>
              </w:rPr>
              <w:t>0</w:t>
            </w:r>
            <w:r>
              <w:rPr>
                <w:bCs/>
                <w:color w:val="000000"/>
                <w:szCs w:val="21"/>
              </w:rPr>
              <w:t>.000333</w:t>
            </w:r>
          </w:p>
        </w:tc>
        <w:tc>
          <w:tcPr>
            <w:tcW w:w="2073" w:type="dxa"/>
            <w:vMerge w:val="continue"/>
            <w:vAlign w:val="center"/>
          </w:tcPr>
          <w:p>
            <w:pPr>
              <w:widowControl/>
              <w:jc w:val="center"/>
              <w:rPr>
                <w:bCs/>
                <w:color w:val="000000"/>
                <w:szCs w:val="21"/>
              </w:rPr>
            </w:pPr>
          </w:p>
        </w:tc>
        <w:tc>
          <w:tcPr>
            <w:tcW w:w="2208" w:type="dxa"/>
            <w:vMerge w:val="continue"/>
            <w:vAlign w:val="center"/>
          </w:tcPr>
          <w:p>
            <w:pPr>
              <w:widowControl/>
              <w:jc w:val="center"/>
              <w:rPr>
                <w:bCs/>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9" w:type="dxa"/>
            <w:vMerge w:val="continue"/>
            <w:vAlign w:val="center"/>
          </w:tcPr>
          <w:p>
            <w:pPr>
              <w:widowControl/>
              <w:jc w:val="center"/>
              <w:rPr>
                <w:bCs/>
                <w:color w:val="000000"/>
                <w:szCs w:val="21"/>
              </w:rPr>
            </w:pPr>
          </w:p>
        </w:tc>
        <w:tc>
          <w:tcPr>
            <w:tcW w:w="1357" w:type="dxa"/>
            <w:vAlign w:val="center"/>
          </w:tcPr>
          <w:p>
            <w:pPr>
              <w:jc w:val="center"/>
              <w:rPr>
                <w:bCs/>
                <w:color w:val="000000"/>
                <w:szCs w:val="21"/>
              </w:rPr>
            </w:pPr>
            <w:r>
              <w:rPr>
                <w:bCs/>
                <w:color w:val="000000"/>
                <w:szCs w:val="21"/>
              </w:rPr>
              <w:t>北厂界</w:t>
            </w:r>
          </w:p>
        </w:tc>
        <w:tc>
          <w:tcPr>
            <w:tcW w:w="2073" w:type="dxa"/>
            <w:vAlign w:val="center"/>
          </w:tcPr>
          <w:p>
            <w:pPr>
              <w:jc w:val="center"/>
              <w:rPr>
                <w:bCs/>
                <w:color w:val="000000"/>
                <w:szCs w:val="21"/>
              </w:rPr>
            </w:pPr>
            <w:r>
              <w:rPr>
                <w:rFonts w:hint="eastAsia"/>
                <w:bCs/>
                <w:color w:val="000000"/>
                <w:szCs w:val="21"/>
              </w:rPr>
              <w:t>0</w:t>
            </w:r>
            <w:r>
              <w:rPr>
                <w:bCs/>
                <w:color w:val="000000"/>
                <w:szCs w:val="21"/>
              </w:rPr>
              <w:t>.0004057</w:t>
            </w:r>
          </w:p>
        </w:tc>
        <w:tc>
          <w:tcPr>
            <w:tcW w:w="2073" w:type="dxa"/>
            <w:vMerge w:val="continue"/>
            <w:vAlign w:val="center"/>
          </w:tcPr>
          <w:p>
            <w:pPr>
              <w:widowControl/>
              <w:jc w:val="center"/>
              <w:rPr>
                <w:bCs/>
                <w:color w:val="000000"/>
                <w:szCs w:val="21"/>
              </w:rPr>
            </w:pPr>
          </w:p>
        </w:tc>
        <w:tc>
          <w:tcPr>
            <w:tcW w:w="2208" w:type="dxa"/>
            <w:vMerge w:val="continue"/>
            <w:vAlign w:val="center"/>
          </w:tcPr>
          <w:p>
            <w:pPr>
              <w:widowControl/>
              <w:jc w:val="center"/>
              <w:rPr>
                <w:bCs/>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9" w:type="dxa"/>
            <w:vMerge w:val="restart"/>
            <w:vAlign w:val="center"/>
          </w:tcPr>
          <w:p>
            <w:pPr>
              <w:widowControl/>
              <w:jc w:val="center"/>
              <w:rPr>
                <w:bCs/>
                <w:color w:val="000000"/>
                <w:szCs w:val="21"/>
              </w:rPr>
            </w:pPr>
            <w:r>
              <w:rPr>
                <w:rFonts w:hint="eastAsia"/>
                <w:bCs/>
                <w:color w:val="000000"/>
                <w:szCs w:val="21"/>
              </w:rPr>
              <w:t>氨</w:t>
            </w:r>
          </w:p>
        </w:tc>
        <w:tc>
          <w:tcPr>
            <w:tcW w:w="1357" w:type="dxa"/>
            <w:vAlign w:val="center"/>
          </w:tcPr>
          <w:p>
            <w:pPr>
              <w:jc w:val="center"/>
              <w:rPr>
                <w:bCs/>
                <w:color w:val="000000"/>
                <w:szCs w:val="21"/>
              </w:rPr>
            </w:pPr>
            <w:r>
              <w:rPr>
                <w:bCs/>
                <w:color w:val="000000"/>
                <w:szCs w:val="21"/>
              </w:rPr>
              <w:t>东厂界</w:t>
            </w:r>
          </w:p>
        </w:tc>
        <w:tc>
          <w:tcPr>
            <w:tcW w:w="2073" w:type="dxa"/>
            <w:vAlign w:val="center"/>
          </w:tcPr>
          <w:p>
            <w:pPr>
              <w:jc w:val="center"/>
              <w:rPr>
                <w:bCs/>
                <w:color w:val="000000"/>
                <w:szCs w:val="21"/>
              </w:rPr>
            </w:pPr>
            <w:r>
              <w:rPr>
                <w:rFonts w:hint="eastAsia"/>
                <w:bCs/>
                <w:color w:val="000000"/>
                <w:szCs w:val="21"/>
              </w:rPr>
              <w:t>0</w:t>
            </w:r>
            <w:r>
              <w:rPr>
                <w:bCs/>
                <w:color w:val="000000"/>
                <w:szCs w:val="21"/>
              </w:rPr>
              <w:t>.007736</w:t>
            </w:r>
          </w:p>
        </w:tc>
        <w:tc>
          <w:tcPr>
            <w:tcW w:w="2073" w:type="dxa"/>
            <w:vMerge w:val="restart"/>
            <w:vAlign w:val="center"/>
          </w:tcPr>
          <w:p>
            <w:pPr>
              <w:widowControl/>
              <w:jc w:val="center"/>
              <w:rPr>
                <w:bCs/>
                <w:color w:val="000000"/>
                <w:szCs w:val="21"/>
              </w:rPr>
            </w:pPr>
            <w:r>
              <w:rPr>
                <w:rFonts w:hint="eastAsia"/>
                <w:bCs/>
                <w:color w:val="000000"/>
                <w:szCs w:val="21"/>
              </w:rPr>
              <w:t>1</w:t>
            </w:r>
            <w:r>
              <w:rPr>
                <w:bCs/>
                <w:color w:val="000000"/>
                <w:szCs w:val="21"/>
              </w:rPr>
              <w:t>.5</w:t>
            </w:r>
          </w:p>
        </w:tc>
        <w:tc>
          <w:tcPr>
            <w:tcW w:w="2208" w:type="dxa"/>
            <w:vMerge w:val="restart"/>
            <w:vAlign w:val="center"/>
          </w:tcPr>
          <w:p>
            <w:pPr>
              <w:widowControl/>
              <w:jc w:val="center"/>
              <w:rPr>
                <w:bCs/>
                <w:color w:val="000000"/>
                <w:szCs w:val="21"/>
              </w:rPr>
            </w:pPr>
            <w:r>
              <w:rPr>
                <w:rFonts w:hint="eastAsia"/>
                <w:bCs/>
                <w:color w:val="000000"/>
                <w:szCs w:val="21"/>
              </w:rPr>
              <w:t>0</w:t>
            </w:r>
            <w:r>
              <w:rPr>
                <w:bCs/>
                <w:color w:val="000000"/>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9" w:type="dxa"/>
            <w:vMerge w:val="continue"/>
            <w:vAlign w:val="center"/>
          </w:tcPr>
          <w:p>
            <w:pPr>
              <w:widowControl/>
              <w:jc w:val="left"/>
              <w:rPr>
                <w:bCs/>
                <w:color w:val="000000"/>
                <w:szCs w:val="21"/>
              </w:rPr>
            </w:pPr>
          </w:p>
        </w:tc>
        <w:tc>
          <w:tcPr>
            <w:tcW w:w="1357" w:type="dxa"/>
            <w:vAlign w:val="center"/>
          </w:tcPr>
          <w:p>
            <w:pPr>
              <w:jc w:val="center"/>
              <w:rPr>
                <w:bCs/>
                <w:color w:val="000000"/>
                <w:szCs w:val="21"/>
              </w:rPr>
            </w:pPr>
            <w:r>
              <w:rPr>
                <w:bCs/>
                <w:color w:val="000000"/>
                <w:szCs w:val="21"/>
              </w:rPr>
              <w:t>西厂界</w:t>
            </w:r>
          </w:p>
        </w:tc>
        <w:tc>
          <w:tcPr>
            <w:tcW w:w="2073" w:type="dxa"/>
            <w:vAlign w:val="center"/>
          </w:tcPr>
          <w:p>
            <w:pPr>
              <w:jc w:val="center"/>
              <w:rPr>
                <w:bCs/>
                <w:color w:val="000000"/>
                <w:szCs w:val="21"/>
              </w:rPr>
            </w:pPr>
            <w:r>
              <w:rPr>
                <w:rFonts w:hint="eastAsia"/>
                <w:bCs/>
                <w:color w:val="000000"/>
                <w:szCs w:val="21"/>
              </w:rPr>
              <w:t>0</w:t>
            </w:r>
            <w:r>
              <w:rPr>
                <w:bCs/>
                <w:color w:val="000000"/>
                <w:szCs w:val="21"/>
              </w:rPr>
              <w:t>.01098</w:t>
            </w:r>
          </w:p>
        </w:tc>
        <w:tc>
          <w:tcPr>
            <w:tcW w:w="2073" w:type="dxa"/>
            <w:vMerge w:val="continue"/>
            <w:vAlign w:val="center"/>
          </w:tcPr>
          <w:p>
            <w:pPr>
              <w:widowControl/>
              <w:jc w:val="center"/>
              <w:rPr>
                <w:bCs/>
                <w:color w:val="000000"/>
                <w:szCs w:val="21"/>
              </w:rPr>
            </w:pPr>
          </w:p>
        </w:tc>
        <w:tc>
          <w:tcPr>
            <w:tcW w:w="2208" w:type="dxa"/>
            <w:vMerge w:val="continue"/>
            <w:vAlign w:val="center"/>
          </w:tcPr>
          <w:p>
            <w:pPr>
              <w:widowControl/>
              <w:jc w:val="center"/>
              <w:rPr>
                <w:bCs/>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9" w:type="dxa"/>
            <w:vMerge w:val="continue"/>
            <w:vAlign w:val="center"/>
          </w:tcPr>
          <w:p>
            <w:pPr>
              <w:widowControl/>
              <w:jc w:val="left"/>
              <w:rPr>
                <w:bCs/>
                <w:color w:val="000000"/>
                <w:szCs w:val="21"/>
              </w:rPr>
            </w:pPr>
          </w:p>
        </w:tc>
        <w:tc>
          <w:tcPr>
            <w:tcW w:w="1357" w:type="dxa"/>
            <w:vAlign w:val="center"/>
          </w:tcPr>
          <w:p>
            <w:pPr>
              <w:jc w:val="center"/>
              <w:rPr>
                <w:bCs/>
                <w:color w:val="000000"/>
                <w:szCs w:val="21"/>
              </w:rPr>
            </w:pPr>
            <w:r>
              <w:rPr>
                <w:bCs/>
                <w:color w:val="000000"/>
                <w:szCs w:val="21"/>
              </w:rPr>
              <w:t>南厂界</w:t>
            </w:r>
          </w:p>
        </w:tc>
        <w:tc>
          <w:tcPr>
            <w:tcW w:w="2073" w:type="dxa"/>
            <w:vAlign w:val="center"/>
          </w:tcPr>
          <w:p>
            <w:pPr>
              <w:jc w:val="center"/>
              <w:rPr>
                <w:bCs/>
                <w:color w:val="000000"/>
                <w:szCs w:val="21"/>
              </w:rPr>
            </w:pPr>
            <w:r>
              <w:rPr>
                <w:rFonts w:hint="eastAsia"/>
                <w:bCs/>
                <w:color w:val="000000"/>
                <w:szCs w:val="21"/>
              </w:rPr>
              <w:t>0</w:t>
            </w:r>
            <w:r>
              <w:rPr>
                <w:bCs/>
                <w:color w:val="000000"/>
                <w:szCs w:val="21"/>
              </w:rPr>
              <w:t>.00988</w:t>
            </w:r>
          </w:p>
        </w:tc>
        <w:tc>
          <w:tcPr>
            <w:tcW w:w="2073" w:type="dxa"/>
            <w:vMerge w:val="continue"/>
            <w:vAlign w:val="center"/>
          </w:tcPr>
          <w:p>
            <w:pPr>
              <w:widowControl/>
              <w:jc w:val="center"/>
              <w:rPr>
                <w:bCs/>
                <w:color w:val="000000"/>
                <w:szCs w:val="21"/>
              </w:rPr>
            </w:pPr>
          </w:p>
        </w:tc>
        <w:tc>
          <w:tcPr>
            <w:tcW w:w="2208" w:type="dxa"/>
            <w:vMerge w:val="continue"/>
            <w:vAlign w:val="center"/>
          </w:tcPr>
          <w:p>
            <w:pPr>
              <w:widowControl/>
              <w:jc w:val="center"/>
              <w:rPr>
                <w:bCs/>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999" w:type="dxa"/>
            <w:vMerge w:val="continue"/>
            <w:vAlign w:val="center"/>
          </w:tcPr>
          <w:p>
            <w:pPr>
              <w:widowControl/>
              <w:jc w:val="left"/>
              <w:rPr>
                <w:bCs/>
                <w:color w:val="000000"/>
                <w:szCs w:val="21"/>
              </w:rPr>
            </w:pPr>
          </w:p>
        </w:tc>
        <w:tc>
          <w:tcPr>
            <w:tcW w:w="1357" w:type="dxa"/>
            <w:vAlign w:val="center"/>
          </w:tcPr>
          <w:p>
            <w:pPr>
              <w:jc w:val="center"/>
              <w:rPr>
                <w:bCs/>
                <w:color w:val="000000"/>
                <w:szCs w:val="21"/>
              </w:rPr>
            </w:pPr>
            <w:r>
              <w:rPr>
                <w:bCs/>
                <w:color w:val="000000"/>
                <w:szCs w:val="21"/>
              </w:rPr>
              <w:t>北厂界</w:t>
            </w:r>
          </w:p>
        </w:tc>
        <w:tc>
          <w:tcPr>
            <w:tcW w:w="2073" w:type="dxa"/>
            <w:vAlign w:val="center"/>
          </w:tcPr>
          <w:p>
            <w:pPr>
              <w:jc w:val="center"/>
              <w:rPr>
                <w:bCs/>
                <w:color w:val="000000"/>
                <w:szCs w:val="21"/>
              </w:rPr>
            </w:pPr>
            <w:r>
              <w:rPr>
                <w:rFonts w:hint="eastAsia"/>
                <w:bCs/>
                <w:color w:val="000000"/>
                <w:szCs w:val="21"/>
              </w:rPr>
              <w:t>0</w:t>
            </w:r>
            <w:r>
              <w:rPr>
                <w:bCs/>
                <w:color w:val="000000"/>
                <w:szCs w:val="21"/>
              </w:rPr>
              <w:t>.012196</w:t>
            </w:r>
          </w:p>
        </w:tc>
        <w:tc>
          <w:tcPr>
            <w:tcW w:w="2073" w:type="dxa"/>
            <w:vMerge w:val="continue"/>
            <w:vAlign w:val="center"/>
          </w:tcPr>
          <w:p>
            <w:pPr>
              <w:widowControl/>
              <w:jc w:val="center"/>
              <w:rPr>
                <w:bCs/>
                <w:color w:val="000000"/>
                <w:szCs w:val="21"/>
              </w:rPr>
            </w:pPr>
          </w:p>
        </w:tc>
        <w:tc>
          <w:tcPr>
            <w:tcW w:w="2208" w:type="dxa"/>
            <w:vMerge w:val="continue"/>
            <w:vAlign w:val="center"/>
          </w:tcPr>
          <w:p>
            <w:pPr>
              <w:widowControl/>
              <w:jc w:val="center"/>
              <w:rPr>
                <w:bCs/>
                <w:color w:val="000000"/>
                <w:szCs w:val="21"/>
              </w:rPr>
            </w:pPr>
          </w:p>
        </w:tc>
      </w:tr>
    </w:tbl>
    <w:p>
      <w:pPr>
        <w:spacing w:line="52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经</w:t>
      </w:r>
      <w:r>
        <w:rPr>
          <w:rFonts w:hint="eastAsia"/>
          <w:color w:val="000000" w:themeColor="text1"/>
          <w:sz w:val="24"/>
          <w14:textFill>
            <w14:solidFill>
              <w14:schemeClr w14:val="tx1"/>
            </w14:solidFill>
          </w14:textFill>
        </w:rPr>
        <w:t>预测</w:t>
      </w: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硫化氢、氨</w:t>
      </w:r>
      <w:r>
        <w:rPr>
          <w:color w:val="000000" w:themeColor="text1"/>
          <w:sz w:val="24"/>
          <w14:textFill>
            <w14:solidFill>
              <w14:schemeClr w14:val="tx1"/>
            </w14:solidFill>
          </w14:textFill>
        </w:rPr>
        <w:t>废气排放在各个厂界的</w:t>
      </w:r>
      <w:r>
        <w:rPr>
          <w:rFonts w:hint="eastAsia"/>
          <w:color w:val="000000" w:themeColor="text1"/>
          <w:sz w:val="24"/>
          <w14:textFill>
            <w14:solidFill>
              <w14:schemeClr w14:val="tx1"/>
            </w14:solidFill>
          </w14:textFill>
        </w:rPr>
        <w:t>浓度贡献</w:t>
      </w:r>
      <w:r>
        <w:rPr>
          <w:color w:val="000000" w:themeColor="text1"/>
          <w:sz w:val="24"/>
          <w14:textFill>
            <w14:solidFill>
              <w14:schemeClr w14:val="tx1"/>
            </w14:solidFill>
          </w14:textFill>
        </w:rPr>
        <w:t>值均不超标，</w:t>
      </w:r>
      <w:r>
        <w:rPr>
          <w:rFonts w:hint="eastAsia"/>
          <w:color w:val="000000" w:themeColor="text1"/>
          <w:sz w:val="24"/>
          <w14:textFill>
            <w14:solidFill>
              <w14:schemeClr w14:val="tx1"/>
            </w14:solidFill>
          </w14:textFill>
        </w:rPr>
        <w:t>硫化氢、氨</w:t>
      </w:r>
      <w:r>
        <w:rPr>
          <w:color w:val="000000" w:themeColor="text1"/>
          <w:sz w:val="24"/>
          <w14:textFill>
            <w14:solidFill>
              <w14:schemeClr w14:val="tx1"/>
            </w14:solidFill>
          </w14:textFill>
        </w:rPr>
        <w:t>能够满足《恶臭污染物排放标准》（GB14554-93）</w:t>
      </w:r>
      <w:r>
        <w:rPr>
          <w:rFonts w:hint="eastAsia"/>
          <w:color w:val="000000" w:themeColor="text1"/>
          <w:sz w:val="24"/>
          <w14:textFill>
            <w14:solidFill>
              <w14:schemeClr w14:val="tx1"/>
            </w14:solidFill>
          </w14:textFill>
        </w:rPr>
        <w:t>中表1恶臭污染物厂界二级新建硫化氢0</w:t>
      </w:r>
      <w:r>
        <w:rPr>
          <w:color w:val="000000" w:themeColor="text1"/>
          <w:sz w:val="24"/>
          <w14:textFill>
            <w14:solidFill>
              <w14:schemeClr w14:val="tx1"/>
            </w14:solidFill>
          </w14:textFill>
        </w:rPr>
        <w:t>.06mg/m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、氨1</w:t>
      </w:r>
      <w:r>
        <w:rPr>
          <w:color w:val="000000" w:themeColor="text1"/>
          <w:sz w:val="24"/>
          <w14:textFill>
            <w14:solidFill>
              <w14:schemeClr w14:val="tx1"/>
            </w14:solidFill>
          </w14:textFill>
        </w:rPr>
        <w:t>.5mg/m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w:t>
      </w:r>
      <w:r>
        <w:rPr>
          <w:rFonts w:hint="eastAsia"/>
          <w:color w:val="000000" w:themeColor="text1"/>
          <w:sz w:val="24"/>
          <w14:textFill>
            <w14:solidFill>
              <w14:schemeClr w14:val="tx1"/>
            </w14:solidFill>
          </w14:textFill>
        </w:rPr>
        <w:t>限值要求</w:t>
      </w:r>
      <w:r>
        <w:rPr>
          <w:color w:val="000000" w:themeColor="text1"/>
          <w:sz w:val="24"/>
          <w14:textFill>
            <w14:solidFill>
              <w14:schemeClr w14:val="tx1"/>
            </w14:solidFill>
          </w14:textFill>
        </w:rPr>
        <w:t>。</w:t>
      </w:r>
    </w:p>
    <w:p>
      <w:pPr>
        <w:spacing w:line="52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综上，评价提出，企业应加强人员管理，积极落实各项环保措施，确保各项举措能够切实实施，使各项污染物能够稳定达标排放。</w:t>
      </w:r>
    </w:p>
    <w:p>
      <w:pPr>
        <w:spacing w:line="52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因此，评价认为，项目运营后，大气污染物对周围环境的影响程度是可以接受。</w:t>
      </w:r>
    </w:p>
    <w:p>
      <w:pPr>
        <w:pStyle w:val="460"/>
      </w:pPr>
      <w:bookmarkStart w:id="104" w:name="_Toc300681308"/>
      <w:bookmarkStart w:id="105" w:name="_Toc324839320"/>
      <w:bookmarkStart w:id="106" w:name="_Toc324839617"/>
      <w:bookmarkStart w:id="107" w:name="_Toc304300432"/>
      <w:bookmarkStart w:id="108" w:name="_Toc302145937"/>
      <w:r>
        <w:t>5.2.2.5评价范围</w:t>
      </w:r>
      <w:bookmarkEnd w:id="104"/>
      <w:bookmarkEnd w:id="105"/>
      <w:bookmarkEnd w:id="106"/>
      <w:bookmarkEnd w:id="107"/>
      <w:bookmarkEnd w:id="108"/>
    </w:p>
    <w:p>
      <w:pPr>
        <w:spacing w:line="52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以项目厂址为中心区域，</w:t>
      </w:r>
      <w:r>
        <w:rPr>
          <w:rFonts w:hint="eastAsia"/>
          <w:color w:val="000000" w:themeColor="text1"/>
          <w:sz w:val="24"/>
          <w14:textFill>
            <w14:solidFill>
              <w14:schemeClr w14:val="tx1"/>
            </w14:solidFill>
          </w14:textFill>
        </w:rPr>
        <w:t>边长为5km的区域，</w:t>
      </w:r>
      <w:r>
        <w:rPr>
          <w:color w:val="000000" w:themeColor="text1"/>
          <w:sz w:val="24"/>
          <w14:textFill>
            <w14:solidFill>
              <w14:schemeClr w14:val="tx1"/>
            </w14:solidFill>
          </w14:textFill>
        </w:rPr>
        <w:t>评价区内覆盖的敏感点为主要保护目标。</w:t>
      </w:r>
    </w:p>
    <w:p>
      <w:pPr>
        <w:jc w:val="center"/>
        <w:rPr>
          <w:b/>
          <w:color w:val="000000" w:themeColor="text1"/>
          <w:highlight w:val="yellow"/>
          <w14:textFill>
            <w14:solidFill>
              <w14:schemeClr w14:val="tx1"/>
            </w14:solidFill>
          </w14:textFill>
        </w:rPr>
      </w:pPr>
      <w:r>
        <w:rPr>
          <w:color w:val="000000" w:themeColor="text1"/>
          <w14:textFill>
            <w14:solidFill>
              <w14:schemeClr w14:val="tx1"/>
            </w14:solidFill>
          </w14:textFill>
        </w:rPr>
        <w:drawing>
          <wp:inline distT="0" distB="0" distL="0" distR="0">
            <wp:extent cx="4665980" cy="4030980"/>
            <wp:effectExtent l="0" t="0" r="1270" b="7620"/>
            <wp:docPr id="19" name="图片 19"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地图&#10;&#10;描述已自动生成"/>
                    <pic:cNvPicPr>
                      <a:picLocks noChangeAspect="1"/>
                    </pic:cNvPicPr>
                  </pic:nvPicPr>
                  <pic:blipFill>
                    <a:blip r:embed="rId80"/>
                    <a:stretch>
                      <a:fillRect/>
                    </a:stretch>
                  </pic:blipFill>
                  <pic:spPr>
                    <a:xfrm>
                      <a:off x="0" y="0"/>
                      <a:ext cx="4665980" cy="4038959"/>
                    </a:xfrm>
                    <a:prstGeom prst="rect">
                      <a:avLst/>
                    </a:prstGeom>
                  </pic:spPr>
                </pic:pic>
              </a:graphicData>
            </a:graphic>
          </wp:inline>
        </w:drawing>
      </w:r>
    </w:p>
    <w:p>
      <w:pPr>
        <w:pStyle w:val="182"/>
        <w:spacing w:before="0" w:beforeLines="0" w:after="0" w:afterLines="0" w:line="520" w:lineRule="exact"/>
        <w:rPr>
          <w:color w:val="000000" w:themeColor="text1"/>
          <w14:textFill>
            <w14:solidFill>
              <w14:schemeClr w14:val="tx1"/>
            </w14:solidFill>
          </w14:textFill>
        </w:rPr>
      </w:pPr>
      <w:r>
        <w:rPr>
          <w:color w:val="000000" w:themeColor="text1"/>
          <w14:textFill>
            <w14:solidFill>
              <w14:schemeClr w14:val="tx1"/>
            </w14:solidFill>
          </w14:textFill>
        </w:rPr>
        <w:t>图5.2-8项目环境空气评价范围</w:t>
      </w:r>
    </w:p>
    <w:p>
      <w:pPr>
        <w:pStyle w:val="460"/>
      </w:pPr>
      <w:r>
        <w:t>5.2.2.6污染物排放量核算</w:t>
      </w:r>
    </w:p>
    <w:p>
      <w:pPr>
        <w:spacing w:line="52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（1）有组织排放核算</w:t>
      </w:r>
    </w:p>
    <w:p>
      <w:pPr>
        <w:spacing w:line="52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本项目有组织大气污染物排放量核算见下表。</w:t>
      </w:r>
    </w:p>
    <w:p>
      <w:pPr>
        <w:pStyle w:val="25"/>
        <w:spacing w:line="360" w:lineRule="auto"/>
        <w:ind w:left="-34" w:firstLine="480"/>
        <w:rPr>
          <w:rFonts w:ascii="Times New Roman" w:hAnsi="Times New Roman" w:eastAsia="黑体"/>
          <w:color w:val="000000" w:themeColor="text1"/>
          <w:sz w:val="24"/>
          <w14:textFill>
            <w14:solidFill>
              <w14:schemeClr w14:val="tx1"/>
            </w14:solidFill>
          </w14:textFill>
        </w:rPr>
      </w:pPr>
      <w:r>
        <w:rPr>
          <w:rFonts w:ascii="Times New Roman" w:hAnsi="Times New Roman" w:eastAsia="黑体"/>
          <w:color w:val="000000" w:themeColor="text1"/>
          <w:sz w:val="24"/>
          <w14:textFill>
            <w14:solidFill>
              <w14:schemeClr w14:val="tx1"/>
            </w14:solidFill>
          </w14:textFill>
        </w:rPr>
        <w:t>表5.2-16        大气污染物有组织排放量核算表</w:t>
      </w:r>
    </w:p>
    <w:tbl>
      <w:tblPr>
        <w:tblStyle w:val="49"/>
        <w:tblW w:w="496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876"/>
        <w:gridCol w:w="1261"/>
        <w:gridCol w:w="1571"/>
        <w:gridCol w:w="1797"/>
        <w:gridCol w:w="1627"/>
        <w:gridCol w:w="159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02" w:type="pct"/>
            <w:tcBorders>
              <w:top w:val="single" w:color="auto" w:sz="8" w:space="0"/>
              <w:left w:val="single" w:color="auto" w:sz="8" w:space="0"/>
              <w:bottom w:val="single" w:color="auto" w:sz="6" w:space="0"/>
              <w:right w:val="single" w:color="auto" w:sz="6" w:space="0"/>
            </w:tcBorders>
            <w:vAlign w:val="center"/>
          </w:tcPr>
          <w:p>
            <w:pPr>
              <w:jc w:val="center"/>
              <w:rPr>
                <w:b/>
                <w:color w:val="000000" w:themeColor="text1"/>
                <w14:textFill>
                  <w14:solidFill>
                    <w14:schemeClr w14:val="tx1"/>
                  </w14:solidFill>
                </w14:textFill>
              </w:rPr>
            </w:pPr>
            <w:bookmarkStart w:id="109" w:name="_Hlk75157200"/>
            <w:r>
              <w:rPr>
                <w:b/>
                <w:color w:val="000000" w:themeColor="text1"/>
                <w14:textFill>
                  <w14:solidFill>
                    <w14:schemeClr w14:val="tx1"/>
                  </w14:solidFill>
                </w14:textFill>
              </w:rPr>
              <w:t>序号</w:t>
            </w:r>
          </w:p>
        </w:tc>
        <w:tc>
          <w:tcPr>
            <w:tcW w:w="722" w:type="pct"/>
            <w:tcBorders>
              <w:top w:val="single" w:color="auto" w:sz="8" w:space="0"/>
              <w:left w:val="single" w:color="auto" w:sz="6" w:space="0"/>
              <w:bottom w:val="single" w:color="auto" w:sz="6" w:space="0"/>
              <w:right w:val="single" w:color="auto" w:sz="6" w:space="0"/>
            </w:tcBorders>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排放口编号</w:t>
            </w:r>
          </w:p>
        </w:tc>
        <w:tc>
          <w:tcPr>
            <w:tcW w:w="900" w:type="pct"/>
            <w:tcBorders>
              <w:top w:val="single" w:color="auto" w:sz="8" w:space="0"/>
              <w:left w:val="single" w:color="auto" w:sz="6" w:space="0"/>
              <w:bottom w:val="single" w:color="auto" w:sz="6" w:space="0"/>
              <w:right w:val="single" w:color="auto" w:sz="6" w:space="0"/>
            </w:tcBorders>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污染物</w:t>
            </w:r>
          </w:p>
        </w:tc>
        <w:tc>
          <w:tcPr>
            <w:tcW w:w="1029" w:type="pct"/>
            <w:tcBorders>
              <w:top w:val="single" w:color="auto" w:sz="8" w:space="0"/>
              <w:left w:val="single" w:color="auto" w:sz="6" w:space="0"/>
              <w:bottom w:val="single" w:color="auto" w:sz="6" w:space="0"/>
              <w:right w:val="single" w:color="auto" w:sz="6" w:space="0"/>
            </w:tcBorders>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核算排放浓度/</w:t>
            </w:r>
          </w:p>
          <w:p>
            <w:pPr>
              <w:jc w:val="center"/>
              <w:rPr>
                <w:b/>
                <w:color w:val="000000" w:themeColor="text1"/>
                <w14:textFill>
                  <w14:solidFill>
                    <w14:schemeClr w14:val="tx1"/>
                  </w14:solidFill>
                </w14:textFill>
              </w:rPr>
            </w:pPr>
            <w:r>
              <w:rPr>
                <w:b/>
                <w:color w:val="000000" w:themeColor="text1"/>
                <w14:textFill>
                  <w14:solidFill>
                    <w14:schemeClr w14:val="tx1"/>
                  </w14:solidFill>
                </w14:textFill>
              </w:rPr>
              <w:t>（mg/m</w:t>
            </w:r>
            <w:r>
              <w:rPr>
                <w:b/>
                <w:color w:val="000000" w:themeColor="text1"/>
                <w:vertAlign w:val="superscript"/>
                <w14:textFill>
                  <w14:solidFill>
                    <w14:schemeClr w14:val="tx1"/>
                  </w14:solidFill>
                </w14:textFill>
              </w:rPr>
              <w:t>3</w:t>
            </w:r>
            <w:r>
              <w:rPr>
                <w:b/>
                <w:color w:val="000000" w:themeColor="text1"/>
                <w14:textFill>
                  <w14:solidFill>
                    <w14:schemeClr w14:val="tx1"/>
                  </w14:solidFill>
                </w14:textFill>
              </w:rPr>
              <w:t>）</w:t>
            </w:r>
          </w:p>
        </w:tc>
        <w:tc>
          <w:tcPr>
            <w:tcW w:w="932" w:type="pct"/>
            <w:tcBorders>
              <w:top w:val="single" w:color="auto" w:sz="8" w:space="0"/>
              <w:left w:val="single" w:color="auto" w:sz="6" w:space="0"/>
              <w:bottom w:val="single" w:color="auto" w:sz="6" w:space="0"/>
              <w:right w:val="single" w:color="auto" w:sz="6" w:space="0"/>
            </w:tcBorders>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核算排放速率/</w:t>
            </w:r>
          </w:p>
          <w:p>
            <w:pPr>
              <w:jc w:val="center"/>
              <w:rPr>
                <w:b/>
                <w:color w:val="000000" w:themeColor="text1"/>
                <w14:textFill>
                  <w14:solidFill>
                    <w14:schemeClr w14:val="tx1"/>
                  </w14:solidFill>
                </w14:textFill>
              </w:rPr>
            </w:pPr>
            <w:r>
              <w:rPr>
                <w:b/>
                <w:color w:val="000000" w:themeColor="text1"/>
                <w14:textFill>
                  <w14:solidFill>
                    <w14:schemeClr w14:val="tx1"/>
                  </w14:solidFill>
                </w14:textFill>
              </w:rPr>
              <w:t>（kg/h）</w:t>
            </w:r>
          </w:p>
        </w:tc>
        <w:tc>
          <w:tcPr>
            <w:tcW w:w="915" w:type="pct"/>
            <w:tcBorders>
              <w:top w:val="single" w:color="auto" w:sz="8" w:space="0"/>
              <w:left w:val="single" w:color="auto" w:sz="6" w:space="0"/>
              <w:bottom w:val="single" w:color="auto" w:sz="6" w:space="0"/>
              <w:right w:val="single" w:color="auto" w:sz="8" w:space="0"/>
            </w:tcBorders>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核算年排放量/</w:t>
            </w:r>
          </w:p>
          <w:p>
            <w:pPr>
              <w:jc w:val="center"/>
              <w:rPr>
                <w:b/>
                <w:color w:val="000000" w:themeColor="text1"/>
                <w14:textFill>
                  <w14:solidFill>
                    <w14:schemeClr w14:val="tx1"/>
                  </w14:solidFill>
                </w14:textFill>
              </w:rPr>
            </w:pPr>
            <w:r>
              <w:rPr>
                <w:b/>
                <w:color w:val="000000" w:themeColor="text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02" w:type="pct"/>
            <w:vMerge w:val="restart"/>
            <w:tcBorders>
              <w:top w:val="single" w:color="auto" w:sz="6" w:space="0"/>
              <w:left w:val="single" w:color="auto" w:sz="8"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22" w:type="pct"/>
            <w:vMerge w:val="restart"/>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P</w:t>
            </w:r>
          </w:p>
        </w:tc>
        <w:tc>
          <w:tcPr>
            <w:tcW w:w="900"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029"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.97</w:t>
            </w:r>
          </w:p>
        </w:tc>
        <w:tc>
          <w:tcPr>
            <w:tcW w:w="932"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.0145</w:t>
            </w:r>
          </w:p>
        </w:tc>
        <w:tc>
          <w:tcPr>
            <w:tcW w:w="915" w:type="pct"/>
            <w:tcBorders>
              <w:top w:val="single" w:color="auto" w:sz="6" w:space="0"/>
              <w:left w:val="single" w:color="auto" w:sz="6" w:space="0"/>
              <w:bottom w:val="single" w:color="auto" w:sz="6" w:space="0"/>
              <w:right w:val="single" w:color="auto" w:sz="8" w:space="0"/>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.1271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0" w:type="auto"/>
            <w:vMerge w:val="continue"/>
            <w:tcBorders>
              <w:top w:val="single" w:color="auto" w:sz="6" w:space="0"/>
              <w:left w:val="single" w:color="auto" w:sz="8" w:space="0"/>
              <w:bottom w:val="single" w:color="auto" w:sz="6" w:space="0"/>
              <w:right w:val="single" w:color="auto" w:sz="6" w:space="0"/>
            </w:tcBorders>
            <w:vAlign w:val="center"/>
          </w:tcPr>
          <w:p>
            <w:pPr>
              <w:widowControl/>
              <w:jc w:val="left"/>
              <w:rPr>
                <w:color w:val="000000" w:themeColor="text1"/>
                <w:szCs w:val="21"/>
                <w14:textFill>
                  <w14:solidFill>
                    <w14:schemeClr w14:val="tx1"/>
                  </w14:solidFill>
                </w14:textFill>
              </w:rPr>
            </w:pPr>
          </w:p>
        </w:tc>
        <w:tc>
          <w:tcPr>
            <w:tcW w:w="722"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color w:val="000000" w:themeColor="text1"/>
                <w:szCs w:val="21"/>
                <w14:textFill>
                  <w14:solidFill>
                    <w14:schemeClr w14:val="tx1"/>
                  </w14:solidFill>
                </w14:textFill>
              </w:rPr>
            </w:pPr>
          </w:p>
        </w:tc>
        <w:tc>
          <w:tcPr>
            <w:tcW w:w="900"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硫化氢</w:t>
            </w:r>
          </w:p>
        </w:tc>
        <w:tc>
          <w:tcPr>
            <w:tcW w:w="1029"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.04</w:t>
            </w:r>
          </w:p>
        </w:tc>
        <w:tc>
          <w:tcPr>
            <w:tcW w:w="932"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.0006</w:t>
            </w:r>
          </w:p>
        </w:tc>
        <w:tc>
          <w:tcPr>
            <w:tcW w:w="915" w:type="pct"/>
            <w:tcBorders>
              <w:top w:val="single" w:color="auto" w:sz="6" w:space="0"/>
              <w:left w:val="single" w:color="auto" w:sz="6" w:space="0"/>
              <w:bottom w:val="single" w:color="auto" w:sz="6" w:space="0"/>
              <w:right w:val="single" w:color="auto" w:sz="8" w:space="0"/>
            </w:tcBorders>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.0049</w:t>
            </w:r>
          </w:p>
        </w:tc>
      </w:tr>
      <w:bookmarkEnd w:id="109"/>
    </w:tbl>
    <w:p>
      <w:pPr>
        <w:spacing w:line="52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（2）无组织排放核算</w:t>
      </w:r>
    </w:p>
    <w:p>
      <w:pPr>
        <w:spacing w:line="52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本项目无组织大气污染物排放量核算见下表。</w:t>
      </w:r>
    </w:p>
    <w:p>
      <w:pPr>
        <w:spacing w:before="156" w:beforeLines="50"/>
        <w:ind w:firstLine="482"/>
        <w:rPr>
          <w:rFonts w:eastAsia="黑体"/>
          <w:color w:val="000000" w:themeColor="text1"/>
          <w:sz w:val="24"/>
          <w:szCs w:val="21"/>
          <w:lang w:val="zh-CN"/>
          <w14:textFill>
            <w14:solidFill>
              <w14:schemeClr w14:val="tx1"/>
            </w14:solidFill>
          </w14:textFill>
        </w:rPr>
      </w:pPr>
    </w:p>
    <w:p>
      <w:pPr>
        <w:spacing w:before="156" w:beforeLines="50"/>
        <w:ind w:firstLine="482"/>
        <w:rPr>
          <w:rFonts w:eastAsia="黑体"/>
          <w:color w:val="000000" w:themeColor="text1"/>
          <w:sz w:val="24"/>
          <w:szCs w:val="21"/>
          <w:lang w:val="zh-CN"/>
          <w14:textFill>
            <w14:solidFill>
              <w14:schemeClr w14:val="tx1"/>
            </w14:solidFill>
          </w14:textFill>
        </w:rPr>
      </w:pPr>
    </w:p>
    <w:p>
      <w:pPr>
        <w:spacing w:before="156" w:beforeLines="50"/>
        <w:ind w:firstLine="482"/>
        <w:rPr>
          <w:rFonts w:eastAsia="黑体"/>
          <w:color w:val="000000" w:themeColor="text1"/>
          <w:sz w:val="24"/>
          <w:szCs w:val="21"/>
          <w:lang w:val="zh-CN"/>
          <w14:textFill>
            <w14:solidFill>
              <w14:schemeClr w14:val="tx1"/>
            </w14:solidFill>
          </w14:textFill>
        </w:rPr>
      </w:pPr>
    </w:p>
    <w:p>
      <w:pPr>
        <w:spacing w:before="156" w:beforeLines="50"/>
        <w:ind w:firstLine="482"/>
        <w:rPr>
          <w:rFonts w:eastAsia="黑体"/>
          <w:color w:val="000000" w:themeColor="text1"/>
          <w:sz w:val="24"/>
          <w:szCs w:val="21"/>
          <w:lang w:val="zh-CN"/>
          <w14:textFill>
            <w14:solidFill>
              <w14:schemeClr w14:val="tx1"/>
            </w14:solidFill>
          </w14:textFill>
        </w:rPr>
      </w:pPr>
      <w:r>
        <w:rPr>
          <w:rFonts w:eastAsia="黑体"/>
          <w:color w:val="000000" w:themeColor="text1"/>
          <w:sz w:val="24"/>
          <w:szCs w:val="21"/>
          <w:lang w:val="zh-CN"/>
          <w14:textFill>
            <w14:solidFill>
              <w14:schemeClr w14:val="tx1"/>
            </w14:solidFill>
          </w14:textFill>
        </w:rPr>
        <w:t>表5.2-17          大气污染物无组织排放量核算表</w:t>
      </w:r>
    </w:p>
    <w:tbl>
      <w:tblPr>
        <w:tblStyle w:val="49"/>
        <w:tblW w:w="4996" w:type="pct"/>
        <w:tblInd w:w="2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28" w:type="dxa"/>
          <w:left w:w="28" w:type="dxa"/>
          <w:bottom w:w="28" w:type="dxa"/>
          <w:right w:w="28" w:type="dxa"/>
        </w:tblCellMar>
      </w:tblPr>
      <w:tblGrid>
        <w:gridCol w:w="2114"/>
        <w:gridCol w:w="2144"/>
        <w:gridCol w:w="2144"/>
        <w:gridCol w:w="23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454" w:hRule="atLeast"/>
        </w:trPr>
        <w:tc>
          <w:tcPr>
            <w:tcW w:w="1204" w:type="pct"/>
            <w:vMerge w:val="restart"/>
            <w:tcBorders>
              <w:top w:val="single" w:color="auto" w:sz="6" w:space="0"/>
              <w:left w:val="single" w:color="auto" w:sz="6" w:space="0"/>
              <w:bottom w:val="single" w:color="auto" w:sz="6" w:space="0"/>
              <w:right w:val="single" w:color="auto" w:sz="6" w:space="0"/>
            </w:tcBorders>
            <w:vAlign w:val="center"/>
          </w:tcPr>
          <w:p>
            <w:pPr>
              <w:spacing w:line="24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污染源</w:t>
            </w:r>
          </w:p>
        </w:tc>
        <w:tc>
          <w:tcPr>
            <w:tcW w:w="1221" w:type="pct"/>
            <w:vMerge w:val="restart"/>
            <w:tcBorders>
              <w:top w:val="single" w:color="auto" w:sz="6" w:space="0"/>
              <w:left w:val="single" w:color="auto" w:sz="6" w:space="0"/>
              <w:bottom w:val="single" w:color="auto" w:sz="6" w:space="0"/>
              <w:right w:val="single" w:color="auto" w:sz="6" w:space="0"/>
            </w:tcBorders>
            <w:vAlign w:val="center"/>
          </w:tcPr>
          <w:p>
            <w:pPr>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废气组成</w:t>
            </w:r>
          </w:p>
        </w:tc>
        <w:tc>
          <w:tcPr>
            <w:tcW w:w="2575" w:type="pct"/>
            <w:gridSpan w:val="2"/>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b/>
                <w:bCs/>
                <w:color w:val="000000" w:themeColor="text1"/>
                <w:szCs w:val="21"/>
                <w:highlight w:val="yellow"/>
                <w14:textFill>
                  <w14:solidFill>
                    <w14:schemeClr w14:val="tx1"/>
                  </w14:solidFill>
                </w14:textFill>
              </w:rPr>
            </w:pPr>
            <w:r>
              <w:rPr>
                <w:b/>
                <w:bCs/>
                <w:color w:val="000000" w:themeColor="text1"/>
                <w:szCs w:val="21"/>
                <w14:textFill>
                  <w14:solidFill>
                    <w14:schemeClr w14:val="tx1"/>
                  </w14:solidFill>
                </w14:textFill>
              </w:rPr>
              <w:t>排放量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454" w:hRule="atLeast"/>
        </w:trPr>
        <w:tc>
          <w:tcPr>
            <w:tcW w:w="1204"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b/>
                <w:bCs/>
                <w:color w:val="000000" w:themeColor="text1"/>
                <w:szCs w:val="21"/>
                <w14:textFill>
                  <w14:solidFill>
                    <w14:schemeClr w14:val="tx1"/>
                  </w14:solidFill>
                </w14:textFill>
              </w:rPr>
            </w:pPr>
          </w:p>
        </w:tc>
        <w:tc>
          <w:tcPr>
            <w:tcW w:w="1221" w:type="pct"/>
            <w:vMerge w:val="continue"/>
            <w:tcBorders>
              <w:top w:val="single" w:color="auto" w:sz="6" w:space="0"/>
              <w:left w:val="single" w:color="auto" w:sz="6" w:space="0"/>
              <w:bottom w:val="single" w:color="auto" w:sz="6" w:space="0"/>
              <w:right w:val="single" w:color="auto" w:sz="6" w:space="0"/>
            </w:tcBorders>
            <w:vAlign w:val="center"/>
          </w:tcPr>
          <w:p>
            <w:pPr>
              <w:widowControl/>
              <w:jc w:val="left"/>
              <w:rPr>
                <w:b/>
                <w:bCs/>
                <w:color w:val="000000" w:themeColor="text1"/>
                <w:szCs w:val="21"/>
                <w14:textFill>
                  <w14:solidFill>
                    <w14:schemeClr w14:val="tx1"/>
                  </w14:solidFill>
                </w14:textFill>
              </w:rPr>
            </w:pPr>
          </w:p>
        </w:tc>
        <w:tc>
          <w:tcPr>
            <w:tcW w:w="1221" w:type="pct"/>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kg/h</w:t>
            </w:r>
          </w:p>
        </w:tc>
        <w:tc>
          <w:tcPr>
            <w:tcW w:w="1354" w:type="pct"/>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454" w:hRule="atLeast"/>
        </w:trPr>
        <w:tc>
          <w:tcPr>
            <w:tcW w:w="1204" w:type="pct"/>
            <w:vMerge w:val="restart"/>
            <w:tcBorders>
              <w:top w:val="single" w:color="auto" w:sz="6" w:space="0"/>
              <w:left w:val="single" w:color="auto" w:sz="6" w:space="0"/>
              <w:right w:val="single" w:color="auto" w:sz="6"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面源</w:t>
            </w:r>
          </w:p>
        </w:tc>
        <w:tc>
          <w:tcPr>
            <w:tcW w:w="1221"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221"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.0061</w:t>
            </w:r>
          </w:p>
        </w:tc>
        <w:tc>
          <w:tcPr>
            <w:tcW w:w="1354"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28" w:type="dxa"/>
            <w:bottom w:w="28" w:type="dxa"/>
            <w:right w:w="28" w:type="dxa"/>
          </w:tblCellMar>
        </w:tblPrEx>
        <w:trPr>
          <w:trHeight w:val="454" w:hRule="atLeast"/>
        </w:trPr>
        <w:tc>
          <w:tcPr>
            <w:tcW w:w="1204" w:type="pct"/>
            <w:vMerge w:val="continue"/>
            <w:tcBorders>
              <w:top w:val="single" w:color="auto" w:sz="6" w:space="0"/>
              <w:left w:val="single" w:color="auto" w:sz="6" w:space="0"/>
              <w:right w:val="single" w:color="auto" w:sz="6" w:space="0"/>
            </w:tcBorders>
            <w:vAlign w:val="center"/>
          </w:tcPr>
          <w:p>
            <w:pPr>
              <w:jc w:val="center"/>
              <w:rPr>
                <w:color w:val="000000" w:themeColor="text1"/>
                <w14:textFill>
                  <w14:solidFill>
                    <w14:schemeClr w14:val="tx1"/>
                  </w14:solidFill>
                </w14:textFill>
              </w:rPr>
            </w:pPr>
          </w:p>
        </w:tc>
        <w:tc>
          <w:tcPr>
            <w:tcW w:w="1221"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1221"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.0002</w:t>
            </w:r>
          </w:p>
        </w:tc>
        <w:tc>
          <w:tcPr>
            <w:tcW w:w="1354" w:type="pct"/>
            <w:tcBorders>
              <w:top w:val="single" w:color="auto" w:sz="6" w:space="0"/>
              <w:left w:val="single" w:color="auto" w:sz="6" w:space="0"/>
              <w:bottom w:val="single" w:color="auto" w:sz="6" w:space="0"/>
              <w:right w:val="single" w:color="auto" w:sz="6" w:space="0"/>
            </w:tcBorders>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.002</w:t>
            </w:r>
          </w:p>
        </w:tc>
      </w:tr>
    </w:tbl>
    <w:p>
      <w:pPr>
        <w:spacing w:line="52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（3）大气污染物全年排放量核算</w:t>
      </w:r>
    </w:p>
    <w:p>
      <w:pPr>
        <w:spacing w:line="52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本项目大气污染物年排放量核算见下表。</w:t>
      </w:r>
    </w:p>
    <w:p>
      <w:pPr>
        <w:spacing w:before="156" w:beforeLines="50"/>
        <w:ind w:firstLine="482"/>
        <w:rPr>
          <w:rFonts w:eastAsia="黑体"/>
          <w:color w:val="000000" w:themeColor="text1"/>
          <w:sz w:val="24"/>
          <w:szCs w:val="21"/>
          <w:lang w:val="zh-CN"/>
          <w14:textFill>
            <w14:solidFill>
              <w14:schemeClr w14:val="tx1"/>
            </w14:solidFill>
          </w14:textFill>
        </w:rPr>
      </w:pPr>
      <w:r>
        <w:rPr>
          <w:rFonts w:eastAsia="黑体"/>
          <w:color w:val="000000" w:themeColor="text1"/>
          <w:sz w:val="24"/>
          <w:szCs w:val="21"/>
          <w:lang w:val="zh-CN"/>
          <w14:textFill>
            <w14:solidFill>
              <w14:schemeClr w14:val="tx1"/>
            </w14:solidFill>
          </w14:textFill>
        </w:rPr>
        <w:t>表5.2-18         大气污染物年排放量核算表</w:t>
      </w:r>
    </w:p>
    <w:tbl>
      <w:tblPr>
        <w:tblStyle w:val="49"/>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28" w:type="dxa"/>
          <w:bottom w:w="0" w:type="dxa"/>
          <w:right w:w="28" w:type="dxa"/>
        </w:tblCellMar>
      </w:tblPr>
      <w:tblGrid>
        <w:gridCol w:w="1942"/>
        <w:gridCol w:w="3263"/>
        <w:gridCol w:w="3581"/>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105" w:type="pct"/>
            <w:tcBorders>
              <w:top w:val="single" w:color="000000" w:sz="8" w:space="0"/>
              <w:left w:val="single" w:color="000000" w:sz="8" w:space="0"/>
              <w:bottom w:val="single" w:color="000000" w:sz="6" w:space="0"/>
              <w:right w:val="single" w:color="000000" w:sz="6" w:space="0"/>
            </w:tcBorders>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857" w:type="pct"/>
            <w:tcBorders>
              <w:top w:val="single" w:color="000000" w:sz="8" w:space="0"/>
              <w:left w:val="single" w:color="000000" w:sz="6" w:space="0"/>
              <w:bottom w:val="single" w:color="000000" w:sz="6" w:space="0"/>
              <w:right w:val="single" w:color="000000" w:sz="6" w:space="0"/>
            </w:tcBorders>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污染物</w:t>
            </w:r>
          </w:p>
        </w:tc>
        <w:tc>
          <w:tcPr>
            <w:tcW w:w="2038" w:type="pct"/>
            <w:tcBorders>
              <w:top w:val="single" w:color="000000" w:sz="8" w:space="0"/>
              <w:left w:val="single" w:color="000000" w:sz="6" w:space="0"/>
              <w:bottom w:val="single" w:color="000000" w:sz="6" w:space="0"/>
              <w:right w:val="single" w:color="000000" w:sz="8" w:space="0"/>
            </w:tcBorders>
            <w:vAlign w:val="center"/>
          </w:tcPr>
          <w:p>
            <w:pPr>
              <w:jc w:val="center"/>
              <w:rPr>
                <w:b/>
                <w:color w:val="000000" w:themeColor="text1"/>
                <w:highlight w:val="yellow"/>
                <w14:textFill>
                  <w14:solidFill>
                    <w14:schemeClr w14:val="tx1"/>
                  </w14:solidFill>
                </w14:textFill>
              </w:rPr>
            </w:pPr>
            <w:r>
              <w:rPr>
                <w:b/>
                <w:color w:val="000000" w:themeColor="text1"/>
                <w14:textFill>
                  <w14:solidFill>
                    <w14:schemeClr w14:val="tx1"/>
                  </w14:solidFill>
                </w14:textFill>
              </w:rPr>
              <w:t>年排放量（t/a）</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105" w:type="pct"/>
            <w:tcBorders>
              <w:top w:val="single" w:color="000000" w:sz="6" w:space="0"/>
              <w:left w:val="single" w:color="000000" w:sz="8" w:space="0"/>
              <w:bottom w:val="single" w:color="000000" w:sz="6" w:space="0"/>
              <w:right w:val="single" w:color="000000"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857" w:type="pct"/>
            <w:tcBorders>
              <w:top w:val="single" w:color="000000" w:sz="6" w:space="0"/>
              <w:left w:val="single" w:color="000000" w:sz="6" w:space="0"/>
              <w:bottom w:val="single" w:color="000000" w:sz="6" w:space="0"/>
              <w:right w:val="single" w:color="000000" w:sz="6"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w:t>
            </w:r>
          </w:p>
        </w:tc>
        <w:tc>
          <w:tcPr>
            <w:tcW w:w="2038" w:type="pct"/>
            <w:tcBorders>
              <w:top w:val="single" w:color="000000" w:sz="6" w:space="0"/>
              <w:left w:val="single" w:color="000000" w:sz="6" w:space="0"/>
              <w:bottom w:val="single" w:color="000000" w:sz="6" w:space="0"/>
              <w:right w:val="single" w:color="000000" w:sz="8" w:space="0"/>
            </w:tcBorders>
            <w:vAlign w:val="center"/>
          </w:tcPr>
          <w:p>
            <w:pPr>
              <w:jc w:val="center"/>
              <w:rPr>
                <w:color w:val="000000" w:themeColor="text1"/>
                <w:sz w:val="22"/>
                <w14:textFill>
                  <w14:solidFill>
                    <w14:schemeClr w14:val="tx1"/>
                  </w14:solidFill>
                </w14:textFill>
              </w:rPr>
            </w:pPr>
            <w:r>
              <w:rPr>
                <w:color w:val="000000" w:themeColor="text1"/>
                <w:sz w:val="22"/>
                <w14:textFill>
                  <w14:solidFill>
                    <w14:schemeClr w14:val="tx1"/>
                  </w14:solidFill>
                </w14:textFill>
              </w:rPr>
              <w:t>0.1806</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105" w:type="pct"/>
            <w:tcBorders>
              <w:top w:val="single" w:color="000000" w:sz="6" w:space="0"/>
              <w:left w:val="single" w:color="000000" w:sz="8" w:space="0"/>
              <w:bottom w:val="single" w:color="000000" w:sz="6" w:space="0"/>
              <w:right w:val="single" w:color="000000" w:sz="6"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857" w:type="pct"/>
            <w:tcBorders>
              <w:top w:val="single" w:color="000000" w:sz="6" w:space="0"/>
              <w:left w:val="single" w:color="000000" w:sz="6" w:space="0"/>
              <w:bottom w:val="single" w:color="000000" w:sz="6" w:space="0"/>
              <w:right w:val="single" w:color="000000" w:sz="6"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硫化氢</w:t>
            </w:r>
          </w:p>
        </w:tc>
        <w:tc>
          <w:tcPr>
            <w:tcW w:w="2038" w:type="pct"/>
            <w:tcBorders>
              <w:top w:val="single" w:color="000000" w:sz="6" w:space="0"/>
              <w:left w:val="single" w:color="000000" w:sz="6" w:space="0"/>
              <w:bottom w:val="single" w:color="000000" w:sz="6" w:space="0"/>
              <w:right w:val="single" w:color="000000" w:sz="8" w:space="0"/>
            </w:tcBorders>
            <w:vAlign w:val="center"/>
          </w:tcPr>
          <w:p>
            <w:pPr>
              <w:jc w:val="center"/>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0.00</w:t>
            </w:r>
            <w:r>
              <w:rPr>
                <w:color w:val="000000" w:themeColor="text1"/>
                <w:sz w:val="22"/>
                <w14:textFill>
                  <w14:solidFill>
                    <w14:schemeClr w14:val="tx1"/>
                  </w14:solidFill>
                </w14:textFill>
              </w:rPr>
              <w:t>69</w:t>
            </w:r>
          </w:p>
        </w:tc>
      </w:tr>
    </w:tbl>
    <w:p>
      <w:pPr>
        <w:spacing w:line="52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（4）非正常排放量核算</w:t>
      </w:r>
    </w:p>
    <w:p>
      <w:pPr>
        <w:spacing w:line="52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本项目非正常工况下大气污染物非正常排放量核算见下表。</w:t>
      </w:r>
    </w:p>
    <w:p>
      <w:pPr>
        <w:spacing w:line="360" w:lineRule="exact"/>
        <w:ind w:firstLine="480" w:firstLineChars="200"/>
        <w:rPr>
          <w:rFonts w:eastAsia="黑体"/>
          <w:color w:val="000000" w:themeColor="text1"/>
          <w:sz w:val="24"/>
          <w:szCs w:val="21"/>
          <w:lang w:val="zh-CN"/>
          <w14:textFill>
            <w14:solidFill>
              <w14:schemeClr w14:val="tx1"/>
            </w14:solidFill>
          </w14:textFill>
        </w:rPr>
      </w:pPr>
      <w:r>
        <w:rPr>
          <w:rFonts w:eastAsia="黑体"/>
          <w:color w:val="000000" w:themeColor="text1"/>
          <w:sz w:val="24"/>
          <w:szCs w:val="21"/>
          <w:lang w:val="zh-CN"/>
          <w14:textFill>
            <w14:solidFill>
              <w14:schemeClr w14:val="tx1"/>
            </w14:solidFill>
          </w14:textFill>
        </w:rPr>
        <w:t>表5.2-19     非正常工况时污染物排放情况一览表</w:t>
      </w:r>
    </w:p>
    <w:tbl>
      <w:tblPr>
        <w:tblStyle w:val="49"/>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0" w:type="dxa"/>
          <w:bottom w:w="0" w:type="dxa"/>
          <w:right w:w="0" w:type="dxa"/>
        </w:tblCellMar>
      </w:tblPr>
      <w:tblGrid>
        <w:gridCol w:w="613"/>
        <w:gridCol w:w="942"/>
        <w:gridCol w:w="571"/>
        <w:gridCol w:w="996"/>
        <w:gridCol w:w="1140"/>
        <w:gridCol w:w="996"/>
        <w:gridCol w:w="856"/>
        <w:gridCol w:w="569"/>
        <w:gridCol w:w="572"/>
        <w:gridCol w:w="149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51" w:type="pct"/>
            <w:tcBorders>
              <w:top w:val="single" w:color="000000" w:sz="8" w:space="0"/>
              <w:left w:val="single" w:color="000000" w:sz="8" w:space="0"/>
              <w:bottom w:val="single" w:color="000000" w:sz="6"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非正常排放源</w:t>
            </w:r>
          </w:p>
        </w:tc>
        <w:tc>
          <w:tcPr>
            <w:tcW w:w="538" w:type="pct"/>
            <w:tcBorders>
              <w:top w:val="single" w:color="000000" w:sz="8" w:space="0"/>
              <w:left w:val="single" w:color="auto" w:sz="4" w:space="0"/>
              <w:bottom w:val="single" w:color="000000" w:sz="6" w:space="0"/>
              <w:right w:val="single" w:color="000000"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非正常排放原因</w:t>
            </w:r>
          </w:p>
        </w:tc>
        <w:tc>
          <w:tcPr>
            <w:tcW w:w="326" w:type="pct"/>
            <w:tcBorders>
              <w:top w:val="single" w:color="000000" w:sz="8" w:space="0"/>
              <w:left w:val="single" w:color="000000" w:sz="6" w:space="0"/>
              <w:bottom w:val="single" w:color="000000" w:sz="6" w:space="0"/>
              <w:right w:val="single" w:color="000000"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569" w:type="pct"/>
            <w:tcBorders>
              <w:top w:val="single" w:color="000000" w:sz="8" w:space="0"/>
              <w:left w:val="single" w:color="000000" w:sz="6" w:space="0"/>
              <w:bottom w:val="single" w:color="000000" w:sz="6" w:space="0"/>
              <w:right w:val="single" w:color="000000"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排放浓度(mg/m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651" w:type="pct"/>
            <w:tcBorders>
              <w:top w:val="single" w:color="000000" w:sz="8" w:space="0"/>
              <w:left w:val="single" w:color="000000" w:sz="6" w:space="0"/>
              <w:bottom w:val="single" w:color="000000" w:sz="6" w:space="0"/>
              <w:right w:val="single" w:color="000000"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非正常排放速率(kg/h)</w:t>
            </w:r>
          </w:p>
        </w:tc>
        <w:tc>
          <w:tcPr>
            <w:tcW w:w="569" w:type="pct"/>
            <w:tcBorders>
              <w:top w:val="single" w:color="000000" w:sz="8" w:space="0"/>
              <w:left w:val="single" w:color="auto" w:sz="4" w:space="0"/>
              <w:bottom w:val="single" w:color="000000" w:sz="6"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单次持续时间(h)</w:t>
            </w:r>
          </w:p>
        </w:tc>
        <w:tc>
          <w:tcPr>
            <w:tcW w:w="489" w:type="pct"/>
            <w:tcBorders>
              <w:top w:val="single" w:color="000000" w:sz="8" w:space="0"/>
              <w:left w:val="single" w:color="auto" w:sz="4" w:space="0"/>
              <w:bottom w:val="single" w:color="000000" w:sz="6"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标准值（kg/h）</w:t>
            </w:r>
          </w:p>
        </w:tc>
        <w:tc>
          <w:tcPr>
            <w:tcW w:w="325" w:type="pct"/>
            <w:tcBorders>
              <w:top w:val="single" w:color="000000" w:sz="8" w:space="0"/>
              <w:left w:val="single" w:color="auto" w:sz="4" w:space="0"/>
              <w:bottom w:val="single" w:color="000000" w:sz="6" w:space="0"/>
              <w:right w:val="single" w:color="auto" w:sz="4" w:space="0"/>
            </w:tcBorders>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达标情况</w:t>
            </w:r>
          </w:p>
        </w:tc>
        <w:tc>
          <w:tcPr>
            <w:tcW w:w="327" w:type="pct"/>
            <w:tcBorders>
              <w:top w:val="single" w:color="000000" w:sz="8" w:space="0"/>
              <w:left w:val="single" w:color="auto" w:sz="4" w:space="0"/>
              <w:bottom w:val="single" w:color="000000" w:sz="6"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发生</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频次</w:t>
            </w:r>
          </w:p>
        </w:tc>
        <w:tc>
          <w:tcPr>
            <w:tcW w:w="854" w:type="pct"/>
            <w:tcBorders>
              <w:top w:val="single" w:color="000000" w:sz="8" w:space="0"/>
              <w:left w:val="single" w:color="auto" w:sz="4" w:space="0"/>
              <w:bottom w:val="single" w:color="000000" w:sz="6" w:space="0"/>
              <w:right w:val="single" w:color="000000" w:sz="8"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应对措施</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51" w:type="pct"/>
            <w:vMerge w:val="restart"/>
            <w:tcBorders>
              <w:top w:val="single" w:color="000000" w:sz="6" w:space="0"/>
              <w:left w:val="single" w:color="000000" w:sz="8" w:space="0"/>
              <w:right w:val="single" w:color="auto" w:sz="4" w:space="0"/>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恶臭气体排气筒P</w:t>
            </w:r>
          </w:p>
        </w:tc>
        <w:tc>
          <w:tcPr>
            <w:tcW w:w="538" w:type="pct"/>
            <w:vMerge w:val="restart"/>
            <w:tcBorders>
              <w:top w:val="single" w:color="000000" w:sz="6" w:space="0"/>
              <w:left w:val="single" w:color="auto" w:sz="4" w:space="0"/>
              <w:right w:val="single" w:color="000000" w:sz="6" w:space="0"/>
            </w:tcBorders>
            <w:vAlign w:val="center"/>
          </w:tcPr>
          <w:p>
            <w:pPr>
              <w:widowControl/>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恶臭气体治理装置故障</w:t>
            </w:r>
          </w:p>
        </w:tc>
        <w:tc>
          <w:tcPr>
            <w:tcW w:w="326" w:type="pct"/>
            <w:tcBorders>
              <w:top w:val="single" w:color="000000" w:sz="6" w:space="0"/>
              <w:left w:val="single" w:color="000000" w:sz="6" w:space="0"/>
              <w:bottom w:val="single" w:color="000000" w:sz="6" w:space="0"/>
              <w:right w:val="single" w:color="000000" w:sz="6" w:space="0"/>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w:t>
            </w:r>
          </w:p>
        </w:tc>
        <w:tc>
          <w:tcPr>
            <w:tcW w:w="569" w:type="pct"/>
            <w:tcBorders>
              <w:top w:val="single" w:color="000000" w:sz="6" w:space="0"/>
              <w:left w:val="single" w:color="000000" w:sz="6" w:space="0"/>
              <w:bottom w:val="single" w:color="000000" w:sz="6" w:space="0"/>
              <w:right w:val="single" w:color="000000" w:sz="6" w:space="0"/>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19.3</w:t>
            </w:r>
          </w:p>
        </w:tc>
        <w:tc>
          <w:tcPr>
            <w:tcW w:w="651" w:type="pct"/>
            <w:tcBorders>
              <w:top w:val="single" w:color="000000" w:sz="6" w:space="0"/>
              <w:left w:val="single" w:color="000000" w:sz="6" w:space="0"/>
              <w:bottom w:val="single" w:color="000000" w:sz="6" w:space="0"/>
              <w:right w:val="single" w:color="000000" w:sz="6" w:space="0"/>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0.2902</w:t>
            </w:r>
          </w:p>
        </w:tc>
        <w:tc>
          <w:tcPr>
            <w:tcW w:w="569" w:type="pct"/>
            <w:vMerge w:val="restart"/>
            <w:tcBorders>
              <w:top w:val="single" w:color="000000" w:sz="6" w:space="0"/>
              <w:left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89" w:type="pct"/>
            <w:tcBorders>
              <w:top w:val="single" w:color="000000" w:sz="6" w:space="0"/>
              <w:left w:val="single" w:color="auto" w:sz="4" w:space="0"/>
              <w:right w:val="single" w:color="auto" w:sz="4" w:space="0"/>
            </w:tcBorders>
            <w:vAlign w:val="center"/>
          </w:tcPr>
          <w:p>
            <w:pPr>
              <w:widowControl/>
              <w:jc w:val="center"/>
              <w:rPr>
                <w:color w:val="000000" w:themeColor="text1"/>
                <w:spacing w:val="-4"/>
                <w:szCs w:val="21"/>
                <w14:textFill>
                  <w14:solidFill>
                    <w14:schemeClr w14:val="tx1"/>
                  </w14:solidFill>
                </w14:textFill>
              </w:rPr>
            </w:pPr>
            <w:r>
              <w:rPr>
                <w:rFonts w:hint="eastAsia"/>
                <w:color w:val="000000" w:themeColor="text1"/>
                <w:spacing w:val="-4"/>
                <w:szCs w:val="21"/>
                <w14:textFill>
                  <w14:solidFill>
                    <w14:schemeClr w14:val="tx1"/>
                  </w14:solidFill>
                </w14:textFill>
              </w:rPr>
              <w:t>4</w:t>
            </w:r>
            <w:r>
              <w:rPr>
                <w:color w:val="000000" w:themeColor="text1"/>
                <w:spacing w:val="-4"/>
                <w:szCs w:val="21"/>
                <w14:textFill>
                  <w14:solidFill>
                    <w14:schemeClr w14:val="tx1"/>
                  </w14:solidFill>
                </w14:textFill>
              </w:rPr>
              <w:t>.9</w:t>
            </w:r>
          </w:p>
        </w:tc>
        <w:tc>
          <w:tcPr>
            <w:tcW w:w="325" w:type="pct"/>
            <w:tcBorders>
              <w:top w:val="single" w:color="000000" w:sz="6" w:space="0"/>
              <w:left w:val="single" w:color="auto" w:sz="4" w:space="0"/>
              <w:right w:val="single" w:color="auto" w:sz="4" w:space="0"/>
            </w:tcBorders>
            <w:vAlign w:val="center"/>
          </w:tcPr>
          <w:p>
            <w:pPr>
              <w:widowControl/>
              <w:jc w:val="center"/>
              <w:rPr>
                <w:color w:val="000000" w:themeColor="text1"/>
                <w:spacing w:val="-4"/>
                <w:szCs w:val="21"/>
                <w14:textFill>
                  <w14:solidFill>
                    <w14:schemeClr w14:val="tx1"/>
                  </w14:solidFill>
                </w14:textFill>
              </w:rPr>
            </w:pPr>
            <w:r>
              <w:rPr>
                <w:rFonts w:hint="eastAsia"/>
                <w:color w:val="000000" w:themeColor="text1"/>
                <w:spacing w:val="-4"/>
                <w:szCs w:val="21"/>
                <w14:textFill>
                  <w14:solidFill>
                    <w14:schemeClr w14:val="tx1"/>
                  </w14:solidFill>
                </w14:textFill>
              </w:rPr>
              <w:t>达标</w:t>
            </w:r>
          </w:p>
        </w:tc>
        <w:tc>
          <w:tcPr>
            <w:tcW w:w="327" w:type="pct"/>
            <w:vMerge w:val="restart"/>
            <w:tcBorders>
              <w:top w:val="single" w:color="000000" w:sz="6" w:space="0"/>
              <w:left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r>
              <w:rPr>
                <w:color w:val="000000" w:themeColor="text1"/>
                <w:spacing w:val="-4"/>
                <w:szCs w:val="21"/>
                <w14:textFill>
                  <w14:solidFill>
                    <w14:schemeClr w14:val="tx1"/>
                  </w14:solidFill>
                </w14:textFill>
              </w:rPr>
              <w:t>2次/年</w:t>
            </w:r>
          </w:p>
        </w:tc>
        <w:tc>
          <w:tcPr>
            <w:tcW w:w="854" w:type="pct"/>
            <w:vMerge w:val="restart"/>
            <w:tcBorders>
              <w:left w:val="single" w:color="auto" w:sz="4" w:space="0"/>
              <w:right w:val="single" w:color="000000" w:sz="8" w:space="0"/>
            </w:tcBorders>
            <w:vAlign w:val="center"/>
          </w:tcPr>
          <w:p>
            <w:pPr>
              <w:widowControl/>
              <w:jc w:val="center"/>
              <w:rPr>
                <w:color w:val="000000" w:themeColor="text1"/>
                <w:spacing w:val="-4"/>
                <w:szCs w:val="21"/>
                <w14:textFill>
                  <w14:solidFill>
                    <w14:schemeClr w14:val="tx1"/>
                  </w14:solidFill>
                </w14:textFill>
              </w:rPr>
            </w:pPr>
            <w:r>
              <w:rPr>
                <w:color w:val="000000" w:themeColor="text1"/>
                <w:szCs w:val="21"/>
                <w14:textFill>
                  <w14:solidFill>
                    <w14:schemeClr w14:val="tx1"/>
                  </w14:solidFill>
                </w14:textFill>
              </w:rPr>
              <w:t>定期维护保养，保证环保设施正常运行；当生产出现异常情况，应立即停车检修</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351" w:type="pct"/>
            <w:vMerge w:val="continue"/>
            <w:tcBorders>
              <w:left w:val="single" w:color="000000" w:sz="8" w:space="0"/>
              <w:right w:val="single" w:color="auto" w:sz="4" w:space="0"/>
            </w:tcBorders>
            <w:vAlign w:val="center"/>
          </w:tcPr>
          <w:p>
            <w:pPr>
              <w:widowControl/>
              <w:jc w:val="center"/>
              <w:rPr>
                <w:color w:val="000000" w:themeColor="text1"/>
                <w:szCs w:val="21"/>
                <w14:textFill>
                  <w14:solidFill>
                    <w14:schemeClr w14:val="tx1"/>
                  </w14:solidFill>
                </w14:textFill>
              </w:rPr>
            </w:pPr>
          </w:p>
        </w:tc>
        <w:tc>
          <w:tcPr>
            <w:tcW w:w="538" w:type="pct"/>
            <w:vMerge w:val="continue"/>
            <w:tcBorders>
              <w:left w:val="single" w:color="auto" w:sz="4" w:space="0"/>
              <w:right w:val="single" w:color="000000" w:sz="6" w:space="0"/>
            </w:tcBorders>
            <w:vAlign w:val="center"/>
          </w:tcPr>
          <w:p>
            <w:pPr>
              <w:widowControl/>
              <w:jc w:val="center"/>
              <w:rPr>
                <w:color w:val="000000" w:themeColor="text1"/>
                <w:szCs w:val="21"/>
                <w14:textFill>
                  <w14:solidFill>
                    <w14:schemeClr w14:val="tx1"/>
                  </w14:solidFill>
                </w14:textFill>
              </w:rPr>
            </w:pPr>
          </w:p>
        </w:tc>
        <w:tc>
          <w:tcPr>
            <w:tcW w:w="326" w:type="pct"/>
            <w:tcBorders>
              <w:top w:val="single" w:color="000000" w:sz="6" w:space="0"/>
              <w:left w:val="single" w:color="000000" w:sz="6" w:space="0"/>
              <w:bottom w:val="single" w:color="000000" w:sz="6" w:space="0"/>
              <w:right w:val="single" w:color="000000" w:sz="6" w:space="0"/>
            </w:tcBorders>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硫化氢</w:t>
            </w:r>
          </w:p>
        </w:tc>
        <w:tc>
          <w:tcPr>
            <w:tcW w:w="569" w:type="pct"/>
            <w:tcBorders>
              <w:top w:val="single" w:color="000000" w:sz="6" w:space="0"/>
              <w:left w:val="single" w:color="000000" w:sz="6" w:space="0"/>
              <w:bottom w:val="single" w:color="000000" w:sz="6" w:space="0"/>
              <w:right w:val="single" w:color="000000" w:sz="6" w:space="0"/>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0.75</w:t>
            </w:r>
          </w:p>
        </w:tc>
        <w:tc>
          <w:tcPr>
            <w:tcW w:w="651" w:type="pct"/>
            <w:tcBorders>
              <w:top w:val="single" w:color="000000" w:sz="6" w:space="0"/>
              <w:left w:val="single" w:color="000000" w:sz="6" w:space="0"/>
              <w:bottom w:val="single" w:color="000000" w:sz="6" w:space="0"/>
              <w:right w:val="single" w:color="000000" w:sz="6" w:space="0"/>
            </w:tcBorders>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0.0112</w:t>
            </w:r>
          </w:p>
        </w:tc>
        <w:tc>
          <w:tcPr>
            <w:tcW w:w="569" w:type="pct"/>
            <w:vMerge w:val="continue"/>
            <w:tcBorders>
              <w:left w:val="single" w:color="auto" w:sz="4" w:space="0"/>
              <w:right w:val="single" w:color="auto" w:sz="4" w:space="0"/>
            </w:tcBorders>
            <w:vAlign w:val="center"/>
          </w:tcPr>
          <w:p>
            <w:pPr>
              <w:widowControl/>
              <w:jc w:val="center"/>
              <w:rPr>
                <w:color w:val="000000" w:themeColor="text1"/>
                <w:szCs w:val="21"/>
                <w:highlight w:val="yellow"/>
                <w14:textFill>
                  <w14:solidFill>
                    <w14:schemeClr w14:val="tx1"/>
                  </w14:solidFill>
                </w14:textFill>
              </w:rPr>
            </w:pPr>
          </w:p>
        </w:tc>
        <w:tc>
          <w:tcPr>
            <w:tcW w:w="489" w:type="pct"/>
            <w:tcBorders>
              <w:left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.33</w:t>
            </w:r>
          </w:p>
        </w:tc>
        <w:tc>
          <w:tcPr>
            <w:tcW w:w="325" w:type="pct"/>
            <w:tcBorders>
              <w:left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327" w:type="pct"/>
            <w:vMerge w:val="continue"/>
            <w:tcBorders>
              <w:left w:val="single" w:color="auto" w:sz="4" w:space="0"/>
              <w:right w:val="single" w:color="auto" w:sz="4" w:space="0"/>
            </w:tcBorders>
            <w:vAlign w:val="center"/>
          </w:tcPr>
          <w:p>
            <w:pPr>
              <w:widowControl/>
              <w:jc w:val="center"/>
              <w:rPr>
                <w:color w:val="000000" w:themeColor="text1"/>
                <w:szCs w:val="21"/>
                <w:highlight w:val="yellow"/>
                <w14:textFill>
                  <w14:solidFill>
                    <w14:schemeClr w14:val="tx1"/>
                  </w14:solidFill>
                </w14:textFill>
              </w:rPr>
            </w:pPr>
          </w:p>
        </w:tc>
        <w:tc>
          <w:tcPr>
            <w:tcW w:w="854" w:type="pct"/>
            <w:vMerge w:val="continue"/>
            <w:tcBorders>
              <w:left w:val="single" w:color="auto" w:sz="4" w:space="0"/>
              <w:right w:val="single" w:color="000000" w:sz="8" w:space="0"/>
            </w:tcBorders>
            <w:vAlign w:val="center"/>
          </w:tcPr>
          <w:p>
            <w:pPr>
              <w:widowControl/>
              <w:jc w:val="center"/>
              <w:rPr>
                <w:color w:val="000000" w:themeColor="text1"/>
                <w:spacing w:val="-4"/>
                <w:szCs w:val="21"/>
                <w:highlight w:val="yellow"/>
                <w14:textFill>
                  <w14:solidFill>
                    <w14:schemeClr w14:val="tx1"/>
                  </w14:solidFill>
                </w14:textFill>
              </w:rPr>
            </w:pPr>
          </w:p>
        </w:tc>
      </w:tr>
    </w:tbl>
    <w:p>
      <w:pPr>
        <w:pStyle w:val="460"/>
        <w:rPr>
          <w:bCs/>
        </w:rPr>
      </w:pPr>
      <w:r>
        <w:t>5.2.2.7大气</w:t>
      </w:r>
      <w:r>
        <w:rPr>
          <w:rFonts w:hint="eastAsia"/>
        </w:rPr>
        <w:t>防护距离</w:t>
      </w:r>
    </w:p>
    <w:p>
      <w:pPr>
        <w:spacing w:line="52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根据HJ2.2-2018</w:t>
      </w:r>
      <w:r>
        <w:rPr>
          <w:bCs/>
          <w:color w:val="000000" w:themeColor="text1"/>
          <w:sz w:val="24"/>
          <w14:textFill>
            <w14:solidFill>
              <w14:schemeClr w14:val="tx1"/>
            </w14:solidFill>
          </w14:textFill>
        </w:rPr>
        <w:t>第8.7.5.1条规定，对于项目厂界浓度满足大气污染物厂界浓度限值，但厂界外大气污染物短期贡献浓度超过环境质量浓度限值的，可以自厂界向外设置一定范围的大气环境防护距离</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根据表</w:t>
      </w:r>
      <w:r>
        <w:rPr>
          <w:rFonts w:hint="eastAsia"/>
          <w:bCs/>
          <w:color w:val="000000" w:themeColor="text1"/>
          <w:sz w:val="24"/>
          <w14:textFill>
            <w14:solidFill>
              <w14:schemeClr w14:val="tx1"/>
            </w14:solidFill>
          </w14:textFill>
        </w:rPr>
        <w:t>5</w:t>
      </w:r>
      <w:r>
        <w:rPr>
          <w:bCs/>
          <w:color w:val="000000" w:themeColor="text1"/>
          <w:sz w:val="24"/>
          <w14:textFill>
            <w14:solidFill>
              <w14:schemeClr w14:val="tx1"/>
            </w14:solidFill>
          </w14:textFill>
        </w:rPr>
        <w:t>.2-15</w:t>
      </w:r>
      <w:r>
        <w:rPr>
          <w:rFonts w:hint="eastAsia"/>
          <w:bCs/>
          <w:color w:val="000000" w:themeColor="text1"/>
          <w:sz w:val="24"/>
          <w14:textFill>
            <w14:solidFill>
              <w14:schemeClr w14:val="tx1"/>
            </w14:solidFill>
          </w14:textFill>
        </w:rPr>
        <w:t>，废气污染物</w:t>
      </w:r>
      <w:r>
        <w:rPr>
          <w:bCs/>
          <w:color w:val="000000" w:themeColor="text1"/>
          <w:sz w:val="24"/>
          <w14:textFill>
            <w14:solidFill>
              <w14:schemeClr w14:val="tx1"/>
            </w14:solidFill>
          </w14:textFill>
        </w:rPr>
        <w:t>厂界最大浓度预测结果，本</w:t>
      </w:r>
      <w:r>
        <w:rPr>
          <w:rFonts w:hint="eastAsia"/>
          <w:bCs/>
          <w:color w:val="000000" w:themeColor="text1"/>
          <w:sz w:val="24"/>
          <w14:textFill>
            <w14:solidFill>
              <w14:schemeClr w14:val="tx1"/>
            </w14:solidFill>
          </w14:textFill>
        </w:rPr>
        <w:t>项目厂界氨、硫化氢排放浓度可以满足</w:t>
      </w:r>
      <w:r>
        <w:rPr>
          <w:bCs/>
          <w:color w:val="000000" w:themeColor="text1"/>
          <w:sz w:val="24"/>
          <w14:textFill>
            <w14:solidFill>
              <w14:schemeClr w14:val="tx1"/>
            </w14:solidFill>
          </w14:textFill>
        </w:rPr>
        <w:t>《恶臭污染物排放标准》（GB14554-93）中</w:t>
      </w:r>
      <w:r>
        <w:rPr>
          <w:rFonts w:hint="eastAsia"/>
          <w:bCs/>
          <w:color w:val="000000" w:themeColor="text1"/>
          <w:sz w:val="24"/>
          <w14:textFill>
            <w14:solidFill>
              <w14:schemeClr w14:val="tx1"/>
            </w14:solidFill>
          </w14:textFill>
        </w:rPr>
        <w:t>表1</w:t>
      </w:r>
      <w:r>
        <w:rPr>
          <w:bCs/>
          <w:color w:val="000000" w:themeColor="text1"/>
          <w:sz w:val="24"/>
          <w14:textFill>
            <w14:solidFill>
              <w14:schemeClr w14:val="tx1"/>
            </w14:solidFill>
          </w14:textFill>
        </w:rPr>
        <w:t>恶臭</w:t>
      </w:r>
      <w:r>
        <w:rPr>
          <w:rFonts w:hint="eastAsia"/>
          <w:bCs/>
          <w:color w:val="000000" w:themeColor="text1"/>
          <w:sz w:val="24"/>
          <w14:textFill>
            <w14:solidFill>
              <w14:schemeClr w14:val="tx1"/>
            </w14:solidFill>
          </w14:textFill>
        </w:rPr>
        <w:t>污染物厂界二级新建硫化氢0</w:t>
      </w:r>
      <w:r>
        <w:rPr>
          <w:bCs/>
          <w:color w:val="000000" w:themeColor="text1"/>
          <w:sz w:val="24"/>
          <w14:textFill>
            <w14:solidFill>
              <w14:schemeClr w14:val="tx1"/>
            </w14:solidFill>
          </w14:textFill>
        </w:rPr>
        <w:t>.06mg/m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、氨</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.5mg/m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的限值要求</w:t>
      </w:r>
      <w:r>
        <w:rPr>
          <w:rFonts w:hint="eastAsia"/>
          <w:bCs/>
          <w:color w:val="000000" w:themeColor="text1"/>
          <w:sz w:val="24"/>
          <w14:textFill>
            <w14:solidFill>
              <w14:schemeClr w14:val="tx1"/>
            </w14:solidFill>
          </w14:textFill>
        </w:rPr>
        <w:t>，同时最大落地浓度满足</w:t>
      </w:r>
      <w:r>
        <w:rPr>
          <w:bCs/>
          <w:color w:val="000000" w:themeColor="text1"/>
          <w:sz w:val="24"/>
          <w14:textFill>
            <w14:solidFill>
              <w14:schemeClr w14:val="tx1"/>
            </w14:solidFill>
          </w14:textFill>
        </w:rPr>
        <w:t>《环境影响评价技术导则 大气环境》（HJ2.2-2018）附录D</w:t>
      </w:r>
      <w:r>
        <w:rPr>
          <w:rFonts w:hint="eastAsia"/>
          <w:bCs/>
          <w:color w:val="000000" w:themeColor="text1"/>
          <w:sz w:val="24"/>
          <w14:textFill>
            <w14:solidFill>
              <w14:schemeClr w14:val="tx1"/>
            </w14:solidFill>
          </w14:textFill>
        </w:rPr>
        <w:t>硫化氢0</w:t>
      </w:r>
      <w:r>
        <w:rPr>
          <w:bCs/>
          <w:color w:val="000000" w:themeColor="text1"/>
          <w:sz w:val="24"/>
          <w14:textFill>
            <w14:solidFill>
              <w14:schemeClr w14:val="tx1"/>
            </w14:solidFill>
          </w14:textFill>
        </w:rPr>
        <w:t>.2mg/m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、氨0.01mg/m</w:t>
      </w:r>
      <w:r>
        <w:rPr>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的限值要求。因此不需要设置大气防护距离。</w:t>
      </w:r>
    </w:p>
    <w:p>
      <w:pPr>
        <w:pStyle w:val="727"/>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.2.3 </w:t>
      </w:r>
      <w:r>
        <w:rPr>
          <w:rFonts w:hint="eastAsia"/>
          <w:color w:val="000000" w:themeColor="text1"/>
          <w14:textFill>
            <w14:solidFill>
              <w14:schemeClr w14:val="tx1"/>
            </w14:solidFill>
          </w14:textFill>
        </w:rPr>
        <w:t>非正常工况下情况分析</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非正常工况是指生产运行阶段的开、停车、检修、操作不正常或设备故障等。本项目设备检修时不进行生产作业；工艺过程出现运转异常时可停产、检修，待所有生产设备恢复正常后再投入生产。</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本项目非正常工况为恶臭气体治理装置，故障的情况。项目的废气治理装置故障，导致处理能力下降，最坏情况为处理效率为0。经过分析，项目非正常排放废气源强为：</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排气筒P：氨废气排放浓度为1</w:t>
      </w:r>
      <w:r>
        <w:rPr>
          <w:color w:val="000000" w:themeColor="text1"/>
          <w:sz w:val="24"/>
          <w14:textFill>
            <w14:solidFill>
              <w14:schemeClr w14:val="tx1"/>
            </w14:solidFill>
          </w14:textFill>
        </w:rPr>
        <w:t>5.9</w:t>
      </w:r>
      <w:r>
        <w:rPr>
          <w:rFonts w:hint="eastAsia"/>
          <w:color w:val="000000" w:themeColor="text1"/>
          <w:sz w:val="24"/>
          <w14:textFill>
            <w14:solidFill>
              <w14:schemeClr w14:val="tx1"/>
            </w14:solidFill>
          </w14:textFill>
        </w:rPr>
        <w:t>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，排放速率为0</w:t>
      </w:r>
      <w:r>
        <w:rPr>
          <w:color w:val="000000" w:themeColor="text1"/>
          <w:sz w:val="24"/>
          <w14:textFill>
            <w14:solidFill>
              <w14:schemeClr w14:val="tx1"/>
            </w14:solidFill>
          </w14:textFill>
        </w:rPr>
        <w:t>.2385</w:t>
      </w:r>
      <w:r>
        <w:rPr>
          <w:rFonts w:hint="eastAsia"/>
          <w:color w:val="000000" w:themeColor="text1"/>
          <w:sz w:val="24"/>
          <w14:textFill>
            <w14:solidFill>
              <w14:schemeClr w14:val="tx1"/>
            </w14:solidFill>
          </w14:textFill>
        </w:rPr>
        <w:t>kg/h；硫化氢排放浓度为0</w:t>
      </w:r>
      <w:r>
        <w:rPr>
          <w:color w:val="000000" w:themeColor="text1"/>
          <w:sz w:val="24"/>
          <w14:textFill>
            <w14:solidFill>
              <w14:schemeClr w14:val="tx1"/>
            </w14:solidFill>
          </w14:textFill>
        </w:rPr>
        <w:t>.61</w:t>
      </w:r>
      <w:r>
        <w:rPr>
          <w:rFonts w:hint="eastAsia"/>
          <w:color w:val="000000" w:themeColor="text1"/>
          <w:sz w:val="24"/>
          <w14:textFill>
            <w14:solidFill>
              <w14:schemeClr w14:val="tx1"/>
            </w14:solidFill>
          </w14:textFill>
        </w:rPr>
        <w:t>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，排放速率为0</w:t>
      </w:r>
      <w:r>
        <w:rPr>
          <w:color w:val="000000" w:themeColor="text1"/>
          <w:sz w:val="24"/>
          <w14:textFill>
            <w14:solidFill>
              <w14:schemeClr w14:val="tx1"/>
            </w14:solidFill>
          </w14:textFill>
        </w:rPr>
        <w:t>.0092</w:t>
      </w:r>
      <w:r>
        <w:rPr>
          <w:rFonts w:hint="eastAsia"/>
          <w:color w:val="000000" w:themeColor="text1"/>
          <w:sz w:val="24"/>
          <w14:textFill>
            <w14:solidFill>
              <w14:schemeClr w14:val="tx1"/>
            </w14:solidFill>
          </w14:textFill>
        </w:rPr>
        <w:t>kg/h。</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综上，本项目废气非正常排放期间仍能满足《</w:t>
      </w:r>
      <w:r>
        <w:rPr>
          <w:color w:val="000000" w:themeColor="text1"/>
          <w:sz w:val="24"/>
          <w:szCs w:val="24"/>
          <w14:textFill>
            <w14:solidFill>
              <w14:schemeClr w14:val="tx1"/>
            </w14:solidFill>
          </w14:textFill>
        </w:rPr>
        <w:t>恶臭污染物排放标准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（GB14554-93）表2 NH</w:t>
      </w:r>
      <w:r>
        <w:rPr>
          <w:color w:val="000000" w:themeColor="text1"/>
          <w:sz w:val="24"/>
          <w:vertAlign w:val="subscript"/>
          <w14:textFill>
            <w14:solidFill>
              <w14:schemeClr w14:val="tx1"/>
            </w14:solidFill>
          </w14:textFill>
        </w:rPr>
        <w:t xml:space="preserve">3 </w:t>
      </w:r>
      <w:r>
        <w:rPr>
          <w:bCs/>
          <w:color w:val="000000" w:themeColor="text1"/>
          <w:sz w:val="24"/>
          <w14:textFill>
            <w14:solidFill>
              <w14:schemeClr w14:val="tx1"/>
            </w14:solidFill>
          </w14:textFill>
        </w:rPr>
        <w:t>4.9kg/h</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H</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S 0.33kg/h</w:t>
      </w:r>
      <w:r>
        <w:rPr>
          <w:rFonts w:hint="eastAsia"/>
          <w:bCs/>
          <w:color w:val="000000" w:themeColor="text1"/>
          <w:sz w:val="24"/>
          <w14:textFill>
            <w14:solidFill>
              <w14:schemeClr w14:val="tx1"/>
            </w14:solidFill>
          </w14:textFill>
        </w:rPr>
        <w:t>的排放速率的限值要求。</w:t>
      </w:r>
    </w:p>
    <w:p>
      <w:pPr>
        <w:pStyle w:val="547"/>
        <w:rPr>
          <w:color w:val="000000" w:themeColor="text1"/>
          <w14:textFill>
            <w14:solidFill>
              <w14:schemeClr w14:val="tx1"/>
            </w14:solidFill>
          </w14:textFill>
        </w:rPr>
      </w:pPr>
      <w:bookmarkStart w:id="110" w:name="_Toc12065"/>
      <w:r>
        <w:rPr>
          <w:color w:val="000000" w:themeColor="text1"/>
          <w14:textFill>
            <w14:solidFill>
              <w14:schemeClr w14:val="tx1"/>
            </w14:solidFill>
          </w14:textFill>
        </w:rPr>
        <w:t>5.3 地表水环境影响分析</w:t>
      </w:r>
      <w:bookmarkEnd w:id="110"/>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本项目</w:t>
      </w:r>
      <w:r>
        <w:rPr>
          <w:bCs/>
          <w:color w:val="000000" w:themeColor="text1"/>
          <w:sz w:val="24"/>
          <w:szCs w:val="24"/>
          <w14:textFill>
            <w14:solidFill>
              <w14:schemeClr w14:val="tx1"/>
            </w14:solidFill>
          </w14:textFill>
        </w:rPr>
        <w:t>废水主要为入驻园区企业综合废水</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本项目</w:t>
      </w:r>
      <w:r>
        <w:rPr>
          <w:color w:val="000000" w:themeColor="text1"/>
          <w:sz w:val="24"/>
          <w14:textFill>
            <w14:solidFill>
              <w14:schemeClr w14:val="tx1"/>
            </w14:solidFill>
          </w14:textFill>
        </w:rPr>
        <w:t>废水</w:t>
      </w:r>
      <w:r>
        <w:rPr>
          <w:rFonts w:hint="eastAsia"/>
          <w:color w:val="000000" w:themeColor="text1"/>
          <w:sz w:val="24"/>
          <w14:textFill>
            <w14:solidFill>
              <w14:schemeClr w14:val="tx1"/>
            </w14:solidFill>
          </w14:textFill>
        </w:rPr>
        <w:t>设计</w:t>
      </w:r>
      <w:r>
        <w:rPr>
          <w:color w:val="000000" w:themeColor="text1"/>
          <w:sz w:val="24"/>
          <w14:textFill>
            <w14:solidFill>
              <w14:schemeClr w14:val="tx1"/>
            </w14:solidFill>
          </w14:textFill>
        </w:rPr>
        <w:t>排放量</w:t>
      </w:r>
      <w:r>
        <w:rPr>
          <w:color w:val="000000" w:themeColor="text1"/>
          <w:sz w:val="24"/>
          <w:szCs w:val="24"/>
          <w14:textFill>
            <w14:solidFill>
              <w14:schemeClr w14:val="tx1"/>
            </w14:solidFill>
          </w14:textFill>
        </w:rPr>
        <w:t>为2000m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/d，污染因子为COD、BOD</w:t>
      </w:r>
      <w:r>
        <w:rPr>
          <w:color w:val="000000" w:themeColor="text1"/>
          <w:sz w:val="24"/>
          <w:szCs w:val="24"/>
          <w:vertAlign w:val="subscript"/>
          <w14:textFill>
            <w14:solidFill>
              <w14:schemeClr w14:val="tx1"/>
            </w14:solidFill>
          </w14:textFill>
        </w:rPr>
        <w:t>5</w:t>
      </w:r>
      <w:r>
        <w:rPr>
          <w:color w:val="000000" w:themeColor="text1"/>
          <w:sz w:val="24"/>
          <w:szCs w:val="24"/>
          <w14:textFill>
            <w14:solidFill>
              <w14:schemeClr w14:val="tx1"/>
            </w14:solidFill>
          </w14:textFill>
        </w:rPr>
        <w:t>、SS、总氮、氨氮、总磷</w:t>
      </w:r>
      <w:r>
        <w:rPr>
          <w:rFonts w:hint="eastAsia"/>
          <w:color w:val="000000" w:themeColor="text1"/>
          <w:sz w:val="24"/>
          <w:szCs w:val="24"/>
          <w14:textFill>
            <w14:solidFill>
              <w14:schemeClr w14:val="tx1"/>
            </w14:solidFill>
          </w14:textFill>
        </w:rPr>
        <w:t>、动植物油</w:t>
      </w:r>
      <w:r>
        <w:rPr>
          <w:color w:val="000000" w:themeColor="text1"/>
          <w:sz w:val="24"/>
          <w:szCs w:val="24"/>
          <w14:textFill>
            <w14:solidFill>
              <w14:schemeClr w14:val="tx1"/>
            </w14:solidFill>
          </w14:textFill>
        </w:rPr>
        <w:t>，废水</w:t>
      </w:r>
      <w:r>
        <w:rPr>
          <w:color w:val="000000" w:themeColor="text1"/>
          <w:sz w:val="24"/>
          <w14:textFill>
            <w14:solidFill>
              <w14:schemeClr w14:val="tx1"/>
            </w14:solidFill>
          </w14:textFill>
        </w:rPr>
        <w:t>经过污水处理站处理</w:t>
      </w:r>
      <w:r>
        <w:rPr>
          <w:rFonts w:hint="eastAsia"/>
          <w:color w:val="000000" w:themeColor="text1"/>
          <w:sz w:val="24"/>
          <w14:textFill>
            <w14:solidFill>
              <w14:schemeClr w14:val="tx1"/>
            </w14:solidFill>
          </w14:textFill>
        </w:rPr>
        <w:t>后</w:t>
      </w:r>
      <w:r>
        <w:rPr>
          <w:color w:val="000000" w:themeColor="text1"/>
          <w:sz w:val="24"/>
          <w14:textFill>
            <w14:solidFill>
              <w14:schemeClr w14:val="tx1"/>
            </w14:solidFill>
          </w14:textFill>
        </w:rPr>
        <w:t>排入</w:t>
      </w:r>
      <w:r>
        <w:rPr>
          <w:rFonts w:hint="eastAsia"/>
          <w:color w:val="000000" w:themeColor="text1"/>
          <w:sz w:val="24"/>
          <w14:textFill>
            <w14:solidFill>
              <w14:schemeClr w14:val="tx1"/>
            </w14:solidFill>
          </w14:textFill>
        </w:rPr>
        <w:t>原阳县产业集聚区</w:t>
      </w:r>
      <w:r>
        <w:rPr>
          <w:color w:val="000000" w:themeColor="text1"/>
          <w:sz w:val="24"/>
          <w14:textFill>
            <w14:solidFill>
              <w14:schemeClr w14:val="tx1"/>
            </w14:solidFill>
          </w14:textFill>
        </w:rPr>
        <w:t>污水处理厂作进一步处理，污水处理厂尾水排入</w:t>
      </w:r>
      <w:r>
        <w:rPr>
          <w:rFonts w:hint="eastAsia"/>
          <w:color w:val="000000" w:themeColor="text1"/>
          <w:sz w:val="24"/>
          <w:szCs w:val="24"/>
          <w14:textFill>
            <w14:solidFill>
              <w14:schemeClr w14:val="tx1"/>
            </w14:solidFill>
          </w14:textFill>
        </w:rPr>
        <w:t>东关排，最终汇入文岩渠</w:t>
      </w:r>
      <w:r>
        <w:rPr>
          <w:color w:val="000000" w:themeColor="text1"/>
          <w:sz w:val="24"/>
          <w14:textFill>
            <w14:solidFill>
              <w14:schemeClr w14:val="tx1"/>
            </w14:solidFill>
          </w14:textFill>
        </w:rPr>
        <w:t>。</w:t>
      </w:r>
    </w:p>
    <w:p>
      <w:pPr>
        <w:pStyle w:val="727"/>
        <w:rPr>
          <w:color w:val="000000" w:themeColor="text1"/>
          <w14:textFill>
            <w14:solidFill>
              <w14:schemeClr w14:val="tx1"/>
            </w14:solidFill>
          </w14:textFill>
        </w:rPr>
      </w:pPr>
      <w:r>
        <w:rPr>
          <w:color w:val="000000" w:themeColor="text1"/>
          <w14:textFill>
            <w14:solidFill>
              <w14:schemeClr w14:val="tx1"/>
            </w14:solidFill>
          </w14:textFill>
        </w:rPr>
        <w:t>5.3.1 评价等级判定</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依据《环境影响评价技术导则-地表水环境》（HJ2.3-2018），建设项目的地表水环境影响评价分为水污染影响型、水文要素影响型以及两者兼有的复合影响型，经判断本项目对地表水环境影响类型属于水污染影响型，</w:t>
      </w:r>
      <w:r>
        <w:rPr>
          <w:color w:val="000000" w:themeColor="text1"/>
          <w:sz w:val="24"/>
          <w:szCs w:val="24"/>
          <w14:textFill>
            <w14:solidFill>
              <w14:schemeClr w14:val="tx1"/>
            </w14:solidFill>
          </w14:textFill>
        </w:rPr>
        <w:t>污水排放方式属于间接排放，判定本项目地表水环</w:t>
      </w:r>
      <w:r>
        <w:rPr>
          <w:color w:val="000000" w:themeColor="text1"/>
          <w:sz w:val="24"/>
          <w14:textFill>
            <w14:solidFill>
              <w14:schemeClr w14:val="tx1"/>
            </w14:solidFill>
          </w14:textFill>
        </w:rPr>
        <w:t>境影响评价等级为三级B。</w:t>
      </w:r>
    </w:p>
    <w:p>
      <w:pPr>
        <w:spacing w:line="520" w:lineRule="exact"/>
        <w:ind w:firstLine="480" w:firstLineChars="200"/>
        <w:rPr>
          <w:color w:val="000000" w:themeColor="text1"/>
          <w:sz w:val="24"/>
          <w14:textFill>
            <w14:solidFill>
              <w14:schemeClr w14:val="tx1"/>
            </w14:solidFill>
          </w14:textFill>
        </w:rPr>
      </w:pPr>
    </w:p>
    <w:p>
      <w:pPr>
        <w:spacing w:line="520" w:lineRule="exact"/>
        <w:ind w:firstLine="480" w:firstLineChars="200"/>
        <w:rPr>
          <w:color w:val="000000" w:themeColor="text1"/>
          <w:sz w:val="24"/>
          <w14:textFill>
            <w14:solidFill>
              <w14:schemeClr w14:val="tx1"/>
            </w14:solidFill>
          </w14:textFill>
        </w:rPr>
      </w:pPr>
    </w:p>
    <w:p>
      <w:pPr>
        <w:spacing w:line="520" w:lineRule="exact"/>
        <w:ind w:firstLine="480" w:firstLineChars="200"/>
        <w:rPr>
          <w:color w:val="000000" w:themeColor="text1"/>
          <w:sz w:val="24"/>
          <w14:textFill>
            <w14:solidFill>
              <w14:schemeClr w14:val="tx1"/>
            </w14:solidFill>
          </w14:textFill>
        </w:rPr>
      </w:pPr>
    </w:p>
    <w:p>
      <w:pPr>
        <w:spacing w:line="520" w:lineRule="exact"/>
        <w:ind w:firstLine="480" w:firstLineChars="200"/>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表5.3-1           水污染影响型建设项目评价等级的判定</w:t>
      </w:r>
    </w:p>
    <w:tbl>
      <w:tblPr>
        <w:tblStyle w:val="49"/>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189"/>
        <w:gridCol w:w="5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6" w:type="dxa"/>
            <w:vMerge w:val="restart"/>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评价等级</w:t>
            </w:r>
          </w:p>
        </w:tc>
        <w:tc>
          <w:tcPr>
            <w:tcW w:w="7489" w:type="dxa"/>
            <w:gridSpan w:val="2"/>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526" w:type="dxa"/>
            <w:vMerge w:val="continue"/>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14:textFill>
                  <w14:solidFill>
                    <w14:schemeClr w14:val="tx1"/>
                  </w14:solidFill>
                </w14:textFill>
              </w:rPr>
            </w:pP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排放方式</w:t>
            </w:r>
          </w:p>
        </w:tc>
        <w:tc>
          <w:tcPr>
            <w:tcW w:w="5300" w:type="dxa"/>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废水排放量Q/（m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一级</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直接排放</w:t>
            </w:r>
          </w:p>
        </w:tc>
        <w:tc>
          <w:tcPr>
            <w:tcW w:w="530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二级</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直接排放</w:t>
            </w:r>
          </w:p>
        </w:tc>
        <w:tc>
          <w:tcPr>
            <w:tcW w:w="530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三级A</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直接排放</w:t>
            </w:r>
          </w:p>
        </w:tc>
        <w:tc>
          <w:tcPr>
            <w:tcW w:w="530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6"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三级B</w:t>
            </w:r>
          </w:p>
        </w:tc>
        <w:tc>
          <w:tcPr>
            <w:tcW w:w="218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间接排放</w:t>
            </w:r>
          </w:p>
        </w:tc>
        <w:tc>
          <w:tcPr>
            <w:tcW w:w="530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pPr>
        <w:pStyle w:val="727"/>
        <w:rPr>
          <w:color w:val="000000" w:themeColor="text1"/>
          <w14:textFill>
            <w14:solidFill>
              <w14:schemeClr w14:val="tx1"/>
            </w14:solidFill>
          </w14:textFill>
        </w:rPr>
      </w:pPr>
      <w:bookmarkStart w:id="111" w:name="_Toc433272361"/>
      <w:bookmarkStart w:id="112" w:name="_Toc479317306"/>
      <w:bookmarkStart w:id="113" w:name="_Toc479320593"/>
      <w:bookmarkStart w:id="114" w:name="_Toc475691398"/>
      <w:bookmarkStart w:id="115" w:name="_Toc473913727"/>
      <w:bookmarkStart w:id="116" w:name="_Toc496264346"/>
      <w:r>
        <w:rPr>
          <w:color w:val="000000" w:themeColor="text1"/>
          <w14:textFill>
            <w14:solidFill>
              <w14:schemeClr w14:val="tx1"/>
            </w14:solidFill>
          </w14:textFill>
        </w:rPr>
        <w:t>5.3.2 评价</w:t>
      </w:r>
      <w:r>
        <w:rPr>
          <w:rFonts w:hint="eastAsia"/>
          <w:color w:val="000000" w:themeColor="text1"/>
          <w14:textFill>
            <w14:solidFill>
              <w14:schemeClr w14:val="tx1"/>
            </w14:solidFill>
          </w14:textFill>
        </w:rPr>
        <w:t>范围</w:t>
      </w:r>
    </w:p>
    <w:p>
      <w:pPr>
        <w:spacing w:line="520" w:lineRule="exact"/>
        <w:ind w:firstLine="480" w:firstLineChars="200"/>
        <w:rPr>
          <w:color w:val="000000" w:themeColor="text1"/>
          <w:sz w:val="24"/>
          <w:szCs w:val="24"/>
          <w:highlight w:val="yellow"/>
          <w14:textFill>
            <w14:solidFill>
              <w14:schemeClr w14:val="tx1"/>
            </w14:solidFill>
          </w14:textFill>
        </w:rPr>
      </w:pPr>
      <w:r>
        <w:rPr>
          <w:rFonts w:hint="eastAsia"/>
          <w:color w:val="000000" w:themeColor="text1"/>
          <w:sz w:val="24"/>
          <w:szCs w:val="24"/>
          <w14:textFill>
            <w14:solidFill>
              <w14:schemeClr w14:val="tx1"/>
            </w14:solidFill>
          </w14:textFill>
        </w:rPr>
        <w:t>本项目废水经厂区总排口排入原阳县产业集聚区污水处理厂进行处理达标后，排入东关排，最终汇入文岩渠。根据《环境影响评价技术导则-地表水环境》（HJ2.3-2018），本项目评价等级为三级B；主要进行废水纳管依托污水处理设施环境可行性分析。</w:t>
      </w:r>
    </w:p>
    <w:p>
      <w:pPr>
        <w:pStyle w:val="727"/>
        <w:rPr>
          <w:color w:val="000000" w:themeColor="text1"/>
          <w14:textFill>
            <w14:solidFill>
              <w14:schemeClr w14:val="tx1"/>
            </w14:solidFill>
          </w14:textFill>
        </w:rPr>
      </w:pPr>
      <w:r>
        <w:rPr>
          <w:color w:val="000000" w:themeColor="text1"/>
          <w14:textFill>
            <w14:solidFill>
              <w14:schemeClr w14:val="tx1"/>
            </w14:solidFill>
          </w14:textFill>
        </w:rPr>
        <w:t>5.3.3 地表水环境影响</w:t>
      </w:r>
    </w:p>
    <w:p>
      <w:pPr>
        <w:pStyle w:val="460"/>
      </w:pPr>
      <w:r>
        <w:t>5.3.3.1 评价思路</w:t>
      </w:r>
      <w:bookmarkEnd w:id="111"/>
      <w:bookmarkEnd w:id="112"/>
      <w:bookmarkEnd w:id="113"/>
      <w:bookmarkEnd w:id="114"/>
      <w:bookmarkEnd w:id="115"/>
      <w:bookmarkEnd w:id="116"/>
    </w:p>
    <w:p>
      <w:pPr>
        <w:spacing w:line="360" w:lineRule="auto"/>
        <w:ind w:firstLine="480" w:firstLineChars="200"/>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根据导则要求：</w:t>
      </w:r>
      <w:r>
        <w:rPr>
          <w:bCs/>
          <w:color w:val="000000" w:themeColor="text1"/>
          <w:sz w:val="24"/>
          <w:szCs w:val="24"/>
          <w14:textFill>
            <w14:solidFill>
              <w14:schemeClr w14:val="tx1"/>
            </w14:solidFill>
          </w14:textFill>
        </w:rPr>
        <w:t>水污染影响型三级B评价可不进行水环境影响预测，主要评价内容包括：水污染控制和水环境影响减缓措施有效性评价，及依托污水处理设施的环境可行性。</w:t>
      </w:r>
    </w:p>
    <w:p>
      <w:pPr>
        <w:pStyle w:val="460"/>
      </w:pPr>
      <w:r>
        <w:t>5.3.3.2 水污染控制和水环境影响减缓措施有效性评价</w:t>
      </w:r>
    </w:p>
    <w:p>
      <w:pPr>
        <w:pStyle w:val="457"/>
        <w:rPr>
          <w:bCs/>
          <w:color w:val="000000" w:themeColor="text1"/>
          <w14:textFill>
            <w14:solidFill>
              <w14:schemeClr w14:val="tx1"/>
            </w14:solidFill>
          </w14:textFill>
        </w:rPr>
      </w:pPr>
      <w:r>
        <w:rPr>
          <w:color w:val="000000" w:themeColor="text1"/>
          <w14:textFill>
            <w14:solidFill>
              <w14:schemeClr w14:val="tx1"/>
            </w14:solidFill>
          </w14:textFill>
        </w:rPr>
        <w:t>本项目</w:t>
      </w:r>
      <w:r>
        <w:rPr>
          <w:bCs/>
          <w:color w:val="000000" w:themeColor="text1"/>
          <w14:textFill>
            <w14:solidFill>
              <w14:schemeClr w14:val="tx1"/>
            </w14:solidFill>
          </w14:textFill>
        </w:rPr>
        <w:t>废水主要为</w:t>
      </w:r>
      <w:r>
        <w:rPr>
          <w:rFonts w:hint="eastAsia"/>
          <w:bCs/>
          <w:color w:val="000000" w:themeColor="text1"/>
          <w14:textFill>
            <w14:solidFill>
              <w14:schemeClr w14:val="tx1"/>
            </w14:solidFill>
          </w14:textFill>
        </w:rPr>
        <w:t>入驻园区企业的生产工业废水，污水处理站设计规模为2000m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/d，主要污染物为COD、BOD</w:t>
      </w:r>
      <w:r>
        <w:rPr>
          <w:rFonts w:hint="eastAsia"/>
          <w:bCs/>
          <w:color w:val="000000" w:themeColor="text1"/>
          <w:vertAlign w:val="subscript"/>
          <w14:textFill>
            <w14:solidFill>
              <w14:schemeClr w14:val="tx1"/>
            </w14:solidFill>
          </w14:textFill>
        </w:rPr>
        <w:t>5</w:t>
      </w:r>
      <w:r>
        <w:rPr>
          <w:rFonts w:hint="eastAsia"/>
          <w:bCs/>
          <w:color w:val="000000" w:themeColor="text1"/>
          <w14:textFill>
            <w14:solidFill>
              <w14:schemeClr w14:val="tx1"/>
            </w14:solidFill>
          </w14:textFill>
        </w:rPr>
        <w:t>、SS、NH</w:t>
      </w:r>
      <w:r>
        <w:rPr>
          <w:rFonts w:hint="eastAsia"/>
          <w:bCs/>
          <w:color w:val="000000" w:themeColor="text1"/>
          <w:vertAlign w:val="subscript"/>
          <w14:textFill>
            <w14:solidFill>
              <w14:schemeClr w14:val="tx1"/>
            </w14:solidFill>
          </w14:textFill>
        </w:rPr>
        <w:t>3</w:t>
      </w:r>
      <w:r>
        <w:rPr>
          <w:rFonts w:hint="eastAsia"/>
          <w:bCs/>
          <w:color w:val="000000" w:themeColor="text1"/>
          <w14:textFill>
            <w14:solidFill>
              <w14:schemeClr w14:val="tx1"/>
            </w14:solidFill>
          </w14:textFill>
        </w:rPr>
        <w:t>-N、TN、TP、动植物油。设计进水浓度为</w:t>
      </w:r>
      <w:r>
        <w:rPr>
          <w:bCs/>
          <w:color w:val="000000" w:themeColor="text1"/>
          <w14:textFill>
            <w14:solidFill>
              <w14:schemeClr w14:val="tx1"/>
            </w14:solidFill>
          </w14:textFill>
        </w:rPr>
        <w:t>COD 3000</w:t>
      </w:r>
      <w:r>
        <w:rPr>
          <w:rFonts w:hint="eastAsia"/>
          <w:bCs/>
          <w:color w:val="000000" w:themeColor="text1"/>
          <w14:textFill>
            <w14:solidFill>
              <w14:schemeClr w14:val="tx1"/>
            </w14:solidFill>
          </w14:textFill>
        </w:rPr>
        <w:t>mg/L、B</w:t>
      </w:r>
      <w:r>
        <w:rPr>
          <w:bCs/>
          <w:color w:val="000000" w:themeColor="text1"/>
          <w14:textFill>
            <w14:solidFill>
              <w14:schemeClr w14:val="tx1"/>
            </w14:solidFill>
          </w14:textFill>
        </w:rPr>
        <w:t>OD</w:t>
      </w:r>
      <w:r>
        <w:rPr>
          <w:bCs/>
          <w:color w:val="000000" w:themeColor="text1"/>
          <w:vertAlign w:val="subscript"/>
          <w14:textFill>
            <w14:solidFill>
              <w14:schemeClr w14:val="tx1"/>
            </w14:solidFill>
          </w14:textFill>
        </w:rPr>
        <w:t>5</w:t>
      </w:r>
      <w:r>
        <w:rPr>
          <w:bCs/>
          <w:color w:val="000000" w:themeColor="text1"/>
          <w14:textFill>
            <w14:solidFill>
              <w14:schemeClr w14:val="tx1"/>
            </w14:solidFill>
          </w14:textFill>
        </w:rPr>
        <w:t xml:space="preserve"> 1200</w:t>
      </w:r>
      <w:r>
        <w:rPr>
          <w:rFonts w:hint="eastAsia"/>
          <w:bCs/>
          <w:color w:val="000000" w:themeColor="text1"/>
          <w14:textFill>
            <w14:solidFill>
              <w14:schemeClr w14:val="tx1"/>
            </w14:solidFill>
          </w14:textFill>
        </w:rPr>
        <w:t>mg/L、S</w:t>
      </w:r>
      <w:r>
        <w:rPr>
          <w:bCs/>
          <w:color w:val="000000" w:themeColor="text1"/>
          <w14:textFill>
            <w14:solidFill>
              <w14:schemeClr w14:val="tx1"/>
            </w14:solidFill>
          </w14:textFill>
        </w:rPr>
        <w:t>S 1500</w:t>
      </w:r>
      <w:r>
        <w:rPr>
          <w:rFonts w:hint="eastAsia"/>
          <w:bCs/>
          <w:color w:val="000000" w:themeColor="text1"/>
          <w14:textFill>
            <w14:solidFill>
              <w14:schemeClr w14:val="tx1"/>
            </w14:solidFill>
          </w14:textFill>
        </w:rPr>
        <w:t>mg/L、氨氮</w:t>
      </w:r>
      <w:r>
        <w:rPr>
          <w:bCs/>
          <w:color w:val="000000" w:themeColor="text1"/>
          <w14:textFill>
            <w14:solidFill>
              <w14:schemeClr w14:val="tx1"/>
            </w14:solidFill>
          </w14:textFill>
        </w:rPr>
        <w:t>100</w:t>
      </w:r>
      <w:r>
        <w:rPr>
          <w:rFonts w:hint="eastAsia"/>
          <w:bCs/>
          <w:color w:val="000000" w:themeColor="text1"/>
          <w14:textFill>
            <w14:solidFill>
              <w14:schemeClr w14:val="tx1"/>
            </w14:solidFill>
          </w14:textFill>
        </w:rPr>
        <w:t>mg/L、T</w:t>
      </w:r>
      <w:r>
        <w:rPr>
          <w:bCs/>
          <w:color w:val="000000" w:themeColor="text1"/>
          <w14:textFill>
            <w14:solidFill>
              <w14:schemeClr w14:val="tx1"/>
            </w14:solidFill>
          </w14:textFill>
        </w:rPr>
        <w:t>P 30</w:t>
      </w:r>
      <w:r>
        <w:rPr>
          <w:rFonts w:hint="eastAsia"/>
          <w:bCs/>
          <w:color w:val="000000" w:themeColor="text1"/>
          <w14:textFill>
            <w14:solidFill>
              <w14:schemeClr w14:val="tx1"/>
            </w14:solidFill>
          </w14:textFill>
        </w:rPr>
        <w:t>mg/L、T</w:t>
      </w:r>
      <w:r>
        <w:rPr>
          <w:bCs/>
          <w:color w:val="000000" w:themeColor="text1"/>
          <w14:textFill>
            <w14:solidFill>
              <w14:schemeClr w14:val="tx1"/>
            </w14:solidFill>
          </w14:textFill>
        </w:rPr>
        <w:t>N 200</w:t>
      </w:r>
      <w:r>
        <w:rPr>
          <w:rFonts w:hint="eastAsia"/>
          <w:bCs/>
          <w:color w:val="000000" w:themeColor="text1"/>
          <w14:textFill>
            <w14:solidFill>
              <w14:schemeClr w14:val="tx1"/>
            </w14:solidFill>
          </w14:textFill>
        </w:rPr>
        <w:t>mg/L、动植物油1</w:t>
      </w:r>
      <w:r>
        <w:rPr>
          <w:bCs/>
          <w:color w:val="000000" w:themeColor="text1"/>
          <w14:textFill>
            <w14:solidFill>
              <w14:schemeClr w14:val="tx1"/>
            </w14:solidFill>
          </w14:textFill>
        </w:rPr>
        <w:t>20</w:t>
      </w:r>
      <w:r>
        <w:rPr>
          <w:rFonts w:hint="eastAsia"/>
          <w:bCs/>
          <w:color w:val="000000" w:themeColor="text1"/>
          <w14:textFill>
            <w14:solidFill>
              <w14:schemeClr w14:val="tx1"/>
            </w14:solidFill>
          </w14:textFill>
        </w:rPr>
        <w:t>mg/L，采用“格栅</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集水池+超微过滤机+初沉池+调节池+水解酸化池+</w:t>
      </w:r>
      <w:r>
        <w:rPr>
          <w:color w:val="000000" w:themeColor="text1"/>
          <w:sz w:val="21"/>
          <w:szCs w:val="22"/>
          <w14:textFill>
            <w14:solidFill>
              <w14:schemeClr w14:val="tx1"/>
            </w14:solidFill>
          </w14:textFill>
        </w:rPr>
        <w:t xml:space="preserve"> </w:t>
      </w:r>
      <w:r>
        <w:rPr>
          <w:bCs/>
          <w:color w:val="000000" w:themeColor="text1"/>
          <w14:textFill>
            <w14:solidFill>
              <w14:schemeClr w14:val="tx1"/>
            </w14:solidFill>
          </w14:textFill>
        </w:rPr>
        <w:t>A</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O</w:t>
      </w:r>
      <w:r>
        <w:rPr>
          <w:rFonts w:hint="eastAsia"/>
          <w:bCs/>
          <w:color w:val="000000" w:themeColor="text1"/>
          <w14:textFill>
            <w14:solidFill>
              <w14:schemeClr w14:val="tx1"/>
            </w14:solidFill>
          </w14:textFill>
        </w:rPr>
        <w:t>生化</w:t>
      </w:r>
      <w:r>
        <w:rPr>
          <w:bCs/>
          <w:color w:val="000000" w:themeColor="text1"/>
          <w14:textFill>
            <w14:solidFill>
              <w14:schemeClr w14:val="tx1"/>
            </w14:solidFill>
          </w14:textFill>
        </w:rPr>
        <w:t>池</w:t>
      </w:r>
      <w:r>
        <w:rPr>
          <w:rFonts w:hint="eastAsia"/>
          <w:bCs/>
          <w:color w:val="000000" w:themeColor="text1"/>
          <w14:textFill>
            <w14:solidFill>
              <w14:schemeClr w14:val="tx1"/>
            </w14:solidFill>
          </w14:textFill>
        </w:rPr>
        <w:t>+二沉池+三沉池”工艺处理后，设计出水浓度达到</w:t>
      </w:r>
      <w:r>
        <w:rPr>
          <w:bCs/>
          <w:color w:val="000000" w:themeColor="text1"/>
          <w14:textFill>
            <w14:solidFill>
              <w14:schemeClr w14:val="tx1"/>
            </w14:solidFill>
          </w14:textFill>
        </w:rPr>
        <w:t>COD 73.5</w:t>
      </w:r>
      <w:r>
        <w:rPr>
          <w:rFonts w:hint="eastAsia"/>
          <w:bCs/>
          <w:color w:val="000000" w:themeColor="text1"/>
          <w14:textFill>
            <w14:solidFill>
              <w14:schemeClr w14:val="tx1"/>
            </w14:solidFill>
          </w14:textFill>
        </w:rPr>
        <w:t>mg/L、B</w:t>
      </w:r>
      <w:r>
        <w:rPr>
          <w:bCs/>
          <w:color w:val="000000" w:themeColor="text1"/>
          <w14:textFill>
            <w14:solidFill>
              <w14:schemeClr w14:val="tx1"/>
            </w14:solidFill>
          </w14:textFill>
        </w:rPr>
        <w:t>OD</w:t>
      </w:r>
      <w:r>
        <w:rPr>
          <w:bCs/>
          <w:color w:val="000000" w:themeColor="text1"/>
          <w:vertAlign w:val="subscript"/>
          <w14:textFill>
            <w14:solidFill>
              <w14:schemeClr w14:val="tx1"/>
            </w14:solidFill>
          </w14:textFill>
        </w:rPr>
        <w:t>5</w:t>
      </w:r>
      <w:r>
        <w:rPr>
          <w:bCs/>
          <w:color w:val="000000" w:themeColor="text1"/>
          <w14:textFill>
            <w14:solidFill>
              <w14:schemeClr w14:val="tx1"/>
            </w14:solidFill>
          </w14:textFill>
        </w:rPr>
        <w:t xml:space="preserve"> 17.6</w:t>
      </w:r>
      <w:r>
        <w:rPr>
          <w:rFonts w:hint="eastAsia"/>
          <w:bCs/>
          <w:color w:val="000000" w:themeColor="text1"/>
          <w14:textFill>
            <w14:solidFill>
              <w14:schemeClr w14:val="tx1"/>
            </w14:solidFill>
          </w14:textFill>
        </w:rPr>
        <w:t>mg/L、S</w:t>
      </w:r>
      <w:r>
        <w:rPr>
          <w:bCs/>
          <w:color w:val="000000" w:themeColor="text1"/>
          <w14:textFill>
            <w14:solidFill>
              <w14:schemeClr w14:val="tx1"/>
            </w14:solidFill>
          </w14:textFill>
        </w:rPr>
        <w:t>S 14.4</w:t>
      </w:r>
      <w:r>
        <w:rPr>
          <w:rFonts w:hint="eastAsia"/>
          <w:bCs/>
          <w:color w:val="000000" w:themeColor="text1"/>
          <w14:textFill>
            <w14:solidFill>
              <w14:schemeClr w14:val="tx1"/>
            </w14:solidFill>
          </w14:textFill>
        </w:rPr>
        <w:t>mg/L、氨氮</w:t>
      </w:r>
      <w:r>
        <w:rPr>
          <w:bCs/>
          <w:color w:val="000000" w:themeColor="text1"/>
          <w14:textFill>
            <w14:solidFill>
              <w14:schemeClr w14:val="tx1"/>
            </w14:solidFill>
          </w14:textFill>
        </w:rPr>
        <w:t>19.6</w:t>
      </w:r>
      <w:r>
        <w:rPr>
          <w:rFonts w:hint="eastAsia"/>
          <w:bCs/>
          <w:color w:val="000000" w:themeColor="text1"/>
          <w14:textFill>
            <w14:solidFill>
              <w14:schemeClr w14:val="tx1"/>
            </w14:solidFill>
          </w14:textFill>
        </w:rPr>
        <w:t>mg/L、T</w:t>
      </w:r>
      <w:r>
        <w:rPr>
          <w:bCs/>
          <w:color w:val="000000" w:themeColor="text1"/>
          <w14:textFill>
            <w14:solidFill>
              <w14:schemeClr w14:val="tx1"/>
            </w14:solidFill>
          </w14:textFill>
        </w:rPr>
        <w:t>P 0.8</w:t>
      </w:r>
      <w:r>
        <w:rPr>
          <w:rFonts w:hint="eastAsia"/>
          <w:bCs/>
          <w:color w:val="000000" w:themeColor="text1"/>
          <w14:textFill>
            <w14:solidFill>
              <w14:schemeClr w14:val="tx1"/>
            </w14:solidFill>
          </w14:textFill>
        </w:rPr>
        <w:t>mg/L、T</w:t>
      </w:r>
      <w:r>
        <w:rPr>
          <w:bCs/>
          <w:color w:val="000000" w:themeColor="text1"/>
          <w14:textFill>
            <w14:solidFill>
              <w14:schemeClr w14:val="tx1"/>
            </w14:solidFill>
          </w14:textFill>
        </w:rPr>
        <w:t>N 35.7</w:t>
      </w:r>
      <w:r>
        <w:rPr>
          <w:rFonts w:hint="eastAsia"/>
          <w:bCs/>
          <w:color w:val="000000" w:themeColor="text1"/>
          <w14:textFill>
            <w14:solidFill>
              <w14:schemeClr w14:val="tx1"/>
            </w14:solidFill>
          </w14:textFill>
        </w:rPr>
        <w:t>mg/L、动植物油</w:t>
      </w:r>
      <w:r>
        <w:rPr>
          <w:bCs/>
          <w:color w:val="000000" w:themeColor="text1"/>
          <w14:textFill>
            <w14:solidFill>
              <w14:schemeClr w14:val="tx1"/>
            </w14:solidFill>
          </w14:textFill>
        </w:rPr>
        <w:t>5</w:t>
      </w:r>
      <w:r>
        <w:rPr>
          <w:rFonts w:hint="eastAsia"/>
          <w:bCs/>
          <w:color w:val="000000" w:themeColor="text1"/>
          <w14:textFill>
            <w14:solidFill>
              <w14:schemeClr w14:val="tx1"/>
            </w14:solidFill>
          </w14:textFill>
        </w:rPr>
        <w:t>mg/L，满足原阳县产业集聚区污水处理厂收水标准（</w:t>
      </w:r>
      <w:r>
        <w:rPr>
          <w:bCs/>
          <w:color w:val="000000" w:themeColor="text1"/>
          <w14:textFill>
            <w14:solidFill>
              <w14:schemeClr w14:val="tx1"/>
            </w14:solidFill>
          </w14:textFill>
        </w:rPr>
        <w:t>COD 420</w:t>
      </w:r>
      <w:r>
        <w:rPr>
          <w:rFonts w:hint="eastAsia"/>
          <w:bCs/>
          <w:color w:val="000000" w:themeColor="text1"/>
          <w14:textFill>
            <w14:solidFill>
              <w14:schemeClr w14:val="tx1"/>
            </w14:solidFill>
          </w14:textFill>
        </w:rPr>
        <w:t>mg/L、B</w:t>
      </w:r>
      <w:r>
        <w:rPr>
          <w:bCs/>
          <w:color w:val="000000" w:themeColor="text1"/>
          <w14:textFill>
            <w14:solidFill>
              <w14:schemeClr w14:val="tx1"/>
            </w14:solidFill>
          </w14:textFill>
        </w:rPr>
        <w:t>OD</w:t>
      </w:r>
      <w:r>
        <w:rPr>
          <w:bCs/>
          <w:color w:val="000000" w:themeColor="text1"/>
          <w:vertAlign w:val="subscript"/>
          <w14:textFill>
            <w14:solidFill>
              <w14:schemeClr w14:val="tx1"/>
            </w14:solidFill>
          </w14:textFill>
        </w:rPr>
        <w:t>5</w:t>
      </w:r>
      <w:r>
        <w:rPr>
          <w:bCs/>
          <w:color w:val="000000" w:themeColor="text1"/>
          <w14:textFill>
            <w14:solidFill>
              <w14:schemeClr w14:val="tx1"/>
            </w14:solidFill>
          </w14:textFill>
        </w:rPr>
        <w:t xml:space="preserve"> 210</w:t>
      </w:r>
      <w:r>
        <w:rPr>
          <w:rFonts w:hint="eastAsia"/>
          <w:bCs/>
          <w:color w:val="000000" w:themeColor="text1"/>
          <w14:textFill>
            <w14:solidFill>
              <w14:schemeClr w14:val="tx1"/>
            </w14:solidFill>
          </w14:textFill>
        </w:rPr>
        <w:t>mg/L、S</w:t>
      </w:r>
      <w:r>
        <w:rPr>
          <w:bCs/>
          <w:color w:val="000000" w:themeColor="text1"/>
          <w14:textFill>
            <w14:solidFill>
              <w14:schemeClr w14:val="tx1"/>
            </w14:solidFill>
          </w14:textFill>
        </w:rPr>
        <w:t>S 350</w:t>
      </w:r>
      <w:r>
        <w:rPr>
          <w:rFonts w:hint="eastAsia"/>
          <w:bCs/>
          <w:color w:val="000000" w:themeColor="text1"/>
          <w14:textFill>
            <w14:solidFill>
              <w14:schemeClr w14:val="tx1"/>
            </w14:solidFill>
          </w14:textFill>
        </w:rPr>
        <w:t>mg/L、氨氮</w:t>
      </w:r>
      <w:r>
        <w:rPr>
          <w:bCs/>
          <w:color w:val="000000" w:themeColor="text1"/>
          <w14:textFill>
            <w14:solidFill>
              <w14:schemeClr w14:val="tx1"/>
            </w14:solidFill>
          </w14:textFill>
        </w:rPr>
        <w:t>40</w:t>
      </w:r>
      <w:r>
        <w:rPr>
          <w:rFonts w:hint="eastAsia"/>
          <w:bCs/>
          <w:color w:val="000000" w:themeColor="text1"/>
          <w14:textFill>
            <w14:solidFill>
              <w14:schemeClr w14:val="tx1"/>
            </w14:solidFill>
          </w14:textFill>
        </w:rPr>
        <w:t>mg/L、T</w:t>
      </w:r>
      <w:r>
        <w:rPr>
          <w:bCs/>
          <w:color w:val="000000" w:themeColor="text1"/>
          <w14:textFill>
            <w14:solidFill>
              <w14:schemeClr w14:val="tx1"/>
            </w14:solidFill>
          </w14:textFill>
        </w:rPr>
        <w:t>P 4</w:t>
      </w:r>
      <w:r>
        <w:rPr>
          <w:rFonts w:hint="eastAsia"/>
          <w:bCs/>
          <w:color w:val="000000" w:themeColor="text1"/>
          <w14:textFill>
            <w14:solidFill>
              <w14:schemeClr w14:val="tx1"/>
            </w14:solidFill>
          </w14:textFill>
        </w:rPr>
        <w:t>mg/L、T</w:t>
      </w:r>
      <w:r>
        <w:rPr>
          <w:bCs/>
          <w:color w:val="000000" w:themeColor="text1"/>
          <w14:textFill>
            <w14:solidFill>
              <w14:schemeClr w14:val="tx1"/>
            </w14:solidFill>
          </w14:textFill>
        </w:rPr>
        <w:t>N 50</w:t>
      </w:r>
      <w:r>
        <w:rPr>
          <w:rFonts w:hint="eastAsia"/>
          <w:bCs/>
          <w:color w:val="000000" w:themeColor="text1"/>
          <w14:textFill>
            <w14:solidFill>
              <w14:schemeClr w14:val="tx1"/>
            </w14:solidFill>
          </w14:textFill>
        </w:rPr>
        <w:t>mg/L）和《污水综合排放标准》（G</w:t>
      </w:r>
      <w:r>
        <w:rPr>
          <w:bCs/>
          <w:color w:val="000000" w:themeColor="text1"/>
          <w14:textFill>
            <w14:solidFill>
              <w14:schemeClr w14:val="tx1"/>
            </w14:solidFill>
          </w14:textFill>
        </w:rPr>
        <w:t>B 8978-1996</w:t>
      </w:r>
      <w:r>
        <w:rPr>
          <w:rFonts w:hint="eastAsia"/>
          <w:bCs/>
          <w:color w:val="000000" w:themeColor="text1"/>
          <w14:textFill>
            <w14:solidFill>
              <w14:schemeClr w14:val="tx1"/>
            </w14:solidFill>
          </w14:textFill>
        </w:rPr>
        <w:t>）中二级标准：动植物油1</w:t>
      </w:r>
      <w:r>
        <w:rPr>
          <w:bCs/>
          <w:color w:val="000000" w:themeColor="text1"/>
          <w14:textFill>
            <w14:solidFill>
              <w14:schemeClr w14:val="tx1"/>
            </w14:solidFill>
          </w14:textFill>
        </w:rPr>
        <w:t>5mg/L</w:t>
      </w:r>
      <w:r>
        <w:rPr>
          <w:rFonts w:hint="eastAsia"/>
          <w:bCs/>
          <w:color w:val="000000" w:themeColor="text1"/>
          <w14:textFill>
            <w14:solidFill>
              <w14:schemeClr w14:val="tx1"/>
            </w14:solidFill>
          </w14:textFill>
        </w:rPr>
        <w:t>的标准限值。</w:t>
      </w:r>
    </w:p>
    <w:p>
      <w:pPr>
        <w:pStyle w:val="460"/>
      </w:pPr>
      <w:r>
        <w:t>5.3.3.3 依托污水处理设施的环境可行性</w:t>
      </w:r>
    </w:p>
    <w:p>
      <w:pPr>
        <w:pStyle w:val="457"/>
        <w:rPr>
          <w:color w:val="000000" w:themeColor="text1"/>
          <w:highlight w:val="yellow"/>
          <w14:textFill>
            <w14:solidFill>
              <w14:schemeClr w14:val="tx1"/>
            </w14:solidFill>
          </w14:textFill>
        </w:rPr>
      </w:pPr>
      <w:r>
        <w:rPr>
          <w:color w:val="000000" w:themeColor="text1"/>
          <w14:textFill>
            <w14:solidFill>
              <w14:schemeClr w14:val="tx1"/>
            </w14:solidFill>
          </w14:textFill>
        </w:rPr>
        <w:t>目前该项目区域污水管网已建成，本项目废水经园区污水管网入</w:t>
      </w: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污水处理厂经二次处理后，排入</w:t>
      </w:r>
      <w:r>
        <w:rPr>
          <w:rFonts w:hint="eastAsia"/>
          <w:color w:val="000000" w:themeColor="text1"/>
          <w14:textFill>
            <w14:solidFill>
              <w14:schemeClr w14:val="tx1"/>
            </w14:solidFill>
          </w14:textFill>
        </w:rPr>
        <w:t>东关排，最终汇入文岩渠</w:t>
      </w:r>
      <w:r>
        <w:rPr>
          <w:color w:val="000000" w:themeColor="text1"/>
          <w14:textFill>
            <w14:solidFill>
              <w14:schemeClr w14:val="tx1"/>
            </w14:solidFill>
          </w14:textFill>
        </w:rPr>
        <w:t>。</w:t>
      </w:r>
    </w:p>
    <w:p>
      <w:pPr>
        <w:pStyle w:val="45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污水处理厂概况</w:t>
      </w:r>
    </w:p>
    <w:p>
      <w:pPr>
        <w:pStyle w:val="457"/>
        <w:rPr>
          <w:color w:val="000000" w:themeColor="text1"/>
          <w14:textFill>
            <w14:solidFill>
              <w14:schemeClr w14:val="tx1"/>
            </w14:solidFill>
          </w14:textFill>
        </w:rPr>
      </w:pPr>
      <w:r>
        <w:rPr>
          <w:rFonts w:hint="eastAsia"/>
          <w:color w:val="000000" w:themeColor="text1"/>
          <w14:textFill>
            <w14:solidFill>
              <w14:schemeClr w14:val="tx1"/>
            </w14:solidFill>
          </w14:textFill>
        </w:rPr>
        <w:t>原阳县产业集聚区污水处理厂位于原阳县S</w:t>
      </w:r>
      <w:r>
        <w:rPr>
          <w:color w:val="000000" w:themeColor="text1"/>
          <w14:textFill>
            <w14:solidFill>
              <w14:schemeClr w14:val="tx1"/>
            </w14:solidFill>
          </w14:textFill>
        </w:rPr>
        <w:t>310</w:t>
      </w:r>
      <w:r>
        <w:rPr>
          <w:rFonts w:hint="eastAsia"/>
          <w:color w:val="000000" w:themeColor="text1"/>
          <w14:textFill>
            <w14:solidFill>
              <w14:schemeClr w14:val="tx1"/>
            </w14:solidFill>
          </w14:textFill>
        </w:rPr>
        <w:t>省道与滨河街交叉口南侧，占地面积6</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亩（4</w:t>
      </w:r>
      <w:r>
        <w:rPr>
          <w:color w:val="000000" w:themeColor="text1"/>
          <w14:textFill>
            <w14:solidFill>
              <w14:schemeClr w14:val="tx1"/>
            </w14:solidFill>
          </w14:textFill>
        </w:rPr>
        <w:t>3333.5m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），设计规模3万m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/d，已经建成，收水范围为原阳县产业集聚区，污水处理工艺为“预处理+二级生化处理（多段式A</w:t>
      </w:r>
      <w:r>
        <w:rPr>
          <w:color w:val="000000" w:themeColor="text1"/>
          <w14:textFill>
            <w14:solidFill>
              <w14:schemeClr w14:val="tx1"/>
            </w14:solidFill>
          </w14:textFill>
        </w:rPr>
        <w:t>AO</w:t>
      </w:r>
      <w:r>
        <w:rPr>
          <w:rFonts w:hint="eastAsia"/>
          <w:color w:val="000000" w:themeColor="text1"/>
          <w14:textFill>
            <w14:solidFill>
              <w14:schemeClr w14:val="tx1"/>
            </w14:solidFill>
          </w14:textFill>
        </w:rPr>
        <w:t>生化池）+三级深度处理”，TN、SS指标执行《城镇污水处理厂污染物排放标准》GB18918-2002)中一级A标准（TN</w:t>
      </w:r>
      <w:r>
        <w:rPr>
          <w:color w:val="000000" w:themeColor="text1"/>
          <w14:textFill>
            <w14:solidFill>
              <w14:schemeClr w14:val="tx1"/>
            </w14:solidFill>
          </w14:textFill>
        </w:rPr>
        <w:t xml:space="preserve"> 15</w:t>
      </w:r>
      <w:r>
        <w:rPr>
          <w:rFonts w:hint="eastAsia"/>
          <w:color w:val="000000" w:themeColor="text1"/>
          <w14:textFill>
            <w14:solidFill>
              <w14:schemeClr w14:val="tx1"/>
            </w14:solidFill>
          </w14:textFill>
        </w:rPr>
        <w:t>mg/L、SS</w:t>
      </w:r>
      <w:r>
        <w:rPr>
          <w:color w:val="000000" w:themeColor="text1"/>
          <w14:textFill>
            <w14:solidFill>
              <w14:schemeClr w14:val="tx1"/>
            </w14:solidFill>
          </w14:textFill>
        </w:rPr>
        <w:t xml:space="preserve"> 10</w:t>
      </w:r>
      <w:r>
        <w:rPr>
          <w:rFonts w:hint="eastAsia"/>
          <w:color w:val="000000" w:themeColor="text1"/>
          <w14:textFill>
            <w14:solidFill>
              <w14:schemeClr w14:val="tx1"/>
            </w14:solidFill>
          </w14:textFill>
        </w:rPr>
        <w:t>mg/L），COD、BOD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、NH-N、TP指标执行《地表水环境质量标准》（GB3838-2002）V类水质标准（COD</w:t>
      </w:r>
      <w:r>
        <w:rPr>
          <w:color w:val="000000" w:themeColor="text1"/>
          <w14:textFill>
            <w14:solidFill>
              <w14:schemeClr w14:val="tx1"/>
            </w14:solidFill>
          </w14:textFill>
        </w:rPr>
        <w:t xml:space="preserve"> 40</w:t>
      </w:r>
      <w:r>
        <w:rPr>
          <w:rFonts w:hint="eastAsia"/>
          <w:color w:val="000000" w:themeColor="text1"/>
          <w14:textFill>
            <w14:solidFill>
              <w14:schemeClr w14:val="tx1"/>
            </w14:solidFill>
          </w14:textFill>
        </w:rPr>
        <w:t>mg/L、BOD</w:t>
      </w:r>
      <w:r>
        <w:rPr>
          <w:rFonts w:hint="eastAsia"/>
          <w:color w:val="000000" w:themeColor="text1"/>
          <w:vertAlign w:val="subscript"/>
          <w14:textFill>
            <w14:solidFill>
              <w14:schemeClr w14:val="tx1"/>
            </w14:solidFill>
          </w14:textFill>
        </w:rPr>
        <w:t>5</w:t>
      </w:r>
      <w:r>
        <w:rPr>
          <w:color w:val="000000" w:themeColor="text1"/>
          <w14:textFill>
            <w14:solidFill>
              <w14:schemeClr w14:val="tx1"/>
            </w14:solidFill>
          </w14:textFill>
        </w:rPr>
        <w:t xml:space="preserve"> 10</w:t>
      </w:r>
      <w:r>
        <w:rPr>
          <w:rFonts w:hint="eastAsia"/>
          <w:color w:val="000000" w:themeColor="text1"/>
          <w14:textFill>
            <w14:solidFill>
              <w14:schemeClr w14:val="tx1"/>
            </w14:solidFill>
          </w14:textFill>
        </w:rPr>
        <w:t>mg/L、NH-N</w:t>
      </w:r>
      <w:r>
        <w:rPr>
          <w:color w:val="000000" w:themeColor="text1"/>
          <w14:textFill>
            <w14:solidFill>
              <w14:schemeClr w14:val="tx1"/>
            </w14:solidFill>
          </w14:textFill>
        </w:rPr>
        <w:t xml:space="preserve"> 2</w:t>
      </w:r>
      <w:r>
        <w:rPr>
          <w:rFonts w:hint="eastAsia"/>
          <w:color w:val="000000" w:themeColor="text1"/>
          <w14:textFill>
            <w14:solidFill>
              <w14:schemeClr w14:val="tx1"/>
            </w14:solidFill>
          </w14:textFill>
        </w:rPr>
        <w:t>mg/L、TP</w:t>
      </w:r>
      <w:r>
        <w:rPr>
          <w:color w:val="000000" w:themeColor="text1"/>
          <w14:textFill>
            <w14:solidFill>
              <w14:schemeClr w14:val="tx1"/>
            </w14:solidFill>
          </w14:textFill>
        </w:rPr>
        <w:t xml:space="preserve"> 0.4</w:t>
      </w:r>
      <w:r>
        <w:rPr>
          <w:rFonts w:hint="eastAsia"/>
          <w:color w:val="000000" w:themeColor="text1"/>
          <w14:textFill>
            <w14:solidFill>
              <w14:schemeClr w14:val="tx1"/>
            </w14:solidFill>
          </w14:textFill>
        </w:rPr>
        <w:t>mg/L），排水进入东关排，最终汇入文岩渠。</w:t>
      </w:r>
    </w:p>
    <w:p>
      <w:pPr>
        <w:pStyle w:val="457"/>
        <w:rPr>
          <w:color w:val="000000" w:themeColor="text1"/>
          <w14:textFill>
            <w14:solidFill>
              <w14:schemeClr w14:val="tx1"/>
            </w14:solidFill>
          </w14:textFill>
        </w:rPr>
      </w:pPr>
      <w:r>
        <w:rPr>
          <w:color w:val="000000" w:themeColor="text1"/>
          <w14:textFill>
            <w14:solidFill>
              <w14:schemeClr w14:val="tx1"/>
            </w14:solidFill>
          </w14:textFill>
        </w:rPr>
        <w:t>（2）废水进入</w:t>
      </w: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污水处理厂的可行性分析</w:t>
      </w:r>
    </w:p>
    <w:p>
      <w:pPr>
        <w:pStyle w:val="457"/>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收水范围</w:t>
      </w:r>
    </w:p>
    <w:p>
      <w:pPr>
        <w:pStyle w:val="457"/>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原阳县产业集聚区污水处理厂位于原阳县S</w:t>
      </w:r>
      <w:r>
        <w:rPr>
          <w:color w:val="000000" w:themeColor="text1"/>
          <w14:textFill>
            <w14:solidFill>
              <w14:schemeClr w14:val="tx1"/>
            </w14:solidFill>
          </w14:textFill>
        </w:rPr>
        <w:t>310</w:t>
      </w:r>
      <w:r>
        <w:rPr>
          <w:rFonts w:hint="eastAsia"/>
          <w:color w:val="000000" w:themeColor="text1"/>
          <w14:textFill>
            <w14:solidFill>
              <w14:schemeClr w14:val="tx1"/>
            </w14:solidFill>
          </w14:textFill>
        </w:rPr>
        <w:t>省道与滨河街交叉口南侧，收水范围为原阳县产业集聚区。本项目位于原阳县产业集聚区，在原阳县产业集聚区污水处理厂收水范围内。</w:t>
      </w:r>
    </w:p>
    <w:p>
      <w:pPr>
        <w:pStyle w:val="457"/>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管网铺设</w:t>
      </w:r>
    </w:p>
    <w:p>
      <w:pPr>
        <w:pStyle w:val="457"/>
        <w:rPr>
          <w:color w:val="000000" w:themeColor="text1"/>
          <w14:textFill>
            <w14:solidFill>
              <w14:schemeClr w14:val="tx1"/>
            </w14:solidFill>
          </w14:textFill>
        </w:rPr>
      </w:pPr>
      <w:r>
        <w:rPr>
          <w:rFonts w:hint="eastAsia"/>
          <w:color w:val="000000" w:themeColor="text1"/>
          <w14:textFill>
            <w14:solidFill>
              <w14:schemeClr w14:val="tx1"/>
            </w14:solidFill>
          </w14:textFill>
        </w:rPr>
        <w:t>目前，原阳县产业集聚区污水管网已覆盖本项目厂址区域。本项目废水</w:t>
      </w:r>
      <w:r>
        <w:rPr>
          <w:color w:val="000000" w:themeColor="text1"/>
          <w14:textFill>
            <w14:solidFill>
              <w14:schemeClr w14:val="tx1"/>
            </w14:solidFill>
          </w14:textFill>
        </w:rPr>
        <w:t>进入</w:t>
      </w: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污水处理厂不存在管网制约因素。</w:t>
      </w:r>
    </w:p>
    <w:p>
      <w:pPr>
        <w:pStyle w:val="457"/>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水量</w:t>
      </w:r>
    </w:p>
    <w:p>
      <w:pPr>
        <w:pStyle w:val="457"/>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原阳县产业集聚区污水处理厂设计规模3万m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污水处理厂2023年</w:t>
      </w:r>
      <w:r>
        <w:rPr>
          <w:rFonts w:hint="eastAsia"/>
          <w:color w:val="000000" w:themeColor="text1"/>
          <w14:textFill>
            <w14:solidFill>
              <w14:schemeClr w14:val="tx1"/>
            </w14:solidFill>
          </w14:textFill>
        </w:rPr>
        <w:t>排污许可证执行年报可知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023</w:t>
      </w:r>
      <w:r>
        <w:rPr>
          <w:rFonts w:hint="eastAsia"/>
          <w:color w:val="000000" w:themeColor="text1"/>
          <w14:textFill>
            <w14:solidFill>
              <w14:schemeClr w14:val="tx1"/>
            </w14:solidFill>
          </w14:textFill>
        </w:rPr>
        <w:t>年原阳县产业集聚区污水处理厂废水处理量均值为</w:t>
      </w:r>
      <w:r>
        <w:rPr>
          <w:color w:val="000000" w:themeColor="text1"/>
          <w14:textFill>
            <w14:solidFill>
              <w14:schemeClr w14:val="tx1"/>
            </w14:solidFill>
          </w14:textFill>
        </w:rPr>
        <w:t>18800.92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/d。原阳县产业集聚区污水处理厂剩余处理能力为</w:t>
      </w:r>
      <w:r>
        <w:rPr>
          <w:color w:val="000000" w:themeColor="text1"/>
          <w14:textFill>
            <w14:solidFill>
              <w14:schemeClr w14:val="tx1"/>
            </w14:solidFill>
          </w14:textFill>
        </w:rPr>
        <w:t>11199.08</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设计</w:t>
      </w:r>
      <w:r>
        <w:rPr>
          <w:color w:val="000000" w:themeColor="text1"/>
          <w14:textFill>
            <w14:solidFill>
              <w14:schemeClr w14:val="tx1"/>
            </w14:solidFill>
          </w14:textFill>
        </w:rPr>
        <w:t>外排废水</w:t>
      </w:r>
      <w:r>
        <w:rPr>
          <w:rFonts w:hint="eastAsia"/>
          <w:color w:val="000000" w:themeColor="text1"/>
          <w14:textFill>
            <w14:solidFill>
              <w14:schemeClr w14:val="tx1"/>
            </w14:solidFill>
          </w14:textFill>
        </w:rPr>
        <w:t>量为</w:t>
      </w:r>
      <w:r>
        <w:rPr>
          <w:color w:val="000000" w:themeColor="text1"/>
          <w14:textFill>
            <w14:solidFill>
              <w14:schemeClr w14:val="tx1"/>
            </w14:solidFill>
          </w14:textFill>
        </w:rPr>
        <w:t>2000m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/d，占</w:t>
      </w:r>
      <w:r>
        <w:rPr>
          <w:rFonts w:hint="eastAsia"/>
          <w:color w:val="000000" w:themeColor="text1"/>
          <w14:textFill>
            <w14:solidFill>
              <w14:schemeClr w14:val="tx1"/>
            </w14:solidFill>
          </w14:textFill>
        </w:rPr>
        <w:t>污水处理厂剩余处理能力</w:t>
      </w:r>
      <w:r>
        <w:rPr>
          <w:color w:val="000000" w:themeColor="text1"/>
          <w14:textFill>
            <w14:solidFill>
              <w14:schemeClr w14:val="tx1"/>
            </w14:solidFill>
          </w14:textFill>
        </w:rPr>
        <w:t>的17.86%，满足项目处理的需要，</w:t>
      </w:r>
      <w:r>
        <w:rPr>
          <w:rFonts w:hint="eastAsia"/>
          <w:color w:val="000000" w:themeColor="text1"/>
          <w14:textFill>
            <w14:solidFill>
              <w14:schemeClr w14:val="tx1"/>
            </w14:solidFill>
          </w14:textFill>
        </w:rPr>
        <w:t>在本项目负荷运行的情况下，排入污水处理厂的水量仍然在污水处理厂的设计处理水量之内，</w:t>
      </w:r>
      <w:r>
        <w:rPr>
          <w:color w:val="000000" w:themeColor="text1"/>
          <w14:textFill>
            <w14:solidFill>
              <w14:schemeClr w14:val="tx1"/>
            </w14:solidFill>
          </w14:textFill>
        </w:rPr>
        <w:t>可以稳定达标排放。</w:t>
      </w:r>
    </w:p>
    <w:p>
      <w:pPr>
        <w:pStyle w:val="457"/>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水质</w:t>
      </w:r>
    </w:p>
    <w:p>
      <w:pPr>
        <w:pStyle w:val="457"/>
        <w:rPr>
          <w:rFonts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项目排水水质与</w:t>
      </w:r>
      <w:r>
        <w:rPr>
          <w:rFonts w:hint="eastAsia"/>
          <w:color w:val="000000" w:themeColor="text1"/>
          <w14:textFill>
            <w14:solidFill>
              <w14:schemeClr w14:val="tx1"/>
            </w14:solidFill>
          </w14:textFill>
        </w:rPr>
        <w:t>原阳县产业集聚区</w:t>
      </w:r>
      <w:r>
        <w:rPr>
          <w:color w:val="000000" w:themeColor="text1"/>
          <w:szCs w:val="21"/>
          <w14:textFill>
            <w14:solidFill>
              <w14:schemeClr w14:val="tx1"/>
            </w14:solidFill>
          </w14:textFill>
        </w:rPr>
        <w:t>污水处理厂</w:t>
      </w:r>
      <w:r>
        <w:rPr>
          <w:color w:val="000000" w:themeColor="text1"/>
          <w14:textFill>
            <w14:solidFill>
              <w14:schemeClr w14:val="tx1"/>
            </w14:solidFill>
          </w14:textFill>
        </w:rPr>
        <w:t>收水水质对比见下表</w:t>
      </w:r>
      <w:r>
        <w:rPr>
          <w:rFonts w:eastAsia="等线"/>
          <w:color w:val="000000" w:themeColor="text1"/>
          <w14:textFill>
            <w14:solidFill>
              <w14:schemeClr w14:val="tx1"/>
            </w14:solidFill>
          </w14:textFill>
        </w:rPr>
        <w:t>。</w:t>
      </w:r>
    </w:p>
    <w:p>
      <w:pPr>
        <w:pStyle w:val="632"/>
        <w:rPr>
          <w:color w:val="000000" w:themeColor="text1"/>
          <w14:textFill>
            <w14:solidFill>
              <w14:schemeClr w14:val="tx1"/>
            </w14:solidFill>
          </w14:textFill>
        </w:rPr>
      </w:pPr>
      <w:r>
        <w:rPr>
          <w:color w:val="000000" w:themeColor="text1"/>
          <w14:textFill>
            <w14:solidFill>
              <w14:schemeClr w14:val="tx1"/>
            </w14:solidFill>
          </w14:textFill>
        </w:rPr>
        <w:t>表5.3-2  项目排水与</w:t>
      </w:r>
      <w:r>
        <w:rPr>
          <w:rFonts w:hint="eastAsia"/>
          <w:color w:val="000000" w:themeColor="text1"/>
          <w:szCs w:val="21"/>
          <w14:textFill>
            <w14:solidFill>
              <w14:schemeClr w14:val="tx1"/>
            </w14:solidFill>
          </w14:textFill>
        </w:rPr>
        <w:t>原阳县产业集聚区</w:t>
      </w:r>
      <w:r>
        <w:rPr>
          <w:color w:val="000000" w:themeColor="text1"/>
          <w:szCs w:val="21"/>
          <w14:textFill>
            <w14:solidFill>
              <w14:schemeClr w14:val="tx1"/>
            </w14:solidFill>
          </w14:textFill>
        </w:rPr>
        <w:t>污水处理厂</w:t>
      </w:r>
      <w:r>
        <w:rPr>
          <w:color w:val="000000" w:themeColor="text1"/>
          <w14:textFill>
            <w14:solidFill>
              <w14:schemeClr w14:val="tx1"/>
            </w14:solidFill>
          </w14:textFill>
        </w:rPr>
        <w:t>收水水质对比</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单位：mg/L</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2279"/>
        <w:gridCol w:w="858"/>
        <w:gridCol w:w="847"/>
        <w:gridCol w:w="1005"/>
        <w:gridCol w:w="1005"/>
        <w:gridCol w:w="1010"/>
        <w:gridCol w:w="1005"/>
        <w:gridCol w:w="77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297" w:type="pct"/>
            <w:vAlign w:val="center"/>
          </w:tcPr>
          <w:p>
            <w:pPr>
              <w:pStyle w:val="94"/>
              <w:rPr>
                <w:rFonts w:cs="Times New Roman"/>
                <w:color w:val="000000" w:themeColor="text1"/>
                <w:kern w:val="0"/>
                <w14:textFill>
                  <w14:solidFill>
                    <w14:schemeClr w14:val="tx1"/>
                  </w14:solidFill>
                </w14:textFill>
              </w:rPr>
            </w:pPr>
            <w:r>
              <w:rPr>
                <w:rFonts w:cs="Times New Roman"/>
                <w:color w:val="000000" w:themeColor="text1"/>
                <w:kern w:val="0"/>
                <w14:textFill>
                  <w14:solidFill>
                    <w14:schemeClr w14:val="tx1"/>
                  </w14:solidFill>
                </w14:textFill>
              </w:rPr>
              <w:t>项目</w:t>
            </w:r>
          </w:p>
        </w:tc>
        <w:tc>
          <w:tcPr>
            <w:tcW w:w="488"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w:t>
            </w:r>
          </w:p>
        </w:tc>
        <w:tc>
          <w:tcPr>
            <w:tcW w:w="482"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COD</w:t>
            </w:r>
          </w:p>
        </w:tc>
        <w:tc>
          <w:tcPr>
            <w:tcW w:w="572" w:type="pct"/>
            <w:vAlign w:val="center"/>
          </w:tcPr>
          <w:p>
            <w:pPr>
              <w:pStyle w:val="94"/>
              <w:rPr>
                <w:rFonts w:cs="Times New Roman"/>
                <w:color w:val="000000" w:themeColor="text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572"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SS</w:t>
            </w:r>
          </w:p>
        </w:tc>
        <w:tc>
          <w:tcPr>
            <w:tcW w:w="575"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w:t>
            </w:r>
          </w:p>
        </w:tc>
        <w:tc>
          <w:tcPr>
            <w:tcW w:w="572"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TN</w:t>
            </w:r>
          </w:p>
        </w:tc>
        <w:tc>
          <w:tcPr>
            <w:tcW w:w="443"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297"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r>
              <w:rPr>
                <w:color w:val="000000" w:themeColor="text1"/>
                <w14:textFill>
                  <w14:solidFill>
                    <w14:schemeClr w14:val="tx1"/>
                  </w14:solidFill>
                </w14:textFill>
              </w:rPr>
              <w:t>总排口</w:t>
            </w:r>
          </w:p>
        </w:tc>
        <w:tc>
          <w:tcPr>
            <w:tcW w:w="488"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6-9</w:t>
            </w:r>
          </w:p>
        </w:tc>
        <w:tc>
          <w:tcPr>
            <w:tcW w:w="48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105</w:t>
            </w:r>
          </w:p>
        </w:tc>
        <w:tc>
          <w:tcPr>
            <w:tcW w:w="57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5.2</w:t>
            </w:r>
          </w:p>
        </w:tc>
        <w:tc>
          <w:tcPr>
            <w:tcW w:w="57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36</w:t>
            </w:r>
          </w:p>
        </w:tc>
        <w:tc>
          <w:tcPr>
            <w:tcW w:w="575"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17</w:t>
            </w:r>
          </w:p>
        </w:tc>
        <w:tc>
          <w:tcPr>
            <w:tcW w:w="57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34</w:t>
            </w:r>
          </w:p>
        </w:tc>
        <w:tc>
          <w:tcPr>
            <w:tcW w:w="44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297"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污水处理厂收水水质要求</w:t>
            </w:r>
          </w:p>
        </w:tc>
        <w:tc>
          <w:tcPr>
            <w:tcW w:w="488"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6-9</w:t>
            </w:r>
          </w:p>
        </w:tc>
        <w:tc>
          <w:tcPr>
            <w:tcW w:w="48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420</w:t>
            </w:r>
          </w:p>
        </w:tc>
        <w:tc>
          <w:tcPr>
            <w:tcW w:w="57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10</w:t>
            </w:r>
          </w:p>
        </w:tc>
        <w:tc>
          <w:tcPr>
            <w:tcW w:w="572"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50</w:t>
            </w:r>
          </w:p>
        </w:tc>
        <w:tc>
          <w:tcPr>
            <w:tcW w:w="575"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40</w:t>
            </w:r>
          </w:p>
        </w:tc>
        <w:tc>
          <w:tcPr>
            <w:tcW w:w="572"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50</w:t>
            </w:r>
          </w:p>
        </w:tc>
        <w:tc>
          <w:tcPr>
            <w:tcW w:w="443"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297"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对标结果</w:t>
            </w:r>
          </w:p>
        </w:tc>
        <w:tc>
          <w:tcPr>
            <w:tcW w:w="488" w:type="pct"/>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达标</w:t>
            </w:r>
          </w:p>
        </w:tc>
        <w:tc>
          <w:tcPr>
            <w:tcW w:w="482" w:type="pct"/>
            <w:vAlign w:val="center"/>
          </w:tcPr>
          <w:p>
            <w:pPr>
              <w:pStyle w:val="90"/>
              <w:rPr>
                <w:color w:val="000000" w:themeColor="text1"/>
                <w14:textFill>
                  <w14:solidFill>
                    <w14:schemeClr w14:val="tx1"/>
                  </w14:solidFill>
                </w14:textFill>
              </w:rPr>
            </w:pPr>
            <w:r>
              <w:rPr>
                <w:bCs/>
                <w:color w:val="000000" w:themeColor="text1"/>
                <w14:textFill>
                  <w14:solidFill>
                    <w14:schemeClr w14:val="tx1"/>
                  </w14:solidFill>
                </w14:textFill>
              </w:rPr>
              <w:t>达标</w:t>
            </w:r>
          </w:p>
        </w:tc>
        <w:tc>
          <w:tcPr>
            <w:tcW w:w="572" w:type="pct"/>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达标</w:t>
            </w:r>
          </w:p>
        </w:tc>
        <w:tc>
          <w:tcPr>
            <w:tcW w:w="572" w:type="pct"/>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达标</w:t>
            </w:r>
          </w:p>
        </w:tc>
        <w:tc>
          <w:tcPr>
            <w:tcW w:w="575" w:type="pct"/>
            <w:vAlign w:val="center"/>
          </w:tcPr>
          <w:p>
            <w:pPr>
              <w:pStyle w:val="90"/>
              <w:rPr>
                <w:color w:val="000000" w:themeColor="text1"/>
                <w14:textFill>
                  <w14:solidFill>
                    <w14:schemeClr w14:val="tx1"/>
                  </w14:solidFill>
                </w14:textFill>
              </w:rPr>
            </w:pPr>
            <w:r>
              <w:rPr>
                <w:bCs/>
                <w:color w:val="000000" w:themeColor="text1"/>
                <w14:textFill>
                  <w14:solidFill>
                    <w14:schemeClr w14:val="tx1"/>
                  </w14:solidFill>
                </w14:textFill>
              </w:rPr>
              <w:t>达标</w:t>
            </w:r>
          </w:p>
        </w:tc>
        <w:tc>
          <w:tcPr>
            <w:tcW w:w="572" w:type="pct"/>
            <w:vAlign w:val="center"/>
          </w:tcPr>
          <w:p>
            <w:pPr>
              <w:pStyle w:val="90"/>
              <w:rPr>
                <w:color w:val="000000" w:themeColor="text1"/>
                <w14:textFill>
                  <w14:solidFill>
                    <w14:schemeClr w14:val="tx1"/>
                  </w14:solidFill>
                </w14:textFill>
              </w:rPr>
            </w:pPr>
            <w:r>
              <w:rPr>
                <w:bCs/>
                <w:color w:val="000000" w:themeColor="text1"/>
                <w14:textFill>
                  <w14:solidFill>
                    <w14:schemeClr w14:val="tx1"/>
                  </w14:solidFill>
                </w14:textFill>
              </w:rPr>
              <w:t>达标</w:t>
            </w:r>
          </w:p>
        </w:tc>
        <w:tc>
          <w:tcPr>
            <w:tcW w:w="443" w:type="pct"/>
            <w:vAlign w:val="center"/>
          </w:tcPr>
          <w:p>
            <w:pPr>
              <w:pStyle w:val="90"/>
              <w:rPr>
                <w:bCs/>
                <w:color w:val="000000" w:themeColor="text1"/>
                <w14:textFill>
                  <w14:solidFill>
                    <w14:schemeClr w14:val="tx1"/>
                  </w14:solidFill>
                </w14:textFill>
              </w:rPr>
            </w:pPr>
            <w:r>
              <w:rPr>
                <w:bCs/>
                <w:color w:val="000000" w:themeColor="text1"/>
                <w14:textFill>
                  <w14:solidFill>
                    <w14:schemeClr w14:val="tx1"/>
                  </w14:solidFill>
                </w14:textFill>
              </w:rPr>
              <w:t>达标</w:t>
            </w:r>
          </w:p>
        </w:tc>
      </w:tr>
    </w:tbl>
    <w:p>
      <w:pPr>
        <w:pStyle w:val="457"/>
        <w:rPr>
          <w:color w:val="000000" w:themeColor="text1"/>
          <w14:textFill>
            <w14:solidFill>
              <w14:schemeClr w14:val="tx1"/>
            </w14:solidFill>
          </w14:textFill>
        </w:rPr>
      </w:pPr>
      <w:r>
        <w:rPr>
          <w:color w:val="000000" w:themeColor="text1"/>
          <w14:textFill>
            <w14:solidFill>
              <w14:schemeClr w14:val="tx1"/>
            </w14:solidFill>
          </w14:textFill>
        </w:rPr>
        <w:t>由上表可知，</w:t>
      </w:r>
      <w:r>
        <w:rPr>
          <w:rFonts w:hint="eastAsia"/>
          <w:color w:val="000000" w:themeColor="text1"/>
          <w14:textFill>
            <w14:solidFill>
              <w14:schemeClr w14:val="tx1"/>
            </w14:solidFill>
          </w14:textFill>
        </w:rPr>
        <w:t>本项目外排</w:t>
      </w:r>
      <w:r>
        <w:rPr>
          <w:color w:val="000000" w:themeColor="text1"/>
          <w14:textFill>
            <w14:solidFill>
              <w14:schemeClr w14:val="tx1"/>
            </w14:solidFill>
          </w14:textFill>
        </w:rPr>
        <w:t>水质能够满足</w:t>
      </w: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污水处理厂进水水质要求。评价认为本项目废水排放不会对</w:t>
      </w: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污水处理厂系统造成冲击或其他不利影响。</w:t>
      </w:r>
    </w:p>
    <w:p>
      <w:pPr>
        <w:pStyle w:val="457"/>
        <w:rPr>
          <w:color w:val="000000" w:themeColor="text1"/>
          <w14:textFill>
            <w14:solidFill>
              <w14:schemeClr w14:val="tx1"/>
            </w14:solidFill>
          </w14:textFill>
        </w:rPr>
      </w:pPr>
      <w:r>
        <w:rPr>
          <w:color w:val="000000" w:themeColor="text1"/>
          <w14:textFill>
            <w14:solidFill>
              <w14:schemeClr w14:val="tx1"/>
            </w14:solidFill>
          </w14:textFill>
        </w:rPr>
        <w:t>综上所述，本工程废水进入</w:t>
      </w: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污水处理厂处理的方案可行。</w:t>
      </w:r>
    </w:p>
    <w:p>
      <w:pPr>
        <w:pStyle w:val="457"/>
        <w:rPr>
          <w:color w:val="000000" w:themeColor="text1"/>
          <w14:textFill>
            <w14:solidFill>
              <w14:schemeClr w14:val="tx1"/>
            </w14:solidFill>
          </w14:textFill>
        </w:rPr>
      </w:pPr>
      <w:r>
        <w:rPr>
          <w:color w:val="000000" w:themeColor="text1"/>
          <w14:textFill>
            <w14:solidFill>
              <w14:schemeClr w14:val="tx1"/>
            </w14:solidFill>
          </w14:textFill>
        </w:rPr>
        <w:t>（3）依托污水处理厂稳定达标排放分析</w:t>
      </w:r>
    </w:p>
    <w:p>
      <w:pPr>
        <w:pStyle w:val="457"/>
        <w:rPr>
          <w:color w:val="000000" w:themeColor="text1"/>
          <w:highlight w:val="yellow"/>
          <w14:textFill>
            <w14:solidFill>
              <w14:schemeClr w14:val="tx1"/>
            </w14:solidFill>
          </w14:textFill>
        </w:rPr>
      </w:pPr>
      <w:r>
        <w:rPr>
          <w:color w:val="000000" w:themeColor="text1"/>
          <w14:textFill>
            <w14:solidFill>
              <w14:schemeClr w14:val="tx1"/>
            </w14:solidFill>
          </w14:textFill>
        </w:rPr>
        <w:t>本项目废水经</w:t>
      </w: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污水处理厂处理后，</w:t>
      </w:r>
      <w:r>
        <w:rPr>
          <w:rFonts w:hint="eastAsia"/>
          <w:color w:val="000000" w:themeColor="text1"/>
          <w14:textFill>
            <w14:solidFill>
              <w14:schemeClr w14:val="tx1"/>
            </w14:solidFill>
          </w14:textFill>
        </w:rPr>
        <w:t>排入东关排，</w:t>
      </w:r>
      <w:r>
        <w:rPr>
          <w:color w:val="000000" w:themeColor="text1"/>
          <w14:textFill>
            <w14:solidFill>
              <w14:schemeClr w14:val="tx1"/>
            </w14:solidFill>
          </w14:textFill>
        </w:rPr>
        <w:t>最终汇入</w:t>
      </w:r>
      <w:r>
        <w:rPr>
          <w:rFonts w:hint="eastAsia"/>
          <w:color w:val="000000" w:themeColor="text1"/>
          <w14:textFill>
            <w14:solidFill>
              <w14:schemeClr w14:val="tx1"/>
            </w14:solidFill>
          </w14:textFill>
        </w:rPr>
        <w:t>文岩渠</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污水处理厂2023年</w:t>
      </w:r>
      <w:r>
        <w:t>7</w:t>
      </w:r>
      <w:r>
        <w:rPr>
          <w:rFonts w:hint="eastAsia"/>
        </w:rPr>
        <w:t>月-</w:t>
      </w:r>
      <w:r>
        <w:t>12排污许可证执行</w:t>
      </w:r>
      <w:r>
        <w:rPr>
          <w:rFonts w:hint="eastAsia"/>
        </w:rPr>
        <w:t>月</w:t>
      </w:r>
      <w:r>
        <w:t>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出水数量及水质见下表。</w:t>
      </w:r>
    </w:p>
    <w:p>
      <w:pPr>
        <w:pStyle w:val="632"/>
        <w:rPr>
          <w:color w:val="000000" w:themeColor="text1"/>
          <w14:textFill>
            <w14:solidFill>
              <w14:schemeClr w14:val="tx1"/>
            </w14:solidFill>
          </w14:textFill>
        </w:rPr>
      </w:pPr>
      <w:r>
        <w:rPr>
          <w:color w:val="000000" w:themeColor="text1"/>
          <w14:textFill>
            <w14:solidFill>
              <w14:schemeClr w14:val="tx1"/>
            </w14:solidFill>
          </w14:textFill>
        </w:rPr>
        <w:t xml:space="preserve">表5.3-3    </w:t>
      </w: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w:t>
      </w:r>
      <w:r>
        <w:rPr>
          <w:rFonts w:hint="eastAsia"/>
          <w:color w:val="000000" w:themeColor="text1"/>
          <w14:textFill>
            <w14:solidFill>
              <w14:schemeClr w14:val="tx1"/>
            </w14:solidFill>
          </w14:textFill>
        </w:rPr>
        <w:t>进</w:t>
      </w:r>
      <w:r>
        <w:rPr>
          <w:color w:val="000000" w:themeColor="text1"/>
          <w14:textFill>
            <w14:solidFill>
              <w14:schemeClr w14:val="tx1"/>
            </w14:solidFill>
          </w14:textFill>
        </w:rPr>
        <w:t>出水</w:t>
      </w:r>
      <w:r>
        <w:rPr>
          <w:rFonts w:hint="eastAsia"/>
          <w:color w:val="000000" w:themeColor="text1"/>
          <w14:textFill>
            <w14:solidFill>
              <w14:schemeClr w14:val="tx1"/>
            </w14:solidFill>
          </w14:textFill>
        </w:rPr>
        <w:t>运行情况</w:t>
      </w:r>
      <w:r>
        <w:rPr>
          <w:color w:val="000000" w:themeColor="text1"/>
          <w14:textFill>
            <w14:solidFill>
              <w14:schemeClr w14:val="tx1"/>
            </w14:solidFill>
          </w14:textFill>
        </w:rPr>
        <w:t>一览表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745"/>
        <w:gridCol w:w="1745"/>
        <w:gridCol w:w="1576"/>
        <w:gridCol w:w="1358"/>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vMerge w:val="restart"/>
            <w:tcBorders>
              <w:top w:val="single" w:color="auto" w:sz="4" w:space="0"/>
              <w:left w:val="single" w:color="auto" w:sz="4" w:space="0"/>
              <w:right w:val="single" w:color="auto" w:sz="4" w:space="0"/>
            </w:tcBorders>
            <w:noWrap/>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时间</w:t>
            </w:r>
          </w:p>
        </w:tc>
        <w:tc>
          <w:tcPr>
            <w:tcW w:w="975" w:type="pct"/>
            <w:vMerge w:val="restart"/>
            <w:tcBorders>
              <w:top w:val="single" w:color="auto" w:sz="4" w:space="0"/>
              <w:left w:val="single" w:color="auto" w:sz="4" w:space="0"/>
              <w:right w:val="single" w:color="auto" w:sz="4"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水量均值m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/d</w:t>
            </w:r>
          </w:p>
        </w:tc>
        <w:tc>
          <w:tcPr>
            <w:tcW w:w="3377" w:type="pct"/>
            <w:gridSpan w:val="4"/>
            <w:tcBorders>
              <w:top w:val="single" w:color="auto" w:sz="4" w:space="0"/>
              <w:left w:val="single" w:color="auto" w:sz="4" w:space="0"/>
              <w:bottom w:val="single" w:color="auto" w:sz="4" w:space="0"/>
              <w:right w:val="single" w:color="auto" w:sz="4"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污水处理厂2023年7-12月</w:t>
            </w:r>
            <w:r>
              <w:rPr>
                <w:rFonts w:hint="eastAsia"/>
                <w:b/>
                <w:bCs/>
                <w:color w:val="000000" w:themeColor="text1"/>
                <w:szCs w:val="21"/>
                <w14:textFill>
                  <w14:solidFill>
                    <w14:schemeClr w14:val="tx1"/>
                  </w14:solidFill>
                </w14:textFill>
              </w:rPr>
              <w:t>出水</w:t>
            </w:r>
            <w:r>
              <w:rPr>
                <w:b/>
                <w:bCs/>
                <w:color w:val="000000" w:themeColor="text1"/>
                <w:szCs w:val="21"/>
                <w14:textFill>
                  <w14:solidFill>
                    <w14:schemeClr w14:val="tx1"/>
                  </w14:solidFill>
                </w14:textFill>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vMerge w:val="continue"/>
            <w:tcBorders>
              <w:left w:val="single" w:color="auto" w:sz="4" w:space="0"/>
              <w:bottom w:val="single" w:color="auto" w:sz="4" w:space="0"/>
              <w:right w:val="single" w:color="auto" w:sz="4" w:space="0"/>
            </w:tcBorders>
            <w:vAlign w:val="center"/>
          </w:tcPr>
          <w:p>
            <w:pPr>
              <w:widowControl/>
              <w:jc w:val="center"/>
              <w:rPr>
                <w:b/>
                <w:bCs/>
                <w:color w:val="000000" w:themeColor="text1"/>
                <w:szCs w:val="21"/>
                <w:highlight w:val="yellow"/>
                <w14:textFill>
                  <w14:solidFill>
                    <w14:schemeClr w14:val="tx1"/>
                  </w14:solidFill>
                </w14:textFill>
              </w:rPr>
            </w:pPr>
          </w:p>
        </w:tc>
        <w:tc>
          <w:tcPr>
            <w:tcW w:w="975" w:type="pct"/>
            <w:vMerge w:val="continue"/>
            <w:tcBorders>
              <w:left w:val="single" w:color="auto" w:sz="4" w:space="0"/>
              <w:bottom w:val="single" w:color="auto" w:sz="4" w:space="0"/>
              <w:right w:val="single" w:color="auto" w:sz="4" w:space="0"/>
            </w:tcBorders>
            <w:vAlign w:val="center"/>
          </w:tcPr>
          <w:p>
            <w:pPr>
              <w:widowControl/>
              <w:jc w:val="center"/>
              <w:rPr>
                <w:b/>
                <w:bCs/>
                <w:color w:val="000000" w:themeColor="text1"/>
                <w:szCs w:val="21"/>
                <w:highlight w:val="yellow"/>
                <w14:textFill>
                  <w14:solidFill>
                    <w14:schemeClr w14:val="tx1"/>
                  </w14:solidFill>
                </w14:textFill>
              </w:rPr>
            </w:pP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COD均值</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氨氮均值</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总氮均值</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总磷均值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2023-07</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2</w:t>
            </w:r>
            <w:r>
              <w:rPr>
                <w:szCs w:val="21"/>
              </w:rPr>
              <w:t>1654.36</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7</w:t>
            </w:r>
            <w:r>
              <w:rPr>
                <w:szCs w:val="21"/>
              </w:rPr>
              <w:t>.02</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0</w:t>
            </w:r>
            <w:r>
              <w:rPr>
                <w:szCs w:val="21"/>
              </w:rPr>
              <w:t>.07681</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5</w:t>
            </w:r>
            <w:r>
              <w:rPr>
                <w:szCs w:val="21"/>
              </w:rPr>
              <w:t>.442</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0</w:t>
            </w:r>
            <w:r>
              <w:rPr>
                <w:szCs w:val="21"/>
              </w:rPr>
              <w:t>.1766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2023-08</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szCs w:val="21"/>
              </w:rPr>
              <w:t>18709.95</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szCs w:val="21"/>
              </w:rPr>
              <w:t>4.968</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szCs w:val="21"/>
              </w:rPr>
              <w:t>0.03352</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szCs w:val="21"/>
              </w:rPr>
              <w:t>4.147</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szCs w:val="21"/>
              </w:rPr>
              <w:t>0.11567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2023-09</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1</w:t>
            </w:r>
            <w:r>
              <w:rPr>
                <w:szCs w:val="21"/>
              </w:rPr>
              <w:t>9414.13</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7</w:t>
            </w:r>
            <w:r>
              <w:rPr>
                <w:szCs w:val="21"/>
              </w:rPr>
              <w:t>.384</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0</w:t>
            </w:r>
            <w:r>
              <w:rPr>
                <w:szCs w:val="21"/>
              </w:rPr>
              <w:t>.09735</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5</w:t>
            </w:r>
            <w:r>
              <w:rPr>
                <w:szCs w:val="21"/>
              </w:rPr>
              <w:t>.831</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0</w:t>
            </w:r>
            <w:r>
              <w:rPr>
                <w:szCs w:val="21"/>
              </w:rPr>
              <w:t>.09744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2023-10</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1</w:t>
            </w:r>
            <w:r>
              <w:rPr>
                <w:szCs w:val="21"/>
              </w:rPr>
              <w:t>6732.07</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6</w:t>
            </w:r>
            <w:r>
              <w:rPr>
                <w:szCs w:val="21"/>
              </w:rPr>
              <w:t>.189</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0</w:t>
            </w:r>
            <w:r>
              <w:rPr>
                <w:szCs w:val="21"/>
              </w:rPr>
              <w:t>.08338</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5</w:t>
            </w:r>
            <w:r>
              <w:rPr>
                <w:szCs w:val="21"/>
              </w:rPr>
              <w:t>.641</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0</w:t>
            </w:r>
            <w:r>
              <w:rPr>
                <w:szCs w:val="21"/>
              </w:rPr>
              <w:t>.08772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2023-11</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1</w:t>
            </w:r>
            <w:r>
              <w:rPr>
                <w:szCs w:val="21"/>
              </w:rPr>
              <w:t>9564.48</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6</w:t>
            </w:r>
            <w:r>
              <w:rPr>
                <w:szCs w:val="21"/>
              </w:rPr>
              <w:t>.4</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0</w:t>
            </w:r>
            <w:r>
              <w:rPr>
                <w:szCs w:val="21"/>
              </w:rPr>
              <w:t>.079</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6</w:t>
            </w:r>
            <w:r>
              <w:rPr>
                <w:szCs w:val="21"/>
              </w:rPr>
              <w:t>.03</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0</w:t>
            </w:r>
            <w:r>
              <w:rPr>
                <w:szCs w:val="21"/>
              </w:rPr>
              <w:t>.09904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2023-12</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2</w:t>
            </w:r>
            <w:r>
              <w:rPr>
                <w:szCs w:val="21"/>
              </w:rPr>
              <w:t>5620.15</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1</w:t>
            </w:r>
            <w:r>
              <w:rPr>
                <w:szCs w:val="21"/>
              </w:rPr>
              <w:t>2.17</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0</w:t>
            </w:r>
            <w:r>
              <w:rPr>
                <w:szCs w:val="21"/>
              </w:rPr>
              <w:t>.07309</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8</w:t>
            </w:r>
            <w:r>
              <w:rPr>
                <w:szCs w:val="21"/>
              </w:rPr>
              <w:t>.026</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0</w:t>
            </w:r>
            <w:r>
              <w:rPr>
                <w:szCs w:val="21"/>
              </w:rPr>
              <w:t>.11866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平均值</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2</w:t>
            </w:r>
            <w:r>
              <w:rPr>
                <w:szCs w:val="21"/>
              </w:rPr>
              <w:t>0282.523</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7</w:t>
            </w:r>
            <w:r>
              <w:rPr>
                <w:szCs w:val="21"/>
              </w:rPr>
              <w:t>.355</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0</w:t>
            </w:r>
            <w:r>
              <w:rPr>
                <w:szCs w:val="21"/>
              </w:rPr>
              <w:t>.07386</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5</w:t>
            </w:r>
            <w:r>
              <w:rPr>
                <w:szCs w:val="21"/>
              </w:rPr>
              <w:t>.853</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szCs w:val="21"/>
              </w:rPr>
              <w:t>0</w:t>
            </w:r>
            <w:r>
              <w:rPr>
                <w:szCs w:val="21"/>
              </w:rPr>
              <w:t>.11586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标准值</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40</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w:t>
            </w:r>
            <w:r>
              <w:rPr>
                <w:rFonts w:eastAsia="等线"/>
                <w:color w:val="000000" w:themeColor="text1"/>
                <w:szCs w:val="21"/>
                <w14:textFill>
                  <w14:solidFill>
                    <w14:schemeClr w14:val="tx1"/>
                  </w14:solidFill>
                </w14:textFill>
              </w:rPr>
              <w:t>5</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0.4</w:t>
            </w:r>
          </w:p>
        </w:tc>
      </w:tr>
    </w:tbl>
    <w:p>
      <w:pPr>
        <w:pStyle w:val="457"/>
        <w:rPr>
          <w:color w:val="000000" w:themeColor="text1"/>
          <w:highlight w:val="yellow"/>
          <w14:textFill>
            <w14:solidFill>
              <w14:schemeClr w14:val="tx1"/>
            </w14:solidFill>
          </w14:textFill>
        </w:rPr>
      </w:pPr>
      <w:r>
        <w:rPr>
          <w:color w:val="000000" w:themeColor="text1"/>
          <w14:textFill>
            <w14:solidFill>
              <w14:schemeClr w14:val="tx1"/>
            </w14:solidFill>
          </w14:textFill>
        </w:rPr>
        <w:t>根据上表数据，</w:t>
      </w: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污水处理厂出水水质</w:t>
      </w:r>
      <w:r>
        <w:rPr>
          <w:rFonts w:hint="eastAsia"/>
          <w:color w:val="000000" w:themeColor="text1"/>
          <w14:textFill>
            <w14:solidFill>
              <w14:schemeClr w14:val="tx1"/>
            </w14:solidFill>
          </w14:textFill>
        </w:rPr>
        <w:t>COD、NH</w:t>
      </w:r>
      <w:r>
        <w:rPr>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-N、TP</w:t>
      </w:r>
      <w:r>
        <w:rPr>
          <w:color w:val="000000" w:themeColor="text1"/>
          <w14:textFill>
            <w14:solidFill>
              <w14:schemeClr w14:val="tx1"/>
            </w14:solidFill>
          </w14:textFill>
        </w:rPr>
        <w:t>能够满足</w:t>
      </w:r>
      <w:r>
        <w:rPr>
          <w:rFonts w:hint="eastAsia"/>
          <w:color w:val="000000" w:themeColor="text1"/>
          <w14:textFill>
            <w14:solidFill>
              <w14:schemeClr w14:val="tx1"/>
            </w14:solidFill>
          </w14:textFill>
        </w:rPr>
        <w:t>《地表水环境质量标准》（GB3838-2002）V类水质标准（COD</w:t>
      </w:r>
      <w:r>
        <w:rPr>
          <w:color w:val="000000" w:themeColor="text1"/>
          <w14:textFill>
            <w14:solidFill>
              <w14:schemeClr w14:val="tx1"/>
            </w14:solidFill>
          </w14:textFill>
        </w:rPr>
        <w:t xml:space="preserve"> 40</w:t>
      </w:r>
      <w:r>
        <w:rPr>
          <w:rFonts w:hint="eastAsia"/>
          <w:color w:val="000000" w:themeColor="text1"/>
          <w14:textFill>
            <w14:solidFill>
              <w14:schemeClr w14:val="tx1"/>
            </w14:solidFill>
          </w14:textFill>
        </w:rPr>
        <w:t>mg/L、NH</w:t>
      </w:r>
      <w:r>
        <w:rPr>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w:t>
      </w:r>
      <w:r>
        <w:rPr>
          <w:color w:val="000000" w:themeColor="text1"/>
          <w14:textFill>
            <w14:solidFill>
              <w14:schemeClr w14:val="tx1"/>
            </w14:solidFill>
          </w14:textFill>
        </w:rPr>
        <w:t xml:space="preserve"> 2</w:t>
      </w:r>
      <w:r>
        <w:rPr>
          <w:rFonts w:hint="eastAsia"/>
          <w:color w:val="000000" w:themeColor="text1"/>
          <w14:textFill>
            <w14:solidFill>
              <w14:schemeClr w14:val="tx1"/>
            </w14:solidFill>
          </w14:textFill>
        </w:rPr>
        <w:t>mg/L、TP</w:t>
      </w:r>
      <w:r>
        <w:rPr>
          <w:color w:val="000000" w:themeColor="text1"/>
          <w14:textFill>
            <w14:solidFill>
              <w14:schemeClr w14:val="tx1"/>
            </w14:solidFill>
          </w14:textFill>
        </w:rPr>
        <w:t xml:space="preserve"> 0.4</w:t>
      </w:r>
      <w:r>
        <w:rPr>
          <w:rFonts w:hint="eastAsia"/>
          <w:color w:val="000000" w:themeColor="text1"/>
          <w14:textFill>
            <w14:solidFill>
              <w14:schemeClr w14:val="tx1"/>
            </w14:solidFill>
          </w14:textFill>
        </w:rPr>
        <w:t>mg/L），TN</w:t>
      </w:r>
      <w:r>
        <w:rPr>
          <w:color w:val="000000" w:themeColor="text1"/>
          <w14:textFill>
            <w14:solidFill>
              <w14:schemeClr w14:val="tx1"/>
            </w14:solidFill>
          </w14:textFill>
        </w:rPr>
        <w:t>能够满足《城镇污水处理厂污染物排放标准》（GB18918-2002）一级A的要求：TN 15mg/L。</w:t>
      </w:r>
    </w:p>
    <w:p>
      <w:pPr>
        <w:pStyle w:val="727"/>
        <w:rPr>
          <w:color w:val="000000" w:themeColor="text1"/>
          <w14:textFill>
            <w14:solidFill>
              <w14:schemeClr w14:val="tx1"/>
            </w14:solidFill>
          </w14:textFill>
        </w:rPr>
      </w:pPr>
      <w:r>
        <w:rPr>
          <w:color w:val="000000" w:themeColor="text1"/>
          <w14:textFill>
            <w14:solidFill>
              <w14:schemeClr w14:val="tx1"/>
            </w14:solidFill>
          </w14:textFill>
        </w:rPr>
        <w:t>5.3.4地表水环境影响分析结论</w:t>
      </w:r>
    </w:p>
    <w:p>
      <w:pPr>
        <w:pStyle w:val="457"/>
        <w:rPr>
          <w:color w:val="000000" w:themeColor="text1"/>
          <w14:textFill>
            <w14:solidFill>
              <w14:schemeClr w14:val="tx1"/>
            </w14:solidFill>
          </w14:textFill>
        </w:rPr>
      </w:pPr>
      <w:r>
        <w:rPr>
          <w:color w:val="000000" w:themeColor="text1"/>
          <w14:textFill>
            <w14:solidFill>
              <w14:schemeClr w14:val="tx1"/>
            </w14:solidFill>
          </w14:textFill>
        </w:rPr>
        <w:t>本项目废水排放量为</w:t>
      </w:r>
      <w:bookmarkStart w:id="117" w:name="_Hlk108599800"/>
      <w:r>
        <w:rPr>
          <w:rFonts w:hint="eastAsia"/>
          <w:color w:val="000000" w:themeColor="text1"/>
          <w14:textFill>
            <w14:solidFill>
              <w14:schemeClr w14:val="tx1"/>
            </w14:solidFill>
          </w14:textFill>
        </w:rPr>
        <w:t>60万</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/a（2000m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bookmarkEnd w:id="117"/>
      <w:r>
        <w:rPr>
          <w:rFonts w:hint="eastAsia"/>
          <w:color w:val="000000" w:themeColor="text1"/>
          <w14:textFill>
            <w14:solidFill>
              <w14:schemeClr w14:val="tx1"/>
            </w14:solidFill>
          </w14:textFill>
        </w:rPr>
        <w:t>，</w:t>
      </w:r>
      <w:r>
        <w:rPr>
          <w:color w:val="000000" w:themeColor="text1"/>
          <w14:textFill>
            <w14:solidFill>
              <w14:schemeClr w14:val="tx1"/>
            </w14:solidFill>
          </w14:textFill>
        </w:rPr>
        <w:t>废水主要污染物</w:t>
      </w:r>
      <w:r>
        <w:rPr>
          <w:rFonts w:hint="eastAsia"/>
          <w:color w:val="000000" w:themeColor="text1"/>
          <w14:textFill>
            <w14:solidFill>
              <w14:schemeClr w14:val="tx1"/>
            </w14:solidFill>
          </w14:textFill>
        </w:rPr>
        <w:t>设计排放</w:t>
      </w:r>
      <w:r>
        <w:rPr>
          <w:color w:val="000000" w:themeColor="text1"/>
          <w14:textFill>
            <w14:solidFill>
              <w14:schemeClr w14:val="tx1"/>
            </w14:solidFill>
          </w14:textFill>
        </w:rPr>
        <w:t>浓度为pH 6~9、COD 73.5mg/L、BOD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 xml:space="preserve"> 17.6mg/L、SS 14.4mg/L、NH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 19.6mg/L、TN 35.7mg/L、TP 0.8mg/L、</w:t>
      </w:r>
      <w:r>
        <w:rPr>
          <w:rFonts w:hint="eastAsia"/>
          <w:color w:val="000000" w:themeColor="text1"/>
          <w14:textFill>
            <w14:solidFill>
              <w14:schemeClr w14:val="tx1"/>
            </w14:solidFill>
          </w14:textFill>
        </w:rPr>
        <w:t>动植物油</w:t>
      </w:r>
      <w:r>
        <w:rPr>
          <w:color w:val="000000" w:themeColor="text1"/>
          <w14:textFill>
            <w14:solidFill>
              <w14:schemeClr w14:val="tx1"/>
            </w14:solidFill>
          </w14:textFill>
        </w:rPr>
        <w:t>5mg/L，</w:t>
      </w:r>
      <w:r>
        <w:rPr>
          <w:rFonts w:hint="eastAsia"/>
          <w:color w:val="000000" w:themeColor="text1"/>
          <w14:textFill>
            <w14:solidFill>
              <w14:schemeClr w14:val="tx1"/>
            </w14:solidFill>
          </w14:textFill>
        </w:rPr>
        <w:t>满足原阳县产业集聚区污水处理厂收水标准（</w:t>
      </w:r>
      <w:r>
        <w:rPr>
          <w:color w:val="000000" w:themeColor="text1"/>
          <w14:textFill>
            <w14:solidFill>
              <w14:schemeClr w14:val="tx1"/>
            </w14:solidFill>
          </w14:textFill>
        </w:rPr>
        <w:t>COD 420</w:t>
      </w:r>
      <w:r>
        <w:rPr>
          <w:rFonts w:hint="eastAsia"/>
          <w:color w:val="000000" w:themeColor="text1"/>
          <w14:textFill>
            <w14:solidFill>
              <w14:schemeClr w14:val="tx1"/>
            </w14:solidFill>
          </w14:textFill>
        </w:rPr>
        <w:t>mg/L、B</w:t>
      </w:r>
      <w:r>
        <w:rPr>
          <w:color w:val="000000" w:themeColor="text1"/>
          <w14:textFill>
            <w14:solidFill>
              <w14:schemeClr w14:val="tx1"/>
            </w14:solidFill>
          </w14:textFill>
        </w:rPr>
        <w:t>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 xml:space="preserve"> 210</w:t>
      </w:r>
      <w:r>
        <w:rPr>
          <w:rFonts w:hint="eastAsia"/>
          <w:color w:val="000000" w:themeColor="text1"/>
          <w14:textFill>
            <w14:solidFill>
              <w14:schemeClr w14:val="tx1"/>
            </w14:solidFill>
          </w14:textFill>
        </w:rPr>
        <w:t>mg/L、S</w:t>
      </w:r>
      <w:r>
        <w:rPr>
          <w:color w:val="000000" w:themeColor="text1"/>
          <w14:textFill>
            <w14:solidFill>
              <w14:schemeClr w14:val="tx1"/>
            </w14:solidFill>
          </w14:textFill>
        </w:rPr>
        <w:t>S 350</w:t>
      </w:r>
      <w:r>
        <w:rPr>
          <w:rFonts w:hint="eastAsia"/>
          <w:color w:val="000000" w:themeColor="text1"/>
          <w14:textFill>
            <w14:solidFill>
              <w14:schemeClr w14:val="tx1"/>
            </w14:solidFill>
          </w14:textFill>
        </w:rPr>
        <w:t>mg/L、氨氮</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mg/L、T</w:t>
      </w:r>
      <w:r>
        <w:rPr>
          <w:color w:val="000000" w:themeColor="text1"/>
          <w14:textFill>
            <w14:solidFill>
              <w14:schemeClr w14:val="tx1"/>
            </w14:solidFill>
          </w14:textFill>
        </w:rPr>
        <w:t>P 4</w:t>
      </w:r>
      <w:r>
        <w:rPr>
          <w:rFonts w:hint="eastAsia"/>
          <w:color w:val="000000" w:themeColor="text1"/>
          <w14:textFill>
            <w14:solidFill>
              <w14:schemeClr w14:val="tx1"/>
            </w14:solidFill>
          </w14:textFill>
        </w:rPr>
        <w:t>mg/L、T</w:t>
      </w:r>
      <w:r>
        <w:rPr>
          <w:color w:val="000000" w:themeColor="text1"/>
          <w14:textFill>
            <w14:solidFill>
              <w14:schemeClr w14:val="tx1"/>
            </w14:solidFill>
          </w14:textFill>
        </w:rPr>
        <w:t>N 50</w:t>
      </w:r>
      <w:r>
        <w:rPr>
          <w:rFonts w:hint="eastAsia"/>
          <w:color w:val="000000" w:themeColor="text1"/>
          <w14:textFill>
            <w14:solidFill>
              <w14:schemeClr w14:val="tx1"/>
            </w14:solidFill>
          </w14:textFill>
        </w:rPr>
        <w:t>mg/L）和《污水综合排放标准》（G</w:t>
      </w:r>
      <w:r>
        <w:rPr>
          <w:color w:val="000000" w:themeColor="text1"/>
          <w14:textFill>
            <w14:solidFill>
              <w14:schemeClr w14:val="tx1"/>
            </w14:solidFill>
          </w14:textFill>
        </w:rPr>
        <w:t>B 8978-1996</w:t>
      </w:r>
      <w:r>
        <w:rPr>
          <w:rFonts w:hint="eastAsia"/>
          <w:color w:val="000000" w:themeColor="text1"/>
          <w14:textFill>
            <w14:solidFill>
              <w14:schemeClr w14:val="tx1"/>
            </w14:solidFill>
          </w14:textFill>
        </w:rPr>
        <w:t>）中二级标准：动植物油1</w:t>
      </w:r>
      <w:r>
        <w:rPr>
          <w:color w:val="000000" w:themeColor="text1"/>
          <w14:textFill>
            <w14:solidFill>
              <w14:schemeClr w14:val="tx1"/>
            </w14:solidFill>
          </w14:textFill>
        </w:rPr>
        <w:t>5mg/L</w:t>
      </w:r>
      <w:r>
        <w:rPr>
          <w:rFonts w:hint="eastAsia"/>
          <w:color w:val="000000" w:themeColor="text1"/>
          <w14:textFill>
            <w14:solidFill>
              <w14:schemeClr w14:val="tx1"/>
            </w14:solidFill>
          </w14:textFill>
        </w:rPr>
        <w:t>的标准限值。</w:t>
      </w:r>
      <w:r>
        <w:rPr>
          <w:color w:val="000000" w:themeColor="text1"/>
          <w14:textFill>
            <w14:solidFill>
              <w14:schemeClr w14:val="tx1"/>
            </w14:solidFill>
          </w14:textFill>
        </w:rPr>
        <w:t>项目排放废水量占</w:t>
      </w:r>
      <w:r>
        <w:rPr>
          <w:rFonts w:hint="eastAsia"/>
          <w:color w:val="000000" w:themeColor="text1"/>
          <w14:textFill>
            <w14:solidFill>
              <w14:schemeClr w14:val="tx1"/>
            </w14:solidFill>
          </w14:textFill>
        </w:rPr>
        <w:t>原阳县产业集聚区污水处理厂</w:t>
      </w:r>
      <w:r>
        <w:rPr>
          <w:color w:val="000000" w:themeColor="text1"/>
          <w14:textFill>
            <w14:solidFill>
              <w14:schemeClr w14:val="tx1"/>
            </w14:solidFill>
          </w14:textFill>
        </w:rPr>
        <w:t>处理负荷量比例较小、总处理量未超出设计处理负荷量，不会对</w:t>
      </w:r>
      <w:r>
        <w:rPr>
          <w:rFonts w:hint="eastAsia"/>
          <w:color w:val="000000" w:themeColor="text1"/>
          <w14:textFill>
            <w14:solidFill>
              <w14:schemeClr w14:val="tx1"/>
            </w14:solidFill>
          </w14:textFill>
        </w:rPr>
        <w:t>原阳县产业集聚区</w:t>
      </w:r>
      <w:r>
        <w:rPr>
          <w:color w:val="000000" w:themeColor="text1"/>
          <w14:textFill>
            <w14:solidFill>
              <w14:schemeClr w14:val="tx1"/>
            </w14:solidFill>
          </w14:textFill>
        </w:rPr>
        <w:t>污水处理厂的出水水质产生影响。因此评价认为：项目废水经处理后，对地表水环境的影响可接受。</w:t>
      </w:r>
    </w:p>
    <w:p>
      <w:pPr>
        <w:pStyle w:val="547"/>
        <w:rPr>
          <w:color w:val="000000" w:themeColor="text1"/>
          <w14:textFill>
            <w14:solidFill>
              <w14:schemeClr w14:val="tx1"/>
            </w14:solidFill>
          </w14:textFill>
        </w:rPr>
      </w:pPr>
      <w:bookmarkStart w:id="118" w:name="_Toc712"/>
      <w:r>
        <w:rPr>
          <w:color w:val="000000" w:themeColor="text1"/>
          <w14:textFill>
            <w14:solidFill>
              <w14:schemeClr w14:val="tx1"/>
            </w14:solidFill>
          </w14:textFill>
        </w:rPr>
        <w:t>5.4 地下水环境影响分析</w:t>
      </w:r>
      <w:bookmarkEnd w:id="118"/>
    </w:p>
    <w:p>
      <w:pPr>
        <w:pStyle w:val="727"/>
        <w:rPr>
          <w:color w:val="000000" w:themeColor="text1"/>
          <w14:textFill>
            <w14:solidFill>
              <w14:schemeClr w14:val="tx1"/>
            </w14:solidFill>
          </w14:textFill>
        </w:rPr>
      </w:pPr>
      <w:r>
        <w:rPr>
          <w:color w:val="000000" w:themeColor="text1"/>
          <w14:textFill>
            <w14:solidFill>
              <w14:schemeClr w14:val="tx1"/>
            </w14:solidFill>
          </w14:textFill>
        </w:rPr>
        <w:t>5.4.1 评价工作等级</w:t>
      </w:r>
    </w:p>
    <w:p>
      <w:pPr>
        <w:pStyle w:val="457"/>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地下水环境》（HJ610-2016）的要求，本项目地下水环境影响评价工作等级的划分应依据建设项目行业分类和地下水环境敏感程度分级进行判定。</w:t>
      </w:r>
    </w:p>
    <w:p>
      <w:pPr>
        <w:pStyle w:val="460"/>
      </w:pPr>
      <w:bookmarkStart w:id="119" w:name="_Toc483603423"/>
      <w:r>
        <w:t>5.4.1.1 建设项目行业分类</w:t>
      </w:r>
      <w:bookmarkEnd w:id="119"/>
      <w:bookmarkStart w:id="120" w:name="_Toc483603424"/>
    </w:p>
    <w:p>
      <w:pPr>
        <w:pStyle w:val="457"/>
        <w:rPr>
          <w:color w:val="000000" w:themeColor="text1"/>
          <w14:textFill>
            <w14:solidFill>
              <w14:schemeClr w14:val="tx1"/>
            </w14:solidFill>
          </w14:textFill>
        </w:rPr>
      </w:pPr>
      <w:bookmarkStart w:id="121" w:name="_Hlk108340241"/>
      <w:r>
        <w:rPr>
          <w:color w:val="000000" w:themeColor="text1"/>
          <w14:textFill>
            <w14:solidFill>
              <w14:schemeClr w14:val="tx1"/>
            </w14:solidFill>
          </w14:textFill>
        </w:rPr>
        <w:t>本项目主要新建车间厂房、污水处理站及其附属设施。根据《环境影响评价技术导则-地下水环境》（HJ610-2016）附录A，车间厂房属于“U城镇基础设施及房地产”“156房地产开发、宾馆、酒店、办公用房等”中的“建筑面积5万平方米及以上的”编制环境影响评价报告表项目，属于Ⅳ类建设项目；污水处理站属于“U城镇基础设施及房地产”“145工业废水集中处理”中的“全部”编制环境影响评价报告书项目，属于I类建设项目。综上，本项目属于I类建设项目。</w:t>
      </w:r>
    </w:p>
    <w:bookmarkEnd w:id="121"/>
    <w:p>
      <w:pPr>
        <w:pStyle w:val="457"/>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地下水环境影响评价行业分类见表5.4-1。</w:t>
      </w:r>
    </w:p>
    <w:p>
      <w:pPr>
        <w:pStyle w:val="632"/>
        <w:rPr>
          <w:color w:val="000000" w:themeColor="text1"/>
          <w14:textFill>
            <w14:solidFill>
              <w14:schemeClr w14:val="tx1"/>
            </w14:solidFill>
          </w14:textFill>
        </w:rPr>
      </w:pPr>
      <w:r>
        <w:rPr>
          <w:color w:val="000000" w:themeColor="text1"/>
          <w14:textFill>
            <w14:solidFill>
              <w14:schemeClr w14:val="tx1"/>
            </w14:solidFill>
          </w14:textFill>
        </w:rPr>
        <w:t>表5.4-1          地下水环境影响评价行业分类表</w:t>
      </w:r>
    </w:p>
    <w:tbl>
      <w:tblPr>
        <w:tblStyle w:val="49"/>
        <w:tblW w:w="894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2401"/>
        <w:gridCol w:w="2267"/>
        <w:gridCol w:w="1417"/>
        <w:gridCol w:w="1421"/>
        <w:gridCol w:w="14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342" w:type="pct"/>
            <w:vMerge w:val="restart"/>
            <w:tcBorders>
              <w:top w:val="single" w:color="000000" w:sz="6" w:space="0"/>
              <w:left w:val="single" w:color="000000" w:sz="6" w:space="0"/>
              <w:bottom w:val="single" w:color="000000" w:sz="6" w:space="0"/>
              <w:right w:val="single" w:color="000000" w:sz="6" w:space="0"/>
              <w:tl2br w:val="single" w:color="auto"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              环评类别</w:t>
            </w:r>
          </w:p>
          <w:p>
            <w:pPr>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项目类别</w:t>
            </w:r>
          </w:p>
        </w:tc>
        <w:tc>
          <w:tcPr>
            <w:tcW w:w="1267" w:type="pct"/>
            <w:vMerge w:val="restar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报告书</w:t>
            </w:r>
          </w:p>
        </w:tc>
        <w:tc>
          <w:tcPr>
            <w:tcW w:w="792" w:type="pct"/>
            <w:vMerge w:val="restar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报告表</w:t>
            </w:r>
          </w:p>
        </w:tc>
        <w:tc>
          <w:tcPr>
            <w:tcW w:w="1599" w:type="pct"/>
            <w:gridSpan w:val="2"/>
            <w:tcBorders>
              <w:top w:val="single" w:color="000000" w:sz="6" w:space="0"/>
              <w:left w:val="single" w:color="000000" w:sz="6" w:space="0"/>
              <w:bottom w:val="single" w:color="auto" w:sz="4" w:space="0"/>
              <w:right w:val="single" w:color="000000" w:sz="6" w:space="0"/>
            </w:tcBorders>
            <w:vAlign w:val="center"/>
          </w:tcPr>
          <w:p>
            <w:pPr>
              <w:adjustRightInd w:val="0"/>
              <w:snapToGrid w:val="0"/>
              <w:ind w:left="105" w:hanging="105" w:hanging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地下水环境影响评价项目类别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342" w:type="pct"/>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b/>
                <w:bCs/>
                <w:color w:val="000000" w:themeColor="text1"/>
                <w:szCs w:val="21"/>
                <w14:textFill>
                  <w14:solidFill>
                    <w14:schemeClr w14:val="tx1"/>
                  </w14:solidFill>
                </w14:textFill>
              </w:rPr>
            </w:pPr>
          </w:p>
        </w:tc>
        <w:tc>
          <w:tcPr>
            <w:tcW w:w="1267" w:type="pct"/>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b/>
                <w:bCs/>
                <w:color w:val="000000" w:themeColor="text1"/>
                <w:szCs w:val="21"/>
                <w14:textFill>
                  <w14:solidFill>
                    <w14:schemeClr w14:val="tx1"/>
                  </w14:solidFill>
                </w14:textFill>
              </w:rPr>
            </w:pPr>
          </w:p>
        </w:tc>
        <w:tc>
          <w:tcPr>
            <w:tcW w:w="792" w:type="pct"/>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b/>
                <w:bCs/>
                <w:color w:val="000000" w:themeColor="text1"/>
                <w:szCs w:val="21"/>
                <w14:textFill>
                  <w14:solidFill>
                    <w14:schemeClr w14:val="tx1"/>
                  </w14:solidFill>
                </w14:textFill>
              </w:rPr>
            </w:pPr>
          </w:p>
        </w:tc>
        <w:tc>
          <w:tcPr>
            <w:tcW w:w="794" w:type="pct"/>
            <w:tcBorders>
              <w:top w:val="single" w:color="auto" w:sz="4" w:space="0"/>
              <w:left w:val="single" w:color="000000" w:sz="6" w:space="0"/>
              <w:bottom w:val="single" w:color="000000" w:sz="6" w:space="0"/>
              <w:right w:val="single" w:color="000000" w:sz="6"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报告书</w:t>
            </w:r>
          </w:p>
        </w:tc>
        <w:tc>
          <w:tcPr>
            <w:tcW w:w="805" w:type="pct"/>
            <w:tcBorders>
              <w:top w:val="single" w:color="auto" w:sz="4" w:space="0"/>
              <w:left w:val="single" w:color="000000" w:sz="6" w:space="0"/>
              <w:bottom w:val="single" w:color="000000" w:sz="6" w:space="0"/>
              <w:right w:val="single" w:color="000000" w:sz="6"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报告表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5000" w:type="pct"/>
            <w:gridSpan w:val="5"/>
            <w:tcBorders>
              <w:top w:val="single" w:color="000000" w:sz="6" w:space="0"/>
              <w:left w:val="single" w:color="000000" w:sz="6" w:space="0"/>
              <w:bottom w:val="single" w:color="000000" w:sz="6" w:space="0"/>
              <w:right w:val="single" w:color="000000" w:sz="6" w:space="0"/>
            </w:tcBorders>
            <w:vAlign w:val="center"/>
          </w:tcPr>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U城镇基础设施及房地产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342"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工业废水集中处理</w:t>
            </w:r>
          </w:p>
        </w:tc>
        <w:tc>
          <w:tcPr>
            <w:tcW w:w="1267"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全部</w:t>
            </w:r>
          </w:p>
        </w:tc>
        <w:tc>
          <w:tcPr>
            <w:tcW w:w="792"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94"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Ⅰ类</w:t>
            </w:r>
          </w:p>
        </w:tc>
        <w:tc>
          <w:tcPr>
            <w:tcW w:w="805"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宋体" w:hAnsi="宋体" w:cs="宋体"/>
                <w:color w:val="000000" w:themeColor="text1"/>
                <w:szCs w:val="21"/>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1342"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156</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房地产开发、宾馆、酒店、办公用房等</w:t>
            </w:r>
          </w:p>
        </w:tc>
        <w:tc>
          <w:tcPr>
            <w:tcW w:w="1267"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92"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建筑面积5万平方米及以上；涉及环境敏感区的</w:t>
            </w:r>
          </w:p>
        </w:tc>
        <w:tc>
          <w:tcPr>
            <w:tcW w:w="794"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宋体" w:hAnsi="宋体" w:cs="宋体"/>
                <w:color w:val="000000" w:themeColor="text1"/>
                <w:szCs w:val="21"/>
                <w14:textFill>
                  <w14:solidFill>
                    <w14:schemeClr w14:val="tx1"/>
                  </w14:solidFill>
                </w14:textFill>
              </w:rPr>
            </w:pPr>
          </w:p>
        </w:tc>
        <w:tc>
          <w:tcPr>
            <w:tcW w:w="805"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宋体" w:hAnsi="宋体" w:cs="宋体"/>
                <w:color w:val="000000" w:themeColor="text1"/>
                <w:szCs w:val="21"/>
                <w14:textFill>
                  <w14:solidFill>
                    <w14:schemeClr w14:val="tx1"/>
                  </w14:solidFill>
                </w14:textFill>
              </w:rPr>
            </w:pPr>
            <w:r>
              <w:rPr>
                <w:color w:val="000000" w:themeColor="text1"/>
                <w:szCs w:val="21"/>
                <w14:textFill>
                  <w14:solidFill>
                    <w14:schemeClr w14:val="tx1"/>
                  </w14:solidFill>
                </w14:textFill>
              </w:rPr>
              <w:t>Ⅳ类</w:t>
            </w:r>
          </w:p>
        </w:tc>
      </w:tr>
    </w:tbl>
    <w:p>
      <w:pPr>
        <w:pStyle w:val="460"/>
        <w:rPr>
          <w:sz w:val="28"/>
          <w:szCs w:val="32"/>
          <w:lang w:val="zh-CN"/>
        </w:rPr>
      </w:pPr>
      <w:r>
        <w:t>5.4.1.2 地下水敏感程度</w:t>
      </w:r>
      <w:bookmarkEnd w:id="120"/>
    </w:p>
    <w:p>
      <w:pPr>
        <w:spacing w:line="52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建设项目的地下水敏感程度可分为敏感、较敏感、不敏感三级，分级原则见表5.4-2。</w:t>
      </w:r>
    </w:p>
    <w:p>
      <w:pPr>
        <w:spacing w:line="500" w:lineRule="exact"/>
        <w:ind w:firstLine="480" w:firstLineChars="200"/>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表</w:t>
      </w:r>
      <w:r>
        <w:rPr>
          <w:rFonts w:hint="eastAsia" w:eastAsia="黑体"/>
          <w:color w:val="000000" w:themeColor="text1"/>
          <w:sz w:val="24"/>
          <w:szCs w:val="24"/>
          <w14:textFill>
            <w14:solidFill>
              <w14:schemeClr w14:val="tx1"/>
            </w14:solidFill>
          </w14:textFill>
        </w:rPr>
        <w:t>5</w:t>
      </w:r>
      <w:r>
        <w:rPr>
          <w:rFonts w:eastAsia="黑体"/>
          <w:color w:val="000000" w:themeColor="text1"/>
          <w:sz w:val="24"/>
          <w:szCs w:val="24"/>
          <w14:textFill>
            <w14:solidFill>
              <w14:schemeClr w14:val="tx1"/>
            </w14:solidFill>
          </w14:textFill>
        </w:rPr>
        <w:t>.4-2        建设项目的地下水环境敏感程度分级表</w:t>
      </w:r>
    </w:p>
    <w:tbl>
      <w:tblPr>
        <w:tblStyle w:val="4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4"/>
        <w:gridCol w:w="7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分级</w:t>
            </w:r>
          </w:p>
        </w:tc>
        <w:tc>
          <w:tcPr>
            <w:tcW w:w="446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地下水环境敏感特征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敏感</w:t>
            </w:r>
          </w:p>
        </w:tc>
        <w:tc>
          <w:tcPr>
            <w:tcW w:w="446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较敏感</w:t>
            </w:r>
          </w:p>
        </w:tc>
        <w:tc>
          <w:tcPr>
            <w:tcW w:w="446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集中式饮用水水源 （包括已建成的在用、备用、应急水源，在建和规划的水源）准保护区以外的补给径流区；未划定准保护区的集中式饮用水水源，其保护区以外的补给径流区；分散式饮用水水源地；特殊地下水资源（如矿泉水、温泉等）保护区以外的分布区等其它未列入上述敏感分级的环境敏感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3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不敏感</w:t>
            </w:r>
          </w:p>
        </w:tc>
        <w:tc>
          <w:tcPr>
            <w:tcW w:w="446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上述地区之外的其它地区。</w:t>
            </w:r>
          </w:p>
        </w:tc>
      </w:tr>
    </w:tbl>
    <w:p>
      <w:pPr>
        <w:spacing w:line="520" w:lineRule="exact"/>
        <w:ind w:firstLine="480" w:firstLineChars="200"/>
        <w:rPr>
          <w:b/>
          <w:bCs/>
          <w:color w:val="000000" w:themeColor="text1"/>
          <w:sz w:val="24"/>
          <w:highlight w:val="yellow"/>
          <w:u w:val="single"/>
          <w14:textFill>
            <w14:solidFill>
              <w14:schemeClr w14:val="tx1"/>
            </w14:solidFill>
          </w14:textFill>
        </w:rPr>
      </w:pPr>
      <w:r>
        <w:rPr>
          <w:color w:val="000000" w:themeColor="text1"/>
          <w:sz w:val="24"/>
          <w14:textFill>
            <w14:solidFill>
              <w14:schemeClr w14:val="tx1"/>
            </w14:solidFill>
          </w14:textFill>
        </w:rPr>
        <w:t>经查阅《河南省人民政府办公厅关于印发河南省城市集中式饮用水源保护区划的通知》（豫政办〔2007〕125号）、《河南省人民政府办公厅关于印发河南省县级集中式饮用水水源保护区划的通知》（豫政办 〔2013〕107号）及《河南省人民政府办公厅关于印发河南省乡镇集中式饮用水水源保护区划的通知》（豫政办 〔2016〕23号）</w:t>
      </w:r>
      <w:r>
        <w:rPr>
          <w:rFonts w:hint="eastAsia"/>
          <w:color w:val="000000" w:themeColor="text1"/>
          <w:sz w:val="24"/>
          <w14:textFill>
            <w14:solidFill>
              <w14:schemeClr w14:val="tx1"/>
            </w14:solidFill>
          </w14:textFill>
        </w:rPr>
        <w:t>等文件</w:t>
      </w: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评价区域内存在</w:t>
      </w:r>
      <w:r>
        <w:rPr>
          <w:color w:val="000000" w:themeColor="text1"/>
          <w:sz w:val="24"/>
          <w14:textFill>
            <w14:solidFill>
              <w14:schemeClr w14:val="tx1"/>
            </w14:solidFill>
          </w14:textFill>
        </w:rPr>
        <w:t>集中式饮用水源地保护区</w:t>
      </w:r>
      <w:r>
        <w:rPr>
          <w:rFonts w:hint="eastAsia"/>
          <w:color w:val="000000" w:themeColor="text1"/>
          <w:sz w:val="24"/>
          <w14:textFill>
            <w14:solidFill>
              <w14:schemeClr w14:val="tx1"/>
            </w14:solidFill>
          </w14:textFill>
        </w:rPr>
        <w:t>-原阳县水厂地下水井群，故本</w:t>
      </w:r>
      <w:r>
        <w:rPr>
          <w:color w:val="000000" w:themeColor="text1"/>
          <w:sz w:val="24"/>
          <w14:textFill>
            <w14:solidFill>
              <w14:schemeClr w14:val="tx1"/>
            </w14:solidFill>
          </w14:textFill>
        </w:rPr>
        <w:t>项目地下水敏感程度为“敏感”。</w:t>
      </w:r>
    </w:p>
    <w:p>
      <w:pPr>
        <w:pStyle w:val="460"/>
      </w:pPr>
      <w:r>
        <w:t>5.4.1.3 评价等级划分</w:t>
      </w:r>
    </w:p>
    <w:p>
      <w:pPr>
        <w:adjustRightInd w:val="0"/>
        <w:snapToGrid w:val="0"/>
        <w:spacing w:line="520" w:lineRule="exact"/>
        <w:ind w:firstLine="480" w:firstLineChars="200"/>
        <w:rPr>
          <w:bCs/>
          <w:color w:val="000000" w:themeColor="text1"/>
          <w:sz w:val="24"/>
          <w:szCs w:val="20"/>
          <w14:textFill>
            <w14:solidFill>
              <w14:schemeClr w14:val="tx1"/>
            </w14:solidFill>
          </w14:textFill>
        </w:rPr>
      </w:pPr>
      <w:r>
        <w:rPr>
          <w:color w:val="000000" w:themeColor="text1"/>
          <w:sz w:val="24"/>
          <w14:textFill>
            <w14:solidFill>
              <w14:schemeClr w14:val="tx1"/>
            </w14:solidFill>
          </w14:textFill>
        </w:rPr>
        <w:t>根据建设项目所属的地下水环境影响评价项目类别及建设项目的地下水环境敏感程度，综合判定本项目环境影响评价地下水环境影响评价工作等级，</w:t>
      </w:r>
      <w:r>
        <w:rPr>
          <w:color w:val="000000" w:themeColor="text1"/>
          <w:sz w:val="24"/>
          <w:szCs w:val="24"/>
          <w14:textFill>
            <w14:solidFill>
              <w14:schemeClr w14:val="tx1"/>
            </w14:solidFill>
          </w14:textFill>
        </w:rPr>
        <w:t>地下水环境影响评价工作</w:t>
      </w:r>
      <w:r>
        <w:rPr>
          <w:bCs/>
          <w:color w:val="000000" w:themeColor="text1"/>
          <w:sz w:val="24"/>
          <w:szCs w:val="20"/>
          <w14:textFill>
            <w14:solidFill>
              <w14:schemeClr w14:val="tx1"/>
            </w14:solidFill>
          </w14:textFill>
        </w:rPr>
        <w:t>等级划分依据见表</w:t>
      </w:r>
      <w:r>
        <w:rPr>
          <w:color w:val="000000" w:themeColor="text1"/>
          <w:sz w:val="24"/>
          <w14:textFill>
            <w14:solidFill>
              <w14:schemeClr w14:val="tx1"/>
            </w14:solidFill>
          </w14:textFill>
        </w:rPr>
        <w:t>5.4-3</w:t>
      </w:r>
      <w:r>
        <w:rPr>
          <w:bCs/>
          <w:color w:val="000000" w:themeColor="text1"/>
          <w:sz w:val="24"/>
          <w:szCs w:val="20"/>
          <w14:textFill>
            <w14:solidFill>
              <w14:schemeClr w14:val="tx1"/>
            </w14:solidFill>
          </w14:textFill>
        </w:rPr>
        <w:t>。</w:t>
      </w:r>
    </w:p>
    <w:p>
      <w:pPr>
        <w:adjustRightInd w:val="0"/>
        <w:snapToGrid w:val="0"/>
        <w:spacing w:line="520" w:lineRule="exact"/>
        <w:ind w:firstLine="480" w:firstLineChars="200"/>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表5.4-3        地下水环境影响评价工作等级分级表</w:t>
      </w:r>
    </w:p>
    <w:tbl>
      <w:tblPr>
        <w:tblStyle w:val="4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534"/>
        <w:gridCol w:w="2136"/>
        <w:gridCol w:w="2138"/>
        <w:gridCol w:w="21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16" w:type="pct"/>
            <w:tcBorders>
              <w:top w:val="single" w:color="auto" w:sz="6" w:space="0"/>
              <w:left w:val="single" w:color="auto" w:sz="6" w:space="0"/>
              <w:bottom w:val="single" w:color="auto" w:sz="6" w:space="0"/>
              <w:right w:val="single" w:color="auto" w:sz="6" w:space="0"/>
              <w:tl2br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 xml:space="preserve">       项目类别</w:t>
            </w:r>
          </w:p>
          <w:p>
            <w:pPr>
              <w:ind w:firstLine="103" w:firstLineChars="4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环境敏感程度</w:t>
            </w:r>
          </w:p>
        </w:tc>
        <w:tc>
          <w:tcPr>
            <w:tcW w:w="1194" w:type="pct"/>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I类项目</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II类项目</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III类项目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16"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敏感</w:t>
            </w:r>
          </w:p>
        </w:tc>
        <w:tc>
          <w:tcPr>
            <w:tcW w:w="1194" w:type="pct"/>
            <w:tcBorders>
              <w:top w:val="single" w:color="auto" w:sz="6" w:space="0"/>
              <w:left w:val="single" w:color="auto" w:sz="6" w:space="0"/>
              <w:bottom w:val="single" w:color="auto" w:sz="6" w:space="0"/>
              <w:right w:val="single" w:color="auto" w:sz="6"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一</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一</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16"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较敏感</w:t>
            </w:r>
          </w:p>
        </w:tc>
        <w:tc>
          <w:tcPr>
            <w:tcW w:w="1194" w:type="pct"/>
            <w:tcBorders>
              <w:top w:val="single" w:color="auto" w:sz="6" w:space="0"/>
              <w:left w:val="single" w:color="auto" w:sz="6" w:space="0"/>
              <w:bottom w:val="single" w:color="auto" w:sz="6" w:space="0"/>
              <w:right w:val="single" w:color="auto" w:sz="6"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一</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二</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16"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不敏感</w:t>
            </w:r>
          </w:p>
        </w:tc>
        <w:tc>
          <w:tcPr>
            <w:tcW w:w="1194" w:type="pct"/>
            <w:tcBorders>
              <w:top w:val="single" w:color="auto" w:sz="6" w:space="0"/>
              <w:left w:val="single" w:color="auto" w:sz="6" w:space="0"/>
              <w:bottom w:val="single" w:color="auto" w:sz="6" w:space="0"/>
              <w:right w:val="single" w:color="auto" w:sz="6"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二</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三</w:t>
            </w:r>
          </w:p>
        </w:tc>
        <w:tc>
          <w:tcPr>
            <w:tcW w:w="1195" w:type="pct"/>
            <w:tcBorders>
              <w:top w:val="single" w:color="auto" w:sz="6" w:space="0"/>
              <w:left w:val="single" w:color="auto" w:sz="6" w:space="0"/>
              <w:bottom w:val="single" w:color="auto" w:sz="6" w:space="0"/>
              <w:right w:val="single" w:color="auto" w:sz="6" w:space="0"/>
            </w:tcBorders>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三</w:t>
            </w:r>
          </w:p>
        </w:tc>
      </w:tr>
    </w:tbl>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本项目属于Ⅰ类建设项目，地下水环境属于“敏感”，综合判断地下水环境影响评价等级为</w:t>
      </w:r>
      <w:r>
        <w:rPr>
          <w:rFonts w:hint="eastAsia"/>
          <w:color w:val="000000" w:themeColor="text1"/>
          <w:sz w:val="24"/>
          <w:szCs w:val="24"/>
          <w14:textFill>
            <w14:solidFill>
              <w14:schemeClr w14:val="tx1"/>
            </w14:solidFill>
          </w14:textFill>
        </w:rPr>
        <w:t>一</w:t>
      </w:r>
      <w:r>
        <w:rPr>
          <w:color w:val="000000" w:themeColor="text1"/>
          <w:sz w:val="24"/>
          <w:szCs w:val="24"/>
          <w14:textFill>
            <w14:solidFill>
              <w14:schemeClr w14:val="tx1"/>
            </w14:solidFill>
          </w14:textFill>
        </w:rPr>
        <w:t>级。</w:t>
      </w:r>
    </w:p>
    <w:p>
      <w:pPr>
        <w:pStyle w:val="727"/>
        <w:rPr>
          <w:color w:val="000000" w:themeColor="text1"/>
          <w14:textFill>
            <w14:solidFill>
              <w14:schemeClr w14:val="tx1"/>
            </w14:solidFill>
          </w14:textFill>
        </w:rPr>
      </w:pPr>
      <w:bookmarkStart w:id="122" w:name="_Toc494549077"/>
      <w:r>
        <w:rPr>
          <w:color w:val="000000" w:themeColor="text1"/>
          <w14:textFill>
            <w14:solidFill>
              <w14:schemeClr w14:val="tx1"/>
            </w14:solidFill>
          </w14:textFill>
        </w:rPr>
        <w:t>5.4.2 调查评价范围及保护目标</w:t>
      </w:r>
      <w:bookmarkEnd w:id="122"/>
    </w:p>
    <w:p>
      <w:pPr>
        <w:pStyle w:val="460"/>
      </w:pPr>
      <w:bookmarkStart w:id="123" w:name="_Toc494549078"/>
      <w:r>
        <w:t>5.4.2.1 调查评价范围</w:t>
      </w:r>
      <w:bookmarkEnd w:id="123"/>
    </w:p>
    <w:p>
      <w:pPr>
        <w:pStyle w:val="457"/>
        <w:rPr>
          <w:color w:val="000000" w:themeColor="text1"/>
          <w14:textFill>
            <w14:solidFill>
              <w14:schemeClr w14:val="tx1"/>
            </w14:solidFill>
          </w14:textFill>
        </w:rPr>
      </w:pPr>
      <w:r>
        <w:rPr>
          <w:rFonts w:hint="eastAsia"/>
          <w:color w:val="000000" w:themeColor="text1"/>
          <w14:textFill>
            <w14:solidFill>
              <w14:schemeClr w14:val="tx1"/>
            </w14:solidFill>
          </w14:textFill>
        </w:rPr>
        <w:t>依据《环境影响评价技术导则—地下水环境》（HJ610-2016），水文地质单元的完整性和评价区内与建设项目相关的地下水环境保护目标，以能说明地下水环境的现状、反映调查评价区地下水基本流场特征、满足本次预测评价要求为原则。按照《环境影响评价技术导则—地下水环境》（HJ610-2016）的规定，地下水环境影响评价范围一般与调查评价范围一致，可采用公式计算法、查表法和自定义法确定，本次环评采用</w:t>
      </w:r>
      <w:r>
        <w:rPr>
          <w:color w:val="000000" w:themeColor="text1"/>
          <w14:textFill>
            <w14:solidFill>
              <w14:schemeClr w14:val="tx1"/>
            </w14:solidFill>
          </w14:textFill>
        </w:rPr>
        <w:t>查表法</w:t>
      </w:r>
      <w:r>
        <w:rPr>
          <w:rFonts w:hint="eastAsia"/>
          <w:color w:val="000000" w:themeColor="text1"/>
          <w14:textFill>
            <w14:solidFill>
              <w14:schemeClr w14:val="tx1"/>
            </w14:solidFill>
          </w14:textFill>
        </w:rPr>
        <w:t>。</w:t>
      </w:r>
    </w:p>
    <w:p>
      <w:pPr>
        <w:pStyle w:val="457"/>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地下水环境》（HJ610-2016）查表法表3，查表法内容详见下表：</w:t>
      </w:r>
    </w:p>
    <w:p>
      <w:pPr>
        <w:pStyle w:val="632"/>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.4-4      建设项目地下水环境现状调查评价范围参照表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1"/>
        <w:gridCol w:w="2836"/>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评价等级</w:t>
            </w:r>
          </w:p>
        </w:tc>
        <w:tc>
          <w:tcPr>
            <w:tcW w:w="1585"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调查评价面积（km²）</w:t>
            </w:r>
          </w:p>
        </w:tc>
        <w:tc>
          <w:tcPr>
            <w:tcW w:w="2246"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一级</w:t>
            </w:r>
          </w:p>
        </w:tc>
        <w:tc>
          <w:tcPr>
            <w:tcW w:w="158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2246" w:type="pct"/>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应包含重要的地下水环境保护目标，必要时适当扩大范围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二级</w:t>
            </w:r>
          </w:p>
        </w:tc>
        <w:tc>
          <w:tcPr>
            <w:tcW w:w="158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6-20</w:t>
            </w:r>
          </w:p>
        </w:tc>
        <w:tc>
          <w:tcPr>
            <w:tcW w:w="2246" w:type="pct"/>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三级</w:t>
            </w:r>
          </w:p>
        </w:tc>
        <w:tc>
          <w:tcPr>
            <w:tcW w:w="1585"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2246" w:type="pct"/>
            <w:vMerge w:val="continue"/>
            <w:vAlign w:val="center"/>
          </w:tcPr>
          <w:p>
            <w:pPr>
              <w:adjustRightInd w:val="0"/>
              <w:snapToGrid w:val="0"/>
              <w:jc w:val="center"/>
              <w:rPr>
                <w:color w:val="000000" w:themeColor="text1"/>
                <w:szCs w:val="21"/>
                <w14:textFill>
                  <w14:solidFill>
                    <w14:schemeClr w14:val="tx1"/>
                  </w14:solidFill>
                </w14:textFill>
              </w:rPr>
            </w:pPr>
          </w:p>
        </w:tc>
      </w:tr>
    </w:tbl>
    <w:p>
      <w:pPr>
        <w:pStyle w:val="457"/>
        <w:rPr>
          <w:color w:val="000000" w:themeColor="text1"/>
          <w14:textFill>
            <w14:solidFill>
              <w14:schemeClr w14:val="tx1"/>
            </w14:solidFill>
          </w14:textFill>
        </w:rPr>
      </w:pPr>
      <w:r>
        <w:rPr>
          <w:color w:val="000000" w:themeColor="text1"/>
          <w14:textFill>
            <w14:solidFill>
              <w14:schemeClr w14:val="tx1"/>
            </w14:solidFill>
          </w14:textFill>
        </w:rPr>
        <w:t>根据上表，本项目勘察范围</w:t>
      </w:r>
      <w:r>
        <w:rPr>
          <w:rFonts w:hint="eastAsia"/>
          <w:color w:val="000000" w:themeColor="text1"/>
          <w:spacing w:val="10"/>
          <w14:textFill>
            <w14:solidFill>
              <w14:schemeClr w14:val="tx1"/>
            </w14:solidFill>
          </w14:textFill>
        </w:rPr>
        <w:t>≥</w:t>
      </w:r>
      <w:r>
        <w:rPr>
          <w:color w:val="000000" w:themeColor="text1"/>
          <w:spacing w:val="10"/>
          <w14:textFill>
            <w14:solidFill>
              <w14:schemeClr w14:val="tx1"/>
            </w14:solidFill>
          </w14:textFill>
        </w:rPr>
        <w:t>20</w:t>
      </w:r>
      <w:r>
        <w:rPr>
          <w:color w:val="000000" w:themeColor="text1"/>
          <w14:textFill>
            <w14:solidFill>
              <w14:schemeClr w14:val="tx1"/>
            </w14:solidFill>
          </w14:textFill>
        </w:rPr>
        <w:t>km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考虑建设项目</w:t>
      </w:r>
      <w:r>
        <w:rPr>
          <w:bCs/>
          <w:color w:val="000000" w:themeColor="text1"/>
          <w14:textFill>
            <w14:solidFill>
              <w14:schemeClr w14:val="tx1"/>
            </w14:solidFill>
          </w14:textFill>
        </w:rPr>
        <w:t>工程场地平面布置、地形地貌特征、区域水文地质条件和地下水保护目标等</w:t>
      </w:r>
      <w:r>
        <w:rPr>
          <w:color w:val="000000" w:themeColor="text1"/>
          <w14:textFill>
            <w14:solidFill>
              <w14:schemeClr w14:val="tx1"/>
            </w14:solidFill>
          </w14:textFill>
        </w:rPr>
        <w:t>，确定本次调查、评价区范围为多边形，</w:t>
      </w:r>
      <w:r>
        <w:rPr>
          <w:rFonts w:hint="eastAsia"/>
          <w:color w:val="000000" w:themeColor="text1"/>
          <w14:textFill>
            <w14:solidFill>
              <w14:schemeClr w14:val="tx1"/>
            </w14:solidFill>
          </w14:textFill>
        </w:rPr>
        <w:t>即</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北边界：厂界下游东北侧</w:t>
      </w:r>
      <w:r>
        <w:rPr>
          <w:color w:val="000000" w:themeColor="text1"/>
          <w:sz w:val="24"/>
          <w14:textFill>
            <w14:solidFill>
              <w14:schemeClr w14:val="tx1"/>
            </w14:solidFill>
          </w14:textFill>
        </w:rPr>
        <w:t>2.73</w:t>
      </w:r>
      <w:r>
        <w:rPr>
          <w:rFonts w:hint="eastAsia"/>
          <w:color w:val="000000" w:themeColor="text1"/>
          <w:sz w:val="24"/>
          <w14:textFill>
            <w14:solidFill>
              <w14:schemeClr w14:val="tx1"/>
            </w14:solidFill>
          </w14:textFill>
        </w:rPr>
        <w:t>km西南文岩渠至刘秀王庄村西关排一线为评价区北部边界，为下游排泄边界；</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南边界：厂界上游西南侧的天然二支渠一线为评价区南部边界，为上游补给边界；</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西边界：厂界西侧新一干灌渠和西北侧文岩渠一线为评价区西部边界，为侧向边界；</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东边界：厂界东南侧西关排一线为评价区东部边界，为侧向边界。</w:t>
      </w:r>
    </w:p>
    <w:p>
      <w:pPr>
        <w:pStyle w:val="457"/>
        <w:rPr>
          <w:color w:val="000000" w:themeColor="text1"/>
          <w14:textFill>
            <w14:solidFill>
              <w14:schemeClr w14:val="tx1"/>
            </w14:solidFill>
          </w14:textFill>
        </w:rPr>
      </w:pPr>
      <w:r>
        <w:rPr>
          <w:rFonts w:hint="eastAsia"/>
          <w:color w:val="000000" w:themeColor="text1"/>
          <w14:textFill>
            <w14:solidFill>
              <w14:schemeClr w14:val="tx1"/>
            </w14:solidFill>
          </w14:textFill>
        </w:rPr>
        <w:t>调查评价面积约为</w:t>
      </w:r>
      <w:r>
        <w:rPr>
          <w:color w:val="000000" w:themeColor="text1"/>
          <w14:textFill>
            <w14:solidFill>
              <w14:schemeClr w14:val="tx1"/>
            </w14:solidFill>
          </w14:textFill>
        </w:rPr>
        <w:t>34.2</w:t>
      </w:r>
      <w:r>
        <w:rPr>
          <w:rFonts w:hint="eastAsia"/>
          <w:color w:val="000000" w:themeColor="text1"/>
          <w14:textFill>
            <w14:solidFill>
              <w14:schemeClr w14:val="tx1"/>
            </w14:solidFill>
          </w14:textFill>
        </w:rPr>
        <w:t>km</w:t>
      </w:r>
      <w:r>
        <w:rPr>
          <w:rFonts w:hint="eastAsia"/>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项目地下水评价调查范围见下图：</w:t>
      </w:r>
    </w:p>
    <w:p>
      <w:pPr>
        <w:pStyle w:val="457"/>
        <w:spacing w:line="360" w:lineRule="auto"/>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525770" cy="5602605"/>
            <wp:effectExtent l="12700" t="12700" r="24130" b="234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1"/>
                    <a:stretch>
                      <a:fillRect/>
                    </a:stretch>
                  </pic:blipFill>
                  <pic:spPr>
                    <a:xfrm>
                      <a:off x="0" y="0"/>
                      <a:ext cx="5525770" cy="5602605"/>
                    </a:xfrm>
                    <a:prstGeom prst="rect">
                      <a:avLst/>
                    </a:prstGeom>
                    <a:ln w="12700">
                      <a:solidFill>
                        <a:schemeClr val="tx1"/>
                      </a:solidFill>
                    </a:ln>
                  </pic:spPr>
                </pic:pic>
              </a:graphicData>
            </a:graphic>
          </wp:inline>
        </w:drawing>
      </w:r>
    </w:p>
    <w:p>
      <w:pPr>
        <w:pStyle w:val="376"/>
        <w:jc w:val="center"/>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 xml:space="preserve">图 </w:t>
      </w:r>
      <w:r>
        <w:rPr>
          <w:rFonts w:eastAsia="黑体"/>
          <w:color w:val="000000" w:themeColor="text1"/>
          <w:sz w:val="24"/>
          <w14:textFill>
            <w14:solidFill>
              <w14:schemeClr w14:val="tx1"/>
            </w14:solidFill>
          </w14:textFill>
        </w:rPr>
        <w:fldChar w:fldCharType="begin"/>
      </w:r>
      <w:r>
        <w:rPr>
          <w:rFonts w:eastAsia="黑体"/>
          <w:color w:val="000000" w:themeColor="text1"/>
          <w:sz w:val="24"/>
          <w14:textFill>
            <w14:solidFill>
              <w14:schemeClr w14:val="tx1"/>
            </w14:solidFill>
          </w14:textFill>
        </w:rPr>
        <w:instrText xml:space="preserve"> </w:instrText>
      </w:r>
      <w:r>
        <w:rPr>
          <w:rFonts w:hint="eastAsia" w:eastAsia="黑体"/>
          <w:color w:val="000000" w:themeColor="text1"/>
          <w:sz w:val="24"/>
          <w14:textFill>
            <w14:solidFill>
              <w14:schemeClr w14:val="tx1"/>
            </w14:solidFill>
          </w14:textFill>
        </w:rPr>
        <w:instrText xml:space="preserve">STYLEREF 1 \s</w:instrText>
      </w:r>
      <w:r>
        <w:rPr>
          <w:rFonts w:eastAsia="黑体"/>
          <w:color w:val="000000" w:themeColor="text1"/>
          <w:sz w:val="24"/>
          <w14:textFill>
            <w14:solidFill>
              <w14:schemeClr w14:val="tx1"/>
            </w14:solidFill>
          </w14:textFill>
        </w:rPr>
        <w:instrText xml:space="preserve"> </w:instrText>
      </w:r>
      <w:r>
        <w:rPr>
          <w:rFonts w:eastAsia="黑体"/>
          <w:color w:val="000000" w:themeColor="text1"/>
          <w:sz w:val="24"/>
          <w14:textFill>
            <w14:solidFill>
              <w14:schemeClr w14:val="tx1"/>
            </w14:solidFill>
          </w14:textFill>
        </w:rPr>
        <w:fldChar w:fldCharType="separate"/>
      </w:r>
      <w:r>
        <w:rPr>
          <w:rFonts w:eastAsia="黑体"/>
          <w:color w:val="000000" w:themeColor="text1"/>
          <w:sz w:val="24"/>
          <w14:textFill>
            <w14:solidFill>
              <w14:schemeClr w14:val="tx1"/>
            </w14:solidFill>
          </w14:textFill>
        </w:rPr>
        <w:t>5</w:t>
      </w:r>
      <w:r>
        <w:rPr>
          <w:rFonts w:eastAsia="黑体"/>
          <w:color w:val="000000" w:themeColor="text1"/>
          <w:sz w:val="24"/>
          <w14:textFill>
            <w14:solidFill>
              <w14:schemeClr w14:val="tx1"/>
            </w14:solidFill>
          </w14:textFill>
        </w:rPr>
        <w:fldChar w:fldCharType="end"/>
      </w:r>
      <w:r>
        <w:rPr>
          <w:rFonts w:eastAsia="黑体"/>
          <w:color w:val="000000" w:themeColor="text1"/>
          <w:sz w:val="24"/>
          <w14:textFill>
            <w14:solidFill>
              <w14:schemeClr w14:val="tx1"/>
            </w14:solidFill>
          </w14:textFill>
        </w:rPr>
        <w:t xml:space="preserve">.4-1  </w:t>
      </w:r>
      <w:r>
        <w:rPr>
          <w:rFonts w:hint="eastAsia" w:eastAsia="黑体"/>
          <w:color w:val="000000" w:themeColor="text1"/>
          <w:sz w:val="24"/>
          <w14:textFill>
            <w14:solidFill>
              <w14:schemeClr w14:val="tx1"/>
            </w14:solidFill>
          </w14:textFill>
        </w:rPr>
        <w:t>调查评价范围图</w:t>
      </w:r>
    </w:p>
    <w:p>
      <w:pPr>
        <w:pStyle w:val="457"/>
        <w:spacing w:line="240" w:lineRule="auto"/>
        <w:ind w:firstLine="0" w:firstLineChars="0"/>
        <w:jc w:val="center"/>
        <w:rPr>
          <w:rFonts w:eastAsia="黑体"/>
          <w:b/>
          <w:bCs/>
          <w:color w:val="000000" w:themeColor="text1"/>
          <w:highlight w:val="yellow"/>
          <w:u w:val="single"/>
          <w14:textFill>
            <w14:solidFill>
              <w14:schemeClr w14:val="tx1"/>
            </w14:solidFill>
          </w14:textFill>
        </w:rPr>
      </w:pPr>
    </w:p>
    <w:p>
      <w:pPr>
        <w:pStyle w:val="460"/>
      </w:pPr>
      <w:r>
        <w:t>5.4.2.2保护目标</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依据《环境影响评价技术导则 地下水环境》（HJ610-2016），地下水环境保护目标指潜水含水层和可能受建设项目影响且具有饮用水开发利用价值的含水层，集中式饮用水水源和分散式饮用水水源地，以及《建设项目环境影响评价分类管理名录》中所界定的涉及地下水的环境敏感区。 </w:t>
      </w:r>
    </w:p>
    <w:p>
      <w:pPr>
        <w:spacing w:line="520" w:lineRule="exact"/>
        <w:ind w:firstLine="480" w:firstLineChars="200"/>
        <w:rPr>
          <w:rFonts w:eastAsia="黑体"/>
          <w:b/>
          <w:bCs/>
          <w:color w:val="000000" w:themeColor="text1"/>
          <w:sz w:val="24"/>
          <w:szCs w:val="24"/>
          <w:highlight w:val="yellow"/>
          <w:u w:val="single"/>
          <w14:textFill>
            <w14:solidFill>
              <w14:schemeClr w14:val="tx1"/>
            </w14:solidFill>
          </w14:textFill>
        </w:rPr>
      </w:pPr>
      <w:r>
        <w:rPr>
          <w:color w:val="000000" w:themeColor="text1"/>
          <w:sz w:val="24"/>
          <w14:textFill>
            <w14:solidFill>
              <w14:schemeClr w14:val="tx1"/>
            </w14:solidFill>
          </w14:textFill>
        </w:rPr>
        <w:t>本项目的保护目标为调查评价范围内</w:t>
      </w:r>
      <w:r>
        <w:rPr>
          <w:rFonts w:hint="eastAsia"/>
          <w:color w:val="000000" w:themeColor="text1"/>
          <w:sz w:val="24"/>
          <w14:textFill>
            <w14:solidFill>
              <w14:schemeClr w14:val="tx1"/>
            </w14:solidFill>
          </w14:textFill>
        </w:rPr>
        <w:t>存在原阳县水厂地下水井群，其属于集中式饮用水水源，故本项目地下水环境保护目标为原阳县水厂地下水井群。</w:t>
      </w:r>
    </w:p>
    <w:p>
      <w:pPr>
        <w:pStyle w:val="727"/>
        <w:rPr>
          <w:color w:val="000000" w:themeColor="text1"/>
          <w14:textFill>
            <w14:solidFill>
              <w14:schemeClr w14:val="tx1"/>
            </w14:solidFill>
          </w14:textFill>
        </w:rPr>
      </w:pPr>
      <w:r>
        <w:rPr>
          <w:color w:val="000000" w:themeColor="text1"/>
          <w14:textFill>
            <w14:solidFill>
              <w14:schemeClr w14:val="tx1"/>
            </w14:solidFill>
          </w14:textFill>
        </w:rPr>
        <w:t>5.4.3 区域水文地质条件</w:t>
      </w:r>
    </w:p>
    <w:p>
      <w:pPr>
        <w:pStyle w:val="460"/>
      </w:pPr>
      <w:bookmarkStart w:id="124" w:name="_Toc8951"/>
      <w:r>
        <w:t xml:space="preserve">5.4.3.1 </w:t>
      </w:r>
      <w:r>
        <w:rPr>
          <w:rFonts w:hint="eastAsia"/>
        </w:rPr>
        <w:t>地形地貌</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调查区位于新乡市原阳县，隶属新乡市管辖。原阳县位于黄河北岸，地处黄河下游冲积平原，黄河冲积扇的扇轴部位，地形平坦，地势西高东低，自西南向东北方向微倾，海拔高度在85-76m之间，地面高程西南部约80.5m，东北部约78.5m，地面坡降约1/3000-1/5000。</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区内地貌属黄河冲积平原区，依其成因和形态的差异特征，细分为黄河泛流平原区（Ⅰ）、黄河故道区（Ⅱ）两个亚区，由南向北呈条带状分布。每个亚区又可分为2个区段，见</w:t>
      </w:r>
      <w:r>
        <w:rPr>
          <w:rFonts w:hint="eastAsia"/>
          <w:color w:val="000000" w:themeColor="text1"/>
          <w:sz w:val="24"/>
          <w14:textFill>
            <w14:solidFill>
              <w14:schemeClr w14:val="tx1"/>
            </w14:solidFill>
          </w14:textFill>
        </w:rPr>
        <w:t>下</w:t>
      </w:r>
      <w:r>
        <w:rPr>
          <w:color w:val="000000" w:themeColor="text1"/>
          <w:sz w:val="24"/>
          <w14:textFill>
            <w14:solidFill>
              <w14:schemeClr w14:val="tx1"/>
            </w14:solidFill>
          </w14:textFill>
        </w:rPr>
        <w:t>图。</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泛流平原（Ⅰ）</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泛流平地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Ⅰ1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分布于东合角村-娄月庄-大张寨以北，面积22.35km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，占区域面积56.52%。泛流平地为地势相对低洼的平地。总的地势是西南及南部高，东北及北部低，</w:t>
      </w:r>
      <w:bookmarkStart w:id="125" w:name="_Hlt100340463"/>
      <w:bookmarkEnd w:id="125"/>
      <w:r>
        <w:rPr>
          <w:color w:val="000000" w:themeColor="text1"/>
          <w:sz w:val="24"/>
          <w14:textFill>
            <w14:solidFill>
              <w14:schemeClr w14:val="tx1"/>
            </w14:solidFill>
          </w14:textFill>
        </w:rPr>
        <w:t>地面坡降在1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4000-1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6000之间。高程80-78m，因地势平坦低洼，排水困难，易造成内涝，在洼地区分布有盐碱地，现已全部改造并变为良田。</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背河洼地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Ⅰ2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分布于东合角村-娄月庄-大张寨以南，面积9.29km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，占区域面积23.50%。为人工筑堤防泛及后期地表流水作用造成的一条槽状条带状洼地，地势低洼，地面坡降1</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4000-1</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8000，地面高程79-78m，向东及北东微倾斜。大部为洼涝盐碱、沼泽地，现已大部分改造利用并变为良田。</w:t>
      </w:r>
    </w:p>
    <w:p>
      <w:pPr>
        <w:spacing w:line="52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黄河故道（Ⅱ）</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古河床</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Ⅱ1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分布于大徐庄东北区域，面积1.70km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占区域面积4.30%。分布区砂丘密布并呈东北向带状延伸，为冲积风积砂丘、砂垅和丘间洼地组成。砂丘、砂垅呈东北向分布，相对高差5-10m及1-2m，最高达15m。砂丘形态，多为砂堆及砂垅，少数新月形及链状砂丘，并多为固定、半固定型，少数为活动型。风成交错层发育且造成砂荒，现全部改造为良田。</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古漫滩</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Ⅱ2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分布于大徐庄-尹圪垱村-樊庄村-堤口村合围区域，面积6.20km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，占区域面积15.68%。古漫滩分布于古河床两侧，略向东北倾斜，坡降1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4000，地面高程84-79m，呈东北向带状延伸，地面比洼地高2-4m，局部地区分布有网状切割小冲沟，近河床地带具微高起呈带状并有零星砂丘分布。</w:t>
      </w:r>
    </w:p>
    <w:p>
      <w:pPr>
        <w:spacing w:line="360" w:lineRule="auto"/>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5623560" cy="6155690"/>
            <wp:effectExtent l="12700" t="12700" r="21590" b="228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2"/>
                    <a:stretch>
                      <a:fillRect/>
                    </a:stretch>
                  </pic:blipFill>
                  <pic:spPr>
                    <a:xfrm>
                      <a:off x="0" y="0"/>
                      <a:ext cx="5623560" cy="6165786"/>
                    </a:xfrm>
                    <a:prstGeom prst="rect">
                      <a:avLst/>
                    </a:prstGeom>
                    <a:ln w="12700">
                      <a:solidFill>
                        <a:schemeClr val="tx1"/>
                      </a:solidFill>
                    </a:ln>
                  </pic:spPr>
                </pic:pic>
              </a:graphicData>
            </a:graphic>
          </wp:inline>
        </w:drawing>
      </w:r>
    </w:p>
    <w:p>
      <w:pPr>
        <w:pStyle w:val="376"/>
        <w:jc w:val="center"/>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 xml:space="preserve">图 </w:t>
      </w:r>
      <w:r>
        <w:rPr>
          <w:rFonts w:eastAsia="黑体"/>
          <w:color w:val="000000" w:themeColor="text1"/>
          <w:sz w:val="24"/>
          <w14:textFill>
            <w14:solidFill>
              <w14:schemeClr w14:val="tx1"/>
            </w14:solidFill>
          </w14:textFill>
        </w:rPr>
        <w:fldChar w:fldCharType="begin"/>
      </w:r>
      <w:r>
        <w:rPr>
          <w:rFonts w:eastAsia="黑体"/>
          <w:color w:val="000000" w:themeColor="text1"/>
          <w:sz w:val="24"/>
          <w14:textFill>
            <w14:solidFill>
              <w14:schemeClr w14:val="tx1"/>
            </w14:solidFill>
          </w14:textFill>
        </w:rPr>
        <w:instrText xml:space="preserve"> </w:instrText>
      </w:r>
      <w:r>
        <w:rPr>
          <w:rFonts w:hint="eastAsia" w:eastAsia="黑体"/>
          <w:color w:val="000000" w:themeColor="text1"/>
          <w:sz w:val="24"/>
          <w14:textFill>
            <w14:solidFill>
              <w14:schemeClr w14:val="tx1"/>
            </w14:solidFill>
          </w14:textFill>
        </w:rPr>
        <w:instrText xml:space="preserve">STYLEREF 1 \s</w:instrText>
      </w:r>
      <w:r>
        <w:rPr>
          <w:rFonts w:eastAsia="黑体"/>
          <w:color w:val="000000" w:themeColor="text1"/>
          <w:sz w:val="24"/>
          <w14:textFill>
            <w14:solidFill>
              <w14:schemeClr w14:val="tx1"/>
            </w14:solidFill>
          </w14:textFill>
        </w:rPr>
        <w:instrText xml:space="preserve"> </w:instrText>
      </w:r>
      <w:r>
        <w:rPr>
          <w:rFonts w:eastAsia="黑体"/>
          <w:color w:val="000000" w:themeColor="text1"/>
          <w:sz w:val="24"/>
          <w14:textFill>
            <w14:solidFill>
              <w14:schemeClr w14:val="tx1"/>
            </w14:solidFill>
          </w14:textFill>
        </w:rPr>
        <w:fldChar w:fldCharType="separate"/>
      </w:r>
      <w:r>
        <w:rPr>
          <w:rFonts w:eastAsia="黑体"/>
          <w:color w:val="000000" w:themeColor="text1"/>
          <w:sz w:val="24"/>
          <w14:textFill>
            <w14:solidFill>
              <w14:schemeClr w14:val="tx1"/>
            </w14:solidFill>
          </w14:textFill>
        </w:rPr>
        <w:t>5</w:t>
      </w:r>
      <w:r>
        <w:rPr>
          <w:rFonts w:eastAsia="黑体"/>
          <w:color w:val="000000" w:themeColor="text1"/>
          <w:sz w:val="24"/>
          <w14:textFill>
            <w14:solidFill>
              <w14:schemeClr w14:val="tx1"/>
            </w14:solidFill>
          </w14:textFill>
        </w:rPr>
        <w:fldChar w:fldCharType="end"/>
      </w:r>
      <w:r>
        <w:rPr>
          <w:rFonts w:eastAsia="黑体"/>
          <w:color w:val="000000" w:themeColor="text1"/>
          <w:sz w:val="24"/>
          <w14:textFill>
            <w14:solidFill>
              <w14:schemeClr w14:val="tx1"/>
            </w14:solidFill>
          </w14:textFill>
        </w:rPr>
        <w:t xml:space="preserve">.4-2  </w:t>
      </w:r>
      <w:r>
        <w:rPr>
          <w:rFonts w:hint="eastAsia" w:eastAsia="黑体"/>
          <w:color w:val="000000" w:themeColor="text1"/>
          <w:sz w:val="24"/>
          <w14:textFill>
            <w14:solidFill>
              <w14:schemeClr w14:val="tx1"/>
            </w14:solidFill>
          </w14:textFill>
        </w:rPr>
        <w:t>区域地貌图</w:t>
      </w:r>
    </w:p>
    <w:p>
      <w:pPr>
        <w:spacing w:line="360" w:lineRule="auto"/>
        <w:rPr>
          <w:color w:val="000000" w:themeColor="text1"/>
          <w:sz w:val="24"/>
          <w14:textFill>
            <w14:solidFill>
              <w14:schemeClr w14:val="tx1"/>
            </w14:solidFill>
          </w14:textFill>
        </w:rPr>
      </w:pPr>
    </w:p>
    <w:p>
      <w:pPr>
        <w:pStyle w:val="460"/>
      </w:pPr>
      <w:r>
        <w:rPr>
          <w:rFonts w:hint="eastAsia"/>
        </w:rPr>
        <w:t>5</w:t>
      </w:r>
      <w:r>
        <w:t xml:space="preserve">.4.3.2 </w:t>
      </w:r>
      <w:r>
        <w:rPr>
          <w:rFonts w:hint="eastAsia"/>
        </w:rPr>
        <w:t>气象水文</w:t>
      </w:r>
    </w:p>
    <w:p>
      <w:pPr>
        <w:pStyle w:val="457"/>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气象</w:t>
      </w:r>
    </w:p>
    <w:p>
      <w:pPr>
        <w:pStyle w:val="457"/>
        <w:rPr>
          <w:color w:val="000000" w:themeColor="text1"/>
          <w14:textFill>
            <w14:solidFill>
              <w14:schemeClr w14:val="tx1"/>
            </w14:solidFill>
          </w14:textFill>
        </w:rPr>
      </w:pPr>
      <w:r>
        <w:rPr>
          <w:color w:val="000000" w:themeColor="text1"/>
          <w14:textFill>
            <w14:solidFill>
              <w14:schemeClr w14:val="tx1"/>
            </w14:solidFill>
          </w14:textFill>
        </w:rPr>
        <w:t>原阳县属暖温带大陆性季风气候，四季分明。其特点是：四季分明，即冬季寒冷干燥，雨雪稀少；春季干旱多风，气温上升而不稳；夏季炎热多雨，气温高、湿度大，降水多而集中，易造成夏涝和伏旱；秋季秋高气爽，天气多晴朗，降温快，日差较大，部分年份秋雨连绵。光热资源较丰富，历年平均年日照2324.5小时，日照率为53％。年平均气温为14.4℃，介于13.5℃-15.1℃之间。平均气温以7月份最高，元月份最低。极端最高气温44.1℃，极端最低气温-18.9℃。年平均积温为52987℃，稳定通过0℃的（按80%保证率）为282天。</w:t>
      </w:r>
    </w:p>
    <w:p>
      <w:pPr>
        <w:pStyle w:val="457"/>
        <w:rPr>
          <w:color w:val="000000" w:themeColor="text1"/>
          <w14:textFill>
            <w14:solidFill>
              <w14:schemeClr w14:val="tx1"/>
            </w14:solidFill>
          </w14:textFill>
        </w:rPr>
      </w:pPr>
      <w:r>
        <w:rPr>
          <w:color w:val="000000" w:themeColor="text1"/>
          <w14:textFill>
            <w14:solidFill>
              <w14:schemeClr w14:val="tx1"/>
            </w14:solidFill>
          </w14:textFill>
        </w:rPr>
        <w:t>年平均降水量为549.9毫米，但年际变化大，四季分配不匀。最多的年降水量达874.8mm（1964年），最少的降水量只有282.9mm（1966年）。在年内降水量中，夏季6、7、8三个月降水多而集中，占全年总降水量的57.6％，以7月份最多，平均为151mm。冬春季雨水稀少，元月份最少，平均只有3.7mm。多年月平均气象要素见图2-2。年平均无霜期215天。</w:t>
      </w:r>
    </w:p>
    <w:p>
      <w:pPr>
        <w:pStyle w:val="457"/>
        <w:rPr>
          <w:color w:val="000000" w:themeColor="text1"/>
          <w14:textFill>
            <w14:solidFill>
              <w14:schemeClr w14:val="tx1"/>
            </w14:solidFill>
          </w14:textFill>
        </w:rPr>
      </w:pPr>
      <w:r>
        <w:rPr>
          <w:color w:val="000000" w:themeColor="text1"/>
          <w14:textFill>
            <w14:solidFill>
              <w14:schemeClr w14:val="tx1"/>
            </w14:solidFill>
          </w14:textFill>
        </w:rPr>
        <w:t>影响本县的主要自然灾害是：旱、涝、风、雹、低温、霜冻和干热风等气候灾害较多，尤以干旱危害最大。</w:t>
      </w:r>
    </w:p>
    <w:p>
      <w:pPr>
        <w:snapToGrid w:val="0"/>
        <w:spacing w:line="36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5676265" cy="2933065"/>
            <wp:effectExtent l="0" t="0" r="635" b="635"/>
            <wp:docPr id="16" name="图片 16" descr="降雨量、蒸发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降雨量、蒸发量"/>
                    <pic:cNvPicPr>
                      <a:picLocks noChangeAspect="1" noChangeArrowheads="1"/>
                    </pic:cNvPicPr>
                  </pic:nvPicPr>
                  <pic:blipFill>
                    <a:blip r:embed="rId83"/>
                    <a:srcRect/>
                    <a:stretch>
                      <a:fillRect/>
                    </a:stretch>
                  </pic:blipFill>
                  <pic:spPr>
                    <a:xfrm>
                      <a:off x="0" y="0"/>
                      <a:ext cx="5676265" cy="2935627"/>
                    </a:xfrm>
                    <a:prstGeom prst="rect">
                      <a:avLst/>
                    </a:prstGeom>
                    <a:noFill/>
                    <a:ln>
                      <a:noFill/>
                    </a:ln>
                    <a:effectLst/>
                  </pic:spPr>
                </pic:pic>
              </a:graphicData>
            </a:graphic>
          </wp:inline>
        </w:drawing>
      </w:r>
    </w:p>
    <w:p>
      <w:pPr>
        <w:pStyle w:val="376"/>
        <w:jc w:val="center"/>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图</w:t>
      </w:r>
      <w:r>
        <w:rPr>
          <w:rFonts w:hint="eastAsia" w:eastAsia="黑体"/>
          <w:color w:val="000000" w:themeColor="text1"/>
          <w:sz w:val="24"/>
          <w14:textFill>
            <w14:solidFill>
              <w14:schemeClr w14:val="tx1"/>
            </w14:solidFill>
          </w14:textFill>
        </w:rPr>
        <w:t>5</w:t>
      </w:r>
      <w:r>
        <w:rPr>
          <w:rFonts w:eastAsia="黑体"/>
          <w:color w:val="000000" w:themeColor="text1"/>
          <w:sz w:val="24"/>
          <w14:textFill>
            <w14:solidFill>
              <w14:schemeClr w14:val="tx1"/>
            </w14:solidFill>
          </w14:textFill>
        </w:rPr>
        <w:t>.4-3   原阳县多年月平均气象要素图</w:t>
      </w:r>
    </w:p>
    <w:p>
      <w:pPr>
        <w:pStyle w:val="457"/>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水文</w:t>
      </w:r>
    </w:p>
    <w:p>
      <w:pPr>
        <w:pStyle w:val="457"/>
        <w:rPr>
          <w:color w:val="000000" w:themeColor="text1"/>
          <w14:textFill>
            <w14:solidFill>
              <w14:schemeClr w14:val="tx1"/>
            </w14:solidFill>
          </w14:textFill>
        </w:rPr>
      </w:pPr>
      <w:r>
        <w:rPr>
          <w:color w:val="000000" w:themeColor="text1"/>
          <w14:textFill>
            <w14:solidFill>
              <w14:schemeClr w14:val="tx1"/>
            </w14:solidFill>
          </w14:textFill>
        </w:rPr>
        <w:t>原阳县属黄河流域，境内河流除黄河为天然河流外，均为人工沟。</w:t>
      </w:r>
    </w:p>
    <w:p>
      <w:pPr>
        <w:pStyle w:val="457"/>
        <w:rPr>
          <w:color w:val="000000" w:themeColor="text1"/>
          <w14:textFill>
            <w14:solidFill>
              <w14:schemeClr w14:val="tx1"/>
            </w14:solidFill>
          </w14:textFill>
        </w:rPr>
      </w:pPr>
      <w:r>
        <w:rPr>
          <w:color w:val="000000" w:themeColor="text1"/>
          <w14:textFill>
            <w14:solidFill>
              <w14:schemeClr w14:val="tx1"/>
            </w14:solidFill>
          </w14:textFill>
        </w:rPr>
        <w:t>黄河：是原阳县与郑州市的界河，自本县西侧入境，沿县境南侧东行，县境内黄河河段长60.2km，多年平均流量1434m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/s。黄河水位比堤北地面高5-7m，是本县地下水的侧向补给源，多年平均侧渗补给量为l30.98万m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/(km·a)，影响带宽度约10km。</w:t>
      </w:r>
    </w:p>
    <w:p>
      <w:pPr>
        <w:pStyle w:val="457"/>
        <w:rPr>
          <w:color w:val="000000" w:themeColor="text1"/>
          <w14:textFill>
            <w14:solidFill>
              <w14:schemeClr w14:val="tx1"/>
            </w14:solidFill>
          </w14:textFill>
        </w:rPr>
      </w:pPr>
      <w:r>
        <w:rPr>
          <w:color w:val="000000" w:themeColor="text1"/>
          <w14:textFill>
            <w14:solidFill>
              <w14:schemeClr w14:val="tx1"/>
            </w14:solidFill>
          </w14:textFill>
        </w:rPr>
        <w:t>天然渠：发源于本县西部祝楼南部的背河洼地，平行于黄河大堤，自西向东至梁寨出境，全长59km，常年排泄地下水和汛期洪水。</w:t>
      </w:r>
    </w:p>
    <w:p>
      <w:pPr>
        <w:pStyle w:val="457"/>
        <w:rPr>
          <w:color w:val="000000" w:themeColor="text1"/>
          <w14:textFill>
            <w14:solidFill>
              <w14:schemeClr w14:val="tx1"/>
            </w14:solidFill>
          </w14:textFill>
        </w:rPr>
      </w:pPr>
      <w:r>
        <w:rPr>
          <w:color w:val="000000" w:themeColor="text1"/>
          <w14:textFill>
            <w14:solidFill>
              <w14:schemeClr w14:val="tx1"/>
            </w14:solidFill>
          </w14:textFill>
        </w:rPr>
        <w:t>文岩渠：源于本县西部祝楼村南，往东北行至韩庄出境，境内渠长36km，主要为排涝渠道，也兼做引黄灌溉之用。</w:t>
      </w:r>
    </w:p>
    <w:p>
      <w:pPr>
        <w:pStyle w:val="457"/>
        <w:rPr>
          <w:color w:val="000000" w:themeColor="text1"/>
          <w14:textFill>
            <w14:solidFill>
              <w14:schemeClr w14:val="tx1"/>
            </w14:solidFill>
          </w14:textFill>
        </w:rPr>
      </w:pPr>
      <w:r>
        <w:rPr>
          <w:color w:val="000000" w:themeColor="text1"/>
          <w14:textFill>
            <w14:solidFill>
              <w14:schemeClr w14:val="tx1"/>
            </w14:solidFill>
          </w14:textFill>
        </w:rPr>
        <w:t>引黄灌溉渠道：原阳县境内现有6个引黄闸，已建成堤南、韩董庄、祥符朱三大引黄灌区，灌区内渠道纵横，仅干支渠就将近300条，总长约800km。</w:t>
      </w:r>
    </w:p>
    <w:p>
      <w:pPr>
        <w:pStyle w:val="460"/>
      </w:pPr>
      <w:r>
        <w:rPr>
          <w:rFonts w:hint="eastAsia"/>
        </w:rPr>
        <w:t>5</w:t>
      </w:r>
      <w:r>
        <w:t>.4.3.3</w:t>
      </w:r>
      <w:r>
        <w:rPr>
          <w:rFonts w:hint="eastAsia"/>
        </w:rPr>
        <w:t>调查区地质概况</w:t>
      </w:r>
    </w:p>
    <w:p>
      <w:pPr>
        <w:pStyle w:val="460"/>
      </w:pPr>
      <w:r>
        <w:rPr>
          <w:rFonts w:hint="eastAsia"/>
        </w:rPr>
        <w:t>（1）</w:t>
      </w:r>
      <w:r>
        <w:t>地层岩性</w:t>
      </w:r>
      <w:bookmarkEnd w:id="124"/>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原阳县境内新生代地层发育深厚，前新生界被深厚的新生界沉积覆盖。地层中第三系分布普遍，岩性主要为棕红色、棕色砂泥岩、页岩和泥岩；第四系在本区内发育较好，地层齐全，分布广泛，为松散的沉积物所组成，总厚度约为400m左右，自下而上为：冲积-湖积层,为灰绿、棕红色粘土、粉质粘土、细砂层；湖积层，为黄绿、棕红色粉质粘土、粘土及粉质砂土；冲积-洪积层，为灰黄、褐红色粉质粘土和湖积灰黄、褐黄色粉细砂夹黑色粘土；冲积层，为灰黄色中砂、中细砂、粉细砂、粉砂土夹灰黄色粘土和风积灰黄色中砂层、粉砂层等。其岩性特征为：</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①新近系（N）</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下新统(N1)：上部为棕黄，黄褐色泥质粉砂岩，砂质泥岩夹棕红色泥岩及淡黄、灰绿色粉砂岩。下部为砖红色、棕红色泥岩、砂质泥岩夹黄色砂岩，视厚度为800m。</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上新统(N2)：为棕黄、棕红色泥岩、砂质泥岩、泥质砂岩夹细砂、粉细砂，视厚度570 m。</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②第四系（Q）</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下更新统（Q</w:t>
      </w:r>
      <w:r>
        <w:rPr>
          <w:rFonts w:hint="eastAsia"/>
          <w:color w:val="000000" w:themeColor="text1"/>
          <w:sz w:val="24"/>
          <w:szCs w:val="24"/>
          <w:vertAlign w:val="subscript"/>
          <w14:textFill>
            <w14:solidFill>
              <w14:schemeClr w14:val="tx1"/>
            </w14:solidFill>
          </w14:textFill>
        </w:rPr>
        <w:t>1</w:t>
      </w:r>
      <w:r>
        <w:rPr>
          <w:rFonts w:hint="eastAsia"/>
          <w:color w:val="000000" w:themeColor="text1"/>
          <w:sz w:val="24"/>
          <w:szCs w:val="24"/>
          <w14:textFill>
            <w14:solidFill>
              <w14:schemeClr w14:val="tx1"/>
            </w14:solidFill>
          </w14:textFill>
        </w:rPr>
        <w:t>）：在区内广泛分布，为冰水、冲洪积。厚度较大，一般为100-200m，顶板埋深一般为280-300m，底板埋深为400-500m。岩性为灰绿色、棕黄色、棕色粉质粘土、粉质砂及含砾中粗砂，混粘结构，含钙质结核及铁锰结核，具大量灰绿色团块及条带、锈块、锰染。致密块状、较坚硬、切面粗糙。砂砾石分选差、呈棱角或半棱角状。</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中更新统（Q</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为古黄河沉积扇沉积，厚度一般为80-120m，顶板埋深为120-150m，底板埋深为200-270m。岩性主要为棕黄、灰黄色中细砂、粉细砂、粉质砂夹薄层粘土，粉土质含量高，见钙核、钙块，具有2-3层褐色、灰青土壤层或灰白色沉积层，铁锰结核含量较少，局部有锈染及灰绿斑、灰绿网纹。</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上更新统（Q</w:t>
      </w:r>
      <w:r>
        <w:rPr>
          <w:rFonts w:hint="eastAsia"/>
          <w:color w:val="000000" w:themeColor="text1"/>
          <w:sz w:val="24"/>
          <w:szCs w:val="24"/>
          <w:vertAlign w:val="subscript"/>
          <w14:textFill>
            <w14:solidFill>
              <w14:schemeClr w14:val="tx1"/>
            </w14:solidFill>
          </w14:textFill>
        </w:rPr>
        <w:t>3</w:t>
      </w:r>
      <w:r>
        <w:rPr>
          <w:rFonts w:hint="eastAsia"/>
          <w:color w:val="000000" w:themeColor="text1"/>
          <w:sz w:val="24"/>
          <w:szCs w:val="24"/>
          <w14:textFill>
            <w14:solidFill>
              <w14:schemeClr w14:val="tx1"/>
            </w14:solidFill>
          </w14:textFill>
        </w:rPr>
        <w:t>）：主要有冲洪积和冲积物构成，为古黄河冲积物堆积，厚一般为50-80m，顶板埋深50-70m，底板埋深为100-140m。岩性主要为灰黄色、浅黄色及少量青灰色中细砂、粉细砂，夹多层粉质粘土，具“二元结构”，内含较多小钙质结核，具多层结构特征，砂体分选较好，成份主要为石英、云母、角质石等。</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全新统（Q</w:t>
      </w:r>
      <w:r>
        <w:rPr>
          <w:rFonts w:hint="eastAsia"/>
          <w:color w:val="000000" w:themeColor="text1"/>
          <w:sz w:val="24"/>
          <w:szCs w:val="24"/>
          <w:vertAlign w:val="subscript"/>
          <w14:textFill>
            <w14:solidFill>
              <w14:schemeClr w14:val="tx1"/>
            </w14:solidFill>
          </w14:textFill>
        </w:rPr>
        <w:t>4</w:t>
      </w:r>
      <w:r>
        <w:rPr>
          <w:rFonts w:hint="eastAsia"/>
          <w:color w:val="000000" w:themeColor="text1"/>
          <w:sz w:val="24"/>
          <w:szCs w:val="24"/>
          <w14:textFill>
            <w14:solidFill>
              <w14:schemeClr w14:val="tx1"/>
            </w14:solidFill>
          </w14:textFill>
        </w:rPr>
        <w:t>）：为黄河冲积物堆积，厚度一般为40-60m，底板埋深为40-61.3m，岩性为灰黄、黄灰色亚砂土与厚层中细砂、粉细砂，具有明显的二元结构及波状、水平状层理，砂层呈片状分布，个别地层有冲积而来的小砾石，磨园度较好。普遍具有1-2层黑色和灰黑色淤泥质层。</w:t>
      </w:r>
    </w:p>
    <w:p>
      <w:pPr>
        <w:pStyle w:val="460"/>
      </w:pPr>
      <w:r>
        <w:rPr>
          <w:rFonts w:hint="eastAsia"/>
        </w:rPr>
        <w:t>（2）地质构造及新构造运动</w:t>
      </w:r>
    </w:p>
    <w:p>
      <w:pPr>
        <w:spacing w:line="520" w:lineRule="exact"/>
        <w:ind w:firstLine="480" w:firstLineChars="200"/>
        <w:outlineLvl w:val="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①地质构造</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区位于秦岭东西向复杂构造带北缘与新华夏系第二沉降带太行隆起南段、北西向构造带的复合部位。工作区断裂被第四系松散堆积物掩埋而成隐伏构造。由于燕山—喜山运动的影响，使各构造体系纵横交错，复合关系错综复杂，形迹明显见下图，现将各体系的展布方位及形迹特征简述如下：</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东西向构造体系：由一系列高角度压性、压扭性断裂和与之平行的褶皱组成，挽近早期局部地段活动较强烈。由于受新华夏系的切割，显得支离破碎不太连续。工作区内主要断裂有3条。</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新华夏系构造体系：该体系形成于燕山期，呈北北东方向展布，并有较大的隆起、拗陷伴生，挽近期活动强烈。与东西向构造的交汇处往往为地震活动区，主要断裂有5条。</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北西向构造体系：为工作区最新的构造体系。它不仅切割老的东西向断裂，而且切割了新华夏系断裂。在本工作区反映清晰的有2条，它与东西向及新华夏系断裂的交汇、复合部位往往也是地表活动的强烈区。</w:t>
      </w:r>
    </w:p>
    <w:p>
      <w:pPr>
        <w:spacing w:line="360" w:lineRule="auto"/>
        <w:jc w:val="center"/>
        <w:rPr>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5070475" cy="6004560"/>
            <wp:effectExtent l="0" t="0" r="15875" b="15240"/>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示&#10;&#10;描述已自动生成"/>
                    <pic:cNvPicPr>
                      <a:picLocks noChangeAspect="1"/>
                    </pic:cNvPicPr>
                  </pic:nvPicPr>
                  <pic:blipFill>
                    <a:blip r:embed="rId84"/>
                    <a:stretch>
                      <a:fillRect/>
                    </a:stretch>
                  </pic:blipFill>
                  <pic:spPr>
                    <a:xfrm>
                      <a:off x="0" y="0"/>
                      <a:ext cx="5070475" cy="6014413"/>
                    </a:xfrm>
                    <a:prstGeom prst="rect">
                      <a:avLst/>
                    </a:prstGeom>
                  </pic:spPr>
                </pic:pic>
              </a:graphicData>
            </a:graphic>
          </wp:inline>
        </w:drawing>
      </w:r>
    </w:p>
    <w:p>
      <w:pPr>
        <w:pStyle w:val="376"/>
        <w:jc w:val="center"/>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图</w:t>
      </w:r>
      <w:r>
        <w:rPr>
          <w:rFonts w:hint="eastAsia" w:eastAsia="黑体"/>
          <w:color w:val="000000" w:themeColor="text1"/>
          <w:sz w:val="24"/>
          <w14:textFill>
            <w14:solidFill>
              <w14:schemeClr w14:val="tx1"/>
            </w14:solidFill>
          </w14:textFill>
        </w:rPr>
        <w:t>5</w:t>
      </w:r>
      <w:r>
        <w:rPr>
          <w:rFonts w:eastAsia="黑体"/>
          <w:color w:val="000000" w:themeColor="text1"/>
          <w:sz w:val="24"/>
          <w14:textFill>
            <w14:solidFill>
              <w14:schemeClr w14:val="tx1"/>
            </w14:solidFill>
          </w14:textFill>
        </w:rPr>
        <w:t xml:space="preserve">.4-4   </w:t>
      </w:r>
      <w:r>
        <w:rPr>
          <w:rFonts w:hint="eastAsia" w:eastAsia="黑体"/>
          <w:color w:val="000000" w:themeColor="text1"/>
          <w:sz w:val="24"/>
          <w14:textFill>
            <w14:solidFill>
              <w14:schemeClr w14:val="tx1"/>
            </w14:solidFill>
          </w14:textFill>
        </w:rPr>
        <w:t>区域地质构造</w:t>
      </w:r>
      <w:r>
        <w:rPr>
          <w:rFonts w:eastAsia="黑体"/>
          <w:color w:val="000000" w:themeColor="text1"/>
          <w:sz w:val="24"/>
          <w14:textFill>
            <w14:solidFill>
              <w14:schemeClr w14:val="tx1"/>
            </w14:solidFill>
          </w14:textFill>
        </w:rPr>
        <w:t>图</w:t>
      </w:r>
    </w:p>
    <w:p>
      <w:pPr>
        <w:spacing w:line="520" w:lineRule="exact"/>
        <w:ind w:firstLine="480" w:firstLineChars="200"/>
        <w:outlineLvl w:val="5"/>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②新构造运动</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区域新构造明显，分布普遍，西部山区强烈上升，东部平原下降，松散堆积物沉积连续，厚度大。第四系厚度达100～447m。地壳的上升和下降，并不是等速的，而是时快时慢，升中有降，降中有升。平原区堆积物中存有多层风化壳、古土壤等，反映了新构造运动的振荡性和间歇性。</w:t>
      </w:r>
    </w:p>
    <w:p>
      <w:pPr>
        <w:pStyle w:val="460"/>
      </w:pPr>
      <w:bookmarkStart w:id="126" w:name="_Toc25891"/>
      <w:r>
        <w:t>5.4.3.4</w:t>
      </w:r>
      <w:bookmarkEnd w:id="126"/>
      <w:bookmarkStart w:id="127" w:name="_Toc370728275"/>
      <w:r>
        <w:rPr>
          <w:rFonts w:hint="eastAsia"/>
        </w:rPr>
        <w:t>调查区含水层组分布及特征</w:t>
      </w:r>
    </w:p>
    <w:p>
      <w:pPr>
        <w:pStyle w:val="376"/>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调查区地处黄河冲积平原上部，县域内地表均为第四系地层所覆盖，为黄河主、泛流堆积物，下层属内陆湖泊沉积和黄河河相沉积。由于本区位于华北地台黄淮中段济源-开地凹陷北部，太行山复背斜的南翼复式向斜的核部，系位于新华夏系与纬向构造带的复合部位，故县域基底褶皱、断层较发育，断层主要可分为三组：北东向、近南北向及东西向展布。地表在黄河冲积发育之前，下伏为新生代湖相沉积物质，巨厚的粘土、亚粘土层形成了良好的不透水隔层。更新以后，由于黄河泛滥，其上又堆积了厚层的松散堆积物，岩性以粉细砂、细砂、中砂、中粗砂和粉土、粉质粘土为主，为地下水的赋存提供了良好的空间条件，故地下水均属松散岩类孔隙水类型。</w:t>
      </w:r>
    </w:p>
    <w:p>
      <w:pPr>
        <w:pStyle w:val="376"/>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第四系孔隙水属多层结构含水层，区内地下水划分为浅层水、中深层水及深层水。浅层水系指埋藏于地表下60m左右的含水岩组，中深层水系指埋藏于地表下60m至250m深的含水岩组。</w:t>
      </w:r>
    </w:p>
    <w:p>
      <w:pPr>
        <w:pStyle w:val="376"/>
        <w:spacing w:line="520" w:lineRule="exact"/>
        <w:ind w:firstLine="480" w:firstLineChars="200"/>
        <w:outlineLvl w:val="4"/>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（1）浅层松散岩类孔隙水</w:t>
      </w:r>
    </w:p>
    <w:p>
      <w:pPr>
        <w:pStyle w:val="376"/>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浅层水系指埋藏于地表下60m左右的含水岩组，含水岩组为全新统（Q</w:t>
      </w:r>
      <w:r>
        <w:rPr>
          <w:rFonts w:hint="eastAsia"/>
          <w:color w:val="000000" w:themeColor="text1"/>
          <w:sz w:val="24"/>
          <w:vertAlign w:val="subscript"/>
          <w14:textFill>
            <w14:solidFill>
              <w14:schemeClr w14:val="tx1"/>
            </w14:solidFill>
          </w14:textFill>
        </w:rPr>
        <w:t>4</w:t>
      </w:r>
      <w:r>
        <w:rPr>
          <w:rFonts w:hint="eastAsia"/>
          <w:color w:val="000000" w:themeColor="text1"/>
          <w:sz w:val="24"/>
          <w:vertAlign w:val="superscript"/>
          <w14:textFill>
            <w14:solidFill>
              <w14:schemeClr w14:val="tx1"/>
            </w14:solidFill>
          </w14:textFill>
        </w:rPr>
        <w:t>al</w:t>
      </w:r>
      <w:r>
        <w:rPr>
          <w:rFonts w:hint="eastAsia"/>
          <w:color w:val="000000" w:themeColor="text1"/>
          <w:sz w:val="24"/>
          <w14:textFill>
            <w14:solidFill>
              <w14:schemeClr w14:val="tx1"/>
            </w14:solidFill>
          </w14:textFill>
        </w:rPr>
        <w:t>)黄河冲洪积和冲积成因的一套粗细相间的砂和泥质松散堆积物。堆积物的特点：上部除地表黄河故道颗粒较粗以外，其他均为弱透水的粉土、粉质粘土互层及粉砂层等。下部为中砂、中细砂、细砂层，构成了上细下粗典型的“二元结构”和粗、细相间的“多元结构”。由于受黄河摆动时间长短的影响，使主流带和泛流带相间分布。主流带含水砂层粒度粗、厚度大，泛流带粒度稍细、厚度也较小。横向变化，由主流带向两侧至泛流带，厚度有厚略有变薄，颗粒由粗略有变细。根据富水性可划分为强富水区（3000-5000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/d），叙述如下：</w:t>
      </w:r>
    </w:p>
    <w:p>
      <w:pPr>
        <w:pStyle w:val="376"/>
        <w:spacing w:line="520" w:lineRule="exact"/>
        <w:ind w:firstLine="480" w:firstLineChars="200"/>
        <w:rPr>
          <w:color w:val="000000" w:themeColor="text1"/>
          <w:sz w:val="24"/>
          <w14:textFill>
            <w14:solidFill>
              <w14:schemeClr w14:val="tx1"/>
            </w14:solidFill>
          </w14:textFill>
        </w:rPr>
      </w:pPr>
      <w:bookmarkStart w:id="128" w:name="_Hlk75956096"/>
      <w:r>
        <w:rPr>
          <w:rFonts w:hint="eastAsia"/>
          <w:color w:val="000000" w:themeColor="text1"/>
          <w:sz w:val="24"/>
          <w14:textFill>
            <w14:solidFill>
              <w14:schemeClr w14:val="tx1"/>
            </w14:solidFill>
          </w14:textFill>
        </w:rPr>
        <w:t>分布于全区范围内，占全区的100%。含水层为Q</w:t>
      </w:r>
      <w:r>
        <w:rPr>
          <w:rFonts w:hint="eastAsia"/>
          <w:color w:val="000000" w:themeColor="text1"/>
          <w:sz w:val="24"/>
          <w:vertAlign w:val="subscript"/>
          <w14:textFill>
            <w14:solidFill>
              <w14:schemeClr w14:val="tx1"/>
            </w14:solidFill>
          </w14:textFill>
        </w:rPr>
        <w:t>4</w:t>
      </w:r>
      <w:r>
        <w:rPr>
          <w:rFonts w:hint="eastAsia"/>
          <w:color w:val="000000" w:themeColor="text1"/>
          <w:sz w:val="24"/>
          <w:vertAlign w:val="superscript"/>
          <w14:textFill>
            <w14:solidFill>
              <w14:schemeClr w14:val="tx1"/>
            </w14:solidFill>
          </w14:textFill>
        </w:rPr>
        <w:t>al</w:t>
      </w:r>
      <w:r>
        <w:rPr>
          <w:rFonts w:hint="eastAsia"/>
          <w:color w:val="000000" w:themeColor="text1"/>
          <w:sz w:val="24"/>
          <w14:textFill>
            <w14:solidFill>
              <w14:schemeClr w14:val="tx1"/>
            </w14:solidFill>
          </w14:textFill>
        </w:rPr>
        <w:t>砂层，岩性为粉细砂、细中砂及粗砂，有1-2层，厚13-35.00m。含水层渗透系数25-60m/d。单井出水量为3104.6-4610.0m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/d。地下水位埋深一般4.22-7.91m，局部洼地1-3m。地下水矿化度0.30-0.77g/</w:t>
      </w:r>
      <w:r>
        <w:rPr>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t>。水化学类型为HCO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-Mg.Ca.Na、HCO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-Ca.Na、HCO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-Ca.Mg.Na型等。</w:t>
      </w:r>
    </w:p>
    <w:bookmarkEnd w:id="128"/>
    <w:p>
      <w:pPr>
        <w:pStyle w:val="376"/>
        <w:spacing w:line="520" w:lineRule="exact"/>
        <w:ind w:firstLine="480" w:firstLineChars="200"/>
        <w:outlineLvl w:val="4"/>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（2）中深层松散岩类孔隙水</w:t>
      </w:r>
    </w:p>
    <w:p>
      <w:pPr>
        <w:pStyle w:val="376"/>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深层水系指埋藏在60m以下至250m深度内的地下水。含水层为下更新统上段冲洪积湖积层（Q1al+pl)，中更新统冲积洪层（Q2al+pl)，及上更新统冲积层（Q3al)。含水层岩性为粗砂、中砂、中细砂为主。砂层与粉质粘土、粘土呈互层状，含水层底板埋深200-300m，砂层厚度60-80m。原阳县境内，含水层的分布和黄河故道变迁有着密切关系，黄河故道主流带上，砂层厚，岩性粗，富水性较好；以细砂为主，泛流带砂层较薄，岩性较主流带细，富水性较差。区内含水层的岩性颗粒较粗，厚度较大，水质较好，开采比较方便。</w:t>
      </w:r>
    </w:p>
    <w:p>
      <w:pPr>
        <w:pStyle w:val="376"/>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根据富水性可划分为强富水区（3000-5000m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/d），叙述如下：</w:t>
      </w:r>
    </w:p>
    <w:p>
      <w:pPr>
        <w:pStyle w:val="376"/>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分布于全区范围内，占全区的100%，为主流相沉积。含水层岩性为中砂、粗砂、细砂、中细砂，含水层埋深南浅北深，有5-7层砂，厚度一般40-60m，最厚可达60-70m。单井出水量为3168-4390m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/d，含水层顶板埋深70-80m。渗透系数10-15m/d，地下水位埋深一般为14-20m，地下水矿化度0.25-0.48g/l，水化学类型为HCO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-Na.Ca、HCO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-Na.Ca.Mg型。</w:t>
      </w:r>
    </w:p>
    <w:p>
      <w:pPr>
        <w:pStyle w:val="376"/>
        <w:spacing w:line="520" w:lineRule="exact"/>
        <w:ind w:firstLine="480" w:firstLineChars="200"/>
        <w:outlineLvl w:val="4"/>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（3）浅层地下水和中深层地下水的水力联系</w:t>
      </w:r>
    </w:p>
    <w:p>
      <w:pPr>
        <w:pStyle w:val="376"/>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从地层分析，两含水层组之间有7-15m厚的粉质粘土层，为较好且稳定的隔水层，故两含水层无水力联系；从水位埋深分析，浅层水位平均埋深6.56m左右，中深层水位埋深13.37m左右，两者水位埋深差7米左右，故两含水层之间无水力联系。综述，两含水层之间无水力联系。</w:t>
      </w:r>
    </w:p>
    <w:p>
      <w:pPr>
        <w:snapToGrid w:val="0"/>
        <w:spacing w:line="360" w:lineRule="auto"/>
        <w:jc w:val="center"/>
        <w:rPr>
          <w:rFonts w:eastAsia="黑体"/>
          <w:color w:val="000000" w:themeColor="text1"/>
          <w:sz w:val="24"/>
          <w:highlight w:val="yellow"/>
          <w14:textFill>
            <w14:solidFill>
              <w14:schemeClr w14:val="tx1"/>
            </w14:solidFill>
          </w14:textFill>
        </w:rPr>
      </w:pPr>
      <w:r>
        <w:rPr>
          <w:color w:val="000000" w:themeColor="text1"/>
          <w14:textFill>
            <w14:solidFill>
              <w14:schemeClr w14:val="tx1"/>
            </w14:solidFill>
          </w14:textFill>
        </w:rPr>
        <w:drawing>
          <wp:inline distT="0" distB="0" distL="0" distR="0">
            <wp:extent cx="5543550" cy="6075045"/>
            <wp:effectExtent l="12700" t="12700" r="25400" b="27305"/>
            <wp:docPr id="1113454556" name="图片 1"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54556" name="图片 1" descr="图表, 图示&#10;&#10;描述已自动生成"/>
                    <pic:cNvPicPr>
                      <a:picLocks noChangeAspect="1"/>
                    </pic:cNvPicPr>
                  </pic:nvPicPr>
                  <pic:blipFill>
                    <a:blip r:embed="rId85"/>
                    <a:stretch>
                      <a:fillRect/>
                    </a:stretch>
                  </pic:blipFill>
                  <pic:spPr>
                    <a:xfrm>
                      <a:off x="0" y="0"/>
                      <a:ext cx="5543550" cy="6075045"/>
                    </a:xfrm>
                    <a:prstGeom prst="rect">
                      <a:avLst/>
                    </a:prstGeom>
                    <a:ln w="12700">
                      <a:solidFill>
                        <a:schemeClr val="tx1"/>
                      </a:solidFill>
                    </a:ln>
                  </pic:spPr>
                </pic:pic>
              </a:graphicData>
            </a:graphic>
          </wp:inline>
        </w:drawing>
      </w:r>
      <w:r>
        <w:rPr>
          <w:rFonts w:eastAsia="黑体"/>
          <w:color w:val="000000" w:themeColor="text1"/>
          <w:sz w:val="24"/>
          <w14:textFill>
            <w14:solidFill>
              <w14:schemeClr w14:val="tx1"/>
            </w14:solidFill>
          </w14:textFill>
        </w:rPr>
        <w:t xml:space="preserve">图5.4-5    </w:t>
      </w:r>
      <w:r>
        <w:rPr>
          <w:rFonts w:hint="eastAsia" w:eastAsia="黑体"/>
          <w:color w:val="000000" w:themeColor="text1"/>
          <w:sz w:val="24"/>
          <w14:textFill>
            <w14:solidFill>
              <w14:schemeClr w14:val="tx1"/>
            </w14:solidFill>
          </w14:textFill>
        </w:rPr>
        <w:t>项目</w:t>
      </w:r>
      <w:r>
        <w:rPr>
          <w:rFonts w:eastAsia="黑体"/>
          <w:color w:val="000000" w:themeColor="text1"/>
          <w:sz w:val="24"/>
          <w14:textFill>
            <w14:solidFill>
              <w14:schemeClr w14:val="tx1"/>
            </w14:solidFill>
          </w14:textFill>
        </w:rPr>
        <w:t>评价区水文地质图</w:t>
      </w:r>
    </w:p>
    <w:p>
      <w:pPr>
        <w:pStyle w:val="376"/>
        <w:spacing w:line="360" w:lineRule="auto"/>
        <w:jc w:val="center"/>
        <w:rPr>
          <w:rFonts w:eastAsia="黑体"/>
          <w:color w:val="000000" w:themeColor="text1"/>
          <w:sz w:val="24"/>
          <w:highlight w:val="yellow"/>
          <w14:textFill>
            <w14:solidFill>
              <w14:schemeClr w14:val="tx1"/>
            </w14:solidFill>
          </w14:textFill>
        </w:rPr>
      </w:pPr>
      <w:r>
        <w:rPr>
          <w:color w:val="000000" w:themeColor="text1"/>
          <w14:textFill>
            <w14:solidFill>
              <w14:schemeClr w14:val="tx1"/>
            </w14:solidFill>
          </w14:textFill>
        </w:rPr>
        <w:drawing>
          <wp:inline distT="0" distB="0" distL="0" distR="0">
            <wp:extent cx="5533390" cy="5991860"/>
            <wp:effectExtent l="12700" t="12700" r="16510" b="15240"/>
            <wp:docPr id="810471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71037" name="图片 1"/>
                    <pic:cNvPicPr>
                      <a:picLocks noChangeAspect="1"/>
                    </pic:cNvPicPr>
                  </pic:nvPicPr>
                  <pic:blipFill>
                    <a:blip r:embed="rId86"/>
                    <a:stretch>
                      <a:fillRect/>
                    </a:stretch>
                  </pic:blipFill>
                  <pic:spPr>
                    <a:xfrm>
                      <a:off x="0" y="0"/>
                      <a:ext cx="5533390" cy="5991860"/>
                    </a:xfrm>
                    <a:prstGeom prst="rect">
                      <a:avLst/>
                    </a:prstGeom>
                    <a:ln w="12700">
                      <a:solidFill>
                        <a:schemeClr val="tx1"/>
                      </a:solidFill>
                    </a:ln>
                  </pic:spPr>
                </pic:pic>
              </a:graphicData>
            </a:graphic>
          </wp:inline>
        </w:drawing>
      </w:r>
    </w:p>
    <w:p>
      <w:pPr>
        <w:pStyle w:val="376"/>
        <w:jc w:val="center"/>
        <w:rPr>
          <w:color w:val="000000" w:themeColor="text1"/>
          <w14:textFill>
            <w14:solidFill>
              <w14:schemeClr w14:val="tx1"/>
            </w14:solidFill>
          </w14:textFill>
        </w:rPr>
      </w:pPr>
      <w:r>
        <w:rPr>
          <w:rFonts w:eastAsia="黑体"/>
          <w:color w:val="000000" w:themeColor="text1"/>
          <w:sz w:val="24"/>
          <w14:textFill>
            <w14:solidFill>
              <w14:schemeClr w14:val="tx1"/>
            </w14:solidFill>
          </w14:textFill>
        </w:rPr>
        <w:t xml:space="preserve">图5.4-6    </w:t>
      </w:r>
      <w:r>
        <w:rPr>
          <w:rFonts w:hint="eastAsia" w:eastAsia="黑体"/>
          <w:color w:val="000000" w:themeColor="text1"/>
          <w:sz w:val="24"/>
          <w14:textFill>
            <w14:solidFill>
              <w14:schemeClr w14:val="tx1"/>
            </w14:solidFill>
          </w14:textFill>
        </w:rPr>
        <w:t>项目</w:t>
      </w:r>
      <w:r>
        <w:rPr>
          <w:rFonts w:eastAsia="黑体"/>
          <w:color w:val="000000" w:themeColor="text1"/>
          <w:sz w:val="24"/>
          <w14:textFill>
            <w14:solidFill>
              <w14:schemeClr w14:val="tx1"/>
            </w14:solidFill>
          </w14:textFill>
        </w:rPr>
        <w:t>评价区</w:t>
      </w:r>
      <w:r>
        <w:rPr>
          <w:rFonts w:hint="eastAsia" w:eastAsia="黑体"/>
          <w:color w:val="000000" w:themeColor="text1"/>
          <w:sz w:val="24"/>
          <w14:textFill>
            <w14:solidFill>
              <w14:schemeClr w14:val="tx1"/>
            </w14:solidFill>
          </w14:textFill>
        </w:rPr>
        <w:t>地下水流场</w:t>
      </w:r>
      <w:r>
        <w:rPr>
          <w:rFonts w:eastAsia="黑体"/>
          <w:color w:val="000000" w:themeColor="text1"/>
          <w:sz w:val="24"/>
          <w14:textFill>
            <w14:solidFill>
              <w14:schemeClr w14:val="tx1"/>
            </w14:solidFill>
          </w14:textFill>
        </w:rPr>
        <w:t>图</w:t>
      </w:r>
    </w:p>
    <w:bookmarkEnd w:id="127"/>
    <w:p>
      <w:pPr>
        <w:pStyle w:val="460"/>
      </w:pPr>
      <w:bookmarkStart w:id="129" w:name="_Toc26243"/>
      <w:bookmarkStart w:id="130" w:name="_Toc483603455"/>
      <w:r>
        <w:t>5.4.3.5 地下水</w:t>
      </w:r>
      <w:bookmarkEnd w:id="129"/>
      <w:r>
        <w:t>补给、径流和排泄</w:t>
      </w:r>
    </w:p>
    <w:p>
      <w:pPr>
        <w:spacing w:line="520" w:lineRule="exact"/>
        <w:ind w:firstLine="480" w:firstLineChars="200"/>
        <w:outlineLvl w:val="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浅层松散岩类孔隙水的补给、径流和排泄</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浅层水的补给、径流、排泄条件是地下水形成的主要因素，主要受地形、地貌、岩性、构造、水文气象及人为活动所控制。</w:t>
      </w:r>
    </w:p>
    <w:p>
      <w:pPr>
        <w:spacing w:line="520" w:lineRule="exact"/>
        <w:ind w:firstLine="480" w:firstLineChars="200"/>
        <w:outlineLvl w:val="6"/>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补给</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本区浅层水的主要补给来源为降水入渗，其次为河渠水库入渗、灌溉回渗补给及侧向径流补给。</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降水入渗补给：调查区地势平坦，地表径流缓慢，包气带以粉土为主，有利于降水的渗入补给。补给方式主要为面状垂直入渗。</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w:t>
      </w:r>
      <w:r>
        <w:rPr>
          <w:color w:val="000000" w:themeColor="text1"/>
          <w:sz w:val="24"/>
          <w14:textFill>
            <w14:solidFill>
              <w14:schemeClr w14:val="tx1"/>
            </w14:solidFill>
          </w14:textFill>
        </w:rPr>
        <w:t>河渠水库渗漏补给：当河渠水库水位高于地下水位或在河道上建闸蓄水抬高水位后，产生垂直下渗或侧渗补给。</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农田灌溉水回归入渗补给：评价区分布有大面积农田，农田灌溉时，灌溉水一部分通过包气带回渗补给地下水。</w:t>
      </w:r>
    </w:p>
    <w:p>
      <w:pPr>
        <w:spacing w:line="520" w:lineRule="exact"/>
        <w:ind w:firstLine="480" w:firstLineChars="200"/>
        <w:outlineLvl w:val="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ascii="宋体" w:hAnsi="宋体" w:cs="宋体"/>
          <w:color w:val="000000" w:themeColor="text1"/>
          <w:sz w:val="24"/>
          <w14:textFill>
            <w14:solidFill>
              <w14:schemeClr w14:val="tx1"/>
            </w14:solidFill>
          </w14:textFill>
        </w:rPr>
        <w:t>径流</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地下水的总体流向由西南向东北径流。区内含水层岩性为中粗砂，水力坡度为0.6-1‰，地下水径流条件良好。</w:t>
      </w:r>
    </w:p>
    <w:p>
      <w:pPr>
        <w:spacing w:line="520" w:lineRule="exact"/>
        <w:ind w:firstLine="480" w:firstLineChars="200"/>
        <w:outlineLvl w:val="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ascii="宋体" w:hAnsi="宋体" w:cs="宋体"/>
          <w:color w:val="000000" w:themeColor="text1"/>
          <w:sz w:val="24"/>
          <w14:textFill>
            <w14:solidFill>
              <w14:schemeClr w14:val="tx1"/>
            </w14:solidFill>
          </w14:textFill>
        </w:rPr>
        <w:t>排泄</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地下水的排泄方式主要是水平排泄， 在不同的地貌、 水文地质单元有不同的排泄形式。</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人工开采：人工开采是浅层松散岩类孔隙地下水的主要排泄方式，即农田灌溉用水和部分绿化用水。</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w:t>
      </w:r>
      <w:r>
        <w:rPr>
          <w:color w:val="000000" w:themeColor="text1"/>
          <w:sz w:val="24"/>
          <w14:textFill>
            <w14:solidFill>
              <w14:schemeClr w14:val="tx1"/>
            </w14:solidFill>
          </w14:textFill>
        </w:rPr>
        <w:t>径流排泄：地下水的侧向径流及河流的常年排泄，也是地下水排泄的一种形式。</w:t>
      </w:r>
    </w:p>
    <w:p>
      <w:pPr>
        <w:spacing w:line="520" w:lineRule="exact"/>
        <w:ind w:firstLine="480" w:firstLineChars="200"/>
        <w:outlineLvl w:val="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中深层松散岩类隙水补给、径流和排泄</w:t>
      </w:r>
    </w:p>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区内中深层水含水层上覆有较厚的粉质黏土为相对隔水层，与浅层水无水力联系，故区内中深层主要接受侧向径流补给。中深层地下水径流方向由西南向东北，与物质来源的方向相吻合，受断裂构造所控制。中深层水的排泄主要是通过地下径流向下游排泄和人工开采。</w:t>
      </w:r>
    </w:p>
    <w:bookmarkEnd w:id="130"/>
    <w:p>
      <w:pPr>
        <w:pStyle w:val="460"/>
      </w:pPr>
      <w:bookmarkStart w:id="131" w:name="_Toc28905"/>
      <w:r>
        <w:t>5.4.3.6 地下水开发利用现状</w:t>
      </w:r>
      <w:bookmarkEnd w:id="131"/>
    </w:p>
    <w:p>
      <w:pPr>
        <w:spacing w:line="520" w:lineRule="exact"/>
        <w:ind w:firstLine="480" w:firstLineChars="200"/>
        <w:rPr>
          <w:color w:val="000000" w:themeColor="text1"/>
          <w:sz w:val="24"/>
          <w:highlight w:val="yellow"/>
          <w14:textFill>
            <w14:solidFill>
              <w14:schemeClr w14:val="tx1"/>
            </w14:solidFill>
          </w14:textFill>
        </w:rPr>
      </w:pPr>
      <w:r>
        <w:rPr>
          <w:color w:val="000000" w:themeColor="text1"/>
          <w:sz w:val="24"/>
          <w14:textFill>
            <w14:solidFill>
              <w14:schemeClr w14:val="tx1"/>
            </w14:solidFill>
          </w14:textFill>
        </w:rPr>
        <w:t>据现场勘查，浅层地下水开采多用于农田灌溉、绿化。中深层地下水主要是生活饮用水开采。调查区内存在集中式饮用水水源2处。</w:t>
      </w:r>
    </w:p>
    <w:p>
      <w:pPr>
        <w:spacing w:line="520" w:lineRule="exact"/>
        <w:ind w:firstLine="480" w:firstLineChars="200"/>
        <w:rPr>
          <w:color w:val="000000" w:themeColor="text1"/>
          <w:sz w:val="24"/>
          <w:highlight w:val="yellow"/>
          <w14:textFill>
            <w14:solidFill>
              <w14:schemeClr w14:val="tx1"/>
            </w14:solidFill>
          </w14:textFill>
        </w:rPr>
      </w:pPr>
      <w:r>
        <w:rPr>
          <w:color w:val="000000" w:themeColor="text1"/>
          <w:sz w:val="24"/>
          <w14:textFill>
            <w14:solidFill>
              <w14:schemeClr w14:val="tx1"/>
            </w14:solidFill>
          </w14:textFill>
        </w:rPr>
        <w:t>2处</w:t>
      </w:r>
      <w:r>
        <w:rPr>
          <w:rFonts w:hint="eastAsia"/>
          <w:color w:val="000000" w:themeColor="text1"/>
          <w:sz w:val="24"/>
          <w14:textFill>
            <w14:solidFill>
              <w14:schemeClr w14:val="tx1"/>
            </w14:solidFill>
          </w14:textFill>
        </w:rPr>
        <w:t>集中式饮用水水源均为原阳县水厂地下水井群（</w:t>
      </w:r>
      <w:r>
        <w:rPr>
          <w:color w:val="000000" w:themeColor="text1"/>
          <w:sz w:val="24"/>
          <w14:textFill>
            <w14:solidFill>
              <w14:schemeClr w14:val="tx1"/>
            </w14:solidFill>
          </w14:textFill>
        </w:rPr>
        <w:t>供水井4眼</w:t>
      </w:r>
      <w:r>
        <w:rPr>
          <w:rFonts w:hint="eastAsia"/>
          <w:color w:val="000000" w:themeColor="text1"/>
          <w:sz w:val="24"/>
          <w14:textFill>
            <w14:solidFill>
              <w14:schemeClr w14:val="tx1"/>
            </w14:solidFill>
          </w14:textFill>
        </w:rPr>
        <w:t>，井深1</w:t>
      </w:r>
      <w:r>
        <w:rPr>
          <w:color w:val="000000" w:themeColor="text1"/>
          <w:sz w:val="24"/>
          <w14:textFill>
            <w14:solidFill>
              <w14:schemeClr w14:val="tx1"/>
            </w14:solidFill>
          </w14:textFill>
        </w:rPr>
        <w:t>70-230m</w:t>
      </w:r>
      <w:r>
        <w:rPr>
          <w:rFonts w:hint="eastAsia"/>
          <w:color w:val="000000" w:themeColor="text1"/>
          <w:sz w:val="24"/>
          <w14:textFill>
            <w14:solidFill>
              <w14:schemeClr w14:val="tx1"/>
            </w14:solidFill>
          </w14:textFill>
        </w:rPr>
        <w:t>），其中1眼井位于樊庄，3眼井位于原阳县本源自来水公司厂内。供水井基本情况见下表。</w:t>
      </w:r>
    </w:p>
    <w:p>
      <w:pPr>
        <w:adjustRightInd w:val="0"/>
        <w:snapToGrid w:val="0"/>
        <w:spacing w:line="520" w:lineRule="exact"/>
        <w:ind w:firstLine="480" w:firstLineChars="200"/>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 xml:space="preserve">表5.4-5    </w:t>
      </w:r>
      <w:r>
        <w:rPr>
          <w:rFonts w:hint="eastAsia" w:eastAsia="黑体"/>
          <w:color w:val="000000" w:themeColor="text1"/>
          <w:sz w:val="24"/>
          <w:szCs w:val="24"/>
          <w14:textFill>
            <w14:solidFill>
              <w14:schemeClr w14:val="tx1"/>
            </w14:solidFill>
          </w14:textFill>
        </w:rPr>
        <w:t>调查区</w:t>
      </w:r>
      <w:r>
        <w:rPr>
          <w:rFonts w:eastAsia="黑体"/>
          <w:color w:val="000000" w:themeColor="text1"/>
          <w:sz w:val="24"/>
          <w:szCs w:val="24"/>
          <w14:textFill>
            <w14:solidFill>
              <w14:schemeClr w14:val="tx1"/>
            </w14:solidFill>
          </w14:textFill>
        </w:rPr>
        <w:t>集中式饮用水水源</w:t>
      </w:r>
      <w:r>
        <w:rPr>
          <w:rFonts w:hint="eastAsia" w:eastAsia="黑体"/>
          <w:color w:val="000000" w:themeColor="text1"/>
          <w:sz w:val="24"/>
          <w:szCs w:val="24"/>
          <w14:textFill>
            <w14:solidFill>
              <w14:schemeClr w14:val="tx1"/>
            </w14:solidFill>
          </w14:textFill>
        </w:rPr>
        <w:t>供水井基本情况一览表</w:t>
      </w:r>
    </w:p>
    <w:tbl>
      <w:tblPr>
        <w:tblStyle w:val="49"/>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723"/>
        <w:gridCol w:w="1054"/>
        <w:gridCol w:w="2724"/>
        <w:gridCol w:w="868"/>
        <w:gridCol w:w="1026"/>
        <w:gridCol w:w="1064"/>
        <w:gridCol w:w="13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12" w:type="pct"/>
            <w:noWrap/>
            <w:vAlign w:val="center"/>
          </w:tcPr>
          <w:p>
            <w:pPr>
              <w:widowControl/>
              <w:snapToGrid w:val="0"/>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600" w:type="pct"/>
            <w:noWrap/>
            <w:vAlign w:val="center"/>
          </w:tcPr>
          <w:p>
            <w:pPr>
              <w:widowControl/>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水井位置</w:t>
            </w:r>
          </w:p>
        </w:tc>
        <w:tc>
          <w:tcPr>
            <w:tcW w:w="1551" w:type="pct"/>
            <w:noWrap/>
            <w:vAlign w:val="center"/>
          </w:tcPr>
          <w:p>
            <w:pPr>
              <w:widowControl/>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供水范围</w:t>
            </w:r>
          </w:p>
        </w:tc>
        <w:tc>
          <w:tcPr>
            <w:tcW w:w="494" w:type="pct"/>
            <w:noWrap/>
            <w:vAlign w:val="center"/>
          </w:tcPr>
          <w:p>
            <w:pPr>
              <w:widowControl/>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井深</w:t>
            </w:r>
          </w:p>
          <w:p>
            <w:pPr>
              <w:widowControl/>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w:t>
            </w:r>
          </w:p>
        </w:tc>
        <w:tc>
          <w:tcPr>
            <w:tcW w:w="584" w:type="pct"/>
            <w:noWrap/>
            <w:vAlign w:val="center"/>
          </w:tcPr>
          <w:p>
            <w:pPr>
              <w:widowControl/>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开采层位</w:t>
            </w:r>
          </w:p>
        </w:tc>
        <w:tc>
          <w:tcPr>
            <w:tcW w:w="606" w:type="pct"/>
            <w:noWrap/>
            <w:vAlign w:val="center"/>
          </w:tcPr>
          <w:p>
            <w:pPr>
              <w:widowControl/>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开采量</w:t>
            </w:r>
          </w:p>
          <w:p>
            <w:pPr>
              <w:widowControl/>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w:t>
            </w:r>
            <w:r>
              <w:rPr>
                <w:b/>
                <w:bCs/>
                <w:color w:val="000000" w:themeColor="text1"/>
                <w:kern w:val="0"/>
                <w:szCs w:val="21"/>
                <w:vertAlign w:val="superscript"/>
                <w14:textFill>
                  <w14:solidFill>
                    <w14:schemeClr w14:val="tx1"/>
                  </w14:solidFill>
                </w14:textFill>
              </w:rPr>
              <w:t>3</w:t>
            </w:r>
            <w:r>
              <w:rPr>
                <w:b/>
                <w:bCs/>
                <w:color w:val="000000" w:themeColor="text1"/>
                <w:kern w:val="0"/>
                <w:szCs w:val="21"/>
                <w14:textFill>
                  <w14:solidFill>
                    <w14:schemeClr w14:val="tx1"/>
                  </w14:solidFill>
                </w14:textFill>
              </w:rPr>
              <w:t>/d）</w:t>
            </w:r>
          </w:p>
        </w:tc>
        <w:tc>
          <w:tcPr>
            <w:tcW w:w="753" w:type="pct"/>
            <w:noWrap/>
            <w:vAlign w:val="center"/>
          </w:tcPr>
          <w:p>
            <w:pPr>
              <w:widowControl/>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供水人口</w:t>
            </w:r>
          </w:p>
          <w:p>
            <w:pPr>
              <w:widowControl/>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12"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600"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樊庄</w:t>
            </w:r>
          </w:p>
        </w:tc>
        <w:tc>
          <w:tcPr>
            <w:tcW w:w="1551" w:type="pct"/>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樊庄、尹圪垱村、胡庄村、葛庄村、丁庄村、棘针坟村</w:t>
            </w:r>
          </w:p>
        </w:tc>
        <w:tc>
          <w:tcPr>
            <w:tcW w:w="494"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230</w:t>
            </w:r>
          </w:p>
        </w:tc>
        <w:tc>
          <w:tcPr>
            <w:tcW w:w="584"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中深层</w:t>
            </w:r>
          </w:p>
        </w:tc>
        <w:tc>
          <w:tcPr>
            <w:tcW w:w="606"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5000</w:t>
            </w:r>
          </w:p>
        </w:tc>
        <w:tc>
          <w:tcPr>
            <w:tcW w:w="753"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12" w:type="pct"/>
            <w:noWrap/>
            <w:vAlign w:val="center"/>
          </w:tcPr>
          <w:p>
            <w:pPr>
              <w:widowControl/>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c>
          <w:tcPr>
            <w:tcW w:w="600" w:type="pct"/>
            <w:vMerge w:val="restart"/>
            <w:noWrap/>
            <w:vAlign w:val="center"/>
          </w:tcPr>
          <w:p>
            <w:pPr>
              <w:widowControl/>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原</w:t>
            </w:r>
            <w:r>
              <w:rPr>
                <w:color w:val="000000" w:themeColor="text1"/>
                <w:kern w:val="0"/>
                <w:szCs w:val="21"/>
                <w14:textFill>
                  <w14:solidFill>
                    <w14:schemeClr w14:val="tx1"/>
                  </w14:solidFill>
                </w14:textFill>
              </w:rPr>
              <w:t>阳县</w:t>
            </w:r>
            <w:r>
              <w:rPr>
                <w:rFonts w:hint="eastAsia"/>
                <w:color w:val="000000" w:themeColor="text1"/>
                <w:kern w:val="0"/>
                <w:szCs w:val="21"/>
                <w14:textFill>
                  <w14:solidFill>
                    <w14:schemeClr w14:val="tx1"/>
                  </w14:solidFill>
                </w14:textFill>
              </w:rPr>
              <w:t>本源自来水公司厂内</w:t>
            </w:r>
          </w:p>
        </w:tc>
        <w:tc>
          <w:tcPr>
            <w:tcW w:w="1551" w:type="pct"/>
            <w:vMerge w:val="restar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县城及附近郊区</w:t>
            </w:r>
          </w:p>
        </w:tc>
        <w:tc>
          <w:tcPr>
            <w:tcW w:w="494"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205</w:t>
            </w:r>
          </w:p>
        </w:tc>
        <w:tc>
          <w:tcPr>
            <w:tcW w:w="584"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中深层</w:t>
            </w:r>
          </w:p>
        </w:tc>
        <w:tc>
          <w:tcPr>
            <w:tcW w:w="606" w:type="pct"/>
            <w:noWrap/>
            <w:vAlign w:val="center"/>
          </w:tcPr>
          <w:p>
            <w:pPr>
              <w:widowControl/>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880</w:t>
            </w:r>
          </w:p>
        </w:tc>
        <w:tc>
          <w:tcPr>
            <w:tcW w:w="753" w:type="pct"/>
            <w:vMerge w:val="restar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117300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12"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600" w:type="pct"/>
            <w:vMerge w:val="continue"/>
            <w:vAlign w:val="center"/>
          </w:tcPr>
          <w:p>
            <w:pPr>
              <w:widowControl/>
              <w:snapToGrid w:val="0"/>
              <w:jc w:val="center"/>
              <w:rPr>
                <w:color w:val="000000" w:themeColor="text1"/>
                <w:kern w:val="0"/>
                <w:szCs w:val="21"/>
                <w14:textFill>
                  <w14:solidFill>
                    <w14:schemeClr w14:val="tx1"/>
                  </w14:solidFill>
                </w14:textFill>
              </w:rPr>
            </w:pPr>
          </w:p>
        </w:tc>
        <w:tc>
          <w:tcPr>
            <w:tcW w:w="1551" w:type="pct"/>
            <w:vMerge w:val="continue"/>
            <w:vAlign w:val="center"/>
          </w:tcPr>
          <w:p>
            <w:pPr>
              <w:widowControl/>
              <w:snapToGrid w:val="0"/>
              <w:jc w:val="center"/>
              <w:rPr>
                <w:color w:val="000000" w:themeColor="text1"/>
                <w:kern w:val="0"/>
                <w:szCs w:val="21"/>
                <w14:textFill>
                  <w14:solidFill>
                    <w14:schemeClr w14:val="tx1"/>
                  </w14:solidFill>
                </w14:textFill>
              </w:rPr>
            </w:pPr>
          </w:p>
        </w:tc>
        <w:tc>
          <w:tcPr>
            <w:tcW w:w="494"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170</w:t>
            </w:r>
          </w:p>
        </w:tc>
        <w:tc>
          <w:tcPr>
            <w:tcW w:w="584"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中深层</w:t>
            </w:r>
          </w:p>
        </w:tc>
        <w:tc>
          <w:tcPr>
            <w:tcW w:w="606" w:type="pct"/>
            <w:vAlign w:val="center"/>
          </w:tcPr>
          <w:p>
            <w:pPr>
              <w:widowControl/>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584</w:t>
            </w:r>
          </w:p>
        </w:tc>
        <w:tc>
          <w:tcPr>
            <w:tcW w:w="753" w:type="pct"/>
            <w:vMerge w:val="continue"/>
            <w:vAlign w:val="center"/>
          </w:tcPr>
          <w:p>
            <w:pPr>
              <w:widowControl/>
              <w:snapToGrid w:val="0"/>
              <w:jc w:val="center"/>
              <w:rPr>
                <w:color w:val="000000" w:themeColor="text1"/>
                <w:kern w:val="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12"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600" w:type="pct"/>
            <w:vMerge w:val="continue"/>
            <w:vAlign w:val="center"/>
          </w:tcPr>
          <w:p>
            <w:pPr>
              <w:widowControl/>
              <w:snapToGrid w:val="0"/>
              <w:jc w:val="center"/>
              <w:rPr>
                <w:color w:val="000000" w:themeColor="text1"/>
                <w:kern w:val="0"/>
                <w:szCs w:val="21"/>
                <w14:textFill>
                  <w14:solidFill>
                    <w14:schemeClr w14:val="tx1"/>
                  </w14:solidFill>
                </w14:textFill>
              </w:rPr>
            </w:pPr>
          </w:p>
        </w:tc>
        <w:tc>
          <w:tcPr>
            <w:tcW w:w="1551" w:type="pct"/>
            <w:vMerge w:val="continue"/>
            <w:vAlign w:val="center"/>
          </w:tcPr>
          <w:p>
            <w:pPr>
              <w:widowControl/>
              <w:snapToGrid w:val="0"/>
              <w:jc w:val="center"/>
              <w:rPr>
                <w:color w:val="000000" w:themeColor="text1"/>
                <w:kern w:val="0"/>
                <w:szCs w:val="21"/>
                <w14:textFill>
                  <w14:solidFill>
                    <w14:schemeClr w14:val="tx1"/>
                  </w14:solidFill>
                </w14:textFill>
              </w:rPr>
            </w:pPr>
          </w:p>
        </w:tc>
        <w:tc>
          <w:tcPr>
            <w:tcW w:w="494"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208</w:t>
            </w:r>
          </w:p>
        </w:tc>
        <w:tc>
          <w:tcPr>
            <w:tcW w:w="584" w:type="pct"/>
            <w:noWrap/>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中深层</w:t>
            </w:r>
          </w:p>
        </w:tc>
        <w:tc>
          <w:tcPr>
            <w:tcW w:w="606" w:type="pct"/>
            <w:vAlign w:val="center"/>
          </w:tcPr>
          <w:p>
            <w:pPr>
              <w:widowControl/>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880</w:t>
            </w:r>
          </w:p>
        </w:tc>
        <w:tc>
          <w:tcPr>
            <w:tcW w:w="753" w:type="pct"/>
            <w:vMerge w:val="continue"/>
            <w:vAlign w:val="center"/>
          </w:tcPr>
          <w:p>
            <w:pPr>
              <w:widowControl/>
              <w:snapToGrid w:val="0"/>
              <w:jc w:val="center"/>
              <w:rPr>
                <w:color w:val="000000" w:themeColor="text1"/>
                <w:kern w:val="0"/>
                <w:szCs w:val="21"/>
                <w14:textFill>
                  <w14:solidFill>
                    <w14:schemeClr w14:val="tx1"/>
                  </w14:solidFill>
                </w14:textFill>
              </w:rPr>
            </w:pPr>
          </w:p>
        </w:tc>
      </w:tr>
    </w:tbl>
    <w:p>
      <w:pPr>
        <w:spacing w:line="520" w:lineRule="exact"/>
        <w:ind w:firstLine="480" w:firstLineChars="200"/>
        <w:rPr>
          <w:color w:val="000000" w:themeColor="text1"/>
          <w:sz w:val="24"/>
          <w:highlight w:val="yellow"/>
          <w14:textFill>
            <w14:solidFill>
              <w14:schemeClr w14:val="tx1"/>
            </w14:solidFill>
          </w14:textFill>
        </w:rPr>
      </w:pPr>
    </w:p>
    <w:p>
      <w:pPr>
        <w:pStyle w:val="727"/>
        <w:rPr>
          <w:color w:val="000000" w:themeColor="text1"/>
          <w14:textFill>
            <w14:solidFill>
              <w14:schemeClr w14:val="tx1"/>
            </w14:solidFill>
          </w14:textFill>
        </w:rPr>
      </w:pPr>
      <w:r>
        <w:rPr>
          <w:color w:val="000000" w:themeColor="text1"/>
          <w14:textFill>
            <w14:solidFill>
              <w14:schemeClr w14:val="tx1"/>
            </w14:solidFill>
          </w14:textFill>
        </w:rPr>
        <w:t>5.4.4 场地水文地质特征</w:t>
      </w:r>
    </w:p>
    <w:p>
      <w:pPr>
        <w:pStyle w:val="460"/>
      </w:pPr>
      <w:r>
        <w:t xml:space="preserve">5.4.4.1 </w:t>
      </w:r>
      <w:r>
        <w:rPr>
          <w:rFonts w:hint="eastAsia"/>
        </w:rPr>
        <w:t>场地地质概况</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（1）地形地貌</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拟建设项目场地地形较为平坦，地貌简单，地貌单元属于黄河冲积平原。</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（2）地层岩性</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预制菜创新孵化园建设项目岩土工程勘察报告》水文地质勘探成果和收集的场地工程地质勘察资料，场地在揭露深度范围内均为第四系沉积层，根据物理力学特征共划分5个地质单元层，其各地质单元层的岩土特征如下：</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第1单元层：素填土（Q</w:t>
      </w:r>
      <w:r>
        <w:rPr>
          <w:rFonts w:hint="eastAsia"/>
          <w:color w:val="000000" w:themeColor="text1"/>
          <w:sz w:val="24"/>
          <w:szCs w:val="24"/>
          <w:vertAlign w:val="subscript"/>
          <w14:textFill>
            <w14:solidFill>
              <w14:schemeClr w14:val="tx1"/>
            </w14:solidFill>
          </w14:textFill>
        </w:rPr>
        <w:t>4</w:t>
      </w:r>
      <w:r>
        <w:rPr>
          <w:rFonts w:hint="eastAsia"/>
          <w:color w:val="000000" w:themeColor="text1"/>
          <w:sz w:val="24"/>
          <w:szCs w:val="24"/>
          <w14:textFill>
            <w14:solidFill>
              <w14:schemeClr w14:val="tx1"/>
            </w14:solidFill>
          </w14:textFill>
        </w:rPr>
        <w:t xml:space="preserve"> </w:t>
      </w:r>
      <w:r>
        <w:rPr>
          <w:rFonts w:hint="eastAsia"/>
          <w:color w:val="000000" w:themeColor="text1"/>
          <w:sz w:val="24"/>
          <w:szCs w:val="24"/>
          <w:vertAlign w:val="superscript"/>
          <w14:textFill>
            <w14:solidFill>
              <w14:schemeClr w14:val="tx1"/>
            </w14:solidFill>
          </w14:textFill>
        </w:rPr>
        <w:t>ml</w:t>
      </w:r>
      <w:r>
        <w:rPr>
          <w:rFonts w:hint="eastAsia"/>
          <w:color w:val="000000" w:themeColor="text1"/>
          <w:sz w:val="24"/>
          <w:szCs w:val="24"/>
          <w14:textFill>
            <w14:solidFill>
              <w14:schemeClr w14:val="tx1"/>
            </w14:solidFill>
          </w14:textFill>
        </w:rPr>
        <w:t>）</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黄灰色黄灰-灰黄色，以粉土为主，含少量灰渣、砖块、植物根等杂物，局部为杂填土。</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第2单元层：粉质粘土夹粉土</w:t>
      </w:r>
      <w:r>
        <w:rPr>
          <w:color w:val="000000" w:themeColor="text1"/>
          <w:sz w:val="24"/>
          <w:szCs w:val="24"/>
          <w14:textFill>
            <w14:solidFill>
              <w14:schemeClr w14:val="tx1"/>
            </w14:solidFill>
          </w14:textFill>
        </w:rPr>
        <w:t>（Q</w:t>
      </w:r>
      <w:r>
        <w:rPr>
          <w:color w:val="000000" w:themeColor="text1"/>
          <w:sz w:val="24"/>
          <w:szCs w:val="24"/>
          <w:vertAlign w:val="subscript"/>
          <w14:textFill>
            <w14:solidFill>
              <w14:schemeClr w14:val="tx1"/>
            </w14:solidFill>
          </w14:textFill>
        </w:rPr>
        <w:t>4</w:t>
      </w:r>
      <w:r>
        <w:rPr>
          <w:color w:val="000000" w:themeColor="text1"/>
          <w:sz w:val="24"/>
          <w:szCs w:val="24"/>
          <w:vertAlign w:val="superscript"/>
          <w14:textFill>
            <w14:solidFill>
              <w14:schemeClr w14:val="tx1"/>
            </w14:solidFill>
          </w14:textFill>
        </w:rPr>
        <w:t>al-pl</w:t>
      </w:r>
      <w:r>
        <w:rPr>
          <w:color w:val="000000" w:themeColor="text1"/>
          <w:sz w:val="24"/>
          <w:szCs w:val="24"/>
          <w14:textFill>
            <w14:solidFill>
              <w14:schemeClr w14:val="tx1"/>
            </w14:solidFill>
          </w14:textFill>
        </w:rPr>
        <w:t>）</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棕黄-褐黄色，可塑，光滑，干强度、韧性中等，无摇震反应，多处夹厚40cm左右中密状粉土。场区普遍分布，属中压缩性土。</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第3单元层：粉土</w:t>
      </w:r>
      <w:r>
        <w:rPr>
          <w:color w:val="000000" w:themeColor="text1"/>
          <w:sz w:val="24"/>
          <w:szCs w:val="24"/>
          <w14:textFill>
            <w14:solidFill>
              <w14:schemeClr w14:val="tx1"/>
            </w14:solidFill>
          </w14:textFill>
        </w:rPr>
        <w:t>（Q</w:t>
      </w:r>
      <w:r>
        <w:rPr>
          <w:color w:val="000000" w:themeColor="text1"/>
          <w:sz w:val="24"/>
          <w:szCs w:val="24"/>
          <w:vertAlign w:val="subscript"/>
          <w14:textFill>
            <w14:solidFill>
              <w14:schemeClr w14:val="tx1"/>
            </w14:solidFill>
          </w14:textFill>
        </w:rPr>
        <w:t>4</w:t>
      </w:r>
      <w:r>
        <w:rPr>
          <w:color w:val="000000" w:themeColor="text1"/>
          <w:sz w:val="24"/>
          <w:szCs w:val="24"/>
          <w:vertAlign w:val="superscript"/>
          <w14:textFill>
            <w14:solidFill>
              <w14:schemeClr w14:val="tx1"/>
            </w14:solidFill>
          </w14:textFill>
        </w:rPr>
        <w:t>al-pl</w:t>
      </w:r>
      <w:r>
        <w:rPr>
          <w:color w:val="000000" w:themeColor="text1"/>
          <w:sz w:val="24"/>
          <w:szCs w:val="24"/>
          <w14:textFill>
            <w14:solidFill>
              <w14:schemeClr w14:val="tx1"/>
            </w14:solidFill>
          </w14:textFill>
        </w:rPr>
        <w:t>）</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黄褐色，湿，中密，无光泽反应，低干强度，低韧性，摇震反应中等，具锈染，不均质，局部砂粒含量高，偶夹薄层可塑状粉质粘土。场区普遍分布，属中压缩性土。</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第4单元层：粉砂</w:t>
      </w:r>
      <w:r>
        <w:rPr>
          <w:color w:val="000000" w:themeColor="text1"/>
          <w:sz w:val="24"/>
          <w:szCs w:val="24"/>
          <w14:textFill>
            <w14:solidFill>
              <w14:schemeClr w14:val="tx1"/>
            </w14:solidFill>
          </w14:textFill>
        </w:rPr>
        <w:t>（Q</w:t>
      </w:r>
      <w:r>
        <w:rPr>
          <w:color w:val="000000" w:themeColor="text1"/>
          <w:sz w:val="24"/>
          <w:szCs w:val="24"/>
          <w:vertAlign w:val="subscript"/>
          <w14:textFill>
            <w14:solidFill>
              <w14:schemeClr w14:val="tx1"/>
            </w14:solidFill>
          </w14:textFill>
        </w:rPr>
        <w:t>4</w:t>
      </w:r>
      <w:r>
        <w:rPr>
          <w:color w:val="000000" w:themeColor="text1"/>
          <w:sz w:val="24"/>
          <w:szCs w:val="24"/>
          <w:vertAlign w:val="superscript"/>
          <w14:textFill>
            <w14:solidFill>
              <w14:schemeClr w14:val="tx1"/>
            </w14:solidFill>
          </w14:textFill>
        </w:rPr>
        <w:t>al-pl</w:t>
      </w:r>
      <w:r>
        <w:rPr>
          <w:color w:val="000000" w:themeColor="text1"/>
          <w:sz w:val="24"/>
          <w:szCs w:val="24"/>
          <w14:textFill>
            <w14:solidFill>
              <w14:schemeClr w14:val="tx1"/>
            </w14:solidFill>
          </w14:textFill>
        </w:rPr>
        <w:t>）</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灰黄色，饱和，稍密-中密，不均质，主要矿物成分为石英、长石，云母等暗色矿物次之，偶夹粘土团，多处相变为粉土或细砂。场区普遍分布，属中偏低压缩性土。</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第5单元层：细砂</w:t>
      </w:r>
      <w:r>
        <w:rPr>
          <w:color w:val="000000" w:themeColor="text1"/>
          <w:sz w:val="24"/>
          <w:szCs w:val="24"/>
          <w14:textFill>
            <w14:solidFill>
              <w14:schemeClr w14:val="tx1"/>
            </w14:solidFill>
          </w14:textFill>
        </w:rPr>
        <w:t>（Q</w:t>
      </w:r>
      <w:r>
        <w:rPr>
          <w:color w:val="000000" w:themeColor="text1"/>
          <w:sz w:val="24"/>
          <w:szCs w:val="24"/>
          <w:vertAlign w:val="subscript"/>
          <w14:textFill>
            <w14:solidFill>
              <w14:schemeClr w14:val="tx1"/>
            </w14:solidFill>
          </w14:textFill>
        </w:rPr>
        <w:t>4</w:t>
      </w:r>
      <w:r>
        <w:rPr>
          <w:color w:val="000000" w:themeColor="text1"/>
          <w:sz w:val="24"/>
          <w:szCs w:val="24"/>
          <w:vertAlign w:val="superscript"/>
          <w14:textFill>
            <w14:solidFill>
              <w14:schemeClr w14:val="tx1"/>
            </w14:solidFill>
          </w14:textFill>
        </w:rPr>
        <w:t>al-pl</w:t>
      </w:r>
      <w:r>
        <w:rPr>
          <w:color w:val="000000" w:themeColor="text1"/>
          <w:sz w:val="24"/>
          <w:szCs w:val="24"/>
          <w14:textFill>
            <w14:solidFill>
              <w14:schemeClr w14:val="tx1"/>
            </w14:solidFill>
          </w14:textFill>
        </w:rPr>
        <w:t>）</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灰黄色，饱和，中密-密实，不均质，偶夹粘土团或粉土薄层，主要矿物成分为石英、长石，云母等暗色矿物次之。场区普遍分布，该层已揭最大厚10.00m。属低压缩性土。</w:t>
      </w:r>
    </w:p>
    <w:p>
      <w:pPr>
        <w:pStyle w:val="460"/>
      </w:pPr>
      <w:r>
        <w:t xml:space="preserve">5.4.4.2 </w:t>
      </w:r>
      <w:r>
        <w:rPr>
          <w:rFonts w:hint="eastAsia"/>
        </w:rPr>
        <w:t>场地水文地质特征</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（1）含水岩组</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勘探期间，钻孔在深度内未揭露出地下水，地表水主要由大气降水补给，地表水由西南流向东北。</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本场地浅层地下水为第四系松散岩类孔隙潜水类型，主要接受大气降水的补给，其动态变化受季节性控制，水位年变幅2m左右。</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（2）隔水层</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本次勘探资料，厂址区及其周边勘探深度60m内为粉土、粉质黏土及砂土地层，从水文地质角度粉质黏土属弱透水不透水地层即为隔水底板，而粉土、砂土层属相对强透水层，属地下水的富集层位。结合地质钻探成果场地含水层为第四系冲积砂土层，水位埋深6.</w:t>
      </w:r>
      <w:r>
        <w:rPr>
          <w:color w:val="000000" w:themeColor="text1"/>
          <w:sz w:val="24"/>
          <w:szCs w:val="24"/>
          <w14:textFill>
            <w14:solidFill>
              <w14:schemeClr w14:val="tx1"/>
            </w14:solidFill>
          </w14:textFill>
        </w:rPr>
        <w:t>43</w:t>
      </w:r>
      <w:r>
        <w:rPr>
          <w:rFonts w:hint="eastAsia"/>
          <w:color w:val="000000" w:themeColor="text1"/>
          <w:sz w:val="24"/>
          <w:szCs w:val="24"/>
          <w14:textFill>
            <w14:solidFill>
              <w14:schemeClr w14:val="tx1"/>
            </w14:solidFill>
          </w14:textFill>
        </w:rPr>
        <w:t>m。</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（3）地下水流场特征</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区域范围内地下水为松散岩类孔隙水，来源主要靠大气降水和侧向径流。地下水由西南向东北径流，水力坡度在</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‰左右。</w:t>
      </w:r>
    </w:p>
    <w:p>
      <w:pPr>
        <w:pStyle w:val="460"/>
      </w:pPr>
      <w:r>
        <w:t xml:space="preserve">5.4.4.3 </w:t>
      </w:r>
      <w:r>
        <w:rPr>
          <w:rFonts w:hint="eastAsia"/>
        </w:rPr>
        <w:t>场地包气带特征及防污性能</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建设项目场地的包气带防污性能按包气带中岩（土）层的分布情况分为弱、中、强三级，分类原则见下表。</w:t>
      </w:r>
    </w:p>
    <w:p>
      <w:pPr>
        <w:adjustRightInd w:val="0"/>
        <w:snapToGrid w:val="0"/>
        <w:spacing w:line="520" w:lineRule="exact"/>
        <w:ind w:firstLine="480" w:firstLineChars="200"/>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 xml:space="preserve">表5.4-6             </w:t>
      </w:r>
      <w:r>
        <w:rPr>
          <w:rFonts w:hint="eastAsia" w:eastAsia="黑体"/>
          <w:color w:val="000000" w:themeColor="text1"/>
          <w:sz w:val="24"/>
          <w:szCs w:val="24"/>
          <w14:textFill>
            <w14:solidFill>
              <w14:schemeClr w14:val="tx1"/>
            </w14:solidFill>
          </w14:textFill>
        </w:rPr>
        <w:t>包气带防污性能分类</w:t>
      </w:r>
    </w:p>
    <w:tbl>
      <w:tblPr>
        <w:tblStyle w:val="49"/>
        <w:tblW w:w="8520" w:type="dxa"/>
        <w:jc w:val="center"/>
        <w:tblBorders>
          <w:top w:val="single" w:color="auto" w:sz="8" w:space="0"/>
          <w:left w:val="single" w:color="auto" w:sz="8" w:space="0"/>
          <w:bottom w:val="single" w:color="auto" w:sz="8" w:space="0"/>
          <w:right w:val="single" w:color="auto" w:sz="8" w:space="0"/>
          <w:insideH w:val="single" w:color="000000" w:sz="6" w:space="0"/>
          <w:insideV w:val="single" w:color="000000" w:sz="6" w:space="0"/>
        </w:tblBorders>
        <w:tblLayout w:type="fixed"/>
        <w:tblCellMar>
          <w:top w:w="0" w:type="dxa"/>
          <w:left w:w="108" w:type="dxa"/>
          <w:bottom w:w="0" w:type="dxa"/>
          <w:right w:w="108" w:type="dxa"/>
        </w:tblCellMar>
      </w:tblPr>
      <w:tblGrid>
        <w:gridCol w:w="665"/>
        <w:gridCol w:w="7855"/>
      </w:tblGrid>
      <w:tr>
        <w:tblPrEx>
          <w:tblBorders>
            <w:top w:val="single" w:color="auto" w:sz="8" w:space="0"/>
            <w:left w:val="single" w:color="auto" w:sz="8" w:space="0"/>
            <w:bottom w:val="single" w:color="auto" w:sz="8" w:space="0"/>
            <w:right w:val="single" w:color="auto" w:sz="8"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65" w:type="dxa"/>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分级</w:t>
            </w:r>
          </w:p>
        </w:tc>
        <w:tc>
          <w:tcPr>
            <w:tcW w:w="7855" w:type="dxa"/>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包气带岩土的渗透性能</w:t>
            </w:r>
          </w:p>
        </w:tc>
      </w:tr>
      <w:tr>
        <w:tblPrEx>
          <w:tblBorders>
            <w:top w:val="single" w:color="auto" w:sz="8" w:space="0"/>
            <w:left w:val="single" w:color="auto" w:sz="8" w:space="0"/>
            <w:bottom w:val="single" w:color="auto" w:sz="8" w:space="0"/>
            <w:right w:val="single" w:color="auto" w:sz="8"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65" w:type="dxa"/>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强</w:t>
            </w:r>
          </w:p>
        </w:tc>
        <w:tc>
          <w:tcPr>
            <w:tcW w:w="7855" w:type="dxa"/>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土</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层单层厚度</w:t>
            </w:r>
            <w:r>
              <w:rPr>
                <w:color w:val="000000" w:themeColor="text1"/>
                <w14:textFill>
                  <w14:solidFill>
                    <w14:schemeClr w14:val="tx1"/>
                  </w14:solidFill>
                </w14:textFill>
              </w:rPr>
              <w:t>M</w:t>
            </w:r>
            <w:r>
              <w:rPr>
                <w:color w:val="000000" w:themeColor="text1"/>
                <w:vertAlign w:val="subscript"/>
                <w14:textFill>
                  <w14:solidFill>
                    <w14:schemeClr w14:val="tx1"/>
                  </w14:solidFill>
                </w14:textFill>
              </w:rPr>
              <w:t>b</w:t>
            </w:r>
            <w:r>
              <w:rPr>
                <w:color w:val="000000" w:themeColor="text1"/>
                <w14:textFill>
                  <w14:solidFill>
                    <w14:schemeClr w14:val="tx1"/>
                  </w14:solidFill>
                </w14:textFill>
              </w:rPr>
              <w:t>≥1.0m</w:t>
            </w:r>
            <w:r>
              <w:rPr>
                <w:rFonts w:hint="eastAsia"/>
                <w:color w:val="000000" w:themeColor="text1"/>
                <w14:textFill>
                  <w14:solidFill>
                    <w14:schemeClr w14:val="tx1"/>
                  </w14:solidFill>
                </w14:textFill>
              </w:rPr>
              <w:t>，渗透系数</w:t>
            </w:r>
            <w:r>
              <w:rPr>
                <w:color w:val="000000" w:themeColor="text1"/>
                <w14:textFill>
                  <w14:solidFill>
                    <w14:schemeClr w14:val="tx1"/>
                  </w14:solidFill>
                </w14:textFill>
              </w:rPr>
              <w:t>K≤10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cm/s</w:t>
            </w:r>
            <w:r>
              <w:rPr>
                <w:rFonts w:hint="eastAsia"/>
                <w:color w:val="000000" w:themeColor="text1"/>
                <w14:textFill>
                  <w14:solidFill>
                    <w14:schemeClr w14:val="tx1"/>
                  </w14:solidFill>
                </w14:textFill>
              </w:rPr>
              <w:t>，且分布连续、稳定</w:t>
            </w:r>
          </w:p>
        </w:tc>
      </w:tr>
      <w:tr>
        <w:tblPrEx>
          <w:tblBorders>
            <w:top w:val="single" w:color="auto" w:sz="8" w:space="0"/>
            <w:left w:val="single" w:color="auto" w:sz="8" w:space="0"/>
            <w:bottom w:val="single" w:color="auto" w:sz="8" w:space="0"/>
            <w:right w:val="single" w:color="auto" w:sz="8"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65" w:type="dxa"/>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中</w:t>
            </w:r>
          </w:p>
        </w:tc>
        <w:tc>
          <w:tcPr>
            <w:tcW w:w="7855" w:type="dxa"/>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土</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层单层厚度</w:t>
            </w:r>
            <w:r>
              <w:rPr>
                <w:color w:val="000000" w:themeColor="text1"/>
                <w14:textFill>
                  <w14:solidFill>
                    <w14:schemeClr w14:val="tx1"/>
                  </w14:solidFill>
                </w14:textFill>
              </w:rPr>
              <w:t>0.5m≤M</w:t>
            </w:r>
            <w:r>
              <w:rPr>
                <w:color w:val="000000" w:themeColor="text1"/>
                <w:vertAlign w:val="subscript"/>
                <w14:textFill>
                  <w14:solidFill>
                    <w14:schemeClr w14:val="tx1"/>
                  </w14:solidFill>
                </w14:textFill>
              </w:rPr>
              <w:t>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1.0m</w:t>
            </w:r>
            <w:r>
              <w:rPr>
                <w:rFonts w:hint="eastAsia"/>
                <w:color w:val="000000" w:themeColor="text1"/>
                <w14:textFill>
                  <w14:solidFill>
                    <w14:schemeClr w14:val="tx1"/>
                  </w14:solidFill>
                </w14:textFill>
              </w:rPr>
              <w:t>，渗透系数</w:t>
            </w:r>
            <w:r>
              <w:rPr>
                <w:color w:val="000000" w:themeColor="text1"/>
                <w14:textFill>
                  <w14:solidFill>
                    <w14:schemeClr w14:val="tx1"/>
                  </w14:solidFill>
                </w14:textFill>
              </w:rPr>
              <w:t>K≤10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cm/s</w:t>
            </w:r>
            <w:r>
              <w:rPr>
                <w:rFonts w:hint="eastAsia"/>
                <w:color w:val="000000" w:themeColor="text1"/>
                <w14:textFill>
                  <w14:solidFill>
                    <w14:schemeClr w14:val="tx1"/>
                  </w14:solidFill>
                </w14:textFill>
              </w:rPr>
              <w:t>，且分布连续、稳定</w:t>
            </w:r>
          </w:p>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土</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层单层厚度</w:t>
            </w:r>
            <w:r>
              <w:rPr>
                <w:color w:val="000000" w:themeColor="text1"/>
                <w14:textFill>
                  <w14:solidFill>
                    <w14:schemeClr w14:val="tx1"/>
                  </w14:solidFill>
                </w14:textFill>
              </w:rPr>
              <w:t>M</w:t>
            </w:r>
            <w:r>
              <w:rPr>
                <w:color w:val="000000" w:themeColor="text1"/>
                <w:vertAlign w:val="subscript"/>
                <w14:textFill>
                  <w14:solidFill>
                    <w14:schemeClr w14:val="tx1"/>
                  </w14:solidFill>
                </w14:textFill>
              </w:rPr>
              <w:t>b</w:t>
            </w:r>
            <w:r>
              <w:rPr>
                <w:color w:val="000000" w:themeColor="text1"/>
                <w14:textFill>
                  <w14:solidFill>
                    <w14:schemeClr w14:val="tx1"/>
                  </w14:solidFill>
                </w14:textFill>
              </w:rPr>
              <w:t>≥1.0m</w:t>
            </w:r>
            <w:r>
              <w:rPr>
                <w:rFonts w:hint="eastAsia"/>
                <w:color w:val="000000" w:themeColor="text1"/>
                <w14:textFill>
                  <w14:solidFill>
                    <w14:schemeClr w14:val="tx1"/>
                  </w14:solidFill>
                </w14:textFill>
              </w:rPr>
              <w:t>，渗透系数</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-6</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K≤10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cm/s</w:t>
            </w:r>
            <w:r>
              <w:rPr>
                <w:rFonts w:hint="eastAsia"/>
                <w:color w:val="000000" w:themeColor="text1"/>
                <w14:textFill>
                  <w14:solidFill>
                    <w14:schemeClr w14:val="tx1"/>
                  </w14:solidFill>
                </w14:textFill>
              </w:rPr>
              <w:t>，且分布连续、稳定</w:t>
            </w:r>
          </w:p>
        </w:tc>
      </w:tr>
      <w:tr>
        <w:tblPrEx>
          <w:tblBorders>
            <w:top w:val="single" w:color="auto" w:sz="8" w:space="0"/>
            <w:left w:val="single" w:color="auto" w:sz="8" w:space="0"/>
            <w:bottom w:val="single" w:color="auto" w:sz="8" w:space="0"/>
            <w:right w:val="single" w:color="auto" w:sz="8"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65" w:type="dxa"/>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弱</w:t>
            </w:r>
          </w:p>
        </w:tc>
        <w:tc>
          <w:tcPr>
            <w:tcW w:w="7855" w:type="dxa"/>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土</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层不满足上述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中</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条件</w:t>
            </w:r>
          </w:p>
        </w:tc>
      </w:tr>
    </w:tbl>
    <w:p>
      <w:pP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注：环境影响评价技术导则地下水环境（</w:t>
      </w:r>
      <w:r>
        <w:rPr>
          <w:b/>
          <w:color w:val="000000" w:themeColor="text1"/>
          <w:szCs w:val="21"/>
          <w14:textFill>
            <w14:solidFill>
              <w14:schemeClr w14:val="tx1"/>
            </w14:solidFill>
          </w14:textFill>
        </w:rPr>
        <w:t>HJ610-2016</w:t>
      </w:r>
      <w:r>
        <w:rPr>
          <w:rFonts w:hint="eastAsia"/>
          <w:b/>
          <w:color w:val="000000" w:themeColor="text1"/>
          <w:szCs w:val="21"/>
          <w14:textFill>
            <w14:solidFill>
              <w14:schemeClr w14:val="tx1"/>
            </w14:solidFill>
          </w14:textFill>
        </w:rPr>
        <w:t>）表</w:t>
      </w:r>
      <w:r>
        <w:rPr>
          <w:b/>
          <w:color w:val="000000" w:themeColor="text1"/>
          <w:szCs w:val="21"/>
          <w14:textFill>
            <w14:solidFill>
              <w14:schemeClr w14:val="tx1"/>
            </w14:solidFill>
          </w14:textFill>
        </w:rPr>
        <w:t>6</w:t>
      </w:r>
      <w:r>
        <w:rPr>
          <w:rFonts w:hint="eastAsia"/>
          <w:b/>
          <w:color w:val="000000" w:themeColor="text1"/>
          <w:szCs w:val="21"/>
          <w14:textFill>
            <w14:solidFill>
              <w14:schemeClr w14:val="tx1"/>
            </w14:solidFill>
          </w14:textFill>
        </w:rPr>
        <w:t>天然包气带防污性能分级参照表</w:t>
      </w:r>
    </w:p>
    <w:p>
      <w:pPr>
        <w:spacing w:line="520" w:lineRule="exact"/>
        <w:ind w:firstLine="480"/>
        <w:rPr>
          <w:color w:val="000000" w:themeColor="text1"/>
          <w:sz w:val="24"/>
          <w:szCs w:val="24"/>
          <w:highlight w:val="yellow"/>
          <w14:textFill>
            <w14:solidFill>
              <w14:schemeClr w14:val="tx1"/>
            </w14:solidFill>
          </w14:textFill>
        </w:rPr>
      </w:pPr>
      <w:r>
        <w:rPr>
          <w:rFonts w:hint="eastAsia"/>
          <w:color w:val="000000" w:themeColor="text1"/>
          <w:sz w:val="24"/>
          <w:szCs w:val="24"/>
          <w14:textFill>
            <w14:solidFill>
              <w14:schemeClr w14:val="tx1"/>
            </w14:solidFill>
          </w14:textFill>
        </w:rPr>
        <w:t>根据岩土工程勘察钻孔资料，本建设项目场地浅层有粉质粘土覆盖，厚度1.</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2.2</w:t>
      </w:r>
      <w:r>
        <w:rPr>
          <w:rFonts w:hint="eastAsia"/>
          <w:color w:val="000000" w:themeColor="text1"/>
          <w:sz w:val="24"/>
          <w:szCs w:val="24"/>
          <w14:textFill>
            <w14:solidFill>
              <w14:schemeClr w14:val="tx1"/>
            </w14:solidFill>
          </w14:textFill>
        </w:rPr>
        <w:t>m，为场地浅部包气带岩性。根据场地包气带渗水试验资料，包气带中粉质粘土层垂向渗透系数符合岩（土）层单层厚度Mb≥1.0m，渗透系数均值为</w:t>
      </w:r>
      <w:r>
        <w:rPr>
          <w:color w:val="000000" w:themeColor="text1"/>
          <w:sz w:val="24"/>
          <w:szCs w:val="24"/>
          <w14:textFill>
            <w14:solidFill>
              <w14:schemeClr w14:val="tx1"/>
            </w14:solidFill>
          </w14:textFill>
        </w:rPr>
        <w:t>6.9</w:t>
      </w:r>
      <w:r>
        <w:rPr>
          <w:rFonts w:hint="eastAsia"/>
          <w:color w:val="000000" w:themeColor="text1"/>
          <w:sz w:val="24"/>
          <w:szCs w:val="24"/>
          <w14:textFill>
            <w14:solidFill>
              <w14:schemeClr w14:val="tx1"/>
            </w14:solidFill>
          </w14:textFill>
        </w:rPr>
        <w:t>4×10</w:t>
      </w:r>
      <w:r>
        <w:rPr>
          <w:rFonts w:hint="eastAsia"/>
          <w:color w:val="000000" w:themeColor="text1"/>
          <w:sz w:val="24"/>
          <w:szCs w:val="24"/>
          <w:vertAlign w:val="superscript"/>
          <w14:textFill>
            <w14:solidFill>
              <w14:schemeClr w14:val="tx1"/>
            </w14:solidFill>
          </w14:textFill>
        </w:rPr>
        <w:t>-</w:t>
      </w:r>
      <w:r>
        <w:rPr>
          <w:color w:val="000000" w:themeColor="text1"/>
          <w:sz w:val="24"/>
          <w:szCs w:val="24"/>
          <w:vertAlign w:val="superscript"/>
          <w14:textFill>
            <w14:solidFill>
              <w14:schemeClr w14:val="tx1"/>
            </w14:solidFill>
          </w14:textFill>
        </w:rPr>
        <w:t>5</w:t>
      </w:r>
      <w:r>
        <w:rPr>
          <w:rFonts w:hint="eastAsia"/>
          <w:color w:val="000000" w:themeColor="text1"/>
          <w:sz w:val="24"/>
          <w:szCs w:val="24"/>
          <w14:textFill>
            <w14:solidFill>
              <w14:schemeClr w14:val="tx1"/>
            </w14:solidFill>
          </w14:textFill>
        </w:rPr>
        <w:t>cm/s，依据《环境影响评价技术导则地下水环境》（HJ610-2016）中的包气带防污性能分类，厂址区包气带防污染性能为“中”。</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本项目区域水文地质图和厂区内工程地质剖面图、钻孔柱状图见下图：</w:t>
      </w:r>
    </w:p>
    <w:p>
      <w:pPr>
        <w:spacing w:line="360" w:lineRule="auto"/>
        <w:jc w:val="center"/>
        <w:rPr>
          <w:rFonts w:eastAsia="黑体"/>
          <w:bCs/>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4629150" cy="4288790"/>
            <wp:effectExtent l="12700" t="12700" r="25400" b="22860"/>
            <wp:docPr id="1707043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43105" name="图片 1"/>
                    <pic:cNvPicPr>
                      <a:picLocks noChangeAspect="1"/>
                    </pic:cNvPicPr>
                  </pic:nvPicPr>
                  <pic:blipFill>
                    <a:blip r:embed="rId87"/>
                    <a:stretch>
                      <a:fillRect/>
                    </a:stretch>
                  </pic:blipFill>
                  <pic:spPr>
                    <a:xfrm>
                      <a:off x="0" y="0"/>
                      <a:ext cx="4629150" cy="4296893"/>
                    </a:xfrm>
                    <a:prstGeom prst="rect">
                      <a:avLst/>
                    </a:prstGeom>
                    <a:ln w="12700">
                      <a:solidFill>
                        <a:schemeClr val="tx1"/>
                      </a:solidFill>
                    </a:ln>
                  </pic:spPr>
                </pic:pic>
              </a:graphicData>
            </a:graphic>
          </wp:inline>
        </w:drawing>
      </w:r>
    </w:p>
    <w:p>
      <w:pPr>
        <w:spacing w:line="360" w:lineRule="auto"/>
        <w:jc w:val="center"/>
        <w:rPr>
          <w:rFonts w:eastAsia="黑体"/>
          <w:bCs/>
          <w:color w:val="000000" w:themeColor="text1"/>
          <w:sz w:val="24"/>
          <w:szCs w:val="24"/>
          <w14:textFill>
            <w14:solidFill>
              <w14:schemeClr w14:val="tx1"/>
            </w14:solidFill>
          </w14:textFill>
        </w:rPr>
      </w:pPr>
      <w:r>
        <w:rPr>
          <w:rFonts w:hint="eastAsia" w:eastAsia="黑体"/>
          <w:bCs/>
          <w:color w:val="000000" w:themeColor="text1"/>
          <w:sz w:val="24"/>
          <w:szCs w:val="24"/>
          <w14:textFill>
            <w14:solidFill>
              <w14:schemeClr w14:val="tx1"/>
            </w14:solidFill>
          </w14:textFill>
        </w:rPr>
        <w:t>图5</w:t>
      </w:r>
      <w:r>
        <w:rPr>
          <w:rFonts w:eastAsia="黑体"/>
          <w:bCs/>
          <w:color w:val="000000" w:themeColor="text1"/>
          <w:sz w:val="24"/>
          <w:szCs w:val="24"/>
          <w14:textFill>
            <w14:solidFill>
              <w14:schemeClr w14:val="tx1"/>
            </w14:solidFill>
          </w14:textFill>
        </w:rPr>
        <w:t>.4-7</w:t>
      </w:r>
      <w:r>
        <w:rPr>
          <w:rFonts w:hint="eastAsia" w:eastAsia="黑体"/>
          <w:bCs/>
          <w:color w:val="000000" w:themeColor="text1"/>
          <w:sz w:val="24"/>
          <w:szCs w:val="24"/>
          <w14:textFill>
            <w14:solidFill>
              <w14:schemeClr w14:val="tx1"/>
            </w14:solidFill>
          </w14:textFill>
        </w:rPr>
        <w:t xml:space="preserve"> </w:t>
      </w:r>
      <w:r>
        <w:rPr>
          <w:rFonts w:eastAsia="黑体"/>
          <w:bCs/>
          <w:color w:val="000000" w:themeColor="text1"/>
          <w:sz w:val="24"/>
          <w:szCs w:val="24"/>
          <w14:textFill>
            <w14:solidFill>
              <w14:schemeClr w14:val="tx1"/>
            </w14:solidFill>
          </w14:textFill>
        </w:rPr>
        <w:t xml:space="preserve"> </w:t>
      </w:r>
      <w:r>
        <w:rPr>
          <w:rFonts w:hint="eastAsia" w:eastAsia="黑体"/>
          <w:bCs/>
          <w:color w:val="000000" w:themeColor="text1"/>
          <w:sz w:val="24"/>
          <w:szCs w:val="24"/>
          <w14:textFill>
            <w14:solidFill>
              <w14:schemeClr w14:val="tx1"/>
            </w14:solidFill>
          </w14:textFill>
        </w:rPr>
        <w:t xml:space="preserve"> 项目区域水文地质图</w:t>
      </w:r>
    </w:p>
    <w:p>
      <w:pPr>
        <w:spacing w:line="360" w:lineRule="auto"/>
        <w:jc w:val="center"/>
        <w:rPr>
          <w:rFonts w:eastAsia="黑体"/>
          <w:b/>
          <w:color w:val="000000" w:themeColor="text1"/>
          <w:sz w:val="24"/>
          <w:szCs w:val="24"/>
          <w:highlight w:val="yellow"/>
          <w:u w:val="single"/>
          <w14:textFill>
            <w14:solidFill>
              <w14:schemeClr w14:val="tx1"/>
            </w14:solidFill>
          </w14:textFill>
        </w:rPr>
      </w:pPr>
      <w:r>
        <w:rPr>
          <w:color w:val="000000" w:themeColor="text1"/>
          <w14:textFill>
            <w14:solidFill>
              <w14:schemeClr w14:val="tx1"/>
            </w14:solidFill>
          </w14:textFill>
        </w:rPr>
        <w:drawing>
          <wp:inline distT="0" distB="0" distL="0" distR="0">
            <wp:extent cx="5534025" cy="3774440"/>
            <wp:effectExtent l="12700" t="12700" r="15875" b="22860"/>
            <wp:docPr id="317295193"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95193" name="图片 1" descr="图示, 示意图&#10;&#10;描述已自动生成"/>
                    <pic:cNvPicPr>
                      <a:picLocks noChangeAspect="1"/>
                    </pic:cNvPicPr>
                  </pic:nvPicPr>
                  <pic:blipFill>
                    <a:blip r:embed="rId88"/>
                    <a:stretch>
                      <a:fillRect/>
                    </a:stretch>
                  </pic:blipFill>
                  <pic:spPr>
                    <a:xfrm>
                      <a:off x="0" y="0"/>
                      <a:ext cx="5534025" cy="3774440"/>
                    </a:xfrm>
                    <a:prstGeom prst="rect">
                      <a:avLst/>
                    </a:prstGeom>
                    <a:ln w="12700">
                      <a:solidFill>
                        <a:schemeClr val="tx1"/>
                      </a:solidFill>
                    </a:ln>
                  </pic:spPr>
                </pic:pic>
              </a:graphicData>
            </a:graphic>
          </wp:inline>
        </w:drawing>
      </w:r>
    </w:p>
    <w:p>
      <w:pPr>
        <w:ind w:firstLine="225" w:firstLineChars="94"/>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 xml:space="preserve">图5.4-8  </w:t>
      </w:r>
      <w:r>
        <w:rPr>
          <w:rFonts w:hint="eastAsia" w:eastAsia="黑体"/>
          <w:bCs/>
          <w:color w:val="000000" w:themeColor="text1"/>
          <w:sz w:val="24"/>
          <w:szCs w:val="24"/>
          <w14:textFill>
            <w14:solidFill>
              <w14:schemeClr w14:val="tx1"/>
            </w14:solidFill>
          </w14:textFill>
        </w:rPr>
        <w:t>项目</w:t>
      </w:r>
      <w:r>
        <w:rPr>
          <w:rFonts w:eastAsia="黑体"/>
          <w:bCs/>
          <w:color w:val="000000" w:themeColor="text1"/>
          <w:sz w:val="24"/>
          <w:szCs w:val="24"/>
          <w14:textFill>
            <w14:solidFill>
              <w14:schemeClr w14:val="tx1"/>
            </w14:solidFill>
          </w14:textFill>
        </w:rPr>
        <w:t>厂区</w:t>
      </w:r>
      <w:r>
        <w:rPr>
          <w:rFonts w:hint="eastAsia" w:eastAsia="黑体"/>
          <w:bCs/>
          <w:color w:val="000000" w:themeColor="text1"/>
          <w:sz w:val="24"/>
          <w:szCs w:val="24"/>
          <w14:textFill>
            <w14:solidFill>
              <w14:schemeClr w14:val="tx1"/>
            </w14:solidFill>
          </w14:textFill>
        </w:rPr>
        <w:t>1</w:t>
      </w:r>
      <w:r>
        <w:rPr>
          <w:rFonts w:eastAsia="黑体"/>
          <w:bCs/>
          <w:color w:val="000000" w:themeColor="text1"/>
          <w:sz w:val="24"/>
          <w:szCs w:val="24"/>
          <w14:textFill>
            <w14:solidFill>
              <w14:schemeClr w14:val="tx1"/>
            </w14:solidFill>
          </w14:textFill>
        </w:rPr>
        <w:t>-1</w:t>
      </w:r>
      <w:r>
        <w:rPr>
          <w:rFonts w:hint="eastAsia" w:eastAsia="黑体"/>
          <w:bCs/>
          <w:color w:val="000000" w:themeColor="text1"/>
          <w:sz w:val="24"/>
          <w:szCs w:val="24"/>
          <w14:textFill>
            <w14:solidFill>
              <w14:schemeClr w14:val="tx1"/>
            </w14:solidFill>
          </w14:textFill>
        </w:rPr>
        <w:t>＇工程地质剖面</w:t>
      </w:r>
      <w:r>
        <w:rPr>
          <w:rFonts w:eastAsia="黑体"/>
          <w:bCs/>
          <w:color w:val="000000" w:themeColor="text1"/>
          <w:sz w:val="24"/>
          <w:szCs w:val="24"/>
          <w14:textFill>
            <w14:solidFill>
              <w14:schemeClr w14:val="tx1"/>
            </w14:solidFill>
          </w14:textFill>
        </w:rPr>
        <w:t>图</w:t>
      </w:r>
    </w:p>
    <w:p>
      <w:pPr>
        <w:spacing w:line="360" w:lineRule="auto"/>
        <w:jc w:val="center"/>
        <w:rPr>
          <w:rFonts w:eastAsia="黑体"/>
          <w:b/>
          <w:color w:val="000000" w:themeColor="text1"/>
          <w:sz w:val="24"/>
          <w:szCs w:val="24"/>
          <w:highlight w:val="yellow"/>
          <w:u w:val="single"/>
          <w14:textFill>
            <w14:solidFill>
              <w14:schemeClr w14:val="tx1"/>
            </w14:solidFill>
          </w14:textFill>
        </w:rPr>
      </w:pPr>
      <w:r>
        <w:rPr>
          <w:color w:val="000000" w:themeColor="text1"/>
          <w14:textFill>
            <w14:solidFill>
              <w14:schemeClr w14:val="tx1"/>
            </w14:solidFill>
          </w14:textFill>
        </w:rPr>
        <w:drawing>
          <wp:inline distT="0" distB="0" distL="0" distR="0">
            <wp:extent cx="5536565" cy="3884295"/>
            <wp:effectExtent l="12700" t="12700" r="13335" b="27305"/>
            <wp:docPr id="341603352" name="图片 1" descr="图示, 工程绘图,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03352" name="图片 1" descr="图示, 工程绘图, 示意图&#10;&#10;描述已自动生成"/>
                    <pic:cNvPicPr>
                      <a:picLocks noChangeAspect="1"/>
                    </pic:cNvPicPr>
                  </pic:nvPicPr>
                  <pic:blipFill>
                    <a:blip r:embed="rId89"/>
                    <a:stretch>
                      <a:fillRect/>
                    </a:stretch>
                  </pic:blipFill>
                  <pic:spPr>
                    <a:xfrm>
                      <a:off x="0" y="0"/>
                      <a:ext cx="5536565" cy="3884295"/>
                    </a:xfrm>
                    <a:prstGeom prst="rect">
                      <a:avLst/>
                    </a:prstGeom>
                    <a:ln w="12700">
                      <a:solidFill>
                        <a:schemeClr val="tx1"/>
                      </a:solidFill>
                    </a:ln>
                  </pic:spPr>
                </pic:pic>
              </a:graphicData>
            </a:graphic>
          </wp:inline>
        </w:drawing>
      </w:r>
    </w:p>
    <w:p>
      <w:pPr>
        <w:ind w:firstLine="225" w:firstLineChars="94"/>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 xml:space="preserve">图5.4-9  </w:t>
      </w:r>
      <w:r>
        <w:rPr>
          <w:rFonts w:hint="eastAsia" w:eastAsia="黑体"/>
          <w:bCs/>
          <w:color w:val="000000" w:themeColor="text1"/>
          <w:sz w:val="24"/>
          <w:szCs w:val="24"/>
          <w14:textFill>
            <w14:solidFill>
              <w14:schemeClr w14:val="tx1"/>
            </w14:solidFill>
          </w14:textFill>
        </w:rPr>
        <w:t>项目</w:t>
      </w:r>
      <w:r>
        <w:rPr>
          <w:rFonts w:eastAsia="黑体"/>
          <w:bCs/>
          <w:color w:val="000000" w:themeColor="text1"/>
          <w:sz w:val="24"/>
          <w:szCs w:val="24"/>
          <w14:textFill>
            <w14:solidFill>
              <w14:schemeClr w14:val="tx1"/>
            </w14:solidFill>
          </w14:textFill>
        </w:rPr>
        <w:t>厂区2-2</w:t>
      </w:r>
      <w:r>
        <w:rPr>
          <w:rFonts w:hint="eastAsia" w:eastAsia="黑体"/>
          <w:bCs/>
          <w:color w:val="000000" w:themeColor="text1"/>
          <w:sz w:val="24"/>
          <w:szCs w:val="24"/>
          <w14:textFill>
            <w14:solidFill>
              <w14:schemeClr w14:val="tx1"/>
            </w14:solidFill>
          </w14:textFill>
        </w:rPr>
        <w:t>＇工程地质剖面</w:t>
      </w:r>
      <w:r>
        <w:rPr>
          <w:rFonts w:eastAsia="黑体"/>
          <w:bCs/>
          <w:color w:val="000000" w:themeColor="text1"/>
          <w:sz w:val="24"/>
          <w:szCs w:val="24"/>
          <w14:textFill>
            <w14:solidFill>
              <w14:schemeClr w14:val="tx1"/>
            </w14:solidFill>
          </w14:textFill>
        </w:rPr>
        <w:t>图</w:t>
      </w:r>
    </w:p>
    <w:p>
      <w:pPr>
        <w:adjustRightInd w:val="0"/>
        <w:snapToGrid w:val="0"/>
        <w:jc w:val="center"/>
        <w:rPr>
          <w:rFonts w:ascii="宋体" w:hAnsi="宋体"/>
          <w:color w:val="000000" w:themeColor="text1"/>
          <w:szCs w:val="24"/>
          <w:highlight w:val="yellow"/>
          <w14:textFill>
            <w14:solidFill>
              <w14:schemeClr w14:val="tx1"/>
            </w14:solidFill>
          </w14:textFill>
        </w:rPr>
      </w:pPr>
      <w:r>
        <w:rPr>
          <w:color w:val="000000" w:themeColor="text1"/>
          <w14:textFill>
            <w14:solidFill>
              <w14:schemeClr w14:val="tx1"/>
            </w14:solidFill>
          </w14:textFill>
        </w:rPr>
        <w:drawing>
          <wp:inline distT="0" distB="0" distL="0" distR="0">
            <wp:extent cx="5417185" cy="6981825"/>
            <wp:effectExtent l="0" t="0" r="12065" b="9525"/>
            <wp:docPr id="1521006762"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06762" name="图片 1" descr="表格&#10;&#10;描述已自动生成"/>
                    <pic:cNvPicPr>
                      <a:picLocks noChangeAspect="1"/>
                    </pic:cNvPicPr>
                  </pic:nvPicPr>
                  <pic:blipFill>
                    <a:blip r:embed="rId90"/>
                    <a:stretch>
                      <a:fillRect/>
                    </a:stretch>
                  </pic:blipFill>
                  <pic:spPr>
                    <a:xfrm>
                      <a:off x="0" y="0"/>
                      <a:ext cx="5417185" cy="6981825"/>
                    </a:xfrm>
                    <a:prstGeom prst="rect">
                      <a:avLst/>
                    </a:prstGeom>
                  </pic:spPr>
                </pic:pic>
              </a:graphicData>
            </a:graphic>
          </wp:inline>
        </w:drawing>
      </w:r>
    </w:p>
    <w:p>
      <w:pPr>
        <w:ind w:firstLine="225" w:firstLineChars="94"/>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 xml:space="preserve">图5.4-10  </w:t>
      </w:r>
      <w:r>
        <w:rPr>
          <w:rFonts w:hint="eastAsia" w:eastAsia="黑体"/>
          <w:bCs/>
          <w:color w:val="000000" w:themeColor="text1"/>
          <w:sz w:val="24"/>
          <w:szCs w:val="24"/>
          <w14:textFill>
            <w14:solidFill>
              <w14:schemeClr w14:val="tx1"/>
            </w14:solidFill>
          </w14:textFill>
        </w:rPr>
        <w:t>项目</w:t>
      </w:r>
      <w:r>
        <w:rPr>
          <w:rFonts w:eastAsia="黑体"/>
          <w:bCs/>
          <w:color w:val="000000" w:themeColor="text1"/>
          <w:sz w:val="24"/>
          <w:szCs w:val="24"/>
          <w14:textFill>
            <w14:solidFill>
              <w14:schemeClr w14:val="tx1"/>
            </w14:solidFill>
          </w14:textFill>
        </w:rPr>
        <w:t>厂区钻孔柱状图</w:t>
      </w:r>
    </w:p>
    <w:p>
      <w:pPr>
        <w:pStyle w:val="727"/>
        <w:rPr>
          <w:color w:val="000000" w:themeColor="text1"/>
          <w14:textFill>
            <w14:solidFill>
              <w14:schemeClr w14:val="tx1"/>
            </w14:solidFill>
          </w14:textFill>
        </w:rPr>
      </w:pPr>
      <w:r>
        <w:rPr>
          <w:color w:val="000000" w:themeColor="text1"/>
          <w14:textFill>
            <w14:solidFill>
              <w14:schemeClr w14:val="tx1"/>
            </w14:solidFill>
          </w14:textFill>
        </w:rPr>
        <w:t>5.4.5</w:t>
      </w:r>
      <w:r>
        <w:rPr>
          <w:rFonts w:hint="eastAsia"/>
          <w:color w:val="000000" w:themeColor="text1"/>
          <w14:textFill>
            <w14:solidFill>
              <w14:schemeClr w14:val="tx1"/>
            </w14:solidFill>
          </w14:textFill>
        </w:rPr>
        <w:t>水文地质勘察及试验</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为了了解评价区域内含水层与饱气带底层的渗透性能及地下水水流方向，获取不同岩体渗透系数、给水度、涌水量等水文地质参数，在充分收集前人水文地质资料的基础上，开展评价区水文地质勘查工作。</w:t>
      </w:r>
    </w:p>
    <w:p>
      <w:pPr>
        <w:pStyle w:val="460"/>
      </w:pPr>
      <w:r>
        <w:t>5.4.5.1</w:t>
      </w:r>
      <w:r>
        <w:rPr>
          <w:rFonts w:hint="eastAsia"/>
        </w:rPr>
        <w:t>包气带双环渗水试验</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查明包气带浅表部岩性的水文地质特征，划分其防污性能，给环境保护措施的开展提供科学依据，根据《环境影响评价技术导则地下水环境》（HJ610-2016）有关条款规定，对包气带浅表部按照岩性不同、渗透性能差异，采用渗水试验作为获取渗透参数重要方法之一。</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本次试验选定试验装置，首先清除地表30cm以上耕植土，再下挖一个20cm的注水试坑，清平坑底；在注水试坑内放入高20cm两个铁环，其中外环直径50cm，内环直径25cm，试坑内环面积为490.625cm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，在试验开展时，控制内环水柱，保持在10cm高度上，外环水柱与内环同高。试验一直渗入到水量Q固定不变一定时间为止。</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根据渗水试验资料按下列公式计算包气带试验层的渗透系数：</w:t>
      </w:r>
    </w:p>
    <w:p>
      <w:pPr>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0" distR="0">
            <wp:extent cx="1371600" cy="37592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91">
                      <a:clrChange>
                        <a:clrFrom>
                          <a:srgbClr val="FFFFFF"/>
                        </a:clrFrom>
                        <a:clrTo>
                          <a:srgbClr val="FFFFFF">
                            <a:alpha val="0"/>
                          </a:srgbClr>
                        </a:clrTo>
                      </a:clrChange>
                    </a:blip>
                    <a:srcRect/>
                    <a:stretch>
                      <a:fillRect/>
                    </a:stretch>
                  </pic:blipFill>
                  <pic:spPr>
                    <a:xfrm>
                      <a:off x="0" y="0"/>
                      <a:ext cx="1381922" cy="375920"/>
                    </a:xfrm>
                    <a:prstGeom prst="rect">
                      <a:avLst/>
                    </a:prstGeom>
                    <a:noFill/>
                    <a:ln>
                      <a:noFill/>
                    </a:ln>
                  </pic:spPr>
                </pic:pic>
              </a:graphicData>
            </a:graphic>
          </wp:inline>
        </w:drawing>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式中K---试验土层渗透系数，cm/s；</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Q---内环最后一次注水量，L/min；</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F---内环底面积，cm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H—试验水头，cm；</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Ha—试验土层毛细上升高度，cm；</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Z--注水实验的渗入深度，cm。</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试坑渗水试验计算结果见下表。</w:t>
      </w:r>
    </w:p>
    <w:p>
      <w:pPr>
        <w:adjustRightInd w:val="0"/>
        <w:snapToGrid w:val="0"/>
        <w:spacing w:line="520" w:lineRule="exact"/>
        <w:ind w:firstLine="480" w:firstLineChars="200"/>
        <w:rPr>
          <w:rFonts w:eastAsia="黑体"/>
          <w:color w:val="000000" w:themeColor="text1"/>
          <w:sz w:val="24"/>
          <w:szCs w:val="24"/>
          <w14:textFill>
            <w14:solidFill>
              <w14:schemeClr w14:val="tx1"/>
            </w14:solidFill>
          </w14:textFill>
        </w:rPr>
      </w:pPr>
      <w:r>
        <w:rPr>
          <w:rFonts w:hint="eastAsia" w:eastAsia="黑体"/>
          <w:color w:val="000000" w:themeColor="text1"/>
          <w:sz w:val="24"/>
          <w:szCs w:val="24"/>
          <w14:textFill>
            <w14:solidFill>
              <w14:schemeClr w14:val="tx1"/>
            </w14:solidFill>
          </w14:textFill>
        </w:rPr>
        <w:t xml:space="preserve">表 </w:t>
      </w:r>
      <w:r>
        <w:rPr>
          <w:rFonts w:eastAsia="黑体"/>
          <w:color w:val="000000" w:themeColor="text1"/>
          <w:sz w:val="24"/>
          <w:szCs w:val="24"/>
          <w14:textFill>
            <w14:solidFill>
              <w14:schemeClr w14:val="tx1"/>
            </w14:solidFill>
          </w14:textFill>
        </w:rPr>
        <w:fldChar w:fldCharType="begin"/>
      </w:r>
      <w:r>
        <w:rPr>
          <w:rFonts w:eastAsia="黑体"/>
          <w:color w:val="000000" w:themeColor="text1"/>
          <w:sz w:val="24"/>
          <w:szCs w:val="24"/>
          <w14:textFill>
            <w14:solidFill>
              <w14:schemeClr w14:val="tx1"/>
            </w14:solidFill>
          </w14:textFill>
        </w:rPr>
        <w:instrText xml:space="preserve"> </w:instrText>
      </w:r>
      <w:r>
        <w:rPr>
          <w:rFonts w:hint="eastAsia" w:eastAsia="黑体"/>
          <w:color w:val="000000" w:themeColor="text1"/>
          <w:sz w:val="24"/>
          <w:szCs w:val="24"/>
          <w14:textFill>
            <w14:solidFill>
              <w14:schemeClr w14:val="tx1"/>
            </w14:solidFill>
          </w14:textFill>
        </w:rPr>
        <w:instrText xml:space="preserve">STYLEREF 1 \s</w:instrText>
      </w:r>
      <w:r>
        <w:rPr>
          <w:rFonts w:eastAsia="黑体"/>
          <w:color w:val="000000" w:themeColor="text1"/>
          <w:sz w:val="24"/>
          <w:szCs w:val="24"/>
          <w14:textFill>
            <w14:solidFill>
              <w14:schemeClr w14:val="tx1"/>
            </w14:solidFill>
          </w14:textFill>
        </w:rPr>
        <w:instrText xml:space="preserve"> </w:instrText>
      </w:r>
      <w:r>
        <w:rPr>
          <w:rFonts w:eastAsia="黑体"/>
          <w:color w:val="000000" w:themeColor="text1"/>
          <w:sz w:val="24"/>
          <w:szCs w:val="24"/>
          <w14:textFill>
            <w14:solidFill>
              <w14:schemeClr w14:val="tx1"/>
            </w14:solidFill>
          </w14:textFill>
        </w:rPr>
        <w:fldChar w:fldCharType="separate"/>
      </w:r>
      <w:r>
        <w:rPr>
          <w:rFonts w:eastAsia="黑体"/>
          <w:color w:val="000000" w:themeColor="text1"/>
          <w:sz w:val="24"/>
          <w:szCs w:val="24"/>
          <w14:textFill>
            <w14:solidFill>
              <w14:schemeClr w14:val="tx1"/>
            </w14:solidFill>
          </w14:textFill>
        </w:rPr>
        <w:t>5</w:t>
      </w:r>
      <w:r>
        <w:rPr>
          <w:rFonts w:eastAsia="黑体"/>
          <w:color w:val="000000" w:themeColor="text1"/>
          <w:sz w:val="24"/>
          <w:szCs w:val="24"/>
          <w14:textFill>
            <w14:solidFill>
              <w14:schemeClr w14:val="tx1"/>
            </w14:solidFill>
          </w14:textFill>
        </w:rPr>
        <w:fldChar w:fldCharType="end"/>
      </w:r>
      <w:r>
        <w:rPr>
          <w:rFonts w:eastAsia="黑体"/>
          <w:color w:val="000000" w:themeColor="text1"/>
          <w:sz w:val="24"/>
          <w:szCs w:val="24"/>
          <w14:textFill>
            <w14:solidFill>
              <w14:schemeClr w14:val="tx1"/>
            </w14:solidFill>
          </w14:textFill>
        </w:rPr>
        <w:t xml:space="preserve">.4-7             </w:t>
      </w:r>
      <w:r>
        <w:rPr>
          <w:rFonts w:hint="eastAsia" w:eastAsia="黑体"/>
          <w:color w:val="000000" w:themeColor="text1"/>
          <w:sz w:val="24"/>
          <w:szCs w:val="24"/>
          <w14:textFill>
            <w14:solidFill>
              <w14:schemeClr w14:val="tx1"/>
            </w14:solidFill>
          </w14:textFill>
        </w:rPr>
        <w:t>双环渗水试验计算结果表</w:t>
      </w:r>
    </w:p>
    <w:tbl>
      <w:tblPr>
        <w:tblStyle w:val="49"/>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495"/>
        <w:gridCol w:w="754"/>
        <w:gridCol w:w="1458"/>
        <w:gridCol w:w="1000"/>
        <w:gridCol w:w="1002"/>
        <w:gridCol w:w="1144"/>
        <w:gridCol w:w="1861"/>
        <w:gridCol w:w="107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282" w:type="pct"/>
            <w:vMerge w:val="restar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试点编号</w:t>
            </w:r>
          </w:p>
        </w:tc>
        <w:tc>
          <w:tcPr>
            <w:tcW w:w="429" w:type="pct"/>
            <w:vMerge w:val="restar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试验</w:t>
            </w:r>
          </w:p>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岩性</w:t>
            </w:r>
          </w:p>
        </w:tc>
        <w:tc>
          <w:tcPr>
            <w:tcW w:w="3679" w:type="pct"/>
            <w:gridSpan w:val="5"/>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渗水试验参数</w:t>
            </w:r>
          </w:p>
        </w:tc>
        <w:tc>
          <w:tcPr>
            <w:tcW w:w="610" w:type="pc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计算成果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282" w:type="pct"/>
            <w:vMerge w:val="continue"/>
            <w:vAlign w:val="center"/>
          </w:tcPr>
          <w:p>
            <w:pPr>
              <w:pStyle w:val="94"/>
              <w:rPr>
                <w:color w:val="000000" w:themeColor="text1"/>
                <w14:textFill>
                  <w14:solidFill>
                    <w14:schemeClr w14:val="tx1"/>
                  </w14:solidFill>
                </w14:textFill>
              </w:rPr>
            </w:pPr>
          </w:p>
        </w:tc>
        <w:tc>
          <w:tcPr>
            <w:tcW w:w="429" w:type="pct"/>
            <w:vMerge w:val="continue"/>
            <w:shd w:val="clear" w:color="auto" w:fill="auto"/>
            <w:vAlign w:val="center"/>
          </w:tcPr>
          <w:p>
            <w:pPr>
              <w:pStyle w:val="94"/>
              <w:rPr>
                <w:color w:val="000000" w:themeColor="text1"/>
                <w14:textFill>
                  <w14:solidFill>
                    <w14:schemeClr w14:val="tx1"/>
                  </w14:solidFill>
                </w14:textFill>
              </w:rPr>
            </w:pPr>
          </w:p>
        </w:tc>
        <w:tc>
          <w:tcPr>
            <w:tcW w:w="830" w:type="pc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最后一次注水量</w:t>
            </w:r>
            <w:r>
              <w:rPr>
                <w:color w:val="000000" w:themeColor="text1"/>
                <w14:textFill>
                  <w14:solidFill>
                    <w14:schemeClr w14:val="tx1"/>
                  </w14:solidFill>
                </w14:textFill>
              </w:rPr>
              <w:t>Q(</w:t>
            </w:r>
            <w:r>
              <w:rPr>
                <w:rFonts w:hint="eastAsia"/>
                <w:color w:val="000000" w:themeColor="text1"/>
                <w14:textFill>
                  <w14:solidFill>
                    <w14:schemeClr w14:val="tx1"/>
                  </w14:solidFill>
                </w14:textFill>
              </w:rPr>
              <w:t>L/min</w:t>
            </w:r>
            <w:r>
              <w:rPr>
                <w:color w:val="000000" w:themeColor="text1"/>
                <w14:textFill>
                  <w14:solidFill>
                    <w14:schemeClr w14:val="tx1"/>
                  </w14:solidFill>
                </w14:textFill>
              </w:rPr>
              <w:t>)</w:t>
            </w:r>
          </w:p>
        </w:tc>
        <w:tc>
          <w:tcPr>
            <w:tcW w:w="569" w:type="pc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渗入深度</w:t>
            </w:r>
            <w:r>
              <w:rPr>
                <w:color w:val="000000" w:themeColor="text1"/>
                <w14:textFill>
                  <w14:solidFill>
                    <w14:schemeClr w14:val="tx1"/>
                  </w14:solidFill>
                </w14:textFill>
              </w:rPr>
              <w:t>Z(</w:t>
            </w:r>
            <w:r>
              <w:rPr>
                <w:rFonts w:hint="eastAsia"/>
                <w:color w:val="000000" w:themeColor="text1"/>
                <w14:textFill>
                  <w14:solidFill>
                    <w14:schemeClr w14:val="tx1"/>
                  </w14:solidFill>
                </w14:textFill>
              </w:rPr>
              <w:t>cm</w:t>
            </w:r>
            <w:r>
              <w:rPr>
                <w:color w:val="000000" w:themeColor="text1"/>
                <w14:textFill>
                  <w14:solidFill>
                    <w14:schemeClr w14:val="tx1"/>
                  </w14:solidFill>
                </w14:textFill>
              </w:rPr>
              <w:t>)</w:t>
            </w:r>
          </w:p>
        </w:tc>
        <w:tc>
          <w:tcPr>
            <w:tcW w:w="570" w:type="pc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内环面积</w:t>
            </w:r>
            <w:r>
              <w:rPr>
                <w:color w:val="000000" w:themeColor="text1"/>
                <w14:textFill>
                  <w14:solidFill>
                    <w14:schemeClr w14:val="tx1"/>
                  </w14:solidFill>
                </w14:textFill>
              </w:rPr>
              <w:t>F(</w:t>
            </w:r>
            <w:r>
              <w:rPr>
                <w:rFonts w:hint="eastAsia"/>
                <w:color w:val="000000" w:themeColor="text1"/>
                <w14:textFill>
                  <w14:solidFill>
                    <w14:schemeClr w14:val="tx1"/>
                  </w14:solidFill>
                </w14:textFill>
              </w:rPr>
              <w:t>cm</w:t>
            </w:r>
            <w:r>
              <w:rPr>
                <w:rFonts w:hint="eastAsia"/>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tc>
        <w:tc>
          <w:tcPr>
            <w:tcW w:w="651" w:type="pc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水头高度</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cm</w:t>
            </w:r>
            <w:r>
              <w:rPr>
                <w:color w:val="000000" w:themeColor="text1"/>
                <w14:textFill>
                  <w14:solidFill>
                    <w14:schemeClr w14:val="tx1"/>
                  </w14:solidFill>
                </w14:textFill>
              </w:rPr>
              <w:t>)</w:t>
            </w:r>
          </w:p>
        </w:tc>
        <w:tc>
          <w:tcPr>
            <w:tcW w:w="1059" w:type="pct"/>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试验土层毛细上升高度Ha（cm）</w:t>
            </w:r>
          </w:p>
        </w:tc>
        <w:tc>
          <w:tcPr>
            <w:tcW w:w="610" w:type="pc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渗透系数</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(cm/s)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282" w:type="pct"/>
            <w:shd w:val="clear" w:color="auto" w:fill="auto"/>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SS1</w:t>
            </w:r>
          </w:p>
        </w:tc>
        <w:tc>
          <w:tcPr>
            <w:tcW w:w="429" w:type="pct"/>
            <w:shd w:val="clear" w:color="auto" w:fill="auto"/>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素填土</w:t>
            </w:r>
          </w:p>
        </w:tc>
        <w:tc>
          <w:tcPr>
            <w:tcW w:w="830" w:type="pct"/>
            <w:shd w:val="clear" w:color="auto" w:fill="auto"/>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0.0</w:t>
            </w:r>
            <w:r>
              <w:rPr>
                <w:color w:val="000000" w:themeColor="text1"/>
                <w14:textFill>
                  <w14:solidFill>
                    <w14:schemeClr w14:val="tx1"/>
                  </w14:solidFill>
                </w14:textFill>
              </w:rPr>
              <w:t>167</w:t>
            </w:r>
          </w:p>
        </w:tc>
        <w:tc>
          <w:tcPr>
            <w:tcW w:w="569"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56.3</w:t>
            </w:r>
          </w:p>
        </w:tc>
        <w:tc>
          <w:tcPr>
            <w:tcW w:w="570" w:type="pct"/>
            <w:vMerge w:val="restart"/>
            <w:shd w:val="clear" w:color="auto" w:fill="auto"/>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490.</w:t>
            </w:r>
            <w:r>
              <w:rPr>
                <w:color w:val="000000" w:themeColor="text1"/>
                <w14:textFill>
                  <w14:solidFill>
                    <w14:schemeClr w14:val="tx1"/>
                  </w14:solidFill>
                </w14:textFill>
              </w:rPr>
              <w:t>625</w:t>
            </w:r>
          </w:p>
        </w:tc>
        <w:tc>
          <w:tcPr>
            <w:tcW w:w="651" w:type="pct"/>
            <w:vMerge w:val="restart"/>
            <w:shd w:val="clear" w:color="auto" w:fill="auto"/>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059"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610"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2.55</w:t>
            </w:r>
            <w:r>
              <w:rPr>
                <w:rFonts w:hint="eastAsia"/>
                <w:color w:val="000000" w:themeColor="text1"/>
                <w14:textFill>
                  <w14:solidFill>
                    <w14:schemeClr w14:val="tx1"/>
                  </w14:solidFill>
                </w14:textFill>
              </w:rPr>
              <w:t>E-04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282" w:type="pct"/>
            <w:shd w:val="clear" w:color="auto" w:fill="auto"/>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SS2</w:t>
            </w:r>
          </w:p>
        </w:tc>
        <w:tc>
          <w:tcPr>
            <w:tcW w:w="429" w:type="pct"/>
            <w:shd w:val="clear" w:color="auto" w:fill="auto"/>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素填土</w:t>
            </w:r>
          </w:p>
        </w:tc>
        <w:tc>
          <w:tcPr>
            <w:tcW w:w="830" w:type="pct"/>
            <w:shd w:val="clear" w:color="auto" w:fill="auto"/>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0.01</w:t>
            </w:r>
            <w:r>
              <w:rPr>
                <w:color w:val="000000" w:themeColor="text1"/>
                <w14:textFill>
                  <w14:solidFill>
                    <w14:schemeClr w14:val="tx1"/>
                  </w14:solidFill>
                </w14:textFill>
              </w:rPr>
              <w:t>79</w:t>
            </w:r>
          </w:p>
        </w:tc>
        <w:tc>
          <w:tcPr>
            <w:tcW w:w="569"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61.6</w:t>
            </w:r>
          </w:p>
        </w:tc>
        <w:tc>
          <w:tcPr>
            <w:tcW w:w="570" w:type="pct"/>
            <w:vMerge w:val="continue"/>
            <w:vAlign w:val="center"/>
          </w:tcPr>
          <w:p>
            <w:pPr>
              <w:pStyle w:val="90"/>
              <w:rPr>
                <w:color w:val="000000" w:themeColor="text1"/>
                <w14:textFill>
                  <w14:solidFill>
                    <w14:schemeClr w14:val="tx1"/>
                  </w14:solidFill>
                </w14:textFill>
              </w:rPr>
            </w:pPr>
          </w:p>
        </w:tc>
        <w:tc>
          <w:tcPr>
            <w:tcW w:w="651" w:type="pct"/>
            <w:vMerge w:val="continue"/>
            <w:vAlign w:val="center"/>
          </w:tcPr>
          <w:p>
            <w:pPr>
              <w:pStyle w:val="90"/>
              <w:rPr>
                <w:color w:val="000000" w:themeColor="text1"/>
                <w14:textFill>
                  <w14:solidFill>
                    <w14:schemeClr w14:val="tx1"/>
                  </w14:solidFill>
                </w14:textFill>
              </w:rPr>
            </w:pPr>
          </w:p>
        </w:tc>
        <w:tc>
          <w:tcPr>
            <w:tcW w:w="1059" w:type="pc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610"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2.99</w:t>
            </w:r>
            <w:r>
              <w:rPr>
                <w:rFonts w:hint="eastAsia"/>
                <w:color w:val="000000" w:themeColor="text1"/>
                <w14:textFill>
                  <w14:solidFill>
                    <w14:schemeClr w14:val="tx1"/>
                  </w14:solidFill>
                </w14:textFill>
              </w:rPr>
              <w:t>E-04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4390" w:type="pct"/>
            <w:gridSpan w:val="7"/>
            <w:shd w:val="clear" w:color="auto" w:fill="auto"/>
            <w:noWrap/>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渗透系数均值（cm/s）</w:t>
            </w:r>
          </w:p>
        </w:tc>
        <w:tc>
          <w:tcPr>
            <w:tcW w:w="610"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2.77</w:t>
            </w:r>
            <w:r>
              <w:rPr>
                <w:rFonts w:hint="eastAsia"/>
                <w:color w:val="000000" w:themeColor="text1"/>
                <w14:textFill>
                  <w14:solidFill>
                    <w14:schemeClr w14:val="tx1"/>
                  </w14:solidFill>
                </w14:textFill>
              </w:rPr>
              <w:t>E-04</w:t>
            </w:r>
          </w:p>
        </w:tc>
      </w:tr>
    </w:tbl>
    <w:p>
      <w:pPr>
        <w:pStyle w:val="460"/>
      </w:pPr>
      <w:r>
        <w:t>5.4.5.2</w:t>
      </w:r>
      <w:r>
        <w:rPr>
          <w:rFonts w:hint="eastAsia"/>
        </w:rPr>
        <w:t>含水层抽水试验</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抽水试验采用单孔稳定流抽水试验方法，单孔抽水试验井均位于评价区内，场地浅层地下水属碳酸盐岩类岩溶裂隙水。抽水稳定时间1-2小时，水位恢复时间为2-3小时。采用潜水完整井单孔稳定流抽水试验公式进行计算，计算公式为：</w:t>
      </w:r>
    </w:p>
    <w:p>
      <w:pPr>
        <w:spacing w:line="52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K</w:t>
      </w:r>
      <w:r>
        <w:rPr>
          <w:rFonts w:hint="eastAsia"/>
          <w:color w:val="000000" w:themeColor="text1"/>
          <w:sz w:val="24"/>
          <w14:textFill>
            <w14:solidFill>
              <w14:schemeClr w14:val="tx1"/>
            </w14:solidFill>
          </w14:textFill>
        </w:rPr>
        <w:t>=Q×ln(R/r</w:t>
      </w:r>
      <w:r>
        <w:rPr>
          <w:rFonts w:hint="eastAsia"/>
          <w:color w:val="000000" w:themeColor="text1"/>
          <w:sz w:val="24"/>
          <w:vertAlign w:val="subscript"/>
          <w14:textFill>
            <w14:solidFill>
              <w14:schemeClr w14:val="tx1"/>
            </w14:solidFill>
          </w14:textFill>
        </w:rPr>
        <w:t>w</w:t>
      </w:r>
      <w:r>
        <w:rPr>
          <w:rFonts w:hint="eastAsia"/>
          <w:color w:val="000000" w:themeColor="text1"/>
          <w:sz w:val="24"/>
          <w14:textFill>
            <w14:solidFill>
              <w14:schemeClr w14:val="tx1"/>
            </w14:solidFill>
          </w14:textFill>
        </w:rPr>
        <w:t>)/π(H</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-h</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w:t>
      </w:r>
    </w:p>
    <w:p>
      <w:pPr>
        <w:spacing w:line="52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R=2S</w:t>
      </w:r>
      <w:r>
        <w:rPr>
          <w:rFonts w:hint="eastAsia"/>
          <w:color w:val="000000" w:themeColor="text1"/>
          <w:sz w:val="24"/>
          <w:vertAlign w:val="subscript"/>
          <w14:textFill>
            <w14:solidFill>
              <w14:schemeClr w14:val="tx1"/>
            </w14:solidFill>
          </w14:textFill>
        </w:rPr>
        <w:t>w</w:t>
      </w:r>
      <w:r>
        <w:rPr>
          <w:rFonts w:hint="eastAsia"/>
          <w:color w:val="000000" w:themeColor="text1"/>
          <w:sz w:val="24"/>
          <w14:textFill>
            <w14:solidFill>
              <w14:schemeClr w14:val="tx1"/>
            </w14:solidFill>
          </w14:textFill>
        </w:rPr>
        <w:t>(KH)</w:t>
      </w:r>
      <w:r>
        <w:rPr>
          <w:rFonts w:hint="eastAsia"/>
          <w:color w:val="000000" w:themeColor="text1"/>
          <w:sz w:val="24"/>
          <w:vertAlign w:val="superscript"/>
          <w14:textFill>
            <w14:solidFill>
              <w14:schemeClr w14:val="tx1"/>
            </w14:solidFill>
          </w14:textFill>
        </w:rPr>
        <w:t>0.5</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K---含水层渗透系数(m/d)；</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Q---抽水井出水量(m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R---影响半径(m)；</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H---潜水含水层厚度(m)；</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h---潜水含水层抽水后的厚度(m)；</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Sw---抽水孔水位下降值(m)；</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r</w:t>
      </w:r>
      <w:r>
        <w:rPr>
          <w:rFonts w:hint="eastAsia"/>
          <w:color w:val="000000" w:themeColor="text1"/>
          <w:sz w:val="24"/>
          <w:vertAlign w:val="subscript"/>
          <w14:textFill>
            <w14:solidFill>
              <w14:schemeClr w14:val="tx1"/>
            </w14:solidFill>
          </w14:textFill>
        </w:rPr>
        <w:t>w</w:t>
      </w:r>
      <w:r>
        <w:rPr>
          <w:rFonts w:hint="eastAsia"/>
          <w:color w:val="000000" w:themeColor="text1"/>
          <w:sz w:val="24"/>
          <w14:textFill>
            <w14:solidFill>
              <w14:schemeClr w14:val="tx1"/>
            </w14:solidFill>
          </w14:textFill>
        </w:rPr>
        <w:t>---抽水井半径(m)。</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根据上式计算含水层相关渗透系数，计算成果见下表。</w:t>
      </w:r>
    </w:p>
    <w:p>
      <w:pPr>
        <w:adjustRightInd w:val="0"/>
        <w:snapToGrid w:val="0"/>
        <w:spacing w:line="520" w:lineRule="exact"/>
        <w:ind w:firstLine="480" w:firstLineChars="200"/>
        <w:rPr>
          <w:rFonts w:eastAsia="黑体"/>
          <w:color w:val="000000" w:themeColor="text1"/>
          <w:sz w:val="24"/>
          <w:szCs w:val="24"/>
          <w14:textFill>
            <w14:solidFill>
              <w14:schemeClr w14:val="tx1"/>
            </w14:solidFill>
          </w14:textFill>
        </w:rPr>
      </w:pPr>
      <w:r>
        <w:rPr>
          <w:rFonts w:hint="eastAsia" w:eastAsia="黑体"/>
          <w:color w:val="000000" w:themeColor="text1"/>
          <w:sz w:val="24"/>
          <w:szCs w:val="24"/>
          <w14:textFill>
            <w14:solidFill>
              <w14:schemeClr w14:val="tx1"/>
            </w14:solidFill>
          </w14:textFill>
        </w:rPr>
        <w:t xml:space="preserve">表 </w:t>
      </w:r>
      <w:r>
        <w:rPr>
          <w:rFonts w:eastAsia="黑体"/>
          <w:color w:val="000000" w:themeColor="text1"/>
          <w:sz w:val="24"/>
          <w:szCs w:val="24"/>
          <w14:textFill>
            <w14:solidFill>
              <w14:schemeClr w14:val="tx1"/>
            </w14:solidFill>
          </w14:textFill>
        </w:rPr>
        <w:fldChar w:fldCharType="begin"/>
      </w:r>
      <w:r>
        <w:rPr>
          <w:rFonts w:eastAsia="黑体"/>
          <w:color w:val="000000" w:themeColor="text1"/>
          <w:sz w:val="24"/>
          <w:szCs w:val="24"/>
          <w14:textFill>
            <w14:solidFill>
              <w14:schemeClr w14:val="tx1"/>
            </w14:solidFill>
          </w14:textFill>
        </w:rPr>
        <w:instrText xml:space="preserve"> </w:instrText>
      </w:r>
      <w:r>
        <w:rPr>
          <w:rFonts w:hint="eastAsia" w:eastAsia="黑体"/>
          <w:color w:val="000000" w:themeColor="text1"/>
          <w:sz w:val="24"/>
          <w:szCs w:val="24"/>
          <w14:textFill>
            <w14:solidFill>
              <w14:schemeClr w14:val="tx1"/>
            </w14:solidFill>
          </w14:textFill>
        </w:rPr>
        <w:instrText xml:space="preserve">STYLEREF 1 \s</w:instrText>
      </w:r>
      <w:r>
        <w:rPr>
          <w:rFonts w:eastAsia="黑体"/>
          <w:color w:val="000000" w:themeColor="text1"/>
          <w:sz w:val="24"/>
          <w:szCs w:val="24"/>
          <w14:textFill>
            <w14:solidFill>
              <w14:schemeClr w14:val="tx1"/>
            </w14:solidFill>
          </w14:textFill>
        </w:rPr>
        <w:instrText xml:space="preserve"> </w:instrText>
      </w:r>
      <w:r>
        <w:rPr>
          <w:rFonts w:eastAsia="黑体"/>
          <w:color w:val="000000" w:themeColor="text1"/>
          <w:sz w:val="24"/>
          <w:szCs w:val="24"/>
          <w14:textFill>
            <w14:solidFill>
              <w14:schemeClr w14:val="tx1"/>
            </w14:solidFill>
          </w14:textFill>
        </w:rPr>
        <w:fldChar w:fldCharType="separate"/>
      </w:r>
      <w:r>
        <w:rPr>
          <w:rFonts w:eastAsia="黑体"/>
          <w:color w:val="000000" w:themeColor="text1"/>
          <w:sz w:val="24"/>
          <w:szCs w:val="24"/>
          <w14:textFill>
            <w14:solidFill>
              <w14:schemeClr w14:val="tx1"/>
            </w14:solidFill>
          </w14:textFill>
        </w:rPr>
        <w:t>5</w:t>
      </w:r>
      <w:r>
        <w:rPr>
          <w:rFonts w:eastAsia="黑体"/>
          <w:color w:val="000000" w:themeColor="text1"/>
          <w:sz w:val="24"/>
          <w:szCs w:val="24"/>
          <w14:textFill>
            <w14:solidFill>
              <w14:schemeClr w14:val="tx1"/>
            </w14:solidFill>
          </w14:textFill>
        </w:rPr>
        <w:fldChar w:fldCharType="end"/>
      </w:r>
      <w:r>
        <w:rPr>
          <w:rFonts w:eastAsia="黑体"/>
          <w:color w:val="000000" w:themeColor="text1"/>
          <w:sz w:val="24"/>
          <w:szCs w:val="24"/>
          <w14:textFill>
            <w14:solidFill>
              <w14:schemeClr w14:val="tx1"/>
            </w14:solidFill>
          </w14:textFill>
        </w:rPr>
        <w:t xml:space="preserve">.4-8                </w:t>
      </w:r>
      <w:r>
        <w:rPr>
          <w:rFonts w:hint="eastAsia" w:eastAsia="黑体"/>
          <w:color w:val="000000" w:themeColor="text1"/>
          <w:sz w:val="24"/>
          <w:szCs w:val="24"/>
          <w14:textFill>
            <w14:solidFill>
              <w14:schemeClr w14:val="tx1"/>
            </w14:solidFill>
          </w14:textFill>
        </w:rPr>
        <w:t>抽水试验成果表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57" w:type="dxa"/>
          <w:bottom w:w="0" w:type="dxa"/>
          <w:right w:w="57" w:type="dxa"/>
        </w:tblCellMar>
      </w:tblPr>
      <w:tblGrid>
        <w:gridCol w:w="840"/>
        <w:gridCol w:w="1075"/>
        <w:gridCol w:w="952"/>
        <w:gridCol w:w="1298"/>
        <w:gridCol w:w="1293"/>
        <w:gridCol w:w="1194"/>
        <w:gridCol w:w="1063"/>
        <w:gridCol w:w="112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75" w:type="pct"/>
            <w:vAlign w:val="center"/>
          </w:tcPr>
          <w:p>
            <w:pPr>
              <w:pStyle w:val="94"/>
              <w:rPr>
                <w:rFonts w:ascii="Calibri" w:hAnsi="Calibri"/>
                <w:color w:val="000000" w:themeColor="text1"/>
                <w14:textFill>
                  <w14:solidFill>
                    <w14:schemeClr w14:val="tx1"/>
                  </w14:solidFill>
                </w14:textFill>
              </w:rPr>
            </w:pPr>
            <w:r>
              <w:rPr>
                <w:rFonts w:hint="eastAsia"/>
                <w:color w:val="000000" w:themeColor="text1"/>
                <w14:textFill>
                  <w14:solidFill>
                    <w14:schemeClr w14:val="tx1"/>
                  </w14:solidFill>
                </w14:textFill>
              </w:rPr>
              <w:t>编号</w:t>
            </w:r>
          </w:p>
        </w:tc>
        <w:tc>
          <w:tcPr>
            <w:tcW w:w="608" w:type="pct"/>
            <w:vAlign w:val="center"/>
          </w:tcPr>
          <w:p>
            <w:pPr>
              <w:pStyle w:val="94"/>
              <w:rPr>
                <w:rFonts w:ascii="Calibri" w:hAnsi="Calibri"/>
                <w:color w:val="000000" w:themeColor="text1"/>
                <w14:textFill>
                  <w14:solidFill>
                    <w14:schemeClr w14:val="tx1"/>
                  </w14:solidFill>
                </w14:textFill>
              </w:rPr>
            </w:pPr>
            <w:r>
              <w:rPr>
                <w:rFonts w:hint="eastAsia"/>
                <w:color w:val="000000" w:themeColor="text1"/>
                <w14:textFill>
                  <w14:solidFill>
                    <w14:schemeClr w14:val="tx1"/>
                  </w14:solidFill>
                </w14:textFill>
              </w:rPr>
              <w:t>水量Q（</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p>
        </w:tc>
        <w:tc>
          <w:tcPr>
            <w:tcW w:w="538" w:type="pct"/>
            <w:vAlign w:val="center"/>
          </w:tcPr>
          <w:p>
            <w:pPr>
              <w:pStyle w:val="94"/>
              <w:rPr>
                <w:rFonts w:ascii="Calibri" w:hAnsi="Calibri"/>
                <w:color w:val="000000" w:themeColor="text1"/>
                <w14:textFill>
                  <w14:solidFill>
                    <w14:schemeClr w14:val="tx1"/>
                  </w14:solidFill>
                </w14:textFill>
              </w:rPr>
            </w:pPr>
            <w:r>
              <w:rPr>
                <w:rFonts w:hint="eastAsia"/>
                <w:color w:val="000000" w:themeColor="text1"/>
                <w14:textFill>
                  <w14:solidFill>
                    <w14:schemeClr w14:val="tx1"/>
                  </w14:solidFill>
                </w14:textFill>
              </w:rPr>
              <w:t>降深S</w:t>
            </w:r>
            <w:r>
              <w:rPr>
                <w:color w:val="000000" w:themeColor="text1"/>
                <w14:textFill>
                  <w14:solidFill>
                    <w14:schemeClr w14:val="tx1"/>
                  </w14:solidFill>
                </w14:textFill>
              </w:rPr>
              <w:t>w</w:t>
            </w:r>
          </w:p>
          <w:p>
            <w:pPr>
              <w:pStyle w:val="94"/>
              <w:rPr>
                <w:rFonts w:ascii="Calibri" w:hAnsi="Calibri"/>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734" w:type="pct"/>
            <w:vAlign w:val="center"/>
          </w:tcPr>
          <w:p>
            <w:pPr>
              <w:pStyle w:val="94"/>
              <w:rPr>
                <w:rFonts w:ascii="Calibri" w:hAnsi="Calibri"/>
                <w:color w:val="000000" w:themeColor="text1"/>
                <w14:textFill>
                  <w14:solidFill>
                    <w14:schemeClr w14:val="tx1"/>
                  </w14:solidFill>
                </w14:textFill>
              </w:rPr>
            </w:pPr>
            <w:r>
              <w:rPr>
                <w:rFonts w:hint="eastAsia"/>
                <w:color w:val="000000" w:themeColor="text1"/>
                <w14:textFill>
                  <w14:solidFill>
                    <w14:schemeClr w14:val="tx1"/>
                  </w14:solidFill>
                </w14:textFill>
              </w:rPr>
              <w:t>含水层厚度H（</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731" w:type="pct"/>
            <w:vAlign w:val="center"/>
          </w:tcPr>
          <w:p>
            <w:pPr>
              <w:pStyle w:val="94"/>
              <w:rPr>
                <w:rFonts w:ascii="Calibri" w:hAnsi="Calibri"/>
                <w:color w:val="000000" w:themeColor="text1"/>
                <w14:textFill>
                  <w14:solidFill>
                    <w14:schemeClr w14:val="tx1"/>
                  </w14:solidFill>
                </w14:textFill>
              </w:rPr>
            </w:pPr>
            <w:r>
              <w:rPr>
                <w:rFonts w:hint="eastAsia"/>
                <w:color w:val="000000" w:themeColor="text1"/>
                <w14:textFill>
                  <w14:solidFill>
                    <w14:schemeClr w14:val="tx1"/>
                  </w14:solidFill>
                </w14:textFill>
              </w:rPr>
              <w:t>抽水井半径r</w:t>
            </w:r>
            <w:r>
              <w:rPr>
                <w:color w:val="000000" w:themeColor="text1"/>
                <w:vertAlign w:val="subscript"/>
                <w14:textFill>
                  <w14:solidFill>
                    <w14:schemeClr w14:val="tx1"/>
                  </w14:solidFill>
                </w14:textFill>
              </w:rPr>
              <w:t>w</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675" w:type="pct"/>
            <w:vAlign w:val="center"/>
          </w:tcPr>
          <w:p>
            <w:pPr>
              <w:pStyle w:val="94"/>
              <w:rPr>
                <w:rFonts w:ascii="Calibri" w:hAnsi="Calibri"/>
                <w:color w:val="000000" w:themeColor="text1"/>
                <w14:textFill>
                  <w14:solidFill>
                    <w14:schemeClr w14:val="tx1"/>
                  </w14:solidFill>
                </w14:textFill>
              </w:rPr>
            </w:pPr>
            <w:r>
              <w:rPr>
                <w:rFonts w:hint="eastAsia"/>
                <w:color w:val="000000" w:themeColor="text1"/>
                <w14:textFill>
                  <w14:solidFill>
                    <w14:schemeClr w14:val="tx1"/>
                  </w14:solidFill>
                </w14:textFill>
              </w:rPr>
              <w:t>抽水时间（</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w:t>
            </w:r>
          </w:p>
        </w:tc>
        <w:tc>
          <w:tcPr>
            <w:tcW w:w="601" w:type="pct"/>
            <w:vAlign w:val="center"/>
          </w:tcPr>
          <w:p>
            <w:pPr>
              <w:pStyle w:val="94"/>
              <w:rPr>
                <w:rFonts w:ascii="Calibri" w:hAnsi="Calibri"/>
                <w:color w:val="000000" w:themeColor="text1"/>
                <w14:textFill>
                  <w14:solidFill>
                    <w14:schemeClr w14:val="tx1"/>
                  </w14:solidFill>
                </w14:textFill>
              </w:rPr>
            </w:pPr>
            <w:r>
              <w:rPr>
                <w:rFonts w:hint="eastAsia"/>
                <w:color w:val="000000" w:themeColor="text1"/>
                <w14:textFill>
                  <w14:solidFill>
                    <w14:schemeClr w14:val="tx1"/>
                  </w14:solidFill>
                </w14:textFill>
              </w:rPr>
              <w:t>影响半径</w:t>
            </w:r>
            <w:r>
              <w:rPr>
                <w:color w:val="000000" w:themeColor="text1"/>
                <w14:textFill>
                  <w14:solidFill>
                    <w14:schemeClr w14:val="tx1"/>
                  </w14:solidFill>
                </w14:textFill>
              </w:rPr>
              <w:t>R</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638" w:type="pct"/>
            <w:vAlign w:val="center"/>
          </w:tcPr>
          <w:p>
            <w:pPr>
              <w:pStyle w:val="94"/>
              <w:rPr>
                <w:rFonts w:ascii="Calibri" w:hAnsi="Calibri"/>
                <w:color w:val="000000" w:themeColor="text1"/>
                <w14:textFill>
                  <w14:solidFill>
                    <w14:schemeClr w14:val="tx1"/>
                  </w14:solidFill>
                </w14:textFill>
              </w:rPr>
            </w:pPr>
            <w:r>
              <w:rPr>
                <w:rFonts w:hint="eastAsia"/>
                <w:color w:val="000000" w:themeColor="text1"/>
                <w14:textFill>
                  <w14:solidFill>
                    <w14:schemeClr w14:val="tx1"/>
                  </w14:solidFill>
                </w14:textFill>
              </w:rPr>
              <w:t>渗透系数（</w:t>
            </w:r>
            <w:r>
              <w:rPr>
                <w:color w:val="000000" w:themeColor="text1"/>
                <w14:textFill>
                  <w14:solidFill>
                    <w14:schemeClr w14:val="tx1"/>
                  </w14:solidFill>
                </w14:textFill>
              </w:rPr>
              <w:t>m/d</w:t>
            </w: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475" w:type="pct"/>
            <w:vAlign w:val="center"/>
          </w:tcPr>
          <w:p>
            <w:pPr>
              <w:pStyle w:val="90"/>
              <w:rPr>
                <w:rFonts w:ascii="Calibri" w:hAnsi="Calibri"/>
                <w:color w:val="000000" w:themeColor="text1"/>
                <w14:textFill>
                  <w14:solidFill>
                    <w14:schemeClr w14:val="tx1"/>
                  </w14:solidFill>
                </w14:textFill>
              </w:rPr>
            </w:pPr>
            <w:r>
              <w:rPr>
                <w:rFonts w:hint="eastAsia"/>
                <w:color w:val="000000" w:themeColor="text1"/>
                <w14:textFill>
                  <w14:solidFill>
                    <w14:schemeClr w14:val="tx1"/>
                  </w14:solidFill>
                </w14:textFill>
              </w:rPr>
              <w:t>C1</w:t>
            </w:r>
          </w:p>
        </w:tc>
        <w:tc>
          <w:tcPr>
            <w:tcW w:w="608" w:type="pct"/>
            <w:vAlign w:val="center"/>
          </w:tcPr>
          <w:p>
            <w:pPr>
              <w:pStyle w:val="90"/>
              <w:rPr>
                <w:rFonts w:ascii="Calibri" w:hAnsi="Calibri"/>
                <w:color w:val="000000" w:themeColor="text1"/>
                <w14:textFill>
                  <w14:solidFill>
                    <w14:schemeClr w14:val="tx1"/>
                  </w14:solidFill>
                </w14:textFill>
              </w:rPr>
            </w:pPr>
            <w:r>
              <w:rPr>
                <w:color w:val="000000" w:themeColor="text1"/>
                <w14:textFill>
                  <w14:solidFill>
                    <w14:schemeClr w14:val="tx1"/>
                  </w14:solidFill>
                </w14:textFill>
              </w:rPr>
              <w:t>1248</w:t>
            </w:r>
          </w:p>
        </w:tc>
        <w:tc>
          <w:tcPr>
            <w:tcW w:w="538" w:type="pct"/>
            <w:vAlign w:val="center"/>
          </w:tcPr>
          <w:p>
            <w:pPr>
              <w:pStyle w:val="90"/>
              <w:rPr>
                <w:rFonts w:ascii="Calibri" w:hAnsi="Calibri"/>
                <w:color w:val="000000" w:themeColor="text1"/>
                <w14:textFill>
                  <w14:solidFill>
                    <w14:schemeClr w14:val="tx1"/>
                  </w14:solidFill>
                </w14:textFill>
              </w:rPr>
            </w:pPr>
            <w:r>
              <w:rPr>
                <w:color w:val="000000" w:themeColor="text1"/>
                <w14:textFill>
                  <w14:solidFill>
                    <w14:schemeClr w14:val="tx1"/>
                  </w14:solidFill>
                </w14:textFill>
              </w:rPr>
              <w:t>1.67</w:t>
            </w:r>
          </w:p>
        </w:tc>
        <w:tc>
          <w:tcPr>
            <w:tcW w:w="734" w:type="pct"/>
            <w:vAlign w:val="center"/>
          </w:tcPr>
          <w:p>
            <w:pPr>
              <w:pStyle w:val="90"/>
              <w:rPr>
                <w:rFonts w:ascii="Calibri" w:hAnsi="Calibri"/>
                <w:color w:val="000000" w:themeColor="text1"/>
                <w14:textFill>
                  <w14:solidFill>
                    <w14:schemeClr w14:val="tx1"/>
                  </w14:solidFill>
                </w14:textFill>
              </w:rPr>
            </w:pPr>
            <w:r>
              <w:rPr>
                <w:color w:val="000000" w:themeColor="text1"/>
                <w14:textFill>
                  <w14:solidFill>
                    <w14:schemeClr w14:val="tx1"/>
                  </w14:solidFill>
                </w14:textFill>
              </w:rPr>
              <w:t>35.04</w:t>
            </w:r>
          </w:p>
        </w:tc>
        <w:tc>
          <w:tcPr>
            <w:tcW w:w="731" w:type="pct"/>
            <w:vAlign w:val="center"/>
          </w:tcPr>
          <w:p>
            <w:pPr>
              <w:pStyle w:val="90"/>
              <w:rPr>
                <w:rFonts w:ascii="Calibri" w:hAnsi="Calibri"/>
                <w:color w:val="000000" w:themeColor="text1"/>
                <w14:textFill>
                  <w14:solidFill>
                    <w14:schemeClr w14:val="tx1"/>
                  </w14:solidFill>
                </w14:textFill>
              </w:rPr>
            </w:pPr>
            <w:r>
              <w:rPr>
                <w:color w:val="000000" w:themeColor="text1"/>
                <w14:textFill>
                  <w14:solidFill>
                    <w14:schemeClr w14:val="tx1"/>
                  </w14:solidFill>
                </w14:textFill>
              </w:rPr>
              <w:t>0.2</w:t>
            </w:r>
          </w:p>
        </w:tc>
        <w:tc>
          <w:tcPr>
            <w:tcW w:w="675" w:type="pct"/>
            <w:vAlign w:val="center"/>
          </w:tcPr>
          <w:p>
            <w:pPr>
              <w:pStyle w:val="90"/>
              <w:rPr>
                <w:rFonts w:ascii="Calibri" w:hAnsi="Calibri"/>
                <w:color w:val="000000" w:themeColor="text1"/>
                <w14:textFill>
                  <w14:solidFill>
                    <w14:schemeClr w14:val="tx1"/>
                  </w14:solidFill>
                </w14:textFill>
              </w:rPr>
            </w:pPr>
            <w:r>
              <w:rPr>
                <w:color w:val="000000" w:themeColor="text1"/>
                <w14:textFill>
                  <w14:solidFill>
                    <w14:schemeClr w14:val="tx1"/>
                  </w14:solidFill>
                </w14:textFill>
              </w:rPr>
              <w:t>14</w:t>
            </w:r>
          </w:p>
        </w:tc>
        <w:tc>
          <w:tcPr>
            <w:tcW w:w="601" w:type="pct"/>
            <w:vAlign w:val="center"/>
          </w:tcPr>
          <w:p>
            <w:pPr>
              <w:pStyle w:val="90"/>
              <w:rPr>
                <w:rFonts w:ascii="Calibri" w:hAnsi="Calibri"/>
                <w:color w:val="000000" w:themeColor="text1"/>
                <w14:textFill>
                  <w14:solidFill>
                    <w14:schemeClr w14:val="tx1"/>
                  </w14:solidFill>
                </w14:textFill>
              </w:rPr>
            </w:pPr>
            <w:r>
              <w:rPr>
                <w:color w:val="000000" w:themeColor="text1"/>
                <w14:textFill>
                  <w14:solidFill>
                    <w14:schemeClr w14:val="tx1"/>
                  </w14:solidFill>
                </w14:textFill>
              </w:rPr>
              <w:t>91.25</w:t>
            </w:r>
          </w:p>
        </w:tc>
        <w:tc>
          <w:tcPr>
            <w:tcW w:w="638" w:type="pct"/>
            <w:vAlign w:val="center"/>
          </w:tcPr>
          <w:p>
            <w:pPr>
              <w:pStyle w:val="90"/>
              <w:rPr>
                <w:rFonts w:ascii="Calibri" w:hAnsi="Calibri"/>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1.3</w:t>
            </w:r>
          </w:p>
        </w:tc>
      </w:tr>
    </w:tbl>
    <w:p>
      <w:pPr>
        <w:pStyle w:val="460"/>
      </w:pPr>
      <w:r>
        <w:t>5.4.5.3</w:t>
      </w:r>
      <w:r>
        <w:rPr>
          <w:rFonts w:hint="eastAsia"/>
        </w:rPr>
        <w:t>水位统调</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根据调查资料，调查评价区内主要开采第四系松散岩类孔隙水。按照导则对于平原区的监测要求，分别于202</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年11月30日和202</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月</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日在调查评价区内对浅层孔隙水进行了地下水水位丰枯两期现状监测。</w:t>
      </w:r>
    </w:p>
    <w:p>
      <w:pPr>
        <w:spacing w:line="520" w:lineRule="exact"/>
        <w:ind w:firstLine="480" w:firstLineChars="200"/>
        <w:rPr>
          <w:color w:val="000000" w:themeColor="text1"/>
          <w:sz w:val="24"/>
          <w14:textFill>
            <w14:solidFill>
              <w14:schemeClr w14:val="tx1"/>
            </w14:solidFill>
          </w14:textFill>
        </w:rPr>
      </w:pPr>
    </w:p>
    <w:p>
      <w:pPr>
        <w:spacing w:line="520" w:lineRule="exact"/>
        <w:ind w:firstLine="480" w:firstLineChars="200"/>
        <w:rPr>
          <w:color w:val="000000" w:themeColor="text1"/>
          <w:sz w:val="24"/>
          <w14:textFill>
            <w14:solidFill>
              <w14:schemeClr w14:val="tx1"/>
            </w14:solidFill>
          </w14:textFill>
        </w:rPr>
      </w:pPr>
    </w:p>
    <w:p>
      <w:pPr>
        <w:spacing w:line="520" w:lineRule="exact"/>
        <w:ind w:firstLine="480" w:firstLineChars="200"/>
        <w:rPr>
          <w:color w:val="000000" w:themeColor="text1"/>
          <w:sz w:val="24"/>
          <w14:textFill>
            <w14:solidFill>
              <w14:schemeClr w14:val="tx1"/>
            </w14:solidFill>
          </w14:textFill>
        </w:rPr>
      </w:pPr>
    </w:p>
    <w:p>
      <w:pPr>
        <w:adjustRightInd w:val="0"/>
        <w:snapToGrid w:val="0"/>
        <w:spacing w:line="520" w:lineRule="exact"/>
        <w:ind w:firstLine="480" w:firstLineChars="200"/>
        <w:rPr>
          <w:rFonts w:eastAsia="黑体"/>
          <w:color w:val="000000" w:themeColor="text1"/>
          <w:sz w:val="24"/>
          <w:szCs w:val="24"/>
          <w14:textFill>
            <w14:solidFill>
              <w14:schemeClr w14:val="tx1"/>
            </w14:solidFill>
          </w14:textFill>
        </w:rPr>
      </w:pPr>
      <w:r>
        <w:rPr>
          <w:rFonts w:hint="eastAsia" w:eastAsia="黑体"/>
          <w:color w:val="000000" w:themeColor="text1"/>
          <w:sz w:val="24"/>
          <w:szCs w:val="24"/>
          <w14:textFill>
            <w14:solidFill>
              <w14:schemeClr w14:val="tx1"/>
            </w14:solidFill>
          </w14:textFill>
        </w:rPr>
        <w:t xml:space="preserve">表 </w:t>
      </w:r>
      <w:r>
        <w:rPr>
          <w:rFonts w:eastAsia="黑体"/>
          <w:color w:val="000000" w:themeColor="text1"/>
          <w:sz w:val="24"/>
          <w:szCs w:val="24"/>
          <w14:textFill>
            <w14:solidFill>
              <w14:schemeClr w14:val="tx1"/>
            </w14:solidFill>
          </w14:textFill>
        </w:rPr>
        <w:fldChar w:fldCharType="begin"/>
      </w:r>
      <w:r>
        <w:rPr>
          <w:rFonts w:eastAsia="黑体"/>
          <w:color w:val="000000" w:themeColor="text1"/>
          <w:sz w:val="24"/>
          <w:szCs w:val="24"/>
          <w14:textFill>
            <w14:solidFill>
              <w14:schemeClr w14:val="tx1"/>
            </w14:solidFill>
          </w14:textFill>
        </w:rPr>
        <w:instrText xml:space="preserve"> </w:instrText>
      </w:r>
      <w:r>
        <w:rPr>
          <w:rFonts w:hint="eastAsia" w:eastAsia="黑体"/>
          <w:color w:val="000000" w:themeColor="text1"/>
          <w:sz w:val="24"/>
          <w:szCs w:val="24"/>
          <w14:textFill>
            <w14:solidFill>
              <w14:schemeClr w14:val="tx1"/>
            </w14:solidFill>
          </w14:textFill>
        </w:rPr>
        <w:instrText xml:space="preserve">STYLEREF 1 \s</w:instrText>
      </w:r>
      <w:r>
        <w:rPr>
          <w:rFonts w:eastAsia="黑体"/>
          <w:color w:val="000000" w:themeColor="text1"/>
          <w:sz w:val="24"/>
          <w:szCs w:val="24"/>
          <w14:textFill>
            <w14:solidFill>
              <w14:schemeClr w14:val="tx1"/>
            </w14:solidFill>
          </w14:textFill>
        </w:rPr>
        <w:instrText xml:space="preserve"> </w:instrText>
      </w:r>
      <w:r>
        <w:rPr>
          <w:rFonts w:eastAsia="黑体"/>
          <w:color w:val="000000" w:themeColor="text1"/>
          <w:sz w:val="24"/>
          <w:szCs w:val="24"/>
          <w14:textFill>
            <w14:solidFill>
              <w14:schemeClr w14:val="tx1"/>
            </w14:solidFill>
          </w14:textFill>
        </w:rPr>
        <w:fldChar w:fldCharType="separate"/>
      </w:r>
      <w:r>
        <w:rPr>
          <w:rFonts w:eastAsia="黑体"/>
          <w:color w:val="000000" w:themeColor="text1"/>
          <w:sz w:val="24"/>
          <w:szCs w:val="24"/>
          <w14:textFill>
            <w14:solidFill>
              <w14:schemeClr w14:val="tx1"/>
            </w14:solidFill>
          </w14:textFill>
        </w:rPr>
        <w:t>5</w:t>
      </w:r>
      <w:r>
        <w:rPr>
          <w:rFonts w:eastAsia="黑体"/>
          <w:color w:val="000000" w:themeColor="text1"/>
          <w:sz w:val="24"/>
          <w:szCs w:val="24"/>
          <w14:textFill>
            <w14:solidFill>
              <w14:schemeClr w14:val="tx1"/>
            </w14:solidFill>
          </w14:textFill>
        </w:rPr>
        <w:fldChar w:fldCharType="end"/>
      </w:r>
      <w:r>
        <w:rPr>
          <w:rFonts w:eastAsia="黑体"/>
          <w:color w:val="000000" w:themeColor="text1"/>
          <w:sz w:val="24"/>
          <w:szCs w:val="24"/>
          <w14:textFill>
            <w14:solidFill>
              <w14:schemeClr w14:val="tx1"/>
            </w14:solidFill>
          </w14:textFill>
        </w:rPr>
        <w:t xml:space="preserve">.4-9               </w:t>
      </w:r>
      <w:r>
        <w:rPr>
          <w:rFonts w:hint="eastAsia" w:eastAsia="黑体"/>
          <w:color w:val="000000" w:themeColor="text1"/>
          <w:sz w:val="24"/>
          <w:szCs w:val="24"/>
          <w14:textFill>
            <w14:solidFill>
              <w14:schemeClr w14:val="tx1"/>
            </w14:solidFill>
          </w14:textFill>
        </w:rPr>
        <w:t>地下水位监测频率表</w:t>
      </w:r>
    </w:p>
    <w:p>
      <w:pPr>
        <w:spacing w:line="360" w:lineRule="auto"/>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5476875" cy="26670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92"/>
                    <a:srcRect l="1542" r="1524"/>
                    <a:stretch>
                      <a:fillRect/>
                    </a:stretch>
                  </pic:blipFill>
                  <pic:spPr>
                    <a:xfrm>
                      <a:off x="0" y="0"/>
                      <a:ext cx="5521177" cy="2667000"/>
                    </a:xfrm>
                    <a:prstGeom prst="rect">
                      <a:avLst/>
                    </a:prstGeom>
                    <a:noFill/>
                    <a:ln>
                      <a:noFill/>
                    </a:ln>
                  </pic:spPr>
                </pic:pic>
              </a:graphicData>
            </a:graphic>
          </wp:inline>
        </w:drawing>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（1）水位统调范围</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水位调查范围为调查评价区的范围。调查评价面积共计</w:t>
      </w:r>
      <w:r>
        <w:rPr>
          <w:color w:val="000000" w:themeColor="text1"/>
          <w:sz w:val="24"/>
          <w14:textFill>
            <w14:solidFill>
              <w14:schemeClr w14:val="tx1"/>
            </w14:solidFill>
          </w14:textFill>
        </w:rPr>
        <w:t>34.2</w:t>
      </w:r>
      <w:r>
        <w:rPr>
          <w:rFonts w:hint="eastAsia"/>
          <w:color w:val="000000" w:themeColor="text1"/>
          <w:sz w:val="24"/>
          <w14:textFill>
            <w14:solidFill>
              <w14:schemeClr w14:val="tx1"/>
            </w14:solidFill>
          </w14:textFill>
        </w:rPr>
        <w:t>km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。评价区地下水主要从西南向东北方向流动。</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（2）水位统调点位及坐标</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对评价区内的井、孔进行了水位测量。部分典型水位统调点见下表。</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（3）成果</w:t>
      </w:r>
    </w:p>
    <w:p>
      <w:pPr>
        <w:spacing w:line="520" w:lineRule="exact"/>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各监测点数据经过插值计算，形成评价区内水位等值线分布。</w:t>
      </w:r>
    </w:p>
    <w:p>
      <w:pPr>
        <w:adjustRightInd w:val="0"/>
        <w:snapToGrid w:val="0"/>
        <w:spacing w:line="520" w:lineRule="exact"/>
        <w:ind w:firstLine="480" w:firstLineChars="200"/>
        <w:rPr>
          <w:rFonts w:eastAsia="黑体"/>
          <w:color w:val="000000" w:themeColor="text1"/>
          <w:sz w:val="24"/>
          <w:szCs w:val="24"/>
          <w14:textFill>
            <w14:solidFill>
              <w14:schemeClr w14:val="tx1"/>
            </w14:solidFill>
          </w14:textFill>
        </w:rPr>
      </w:pPr>
      <w:r>
        <w:rPr>
          <w:rFonts w:hint="eastAsia" w:eastAsia="黑体"/>
          <w:color w:val="000000" w:themeColor="text1"/>
          <w:sz w:val="24"/>
          <w:szCs w:val="24"/>
          <w14:textFill>
            <w14:solidFill>
              <w14:schemeClr w14:val="tx1"/>
            </w14:solidFill>
          </w14:textFill>
        </w:rPr>
        <w:t xml:space="preserve">表 </w:t>
      </w:r>
      <w:r>
        <w:rPr>
          <w:rFonts w:eastAsia="黑体"/>
          <w:color w:val="000000" w:themeColor="text1"/>
          <w:sz w:val="24"/>
          <w:szCs w:val="24"/>
          <w14:textFill>
            <w14:solidFill>
              <w14:schemeClr w14:val="tx1"/>
            </w14:solidFill>
          </w14:textFill>
        </w:rPr>
        <w:fldChar w:fldCharType="begin"/>
      </w:r>
      <w:r>
        <w:rPr>
          <w:rFonts w:eastAsia="黑体"/>
          <w:color w:val="000000" w:themeColor="text1"/>
          <w:sz w:val="24"/>
          <w:szCs w:val="24"/>
          <w14:textFill>
            <w14:solidFill>
              <w14:schemeClr w14:val="tx1"/>
            </w14:solidFill>
          </w14:textFill>
        </w:rPr>
        <w:instrText xml:space="preserve"> </w:instrText>
      </w:r>
      <w:r>
        <w:rPr>
          <w:rFonts w:hint="eastAsia" w:eastAsia="黑体"/>
          <w:color w:val="000000" w:themeColor="text1"/>
          <w:sz w:val="24"/>
          <w:szCs w:val="24"/>
          <w14:textFill>
            <w14:solidFill>
              <w14:schemeClr w14:val="tx1"/>
            </w14:solidFill>
          </w14:textFill>
        </w:rPr>
        <w:instrText xml:space="preserve">STYLEREF 1 \s</w:instrText>
      </w:r>
      <w:r>
        <w:rPr>
          <w:rFonts w:eastAsia="黑体"/>
          <w:color w:val="000000" w:themeColor="text1"/>
          <w:sz w:val="24"/>
          <w:szCs w:val="24"/>
          <w14:textFill>
            <w14:solidFill>
              <w14:schemeClr w14:val="tx1"/>
            </w14:solidFill>
          </w14:textFill>
        </w:rPr>
        <w:instrText xml:space="preserve"> </w:instrText>
      </w:r>
      <w:r>
        <w:rPr>
          <w:rFonts w:eastAsia="黑体"/>
          <w:color w:val="000000" w:themeColor="text1"/>
          <w:sz w:val="24"/>
          <w:szCs w:val="24"/>
          <w14:textFill>
            <w14:solidFill>
              <w14:schemeClr w14:val="tx1"/>
            </w14:solidFill>
          </w14:textFill>
        </w:rPr>
        <w:fldChar w:fldCharType="separate"/>
      </w:r>
      <w:r>
        <w:rPr>
          <w:rFonts w:eastAsia="黑体"/>
          <w:color w:val="000000" w:themeColor="text1"/>
          <w:sz w:val="24"/>
          <w:szCs w:val="24"/>
          <w14:textFill>
            <w14:solidFill>
              <w14:schemeClr w14:val="tx1"/>
            </w14:solidFill>
          </w14:textFill>
        </w:rPr>
        <w:t>5</w:t>
      </w:r>
      <w:r>
        <w:rPr>
          <w:rFonts w:eastAsia="黑体"/>
          <w:color w:val="000000" w:themeColor="text1"/>
          <w:sz w:val="24"/>
          <w:szCs w:val="24"/>
          <w14:textFill>
            <w14:solidFill>
              <w14:schemeClr w14:val="tx1"/>
            </w14:solidFill>
          </w14:textFill>
        </w:rPr>
        <w:fldChar w:fldCharType="end"/>
      </w:r>
      <w:r>
        <w:rPr>
          <w:rFonts w:eastAsia="黑体"/>
          <w:color w:val="000000" w:themeColor="text1"/>
          <w:sz w:val="24"/>
          <w:szCs w:val="24"/>
          <w14:textFill>
            <w14:solidFill>
              <w14:schemeClr w14:val="tx1"/>
            </w14:solidFill>
          </w14:textFill>
        </w:rPr>
        <w:t>.4-10</w:t>
      </w:r>
      <w:r>
        <w:rPr>
          <w:rFonts w:hint="eastAsia" w:eastAsia="黑体"/>
          <w:color w:val="000000" w:themeColor="text1"/>
          <w:sz w:val="24"/>
          <w:szCs w:val="24"/>
          <w14:textFill>
            <w14:solidFill>
              <w14:schemeClr w14:val="tx1"/>
            </w14:solidFill>
          </w14:textFill>
        </w:rPr>
        <w:t xml:space="preserve"> </w:t>
      </w:r>
      <w:r>
        <w:rPr>
          <w:rFonts w:eastAsia="黑体"/>
          <w:color w:val="000000" w:themeColor="text1"/>
          <w:sz w:val="24"/>
          <w:szCs w:val="24"/>
          <w14:textFill>
            <w14:solidFill>
              <w14:schemeClr w14:val="tx1"/>
            </w14:solidFill>
          </w14:textFill>
        </w:rPr>
        <w:t xml:space="preserve">           </w:t>
      </w:r>
      <w:r>
        <w:rPr>
          <w:rFonts w:hint="eastAsia" w:eastAsia="黑体"/>
          <w:color w:val="000000" w:themeColor="text1"/>
          <w:sz w:val="24"/>
          <w:szCs w:val="24"/>
          <w14:textFill>
            <w14:solidFill>
              <w14:schemeClr w14:val="tx1"/>
            </w14:solidFill>
          </w14:textFill>
        </w:rPr>
        <w:t xml:space="preserve"> 水位统调数据一览表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624"/>
        <w:gridCol w:w="1082"/>
        <w:gridCol w:w="1574"/>
        <w:gridCol w:w="1286"/>
        <w:gridCol w:w="886"/>
        <w:gridCol w:w="849"/>
        <w:gridCol w:w="854"/>
        <w:gridCol w:w="852"/>
        <w:gridCol w:w="77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355" w:type="pct"/>
            <w:vMerge w:val="restar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616" w:type="pct"/>
            <w:vMerge w:val="restar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位置</w:t>
            </w:r>
          </w:p>
        </w:tc>
        <w:tc>
          <w:tcPr>
            <w:tcW w:w="896" w:type="pct"/>
            <w:vMerge w:val="restar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经度</w:t>
            </w:r>
          </w:p>
        </w:tc>
        <w:tc>
          <w:tcPr>
            <w:tcW w:w="732" w:type="pct"/>
            <w:vMerge w:val="restar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纬度</w:t>
            </w:r>
          </w:p>
        </w:tc>
        <w:tc>
          <w:tcPr>
            <w:tcW w:w="504" w:type="pct"/>
            <w:vMerge w:val="restart"/>
            <w:shd w:val="clear" w:color="auto" w:fill="auto"/>
            <w:vAlign w:val="center"/>
          </w:tcPr>
          <w:p>
            <w:pPr>
              <w:pStyle w:val="94"/>
              <w:rPr>
                <w:color w:val="000000" w:themeColor="text1"/>
                <w14:textFill>
                  <w14:solidFill>
                    <w14:schemeClr w14:val="tx1"/>
                  </w14:solidFill>
                </w14:textFill>
              </w:rPr>
            </w:pPr>
            <w:r>
              <w:rPr>
                <w:color w:val="000000" w:themeColor="text1"/>
                <w14:textFill>
                  <w14:solidFill>
                    <w14:schemeClr w14:val="tx1"/>
                  </w14:solidFill>
                </w14:textFill>
              </w:rPr>
              <w:t>井</w:t>
            </w:r>
            <w:r>
              <w:rPr>
                <w:rFonts w:hint="eastAsia"/>
                <w:color w:val="000000" w:themeColor="text1"/>
                <w14:textFill>
                  <w14:solidFill>
                    <w14:schemeClr w14:val="tx1"/>
                  </w14:solidFill>
                </w14:textFill>
              </w:rPr>
              <w:t>深</w:t>
            </w:r>
            <w:r>
              <w:rPr>
                <w:color w:val="000000" w:themeColor="text1"/>
                <w14:textFill>
                  <w14:solidFill>
                    <w14:schemeClr w14:val="tx1"/>
                  </w14:solidFill>
                </w14:textFill>
              </w:rPr>
              <w:t>/m</w:t>
            </w:r>
          </w:p>
        </w:tc>
        <w:tc>
          <w:tcPr>
            <w:tcW w:w="969" w:type="pct"/>
            <w:gridSpan w:val="2"/>
            <w:shd w:val="clear" w:color="auto" w:fill="auto"/>
            <w:vAlign w:val="center"/>
          </w:tcPr>
          <w:p>
            <w:pPr>
              <w:pStyle w:val="94"/>
              <w:rPr>
                <w:color w:val="000000" w:themeColor="text1"/>
                <w14:textFill>
                  <w14:solidFill>
                    <w14:schemeClr w14:val="tx1"/>
                  </w14:solidFill>
                </w14:textFill>
              </w:rPr>
            </w:pPr>
            <w:r>
              <w:rPr>
                <w:color w:val="000000" w:themeColor="text1"/>
                <w14:textFill>
                  <w14:solidFill>
                    <w14:schemeClr w14:val="tx1"/>
                  </w14:solidFill>
                </w14:textFill>
              </w:rPr>
              <w:t>丰水期</w:t>
            </w:r>
          </w:p>
        </w:tc>
        <w:tc>
          <w:tcPr>
            <w:tcW w:w="928" w:type="pct"/>
            <w:gridSpan w:val="2"/>
            <w:shd w:val="clear" w:color="auto" w:fill="auto"/>
            <w:vAlign w:val="center"/>
          </w:tcPr>
          <w:p>
            <w:pPr>
              <w:pStyle w:val="94"/>
              <w:rPr>
                <w:color w:val="000000" w:themeColor="text1"/>
                <w14:textFill>
                  <w14:solidFill>
                    <w14:schemeClr w14:val="tx1"/>
                  </w14:solidFill>
                </w14:textFill>
              </w:rPr>
            </w:pPr>
            <w:r>
              <w:rPr>
                <w:color w:val="000000" w:themeColor="text1"/>
                <w14:textFill>
                  <w14:solidFill>
                    <w14:schemeClr w14:val="tx1"/>
                  </w14:solidFill>
                </w14:textFill>
              </w:rPr>
              <w:t>枯水期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355" w:type="pct"/>
            <w:vMerge w:val="continue"/>
            <w:shd w:val="clear" w:color="auto" w:fill="auto"/>
            <w:vAlign w:val="center"/>
          </w:tcPr>
          <w:p>
            <w:pPr>
              <w:pStyle w:val="94"/>
              <w:rPr>
                <w:color w:val="000000" w:themeColor="text1"/>
                <w14:textFill>
                  <w14:solidFill>
                    <w14:schemeClr w14:val="tx1"/>
                  </w14:solidFill>
                </w14:textFill>
              </w:rPr>
            </w:pPr>
          </w:p>
        </w:tc>
        <w:tc>
          <w:tcPr>
            <w:tcW w:w="616" w:type="pct"/>
            <w:vMerge w:val="continue"/>
            <w:shd w:val="clear" w:color="auto" w:fill="auto"/>
            <w:vAlign w:val="center"/>
          </w:tcPr>
          <w:p>
            <w:pPr>
              <w:pStyle w:val="94"/>
              <w:rPr>
                <w:color w:val="000000" w:themeColor="text1"/>
                <w14:textFill>
                  <w14:solidFill>
                    <w14:schemeClr w14:val="tx1"/>
                  </w14:solidFill>
                </w14:textFill>
              </w:rPr>
            </w:pPr>
          </w:p>
        </w:tc>
        <w:tc>
          <w:tcPr>
            <w:tcW w:w="896" w:type="pct"/>
            <w:vMerge w:val="continue"/>
            <w:shd w:val="clear" w:color="auto" w:fill="auto"/>
            <w:vAlign w:val="center"/>
          </w:tcPr>
          <w:p>
            <w:pPr>
              <w:pStyle w:val="94"/>
              <w:rPr>
                <w:color w:val="000000" w:themeColor="text1"/>
                <w14:textFill>
                  <w14:solidFill>
                    <w14:schemeClr w14:val="tx1"/>
                  </w14:solidFill>
                </w14:textFill>
              </w:rPr>
            </w:pPr>
          </w:p>
        </w:tc>
        <w:tc>
          <w:tcPr>
            <w:tcW w:w="732" w:type="pct"/>
            <w:vMerge w:val="continue"/>
            <w:shd w:val="clear" w:color="auto" w:fill="auto"/>
            <w:vAlign w:val="center"/>
          </w:tcPr>
          <w:p>
            <w:pPr>
              <w:pStyle w:val="94"/>
              <w:rPr>
                <w:color w:val="000000" w:themeColor="text1"/>
                <w14:textFill>
                  <w14:solidFill>
                    <w14:schemeClr w14:val="tx1"/>
                  </w14:solidFill>
                </w14:textFill>
              </w:rPr>
            </w:pPr>
          </w:p>
        </w:tc>
        <w:tc>
          <w:tcPr>
            <w:tcW w:w="504" w:type="pct"/>
            <w:vMerge w:val="continue"/>
            <w:shd w:val="clear" w:color="auto" w:fill="auto"/>
            <w:vAlign w:val="center"/>
          </w:tcPr>
          <w:p>
            <w:pPr>
              <w:pStyle w:val="94"/>
              <w:rPr>
                <w:color w:val="000000" w:themeColor="text1"/>
                <w14:textFill>
                  <w14:solidFill>
                    <w14:schemeClr w14:val="tx1"/>
                  </w14:solidFill>
                </w14:textFill>
              </w:rPr>
            </w:pPr>
          </w:p>
        </w:tc>
        <w:tc>
          <w:tcPr>
            <w:tcW w:w="483" w:type="pc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水位</w:t>
            </w:r>
            <w:r>
              <w:rPr>
                <w:color w:val="000000" w:themeColor="text1"/>
                <w14:textFill>
                  <w14:solidFill>
                    <w14:schemeClr w14:val="tx1"/>
                  </w14:solidFill>
                </w14:textFill>
              </w:rPr>
              <w:t>/m</w:t>
            </w:r>
          </w:p>
        </w:tc>
        <w:tc>
          <w:tcPr>
            <w:tcW w:w="486" w:type="pct"/>
            <w:shd w:val="clear" w:color="auto" w:fill="auto"/>
            <w:vAlign w:val="center"/>
          </w:tcPr>
          <w:p>
            <w:pPr>
              <w:pStyle w:val="94"/>
              <w:rPr>
                <w:color w:val="000000" w:themeColor="text1"/>
                <w14:textFill>
                  <w14:solidFill>
                    <w14:schemeClr w14:val="tx1"/>
                  </w14:solidFill>
                </w14:textFill>
              </w:rPr>
            </w:pPr>
            <w:r>
              <w:rPr>
                <w:color w:val="000000" w:themeColor="text1"/>
                <w14:textFill>
                  <w14:solidFill>
                    <w14:schemeClr w14:val="tx1"/>
                  </w14:solidFill>
                </w14:textFill>
              </w:rPr>
              <w:t>埋深/m</w:t>
            </w:r>
          </w:p>
        </w:tc>
        <w:tc>
          <w:tcPr>
            <w:tcW w:w="485" w:type="pc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水位</w:t>
            </w:r>
            <w:r>
              <w:rPr>
                <w:color w:val="000000" w:themeColor="text1"/>
                <w14:textFill>
                  <w14:solidFill>
                    <w14:schemeClr w14:val="tx1"/>
                  </w14:solidFill>
                </w14:textFill>
              </w:rPr>
              <w:t>/m</w:t>
            </w:r>
          </w:p>
        </w:tc>
        <w:tc>
          <w:tcPr>
            <w:tcW w:w="443" w:type="pct"/>
            <w:shd w:val="clear" w:color="auto" w:fill="auto"/>
            <w:vAlign w:val="center"/>
          </w:tcPr>
          <w:p>
            <w:pPr>
              <w:pStyle w:val="94"/>
              <w:rPr>
                <w:color w:val="000000" w:themeColor="text1"/>
                <w14:textFill>
                  <w14:solidFill>
                    <w14:schemeClr w14:val="tx1"/>
                  </w14:solidFill>
                </w14:textFill>
              </w:rPr>
            </w:pPr>
            <w:r>
              <w:rPr>
                <w:rFonts w:hint="eastAsia"/>
                <w:color w:val="000000" w:themeColor="text1"/>
                <w14:textFill>
                  <w14:solidFill>
                    <w14:schemeClr w14:val="tx1"/>
                  </w14:solidFill>
                </w14:textFill>
              </w:rPr>
              <w:t>埋深</w:t>
            </w:r>
            <w:r>
              <w:rPr>
                <w:color w:val="000000" w:themeColor="text1"/>
                <w14:textFill>
                  <w14:solidFill>
                    <w14:schemeClr w14:val="tx1"/>
                  </w14:solidFill>
                </w14:textFill>
              </w:rPr>
              <w:t>/m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厂址</w:t>
            </w:r>
          </w:p>
        </w:tc>
        <w:tc>
          <w:tcPr>
            <w:tcW w:w="896" w:type="pct"/>
            <w:shd w:val="clear" w:color="auto" w:fill="auto"/>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113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54</w:t>
            </w:r>
            <w:r>
              <w:rPr>
                <w:color w:val="000000" w:themeColor="text1"/>
                <w14:textFill>
                  <w14:solidFill>
                    <w14:schemeClr w14:val="tx1"/>
                  </w14:solidFill>
                </w14:textFill>
              </w:rPr>
              <w:t>′24.53″</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35°2′30.71″</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100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73.89</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5.49</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71.95</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7.43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2</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尹圪垱村</w:t>
            </w:r>
          </w:p>
        </w:tc>
        <w:tc>
          <w:tcPr>
            <w:tcW w:w="89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113°53′8.76″</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35°1′58.81″</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50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74.44</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4.39</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73.15</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5.68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丁庄村</w:t>
            </w:r>
          </w:p>
        </w:tc>
        <w:tc>
          <w:tcPr>
            <w:tcW w:w="89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113°53′55.10″</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35°1′33.93″</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50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74.93</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4.57</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73.11</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6.39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胡庄村</w:t>
            </w:r>
          </w:p>
        </w:tc>
        <w:tc>
          <w:tcPr>
            <w:tcW w:w="89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113°53′13.24″</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35°2′44.854″</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60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73.91</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4.58</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71.74</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6.75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5</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胡沙窝村</w:t>
            </w:r>
          </w:p>
        </w:tc>
        <w:tc>
          <w:tcPr>
            <w:tcW w:w="89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113°53′44.60″</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35°3′16.67″</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40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73.18</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5.43</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71.00</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7.61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安庄村</w:t>
            </w:r>
          </w:p>
        </w:tc>
        <w:tc>
          <w:tcPr>
            <w:tcW w:w="89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113°53′58.19″</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35°2′54.12″</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50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73.57</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4.22</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71.32</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6.47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7</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魏店村</w:t>
            </w:r>
          </w:p>
        </w:tc>
        <w:tc>
          <w:tcPr>
            <w:tcW w:w="89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113°54′33.73″</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35°1′18.33″</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50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75.03</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5.07</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73.02</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8</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灌溉井</w:t>
            </w:r>
          </w:p>
        </w:tc>
        <w:tc>
          <w:tcPr>
            <w:tcW w:w="89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113°55′1.84″</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35°0′58.86″</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60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75.1</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5.45</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73.00</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9</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李学彦村</w:t>
            </w:r>
          </w:p>
        </w:tc>
        <w:tc>
          <w:tcPr>
            <w:tcW w:w="89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113°55′38.92″</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35°1′56.64″</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50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74.08</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5.16</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71.75</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7.49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袁庄</w:t>
            </w:r>
          </w:p>
        </w:tc>
        <w:tc>
          <w:tcPr>
            <w:tcW w:w="89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113°55′10.96″</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35°2′22.75″</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60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73.47</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4.35</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71.54</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6.28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小庄村</w:t>
            </w:r>
          </w:p>
        </w:tc>
        <w:tc>
          <w:tcPr>
            <w:tcW w:w="89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113°54′43.62″</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35°2′36.81″</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40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73.73</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5.09</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71.66</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7.16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12</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张庄村</w:t>
            </w:r>
          </w:p>
        </w:tc>
        <w:tc>
          <w:tcPr>
            <w:tcW w:w="89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113°55′31.05″</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35°3′10.03″</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50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73.12</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4.41</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70.68</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6.85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13</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范堤口村</w:t>
            </w:r>
          </w:p>
        </w:tc>
        <w:tc>
          <w:tcPr>
            <w:tcW w:w="89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113°55′28.88″</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35°3′26.72″</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50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72.84</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5.23</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70.36</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7.71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55"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14</w:t>
            </w:r>
          </w:p>
        </w:tc>
        <w:tc>
          <w:tcPr>
            <w:tcW w:w="61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灌溉井</w:t>
            </w:r>
          </w:p>
        </w:tc>
        <w:tc>
          <w:tcPr>
            <w:tcW w:w="896"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113°54′54.97″</w:t>
            </w:r>
          </w:p>
        </w:tc>
        <w:tc>
          <w:tcPr>
            <w:tcW w:w="732" w:type="pct"/>
            <w:shd w:val="clear" w:color="auto" w:fill="auto"/>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35°3′44.60″</w:t>
            </w:r>
          </w:p>
        </w:tc>
        <w:tc>
          <w:tcPr>
            <w:tcW w:w="504"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80</w:t>
            </w:r>
          </w:p>
        </w:tc>
        <w:tc>
          <w:tcPr>
            <w:tcW w:w="483"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72.46</w:t>
            </w:r>
          </w:p>
        </w:tc>
        <w:tc>
          <w:tcPr>
            <w:tcW w:w="486" w:type="pct"/>
            <w:shd w:val="clear" w:color="auto" w:fill="auto"/>
            <w:vAlign w:val="center"/>
          </w:tcPr>
          <w:p>
            <w:pPr>
              <w:pStyle w:val="90"/>
              <w:rPr>
                <w:color w:val="000000" w:themeColor="text1"/>
                <w14:textFill>
                  <w14:solidFill>
                    <w14:schemeClr w14:val="tx1"/>
                  </w14:solidFill>
                </w14:textFill>
              </w:rPr>
            </w:pPr>
            <w:r>
              <w:rPr>
                <w:rFonts w:eastAsia="等线"/>
                <w:color w:val="000000" w:themeColor="text1"/>
                <w14:textFill>
                  <w14:solidFill>
                    <w14:schemeClr w14:val="tx1"/>
                  </w14:solidFill>
                </w14:textFill>
              </w:rPr>
              <w:t>4.06</w:t>
            </w:r>
          </w:p>
        </w:tc>
        <w:tc>
          <w:tcPr>
            <w:tcW w:w="485"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70.00</w:t>
            </w:r>
          </w:p>
        </w:tc>
        <w:tc>
          <w:tcPr>
            <w:tcW w:w="443" w:type="pct"/>
            <w:shd w:val="clear" w:color="auto" w:fill="auto"/>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6.52</w:t>
            </w:r>
          </w:p>
        </w:tc>
      </w:tr>
    </w:tbl>
    <w:p>
      <w:pPr>
        <w:spacing w:line="360" w:lineRule="auto"/>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5343525" cy="5419725"/>
            <wp:effectExtent l="12700" t="12700" r="15875" b="15875"/>
            <wp:docPr id="1936117404" name="图片 1"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17404" name="图片 1" descr="图表, 图示&#10;&#10;描述已自动生成"/>
                    <pic:cNvPicPr>
                      <a:picLocks noChangeAspect="1"/>
                    </pic:cNvPicPr>
                  </pic:nvPicPr>
                  <pic:blipFill>
                    <a:blip r:embed="rId93"/>
                    <a:stretch>
                      <a:fillRect/>
                    </a:stretch>
                  </pic:blipFill>
                  <pic:spPr>
                    <a:xfrm>
                      <a:off x="0" y="0"/>
                      <a:ext cx="5343525" cy="5431880"/>
                    </a:xfrm>
                    <a:prstGeom prst="rect">
                      <a:avLst/>
                    </a:prstGeom>
                    <a:ln w="12700">
                      <a:solidFill>
                        <a:schemeClr val="tx1"/>
                      </a:solidFill>
                    </a:ln>
                  </pic:spPr>
                </pic:pic>
              </a:graphicData>
            </a:graphic>
          </wp:inline>
        </w:drawing>
      </w:r>
    </w:p>
    <w:p>
      <w:pPr>
        <w:ind w:firstLine="225" w:firstLineChars="94"/>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 xml:space="preserve">图5.4-11  </w:t>
      </w:r>
      <w:r>
        <w:rPr>
          <w:rFonts w:hint="eastAsia" w:eastAsia="黑体"/>
          <w:bCs/>
          <w:color w:val="000000" w:themeColor="text1"/>
          <w:sz w:val="24"/>
          <w:szCs w:val="24"/>
          <w14:textFill>
            <w14:solidFill>
              <w14:schemeClr w14:val="tx1"/>
            </w14:solidFill>
          </w14:textFill>
        </w:rPr>
        <w:t>枯水期水位等值线</w:t>
      </w:r>
      <w:r>
        <w:rPr>
          <w:rFonts w:eastAsia="黑体"/>
          <w:bCs/>
          <w:color w:val="000000" w:themeColor="text1"/>
          <w:sz w:val="24"/>
          <w:szCs w:val="24"/>
          <w14:textFill>
            <w14:solidFill>
              <w14:schemeClr w14:val="tx1"/>
            </w14:solidFill>
          </w14:textFill>
        </w:rPr>
        <w:t>图</w:t>
      </w:r>
    </w:p>
    <w:p>
      <w:pPr>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5514975" cy="5668645"/>
            <wp:effectExtent l="12700" t="12700" r="15875" b="14605"/>
            <wp:docPr id="92975749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57496" name="图片 1" descr="图表&#10;&#10;描述已自动生成"/>
                    <pic:cNvPicPr>
                      <a:picLocks noChangeAspect="1"/>
                    </pic:cNvPicPr>
                  </pic:nvPicPr>
                  <pic:blipFill>
                    <a:blip r:embed="rId94"/>
                    <a:stretch>
                      <a:fillRect/>
                    </a:stretch>
                  </pic:blipFill>
                  <pic:spPr>
                    <a:xfrm>
                      <a:off x="0" y="0"/>
                      <a:ext cx="5514975" cy="5668645"/>
                    </a:xfrm>
                    <a:prstGeom prst="rect">
                      <a:avLst/>
                    </a:prstGeom>
                    <a:ln w="12700">
                      <a:solidFill>
                        <a:schemeClr val="tx1"/>
                      </a:solidFill>
                    </a:ln>
                  </pic:spPr>
                </pic:pic>
              </a:graphicData>
            </a:graphic>
          </wp:inline>
        </w:drawing>
      </w:r>
    </w:p>
    <w:p>
      <w:pPr>
        <w:ind w:firstLine="225" w:firstLineChars="94"/>
        <w:jc w:val="center"/>
        <w:rPr>
          <w:color w:val="000000" w:themeColor="text1"/>
          <w:sz w:val="24"/>
          <w14:textFill>
            <w14:solidFill>
              <w14:schemeClr w14:val="tx1"/>
            </w14:solidFill>
          </w14:textFill>
        </w:rPr>
      </w:pPr>
      <w:r>
        <w:rPr>
          <w:rFonts w:eastAsia="黑体"/>
          <w:bCs/>
          <w:color w:val="000000" w:themeColor="text1"/>
          <w:sz w:val="24"/>
          <w:szCs w:val="24"/>
          <w14:textFill>
            <w14:solidFill>
              <w14:schemeClr w14:val="tx1"/>
            </w14:solidFill>
          </w14:textFill>
        </w:rPr>
        <w:t xml:space="preserve">图5.4-12  </w:t>
      </w:r>
      <w:r>
        <w:rPr>
          <w:rFonts w:hint="eastAsia" w:eastAsia="黑体"/>
          <w:bCs/>
          <w:color w:val="000000" w:themeColor="text1"/>
          <w:sz w:val="24"/>
          <w:szCs w:val="24"/>
          <w14:textFill>
            <w14:solidFill>
              <w14:schemeClr w14:val="tx1"/>
            </w14:solidFill>
          </w14:textFill>
        </w:rPr>
        <w:t>丰水期水位等值线</w:t>
      </w:r>
      <w:r>
        <w:rPr>
          <w:rFonts w:eastAsia="黑体"/>
          <w:bCs/>
          <w:color w:val="000000" w:themeColor="text1"/>
          <w:sz w:val="24"/>
          <w:szCs w:val="24"/>
          <w14:textFill>
            <w14:solidFill>
              <w14:schemeClr w14:val="tx1"/>
            </w14:solidFill>
          </w14:textFill>
        </w:rPr>
        <w:t>图</w:t>
      </w:r>
    </w:p>
    <w:p>
      <w:pPr>
        <w:pStyle w:val="727"/>
        <w:rPr>
          <w:color w:val="000000" w:themeColor="text1"/>
          <w14:textFill>
            <w14:solidFill>
              <w14:schemeClr w14:val="tx1"/>
            </w14:solidFill>
          </w14:textFill>
        </w:rPr>
      </w:pPr>
      <w:r>
        <w:rPr>
          <w:color w:val="000000" w:themeColor="text1"/>
          <w14:textFill>
            <w14:solidFill>
              <w14:schemeClr w14:val="tx1"/>
            </w14:solidFill>
          </w14:textFill>
        </w:rPr>
        <w:t>5.4.6地下水</w:t>
      </w:r>
      <w:r>
        <w:rPr>
          <w:rFonts w:hint="eastAsia"/>
          <w:color w:val="000000" w:themeColor="text1"/>
          <w14:textFill>
            <w14:solidFill>
              <w14:schemeClr w14:val="tx1"/>
            </w14:solidFill>
          </w14:textFill>
        </w:rPr>
        <w:t>环境影响</w:t>
      </w:r>
      <w:r>
        <w:rPr>
          <w:color w:val="000000" w:themeColor="text1"/>
          <w14:textFill>
            <w14:solidFill>
              <w14:schemeClr w14:val="tx1"/>
            </w14:solidFill>
          </w14:textFill>
        </w:rPr>
        <w:t>预测</w:t>
      </w:r>
    </w:p>
    <w:p>
      <w:pPr>
        <w:spacing w:line="50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考虑到地下水环境污染的复杂性、隐蔽性和难恢复性，还应遵循保护优先、预防为主的原则，预测应为评价方案的环境安全和环境保护措施的合理性提供依据。</w:t>
      </w:r>
    </w:p>
    <w:p>
      <w:pPr>
        <w:spacing w:line="50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预测的范围、时段、内容和方法均根据评价工作等级、工程特征与环境特征，结合本地区环境功能和环保要求确定，重点预测本次评价项目对地下水环境保护目标的影响。</w:t>
      </w:r>
    </w:p>
    <w:p>
      <w:pPr>
        <w:pStyle w:val="460"/>
      </w:pPr>
      <w:r>
        <w:t>5.4.6.1预测</w:t>
      </w:r>
      <w:r>
        <w:rPr>
          <w:rFonts w:hint="eastAsia"/>
        </w:rPr>
        <w:t>范围</w:t>
      </w:r>
    </w:p>
    <w:p>
      <w:pPr>
        <w:spacing w:line="50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根据《环境影响评价技术导则 地下水环境》（HJ610-2016）</w:t>
      </w:r>
      <w:r>
        <w:rPr>
          <w:rFonts w:hint="eastAsia"/>
          <w:color w:val="000000" w:themeColor="text1"/>
          <w:sz w:val="24"/>
          <w:szCs w:val="24"/>
          <w14:textFill>
            <w14:solidFill>
              <w14:schemeClr w14:val="tx1"/>
            </w14:solidFill>
          </w14:textFill>
        </w:rPr>
        <w:t>9</w:t>
      </w:r>
      <w:r>
        <w:rPr>
          <w:color w:val="000000" w:themeColor="text1"/>
          <w:sz w:val="24"/>
          <w:szCs w:val="24"/>
          <w14:textFill>
            <w14:solidFill>
              <w14:schemeClr w14:val="tx1"/>
            </w14:solidFill>
          </w14:textFill>
        </w:rPr>
        <w:t>.2.1，地下水环境影响预测范围一般与调查评价范围一致，</w:t>
      </w:r>
      <w:r>
        <w:rPr>
          <w:rFonts w:hint="eastAsia"/>
          <w:color w:val="000000" w:themeColor="text1"/>
          <w:sz w:val="24"/>
          <w:szCs w:val="24"/>
          <w14:textFill>
            <w14:solidFill>
              <w14:schemeClr w14:val="tx1"/>
            </w14:solidFill>
          </w14:textFill>
        </w:rPr>
        <w:t>故</w:t>
      </w:r>
      <w:r>
        <w:rPr>
          <w:color w:val="000000" w:themeColor="text1"/>
          <w:sz w:val="24"/>
          <w:szCs w:val="24"/>
          <w14:textFill>
            <w14:solidFill>
              <w14:schemeClr w14:val="tx1"/>
            </w14:solidFill>
          </w14:textFill>
        </w:rPr>
        <w:t>本次预测范围与调查评价区范围一致。</w:t>
      </w:r>
      <w:r>
        <w:rPr>
          <w:rFonts w:hint="eastAsia"/>
          <w:color w:val="000000" w:themeColor="text1"/>
          <w:sz w:val="24"/>
          <w:szCs w:val="24"/>
          <w14:textFill>
            <w14:solidFill>
              <w14:schemeClr w14:val="tx1"/>
            </w14:solidFill>
          </w14:textFill>
        </w:rPr>
        <w:t>见下图。</w:t>
      </w:r>
    </w:p>
    <w:p>
      <w:pPr>
        <w:spacing w:line="360" w:lineRule="auto"/>
        <w:rPr>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5522595" cy="4686300"/>
            <wp:effectExtent l="12700" t="12700" r="27305" b="25400"/>
            <wp:docPr id="1336735703"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35703" name="图片 1" descr="地图&#10;&#10;描述已自动生成"/>
                    <pic:cNvPicPr>
                      <a:picLocks noChangeAspect="1" noChangeArrowheads="1"/>
                    </pic:cNvPicPr>
                  </pic:nvPicPr>
                  <pic:blipFill>
                    <a:blip r:embed="rId58"/>
                    <a:srcRect/>
                    <a:stretch>
                      <a:fillRect/>
                    </a:stretch>
                  </pic:blipFill>
                  <pic:spPr>
                    <a:xfrm>
                      <a:off x="0" y="0"/>
                      <a:ext cx="5522595" cy="4686300"/>
                    </a:xfrm>
                    <a:prstGeom prst="rect">
                      <a:avLst/>
                    </a:prstGeom>
                    <a:noFill/>
                    <a:ln w="12700">
                      <a:solidFill>
                        <a:schemeClr val="tx1"/>
                      </a:solidFill>
                    </a:ln>
                  </pic:spPr>
                </pic:pic>
              </a:graphicData>
            </a:graphic>
          </wp:inline>
        </w:drawing>
      </w:r>
    </w:p>
    <w:p>
      <w:pPr>
        <w:ind w:firstLine="225" w:firstLineChars="94"/>
        <w:jc w:val="center"/>
        <w:rPr>
          <w:color w:val="000000" w:themeColor="text1"/>
          <w:sz w:val="24"/>
          <w14:textFill>
            <w14:solidFill>
              <w14:schemeClr w14:val="tx1"/>
            </w14:solidFill>
          </w14:textFill>
        </w:rPr>
      </w:pPr>
      <w:r>
        <w:rPr>
          <w:rFonts w:eastAsia="黑体"/>
          <w:bCs/>
          <w:color w:val="000000" w:themeColor="text1"/>
          <w:sz w:val="24"/>
          <w:szCs w:val="24"/>
          <w14:textFill>
            <w14:solidFill>
              <w14:schemeClr w14:val="tx1"/>
            </w14:solidFill>
          </w14:textFill>
        </w:rPr>
        <w:t xml:space="preserve">图5.4-13  </w:t>
      </w:r>
      <w:r>
        <w:rPr>
          <w:rFonts w:hint="eastAsia" w:eastAsia="黑体"/>
          <w:bCs/>
          <w:color w:val="000000" w:themeColor="text1"/>
          <w:sz w:val="24"/>
          <w:szCs w:val="24"/>
          <w14:textFill>
            <w14:solidFill>
              <w14:schemeClr w14:val="tx1"/>
            </w14:solidFill>
          </w14:textFill>
        </w:rPr>
        <w:t>项目地下水评价范围</w:t>
      </w:r>
      <w:r>
        <w:rPr>
          <w:rFonts w:eastAsia="黑体"/>
          <w:bCs/>
          <w:color w:val="000000" w:themeColor="text1"/>
          <w:sz w:val="24"/>
          <w:szCs w:val="24"/>
          <w14:textFill>
            <w14:solidFill>
              <w14:schemeClr w14:val="tx1"/>
            </w14:solidFill>
          </w14:textFill>
        </w:rPr>
        <w:t>图</w:t>
      </w:r>
    </w:p>
    <w:p>
      <w:pPr>
        <w:pStyle w:val="460"/>
      </w:pPr>
      <w:r>
        <w:t>5.4.6.2</w:t>
      </w:r>
      <w:r>
        <w:rPr>
          <w:rFonts w:hint="eastAsia"/>
        </w:rPr>
        <w:t>预测时段</w:t>
      </w:r>
    </w:p>
    <w:p>
      <w:pPr>
        <w:spacing w:line="52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根据《环境影响评价技术导则 地下水环境》（HJ610-2016）</w:t>
      </w:r>
      <w:r>
        <w:rPr>
          <w:rFonts w:hint="eastAsia"/>
          <w:color w:val="000000" w:themeColor="text1"/>
          <w:sz w:val="24"/>
          <w:szCs w:val="24"/>
          <w14:textFill>
            <w14:solidFill>
              <w14:schemeClr w14:val="tx1"/>
            </w14:solidFill>
          </w14:textFill>
        </w:rPr>
        <w:t>9</w:t>
      </w:r>
      <w:r>
        <w:rPr>
          <w:color w:val="000000" w:themeColor="text1"/>
          <w:sz w:val="24"/>
          <w:szCs w:val="24"/>
          <w14:textFill>
            <w14:solidFill>
              <w14:schemeClr w14:val="tx1"/>
            </w14:solidFill>
          </w14:textFill>
        </w:rPr>
        <w:t>.3，地下水环境影响预测时段应选取可能产生地下水污染的关键时段，至少包括污染发生后100d、1000d，服务年限或能反映特征因子迁移规律的其他重要的时间节点。本次评价预测时段选取污染发生后100d、1000d</w:t>
      </w:r>
      <w:r>
        <w:rPr>
          <w:rFonts w:hint="eastAsia"/>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10a（3650d）、2</w:t>
      </w:r>
      <w:r>
        <w:rPr>
          <w:bCs/>
          <w:color w:val="000000" w:themeColor="text1"/>
          <w:sz w:val="24"/>
          <w:szCs w:val="24"/>
          <w14:textFill>
            <w14:solidFill>
              <w14:schemeClr w14:val="tx1"/>
            </w14:solidFill>
          </w14:textFill>
        </w:rPr>
        <w:t>0</w:t>
      </w:r>
      <w:r>
        <w:rPr>
          <w:rFonts w:hint="eastAsia"/>
          <w:bCs/>
          <w:color w:val="000000" w:themeColor="text1"/>
          <w:sz w:val="24"/>
          <w:szCs w:val="24"/>
          <w14:textFill>
            <w14:solidFill>
              <w14:schemeClr w14:val="tx1"/>
            </w14:solidFill>
          </w14:textFill>
        </w:rPr>
        <w:t>a（</w:t>
      </w:r>
      <w:r>
        <w:rPr>
          <w:color w:val="000000" w:themeColor="text1"/>
          <w:sz w:val="24"/>
          <w:szCs w:val="24"/>
          <w14:textFill>
            <w14:solidFill>
              <w14:schemeClr w14:val="tx1"/>
            </w14:solidFill>
          </w14:textFill>
        </w:rPr>
        <w:t>7300d</w:t>
      </w:r>
      <w:r>
        <w:rPr>
          <w:rFonts w:hint="eastAsia"/>
          <w:bCs/>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w:t>
      </w:r>
    </w:p>
    <w:p>
      <w:pPr>
        <w:pStyle w:val="460"/>
      </w:pPr>
      <w:r>
        <w:t>5.4.6.3</w:t>
      </w:r>
      <w:r>
        <w:rPr>
          <w:rFonts w:hint="eastAsia"/>
        </w:rPr>
        <w:t>预测情景设置</w:t>
      </w:r>
    </w:p>
    <w:p>
      <w:pPr>
        <w:spacing w:line="52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根据《环境影响评价技术导则</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地下水环境》（HJ610-2016）中9.4情景设置中相关内容：</w:t>
      </w:r>
      <w:r>
        <w:rPr>
          <w:rFonts w:hint="eastAsia"/>
          <w:color w:val="000000" w:themeColor="text1"/>
          <w:sz w:val="24"/>
          <w:szCs w:val="24"/>
          <w14:textFill>
            <w14:solidFill>
              <w14:schemeClr w14:val="tx1"/>
            </w14:solidFill>
          </w14:textFill>
        </w:rPr>
        <w:t>“一般情况下，建设项目须对正常状况、非正常状况的情景分别进行预测。已根据相关要求设计地下水污染防渗措施的建设项目，可不进行正常状况情景下的预测。”</w:t>
      </w:r>
    </w:p>
    <w:p>
      <w:pPr>
        <w:spacing w:line="52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正常工况下，项目建设均按照相关要求进行防腐防渗处理，各生产环节按照设计参数运行，污水不会</w:t>
      </w:r>
      <w:r>
        <w:rPr>
          <w:rFonts w:hint="eastAsia"/>
          <w:color w:val="000000" w:themeColor="text1"/>
          <w:sz w:val="24"/>
          <w:szCs w:val="24"/>
          <w14:textFill>
            <w14:solidFill>
              <w14:schemeClr w14:val="tx1"/>
            </w14:solidFill>
          </w14:textFill>
        </w:rPr>
        <w:t>发生</w:t>
      </w:r>
      <w:r>
        <w:rPr>
          <w:color w:val="000000" w:themeColor="text1"/>
          <w:sz w:val="24"/>
          <w:szCs w:val="24"/>
          <w14:textFill>
            <w14:solidFill>
              <w14:schemeClr w14:val="tx1"/>
            </w14:solidFill>
          </w14:textFill>
        </w:rPr>
        <w:t>泄露。因此本次预测情景主要针对非正常工况进行设定。</w:t>
      </w:r>
    </w:p>
    <w:p>
      <w:pPr>
        <w:spacing w:line="52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项目厂址区域的实际情况分析，若是装置区等可视场所发生硬化面破损，即使有物料或污水等泄漏，按目前厂址区的管理规范及相关行业标准，必须及时采取措施，不可能任由物料或污水漫流泄漏，而对于泄漏初期短时间物料暴露而污染的少量土壤，则会尽快通过挖出进行处置，不会任其渗入地下水。因此，在调节池、集水池等半地下非可视部位发生小面积泄漏时，才可能有少量污染物通过漏点进入地下水。本次评价非正常工况泄漏点设定为污水</w:t>
      </w:r>
      <w:r>
        <w:rPr>
          <w:rFonts w:hint="eastAsia"/>
          <w:color w:val="000000" w:themeColor="text1"/>
          <w:sz w:val="24"/>
          <w:szCs w:val="24"/>
          <w14:textFill>
            <w14:solidFill>
              <w14:schemeClr w14:val="tx1"/>
            </w14:solidFill>
          </w14:textFill>
        </w:rPr>
        <w:t>集水</w:t>
      </w:r>
      <w:r>
        <w:rPr>
          <w:color w:val="000000" w:themeColor="text1"/>
          <w:sz w:val="24"/>
          <w:szCs w:val="24"/>
          <w14:textFill>
            <w14:solidFill>
              <w14:schemeClr w14:val="tx1"/>
            </w14:solidFill>
          </w14:textFill>
        </w:rPr>
        <w:t>池泄漏。</w:t>
      </w:r>
    </w:p>
    <w:p>
      <w:pPr>
        <w:pStyle w:val="460"/>
      </w:pPr>
      <w:r>
        <w:rPr>
          <w:rFonts w:hint="eastAsia"/>
        </w:rPr>
        <w:t>5</w:t>
      </w:r>
      <w:r>
        <w:t>.4.6.4</w:t>
      </w:r>
      <w:r>
        <w:rPr>
          <w:rFonts w:hint="eastAsia"/>
        </w:rPr>
        <w:t>预测因子及源强</w:t>
      </w:r>
    </w:p>
    <w:p>
      <w:pPr>
        <w:spacing w:line="520" w:lineRule="exact"/>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由于本项目综合污水集水池进行严格防渗处理，假定由于腐蚀或地质作用，综合污水集水池出现持续渗漏，情景为连续污染源定浓度边界，主要污染因子为C</w:t>
      </w:r>
      <w:r>
        <w:rPr>
          <w:color w:val="000000" w:themeColor="text1"/>
          <w:sz w:val="24"/>
          <w:szCs w:val="24"/>
          <w14:textFill>
            <w14:solidFill>
              <w14:schemeClr w14:val="tx1"/>
            </w14:solidFill>
          </w14:textFill>
        </w:rPr>
        <w:t>OD</w:t>
      </w:r>
      <w:r>
        <w:rPr>
          <w:rFonts w:hint="eastAsia"/>
          <w:color w:val="000000" w:themeColor="text1"/>
          <w:sz w:val="24"/>
          <w:szCs w:val="24"/>
          <w14:textFill>
            <w14:solidFill>
              <w14:schemeClr w14:val="tx1"/>
            </w14:solidFill>
          </w14:textFill>
        </w:rPr>
        <w:t>、氨氮。</w:t>
      </w:r>
      <w:r>
        <w:rPr>
          <w:color w:val="000000" w:themeColor="text1"/>
          <w:sz w:val="24"/>
          <w:szCs w:val="24"/>
          <w14:textFill>
            <w14:solidFill>
              <w14:schemeClr w14:val="tx1"/>
            </w14:solidFill>
          </w14:textFill>
        </w:rPr>
        <w:t>根据本项目工程分析，</w:t>
      </w:r>
      <w:r>
        <w:rPr>
          <w:rFonts w:hint="eastAsia"/>
          <w:color w:val="000000" w:themeColor="text1"/>
          <w:sz w:val="24"/>
          <w:szCs w:val="24"/>
          <w14:textFill>
            <w14:solidFill>
              <w14:schemeClr w14:val="tx1"/>
            </w14:solidFill>
          </w14:textFill>
        </w:rPr>
        <w:t>本项目集水池水质为</w:t>
      </w:r>
      <w:r>
        <w:rPr>
          <w:color w:val="000000" w:themeColor="text1"/>
          <w:sz w:val="24"/>
          <w:szCs w:val="24"/>
          <w14:textFill>
            <w14:solidFill>
              <w14:schemeClr w14:val="tx1"/>
            </w14:solidFill>
          </w14:textFill>
        </w:rPr>
        <w:t>COD 3000mg/L、氨氮</w:t>
      </w: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00mg/L。为使污染因子COD与评价因子耗氧量在数值关系上对应统一，在模型计算过程中，参照国内学者胡大琼（云南省水文水资源局普洱分局）《高锰酸盐指数与化学需氧量相关关系探讨》一文得出的耗氧量与化学需氧量线性回归方程Y=4.76X+2.61（X为耗氧量，Y为COD）进行换算。本次工程预测COD值取3000mg/L，经计算，确定耗氧量源强为：629.7mg/L。</w:t>
      </w:r>
      <w:r>
        <w:rPr>
          <w:rFonts w:hint="eastAsia"/>
          <w:color w:val="000000" w:themeColor="text1"/>
          <w:sz w:val="24"/>
          <w:szCs w:val="24"/>
          <w14:textFill>
            <w14:solidFill>
              <w14:schemeClr w14:val="tx1"/>
            </w14:solidFill>
          </w14:textFill>
        </w:rPr>
        <w:t>则本项目预测因子及源强见下表。</w:t>
      </w:r>
    </w:p>
    <w:p>
      <w:pPr>
        <w:adjustRightInd w:val="0"/>
        <w:snapToGrid w:val="0"/>
        <w:spacing w:line="520" w:lineRule="exact"/>
        <w:ind w:firstLine="480" w:firstLineChars="200"/>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表5</w:t>
      </w:r>
      <w:r>
        <w:rPr>
          <w:rFonts w:eastAsia="黑体"/>
          <w:color w:val="000000" w:themeColor="text1"/>
          <w:sz w:val="24"/>
          <w14:textFill>
            <w14:solidFill>
              <w14:schemeClr w14:val="tx1"/>
            </w14:solidFill>
          </w14:textFill>
        </w:rPr>
        <w:t>.4</w:t>
      </w:r>
      <w:r>
        <w:rPr>
          <w:rFonts w:hint="eastAsia" w:eastAsia="黑体"/>
          <w:color w:val="000000" w:themeColor="text1"/>
          <w:sz w:val="24"/>
          <w14:textFill>
            <w14:solidFill>
              <w14:schemeClr w14:val="tx1"/>
            </w14:solidFill>
          </w14:textFill>
        </w:rPr>
        <w:t xml:space="preserve">-32   </w:t>
      </w:r>
      <w:r>
        <w:rPr>
          <w:rFonts w:eastAsia="黑体"/>
          <w:color w:val="000000" w:themeColor="text1"/>
          <w:sz w:val="24"/>
          <w14:textFill>
            <w14:solidFill>
              <w14:schemeClr w14:val="tx1"/>
            </w14:solidFill>
          </w14:textFill>
        </w:rPr>
        <w:t xml:space="preserve">          </w:t>
      </w:r>
      <w:r>
        <w:rPr>
          <w:rFonts w:hint="eastAsia" w:eastAsia="黑体"/>
          <w:color w:val="000000" w:themeColor="text1"/>
          <w:sz w:val="24"/>
          <w14:textFill>
            <w14:solidFill>
              <w14:schemeClr w14:val="tx1"/>
            </w14:solidFill>
          </w14:textFill>
        </w:rPr>
        <w:t>预测因子及源强一览表</w:t>
      </w:r>
    </w:p>
    <w:tbl>
      <w:tblPr>
        <w:tblStyle w:val="49"/>
        <w:tblW w:w="5000" w:type="pct"/>
        <w:tblInd w:w="0" w:type="dxa"/>
        <w:tblLayout w:type="autofit"/>
        <w:tblCellMar>
          <w:top w:w="0" w:type="dxa"/>
          <w:left w:w="108" w:type="dxa"/>
          <w:bottom w:w="0" w:type="dxa"/>
          <w:right w:w="108" w:type="dxa"/>
        </w:tblCellMar>
      </w:tblPr>
      <w:tblGrid>
        <w:gridCol w:w="1730"/>
        <w:gridCol w:w="1755"/>
        <w:gridCol w:w="1578"/>
        <w:gridCol w:w="1873"/>
        <w:gridCol w:w="2010"/>
      </w:tblGrid>
      <w:tr>
        <w:tblPrEx>
          <w:tblCellMar>
            <w:top w:w="0" w:type="dxa"/>
            <w:left w:w="108" w:type="dxa"/>
            <w:bottom w:w="0" w:type="dxa"/>
            <w:right w:w="108" w:type="dxa"/>
          </w:tblCellMar>
        </w:tblPrEx>
        <w:trPr>
          <w:trHeight w:val="397" w:hRule="atLeast"/>
        </w:trPr>
        <w:tc>
          <w:tcPr>
            <w:tcW w:w="967"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泄漏点</w:t>
            </w:r>
          </w:p>
        </w:tc>
        <w:tc>
          <w:tcPr>
            <w:tcW w:w="981" w:type="pct"/>
            <w:tcBorders>
              <w:top w:val="single" w:color="auto" w:sz="4" w:space="0"/>
              <w:left w:val="nil"/>
              <w:bottom w:val="single" w:color="auto" w:sz="4" w:space="0"/>
              <w:right w:val="single" w:color="auto" w:sz="4" w:space="0"/>
            </w:tcBorders>
            <w:noWrap/>
            <w:vAlign w:val="center"/>
          </w:tcPr>
          <w:p>
            <w:pPr>
              <w:widowControl/>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预测因子</w:t>
            </w:r>
          </w:p>
        </w:tc>
        <w:tc>
          <w:tcPr>
            <w:tcW w:w="882" w:type="pct"/>
            <w:tcBorders>
              <w:top w:val="single" w:color="auto" w:sz="4" w:space="0"/>
              <w:left w:val="nil"/>
              <w:bottom w:val="single" w:color="auto" w:sz="4" w:space="0"/>
              <w:right w:val="single" w:color="auto" w:sz="4" w:space="0"/>
            </w:tcBorders>
            <w:noWrap/>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浓度（mg/L）</w:t>
            </w:r>
          </w:p>
        </w:tc>
        <w:tc>
          <w:tcPr>
            <w:tcW w:w="1047" w:type="pct"/>
            <w:tcBorders>
              <w:top w:val="single" w:color="auto" w:sz="4" w:space="0"/>
              <w:left w:val="nil"/>
              <w:bottom w:val="single" w:color="auto" w:sz="4" w:space="0"/>
              <w:right w:val="single" w:color="auto" w:sz="4" w:space="0"/>
            </w:tcBorders>
            <w:noWrap/>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检出限（mg/L）</w:t>
            </w:r>
          </w:p>
        </w:tc>
        <w:tc>
          <w:tcPr>
            <w:tcW w:w="1124" w:type="pct"/>
            <w:tcBorders>
              <w:top w:val="single" w:color="auto" w:sz="4" w:space="0"/>
              <w:left w:val="nil"/>
              <w:bottom w:val="single" w:color="auto" w:sz="4" w:space="0"/>
              <w:right w:val="single" w:color="auto" w:sz="4" w:space="0"/>
            </w:tcBorders>
            <w:noWrap/>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标准限</w:t>
            </w:r>
            <w:r>
              <w:rPr>
                <w:rFonts w:hint="eastAsia"/>
                <w:b/>
                <w:bCs/>
                <w:color w:val="000000" w:themeColor="text1"/>
                <w:kern w:val="0"/>
                <w:szCs w:val="21"/>
                <w14:textFill>
                  <w14:solidFill>
                    <w14:schemeClr w14:val="tx1"/>
                  </w14:solidFill>
                </w14:textFill>
              </w:rPr>
              <w:t>值</w:t>
            </w:r>
            <w:r>
              <w:rPr>
                <w:b/>
                <w:bCs/>
                <w:color w:val="000000" w:themeColor="text1"/>
                <w:kern w:val="0"/>
                <w:szCs w:val="21"/>
                <w14:textFill>
                  <w14:solidFill>
                    <w14:schemeClr w14:val="tx1"/>
                  </w14:solidFill>
                </w14:textFill>
              </w:rPr>
              <w:t>（mg/L）</w:t>
            </w:r>
          </w:p>
        </w:tc>
      </w:tr>
      <w:tr>
        <w:tblPrEx>
          <w:tblCellMar>
            <w:top w:w="0" w:type="dxa"/>
            <w:left w:w="108" w:type="dxa"/>
            <w:bottom w:w="0" w:type="dxa"/>
            <w:right w:w="108" w:type="dxa"/>
          </w:tblCellMar>
        </w:tblPrEx>
        <w:trPr>
          <w:trHeight w:val="397" w:hRule="atLeast"/>
        </w:trPr>
        <w:tc>
          <w:tcPr>
            <w:tcW w:w="967" w:type="pct"/>
            <w:vMerge w:val="restart"/>
            <w:tcBorders>
              <w:top w:val="nil"/>
              <w:left w:val="single" w:color="auto" w:sz="4" w:space="0"/>
              <w:bottom w:val="single" w:color="auto" w:sz="4" w:space="0"/>
              <w:right w:val="single" w:color="auto" w:sz="4" w:space="0"/>
            </w:tcBorders>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综合污水</w:t>
            </w:r>
            <w:r>
              <w:rPr>
                <w:rFonts w:hint="eastAsia"/>
                <w:color w:val="000000" w:themeColor="text1"/>
                <w:kern w:val="0"/>
                <w:szCs w:val="21"/>
                <w14:textFill>
                  <w14:solidFill>
                    <w14:schemeClr w14:val="tx1"/>
                  </w14:solidFill>
                </w14:textFill>
              </w:rPr>
              <w:t>集水</w:t>
            </w:r>
            <w:r>
              <w:rPr>
                <w:color w:val="000000" w:themeColor="text1"/>
                <w:kern w:val="0"/>
                <w:szCs w:val="21"/>
                <w14:textFill>
                  <w14:solidFill>
                    <w14:schemeClr w14:val="tx1"/>
                  </w14:solidFill>
                </w14:textFill>
              </w:rPr>
              <w:t>池</w:t>
            </w:r>
          </w:p>
        </w:tc>
        <w:tc>
          <w:tcPr>
            <w:tcW w:w="981" w:type="pct"/>
            <w:tcBorders>
              <w:top w:val="nil"/>
              <w:left w:val="nil"/>
              <w:bottom w:val="single" w:color="auto" w:sz="4" w:space="0"/>
              <w:right w:val="single" w:color="auto" w:sz="4" w:space="0"/>
            </w:tcBorders>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耗氧量</w:t>
            </w:r>
          </w:p>
        </w:tc>
        <w:tc>
          <w:tcPr>
            <w:tcW w:w="882" w:type="pct"/>
            <w:tcBorders>
              <w:top w:val="nil"/>
              <w:left w:val="nil"/>
              <w:bottom w:val="single" w:color="auto" w:sz="4" w:space="0"/>
              <w:right w:val="single" w:color="auto" w:sz="4" w:space="0"/>
            </w:tcBorders>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629.7</w:t>
            </w:r>
          </w:p>
        </w:tc>
        <w:tc>
          <w:tcPr>
            <w:tcW w:w="1047" w:type="pct"/>
            <w:tcBorders>
              <w:top w:val="nil"/>
              <w:left w:val="nil"/>
              <w:bottom w:val="single" w:color="auto" w:sz="4" w:space="0"/>
              <w:right w:val="single" w:color="auto" w:sz="4" w:space="0"/>
            </w:tcBorders>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0.05</w:t>
            </w:r>
          </w:p>
        </w:tc>
        <w:tc>
          <w:tcPr>
            <w:tcW w:w="1124" w:type="pct"/>
            <w:tcBorders>
              <w:top w:val="nil"/>
              <w:left w:val="nil"/>
              <w:bottom w:val="single" w:color="auto" w:sz="4" w:space="0"/>
              <w:right w:val="single" w:color="auto" w:sz="4" w:space="0"/>
            </w:tcBorders>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r>
      <w:tr>
        <w:tblPrEx>
          <w:tblCellMar>
            <w:top w:w="0" w:type="dxa"/>
            <w:left w:w="108" w:type="dxa"/>
            <w:bottom w:w="0" w:type="dxa"/>
            <w:right w:w="108" w:type="dxa"/>
          </w:tblCellMar>
        </w:tblPrEx>
        <w:trPr>
          <w:trHeight w:val="397" w:hRule="atLeast"/>
        </w:trPr>
        <w:tc>
          <w:tcPr>
            <w:tcW w:w="967" w:type="pct"/>
            <w:vMerge w:val="continue"/>
            <w:tcBorders>
              <w:top w:val="nil"/>
              <w:left w:val="single" w:color="auto" w:sz="4" w:space="0"/>
              <w:bottom w:val="single" w:color="auto" w:sz="4" w:space="0"/>
              <w:right w:val="single" w:color="auto" w:sz="4" w:space="0"/>
            </w:tcBorders>
            <w:vAlign w:val="center"/>
          </w:tcPr>
          <w:p>
            <w:pPr>
              <w:widowControl/>
              <w:jc w:val="left"/>
              <w:rPr>
                <w:color w:val="000000" w:themeColor="text1"/>
                <w:kern w:val="0"/>
                <w:szCs w:val="21"/>
                <w14:textFill>
                  <w14:solidFill>
                    <w14:schemeClr w14:val="tx1"/>
                  </w14:solidFill>
                </w14:textFill>
              </w:rPr>
            </w:pPr>
          </w:p>
        </w:tc>
        <w:tc>
          <w:tcPr>
            <w:tcW w:w="981" w:type="pct"/>
            <w:tcBorders>
              <w:top w:val="nil"/>
              <w:left w:val="nil"/>
              <w:bottom w:val="single" w:color="auto" w:sz="4" w:space="0"/>
              <w:right w:val="single" w:color="auto" w:sz="4" w:space="0"/>
            </w:tcBorders>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氨氮</w:t>
            </w:r>
          </w:p>
        </w:tc>
        <w:tc>
          <w:tcPr>
            <w:tcW w:w="882" w:type="pct"/>
            <w:tcBorders>
              <w:top w:val="nil"/>
              <w:left w:val="nil"/>
              <w:bottom w:val="single" w:color="auto" w:sz="4" w:space="0"/>
              <w:right w:val="single" w:color="auto" w:sz="4" w:space="0"/>
            </w:tcBorders>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w:t>
            </w:r>
          </w:p>
        </w:tc>
        <w:tc>
          <w:tcPr>
            <w:tcW w:w="1047" w:type="pct"/>
            <w:tcBorders>
              <w:top w:val="nil"/>
              <w:left w:val="nil"/>
              <w:bottom w:val="single" w:color="auto" w:sz="4" w:space="0"/>
              <w:right w:val="single" w:color="auto" w:sz="4" w:space="0"/>
            </w:tcBorders>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0.025</w:t>
            </w:r>
          </w:p>
        </w:tc>
        <w:tc>
          <w:tcPr>
            <w:tcW w:w="1124" w:type="pct"/>
            <w:tcBorders>
              <w:top w:val="nil"/>
              <w:left w:val="nil"/>
              <w:bottom w:val="single" w:color="auto" w:sz="4" w:space="0"/>
              <w:right w:val="single" w:color="auto" w:sz="4" w:space="0"/>
            </w:tcBorders>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0.5</w:t>
            </w:r>
          </w:p>
        </w:tc>
      </w:tr>
    </w:tbl>
    <w:p>
      <w:pPr>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注：按照《地下水质量标准》（GB/T14848-2017）中的Ⅲ类标准作为评价标准，检出限值根据污染物检测方法的要求确定。</w:t>
      </w:r>
    </w:p>
    <w:p>
      <w:pPr>
        <w:pStyle w:val="727"/>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.4.7预测模型</w:t>
      </w:r>
    </w:p>
    <w:p>
      <w:pPr>
        <w:pStyle w:val="460"/>
      </w:pPr>
      <w:r>
        <w:rPr>
          <w:rFonts w:hint="eastAsia"/>
        </w:rPr>
        <w:t>5</w:t>
      </w:r>
      <w:r>
        <w:t xml:space="preserve">.4.7.1 </w:t>
      </w:r>
      <w:r>
        <w:rPr>
          <w:rFonts w:hint="eastAsia"/>
        </w:rPr>
        <w:t>水文地质条件概化</w:t>
      </w:r>
    </w:p>
    <w:p>
      <w:pPr>
        <w:spacing w:line="52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根据区内地下水的赋存条件及运动特征，拟建项目对地下水的影响范围，本次模拟范围如</w:t>
      </w:r>
      <w:r>
        <w:rPr>
          <w:rFonts w:hint="eastAsia"/>
          <w:color w:val="000000" w:themeColor="text1"/>
          <w:sz w:val="24"/>
          <w:szCs w:val="24"/>
          <w14:textFill>
            <w14:solidFill>
              <w14:schemeClr w14:val="tx1"/>
            </w14:solidFill>
          </w14:textFill>
        </w:rPr>
        <w:t>下图</w:t>
      </w:r>
      <w:r>
        <w:rPr>
          <w:color w:val="000000" w:themeColor="text1"/>
          <w:sz w:val="24"/>
          <w:szCs w:val="24"/>
          <w14:textFill>
            <w14:solidFill>
              <w14:schemeClr w14:val="tx1"/>
            </w14:solidFill>
          </w14:textFill>
        </w:rPr>
        <w:t>所示。</w:t>
      </w:r>
    </w:p>
    <w:p>
      <w:pPr>
        <w:spacing w:line="360" w:lineRule="auto"/>
        <w:jc w:val="center"/>
        <w:rPr>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4047490" cy="5181600"/>
            <wp:effectExtent l="0" t="0" r="10160" b="0"/>
            <wp:docPr id="175370092" name="图片 1" descr="电脑萤幕画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0092" name="图片 1" descr="电脑萤幕画面&#10;&#10;中度可信度描述已自动生成"/>
                    <pic:cNvPicPr>
                      <a:picLocks noChangeAspect="1"/>
                    </pic:cNvPicPr>
                  </pic:nvPicPr>
                  <pic:blipFill>
                    <a:blip r:embed="rId95"/>
                    <a:srcRect/>
                    <a:stretch>
                      <a:fillRect/>
                    </a:stretch>
                  </pic:blipFill>
                  <pic:spPr>
                    <a:xfrm>
                      <a:off x="0" y="0"/>
                      <a:ext cx="4047490" cy="5202540"/>
                    </a:xfrm>
                    <a:prstGeom prst="rect">
                      <a:avLst/>
                    </a:prstGeom>
                    <a:ln>
                      <a:noFill/>
                    </a:ln>
                  </pic:spPr>
                </pic:pic>
              </a:graphicData>
            </a:graphic>
          </wp:inline>
        </w:drawing>
      </w:r>
    </w:p>
    <w:p>
      <w:pPr>
        <w:ind w:firstLine="225" w:firstLineChars="94"/>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w:t>
      </w:r>
      <w:r>
        <w:rPr>
          <w:rFonts w:hint="eastAsia" w:eastAsia="黑体"/>
          <w:bCs/>
          <w:color w:val="000000" w:themeColor="text1"/>
          <w:sz w:val="24"/>
          <w:szCs w:val="24"/>
          <w14:textFill>
            <w14:solidFill>
              <w14:schemeClr w14:val="tx1"/>
            </w14:solidFill>
          </w14:textFill>
        </w:rPr>
        <w:t>-</w:t>
      </w:r>
      <w:r>
        <w:rPr>
          <w:rFonts w:eastAsia="黑体"/>
          <w:bCs/>
          <w:color w:val="000000" w:themeColor="text1"/>
          <w:sz w:val="24"/>
          <w:szCs w:val="24"/>
          <w14:textFill>
            <w14:solidFill>
              <w14:schemeClr w14:val="tx1"/>
            </w14:solidFill>
          </w14:textFill>
        </w:rPr>
        <w:t>14 模拟计算区范围示意图</w:t>
      </w:r>
    </w:p>
    <w:p>
      <w:pPr>
        <w:pStyle w:val="460"/>
      </w:pPr>
      <w:r>
        <w:rPr>
          <w:rFonts w:hint="eastAsia"/>
        </w:rPr>
        <w:t>5</w:t>
      </w:r>
      <w:r>
        <w:t xml:space="preserve">.4.7.2 </w:t>
      </w:r>
      <w:r>
        <w:rPr>
          <w:rFonts w:hint="eastAsia"/>
        </w:rPr>
        <w:t>数学模型</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（1）</w:t>
      </w:r>
      <w:r>
        <w:rPr>
          <w:color w:val="000000" w:themeColor="text1"/>
          <w:kern w:val="0"/>
          <w:sz w:val="24"/>
          <w:szCs w:val="20"/>
          <w14:textFill>
            <w14:solidFill>
              <w14:schemeClr w14:val="tx1"/>
            </w14:solidFill>
          </w14:textFill>
        </w:rPr>
        <w:t>地下水流数学模型</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综上所述，根据模拟区水文地质特征，可将计算区浅层孔隙水含水层概化为非均质、各向异性、三维非稳定地下水流系统，其运动的数学模型为：</w:t>
      </w:r>
    </w:p>
    <w:p>
      <w:pPr>
        <w:spacing w:line="360" w:lineRule="auto"/>
        <w:jc w:val="center"/>
        <w:rPr>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4441825" cy="1390650"/>
            <wp:effectExtent l="0" t="0" r="0" b="0"/>
            <wp:docPr id="29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62"/>
                    <pic:cNvPicPr>
                      <a:picLocks noChangeAspect="1" noChangeArrowheads="1"/>
                    </pic:cNvPicPr>
                  </pic:nvPicPr>
                  <pic:blipFill>
                    <a:blip r:embed="rId96"/>
                    <a:srcRect/>
                    <a:stretch>
                      <a:fillRect/>
                    </a:stretch>
                  </pic:blipFill>
                  <pic:spPr>
                    <a:xfrm>
                      <a:off x="0" y="0"/>
                      <a:ext cx="4441825" cy="1390650"/>
                    </a:xfrm>
                    <a:prstGeom prst="rect">
                      <a:avLst/>
                    </a:prstGeom>
                    <a:noFill/>
                    <a:ln w="9525">
                      <a:noFill/>
                      <a:miter lim="800000"/>
                      <a:headEnd/>
                      <a:tailEnd/>
                    </a:ln>
                  </pic:spPr>
                </pic:pic>
              </a:graphicData>
            </a:graphic>
          </wp:inline>
        </w:drawing>
      </w:r>
    </w:p>
    <w:p>
      <w:pPr>
        <w:widowControl/>
        <w:adjustRightInd w:val="0"/>
        <w:snapToGrid w:val="0"/>
        <w:spacing w:line="520" w:lineRule="exact"/>
        <w:ind w:firstLine="480" w:firstLineChars="200"/>
        <w:jc w:val="left"/>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w:t>
      </w:r>
    </w:p>
    <w:p>
      <w:pPr>
        <w:widowControl/>
        <w:adjustRightInd w:val="0"/>
        <w:snapToGrid w:val="0"/>
        <w:spacing w:line="520" w:lineRule="exact"/>
        <w:ind w:firstLine="480" w:firstLineChars="200"/>
        <w:jc w:val="left"/>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161925" cy="161925"/>
            <wp:effectExtent l="0" t="0" r="0" b="7620"/>
            <wp:docPr id="55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61"/>
                    <pic:cNvPicPr>
                      <a:picLocks noChangeAspect="1" noChangeArrowheads="1"/>
                    </pic:cNvPicPr>
                  </pic:nvPicPr>
                  <pic:blipFill>
                    <a:blip r:embed="rId97"/>
                    <a:srcRect/>
                    <a:stretch>
                      <a:fillRect/>
                    </a:stretch>
                  </pic:blipFill>
                  <pic:spPr>
                    <a:xfrm>
                      <a:off x="0" y="0"/>
                      <a:ext cx="161925" cy="161925"/>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—地下水渗流区域；</w:t>
      </w:r>
    </w:p>
    <w:p>
      <w:pPr>
        <w:widowControl/>
        <w:adjustRightInd w:val="0"/>
        <w:snapToGrid w:val="0"/>
        <w:spacing w:line="520" w:lineRule="exact"/>
        <w:ind w:firstLine="480" w:firstLineChars="200"/>
        <w:jc w:val="left"/>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159385" cy="209550"/>
            <wp:effectExtent l="0" t="0" r="12065" b="0"/>
            <wp:docPr id="55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60"/>
                    <pic:cNvPicPr>
                      <a:picLocks noChangeAspect="1" noChangeArrowheads="1"/>
                    </pic:cNvPicPr>
                  </pic:nvPicPr>
                  <pic:blipFill>
                    <a:blip r:embed="rId98"/>
                    <a:srcRect/>
                    <a:stretch>
                      <a:fillRect/>
                    </a:stretch>
                  </pic:blipFill>
                  <pic:spPr>
                    <a:xfrm>
                      <a:off x="0" y="0"/>
                      <a:ext cx="159385" cy="209550"/>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—模型的第一类边界；</w:t>
      </w:r>
    </w:p>
    <w:p>
      <w:pPr>
        <w:widowControl/>
        <w:adjustRightInd w:val="0"/>
        <w:snapToGrid w:val="0"/>
        <w:spacing w:line="520" w:lineRule="exact"/>
        <w:ind w:firstLine="480" w:firstLineChars="200"/>
        <w:jc w:val="left"/>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161925" cy="200025"/>
            <wp:effectExtent l="0" t="0" r="9525" b="7620"/>
            <wp:docPr id="5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9"/>
                    <pic:cNvPicPr>
                      <a:picLocks noChangeAspect="1" noChangeArrowheads="1"/>
                    </pic:cNvPicPr>
                  </pic:nvPicPr>
                  <pic:blipFill>
                    <a:blip r:embed="rId99"/>
                    <a:srcRect/>
                    <a:stretch>
                      <a:fillRect/>
                    </a:stretch>
                  </pic:blipFill>
                  <pic:spPr>
                    <a:xfrm>
                      <a:off x="0" y="0"/>
                      <a:ext cx="161925" cy="200025"/>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—模型的第二类边界；</w:t>
      </w:r>
    </w:p>
    <w:p>
      <w:pPr>
        <w:widowControl/>
        <w:adjustRightInd w:val="0"/>
        <w:snapToGrid w:val="0"/>
        <w:spacing w:line="520" w:lineRule="exact"/>
        <w:ind w:firstLine="480" w:firstLineChars="200"/>
        <w:jc w:val="left"/>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583565" cy="219075"/>
            <wp:effectExtent l="0" t="0" r="6985" b="8255"/>
            <wp:docPr id="56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8"/>
                    <pic:cNvPicPr>
                      <a:picLocks noChangeAspect="1" noChangeArrowheads="1"/>
                    </pic:cNvPicPr>
                  </pic:nvPicPr>
                  <pic:blipFill>
                    <a:blip r:embed="rId100"/>
                    <a:srcRect/>
                    <a:stretch>
                      <a:fillRect/>
                    </a:stretch>
                  </pic:blipFill>
                  <pic:spPr>
                    <a:xfrm>
                      <a:off x="0" y="0"/>
                      <a:ext cx="583565" cy="219075"/>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—表示</w:t>
      </w:r>
      <w:r>
        <w:rPr>
          <w:color w:val="000000" w:themeColor="text1"/>
          <w:kern w:val="0"/>
          <w:sz w:val="24"/>
          <w:szCs w:val="20"/>
          <w14:textFill>
            <w14:solidFill>
              <w14:schemeClr w14:val="tx1"/>
            </w14:solidFill>
          </w14:textFill>
        </w:rPr>
        <w:drawing>
          <wp:inline distT="0" distB="0" distL="0" distR="0">
            <wp:extent cx="371475" cy="152400"/>
            <wp:effectExtent l="0" t="0" r="9525" b="0"/>
            <wp:docPr id="56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7"/>
                    <pic:cNvPicPr>
                      <a:picLocks noChangeAspect="1" noChangeArrowheads="1"/>
                    </pic:cNvPicPr>
                  </pic:nvPicPr>
                  <pic:blipFill>
                    <a:blip r:embed="rId101"/>
                    <a:srcRect/>
                    <a:stretch>
                      <a:fillRect/>
                    </a:stretch>
                  </pic:blipFill>
                  <pic:spPr>
                    <a:xfrm>
                      <a:off x="0" y="0"/>
                      <a:ext cx="371475" cy="152400"/>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主方向的渗透系数（m/s）；</w:t>
      </w:r>
    </w:p>
    <w:p>
      <w:pPr>
        <w:widowControl/>
        <w:adjustRightInd w:val="0"/>
        <w:snapToGrid w:val="0"/>
        <w:spacing w:line="520" w:lineRule="exact"/>
        <w:ind w:firstLine="480" w:firstLineChars="200"/>
        <w:jc w:val="left"/>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142875" cy="123825"/>
            <wp:effectExtent l="0" t="0" r="9525" b="6985"/>
            <wp:docPr id="56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
                    <pic:cNvPicPr>
                      <a:picLocks noChangeAspect="1" noChangeArrowheads="1"/>
                    </pic:cNvPicPr>
                  </pic:nvPicPr>
                  <pic:blipFill>
                    <a:blip r:embed="rId102"/>
                    <a:srcRect/>
                    <a:stretch>
                      <a:fillRect/>
                    </a:stretch>
                  </pic:blipFill>
                  <pic:spPr>
                    <a:xfrm>
                      <a:off x="0" y="0"/>
                      <a:ext cx="142875" cy="123825"/>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—源汇项，包括降水入渗补给、蒸发、井的抽水量和泉的排泄量（m</w:t>
      </w:r>
      <w:r>
        <w:rPr>
          <w:color w:val="000000" w:themeColor="text1"/>
          <w:kern w:val="0"/>
          <w:sz w:val="24"/>
          <w:szCs w:val="20"/>
          <w:vertAlign w:val="superscript"/>
          <w14:textFill>
            <w14:solidFill>
              <w14:schemeClr w14:val="tx1"/>
            </w14:solidFill>
          </w14:textFill>
        </w:rPr>
        <w:t>3</w:t>
      </w:r>
      <w:r>
        <w:rPr>
          <w:color w:val="000000" w:themeColor="text1"/>
          <w:kern w:val="0"/>
          <w:sz w:val="24"/>
          <w:szCs w:val="20"/>
          <w14:textFill>
            <w14:solidFill>
              <w14:schemeClr w14:val="tx1"/>
            </w14:solidFill>
          </w14:textFill>
        </w:rPr>
        <w:t>/s）；</w:t>
      </w:r>
    </w:p>
    <w:p>
      <w:pPr>
        <w:widowControl/>
        <w:adjustRightInd w:val="0"/>
        <w:snapToGrid w:val="0"/>
        <w:spacing w:line="520" w:lineRule="exact"/>
        <w:ind w:firstLine="480" w:firstLineChars="200"/>
        <w:jc w:val="left"/>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180975" cy="200025"/>
            <wp:effectExtent l="0" t="0" r="9525" b="6985"/>
            <wp:docPr id="56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5"/>
                    <pic:cNvPicPr>
                      <a:picLocks noChangeAspect="1" noChangeArrowheads="1"/>
                    </pic:cNvPicPr>
                  </pic:nvPicPr>
                  <pic:blipFill>
                    <a:blip r:embed="rId103"/>
                    <a:srcRect/>
                    <a:stretch>
                      <a:fillRect/>
                    </a:stretch>
                  </pic:blipFill>
                  <pic:spPr>
                    <a:xfrm>
                      <a:off x="0" y="0"/>
                      <a:ext cx="180975" cy="200025"/>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—含水层或弱透水层的单位储水系数（1/m）；</w:t>
      </w:r>
    </w:p>
    <w:p>
      <w:pPr>
        <w:widowControl/>
        <w:adjustRightInd w:val="0"/>
        <w:snapToGrid w:val="0"/>
        <w:spacing w:line="520" w:lineRule="exact"/>
        <w:ind w:firstLine="480" w:firstLineChars="200"/>
        <w:jc w:val="left"/>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628650" cy="196850"/>
            <wp:effectExtent l="0" t="0" r="0" b="13335"/>
            <wp:docPr id="56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4"/>
                    <pic:cNvPicPr>
                      <a:picLocks noChangeAspect="1" noChangeArrowheads="1"/>
                    </pic:cNvPicPr>
                  </pic:nvPicPr>
                  <pic:blipFill>
                    <a:blip r:embed="rId104"/>
                    <a:srcRect/>
                    <a:stretch>
                      <a:fillRect/>
                    </a:stretch>
                  </pic:blipFill>
                  <pic:spPr>
                    <a:xfrm>
                      <a:off x="0" y="0"/>
                      <a:ext cx="628650" cy="196850"/>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—初始地下水水头函数（m）；</w:t>
      </w:r>
    </w:p>
    <w:p>
      <w:pPr>
        <w:widowControl/>
        <w:adjustRightInd w:val="0"/>
        <w:snapToGrid w:val="0"/>
        <w:spacing w:line="520" w:lineRule="exact"/>
        <w:ind w:firstLine="480" w:firstLineChars="200"/>
        <w:jc w:val="left"/>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647700" cy="200025"/>
            <wp:effectExtent l="0" t="0" r="0" b="7620"/>
            <wp:docPr id="56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3"/>
                    <pic:cNvPicPr>
                      <a:picLocks noChangeAspect="1" noChangeArrowheads="1"/>
                    </pic:cNvPicPr>
                  </pic:nvPicPr>
                  <pic:blipFill>
                    <a:blip r:embed="rId105"/>
                    <a:srcRect/>
                    <a:stretch>
                      <a:fillRect/>
                    </a:stretch>
                  </pic:blipFill>
                  <pic:spPr>
                    <a:xfrm>
                      <a:off x="0" y="0"/>
                      <a:ext cx="647700" cy="200025"/>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—第一类边界已地下水水头函数（m）；</w:t>
      </w:r>
    </w:p>
    <w:p>
      <w:pPr>
        <w:widowControl/>
        <w:adjustRightInd w:val="0"/>
        <w:snapToGrid w:val="0"/>
        <w:spacing w:line="520" w:lineRule="exact"/>
        <w:ind w:firstLine="480" w:firstLineChars="200"/>
        <w:jc w:val="left"/>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0" distR="0">
            <wp:extent cx="638175" cy="190500"/>
            <wp:effectExtent l="0" t="0" r="9525" b="0"/>
            <wp:docPr id="56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2"/>
                    <pic:cNvPicPr>
                      <a:picLocks noChangeAspect="1" noChangeArrowheads="1"/>
                    </pic:cNvPicPr>
                  </pic:nvPicPr>
                  <pic:blipFill>
                    <a:blip r:embed="rId106"/>
                    <a:srcRect/>
                    <a:stretch>
                      <a:fillRect/>
                    </a:stretch>
                  </pic:blipFill>
                  <pic:spPr>
                    <a:xfrm>
                      <a:off x="0" y="0"/>
                      <a:ext cx="638175" cy="190500"/>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—第二类边界单位面积流量函数（m</w:t>
      </w:r>
      <w:r>
        <w:rPr>
          <w:color w:val="000000" w:themeColor="text1"/>
          <w:kern w:val="0"/>
          <w:sz w:val="24"/>
          <w:szCs w:val="20"/>
          <w:vertAlign w:val="superscript"/>
          <w14:textFill>
            <w14:solidFill>
              <w14:schemeClr w14:val="tx1"/>
            </w14:solidFill>
          </w14:textFill>
        </w:rPr>
        <w:t>3</w:t>
      </w:r>
      <w:r>
        <w:rPr>
          <w:color w:val="000000" w:themeColor="text1"/>
          <w:kern w:val="0"/>
          <w:sz w:val="24"/>
          <w:szCs w:val="20"/>
          <w14:textFill>
            <w14:solidFill>
              <w14:schemeClr w14:val="tx1"/>
            </w14:solidFill>
          </w14:textFill>
        </w:rPr>
        <w:t>/s）。</w:t>
      </w:r>
    </w:p>
    <w:p>
      <w:pPr>
        <w:widowControl/>
        <w:adjustRightInd w:val="0"/>
        <w:snapToGrid w:val="0"/>
        <w:spacing w:line="520" w:lineRule="exact"/>
        <w:ind w:firstLine="480" w:firstLineChars="200"/>
        <w:jc w:val="left"/>
        <w:textAlignment w:val="baseline"/>
        <w:rPr>
          <w:color w:val="000000" w:themeColor="text1"/>
          <w:kern w:val="0"/>
          <w:sz w:val="24"/>
          <w:szCs w:val="20"/>
          <w14:textFill>
            <w14:solidFill>
              <w14:schemeClr w14:val="tx1"/>
            </w14:solidFill>
          </w14:textFill>
        </w:rPr>
      </w:pPr>
      <w:bookmarkStart w:id="132" w:name="_Toc521845445"/>
      <w:r>
        <w:rPr>
          <w:rFonts w:hint="eastAsia"/>
          <w:color w:val="000000" w:themeColor="text1"/>
          <w:kern w:val="0"/>
          <w:sz w:val="24"/>
          <w:szCs w:val="20"/>
          <w14:textFill>
            <w14:solidFill>
              <w14:schemeClr w14:val="tx1"/>
            </w14:solidFill>
          </w14:textFill>
        </w:rPr>
        <w:t>（2）</w:t>
      </w:r>
      <w:r>
        <w:rPr>
          <w:color w:val="000000" w:themeColor="text1"/>
          <w:kern w:val="0"/>
          <w:sz w:val="24"/>
          <w:szCs w:val="20"/>
          <w14:textFill>
            <w14:solidFill>
              <w14:schemeClr w14:val="tx1"/>
            </w14:solidFill>
          </w14:textFill>
        </w:rPr>
        <w:t>地下水水质模型</w:t>
      </w:r>
      <w:bookmarkEnd w:id="132"/>
    </w:p>
    <w:p>
      <w:pPr>
        <w:widowControl/>
        <w:adjustRightInd w:val="0"/>
        <w:snapToGrid w:val="0"/>
        <w:spacing w:line="520" w:lineRule="exact"/>
        <w:ind w:firstLine="480" w:firstLineChars="200"/>
        <w:jc w:val="left"/>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溶质运移的水动力弥散方程的数学模型如下：</w:t>
      </w:r>
    </w:p>
    <w:p>
      <w:pPr>
        <w:spacing w:line="360" w:lineRule="auto"/>
        <w:ind w:firstLine="420" w:firstLineChars="200"/>
        <w:rPr>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4371975" cy="419100"/>
            <wp:effectExtent l="0" t="0" r="9525" b="0"/>
            <wp:docPr id="78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51"/>
                    <pic:cNvPicPr>
                      <a:picLocks noChangeAspect="1" noChangeArrowheads="1"/>
                    </pic:cNvPicPr>
                  </pic:nvPicPr>
                  <pic:blipFill>
                    <a:blip r:embed="rId107"/>
                    <a:srcRect/>
                    <a:stretch>
                      <a:fillRect/>
                    </a:stretch>
                  </pic:blipFill>
                  <pic:spPr>
                    <a:xfrm>
                      <a:off x="0" y="0"/>
                      <a:ext cx="4371975" cy="419100"/>
                    </a:xfrm>
                    <a:prstGeom prst="rect">
                      <a:avLst/>
                    </a:prstGeom>
                    <a:noFill/>
                    <a:ln w="9525">
                      <a:noFill/>
                      <a:miter lim="800000"/>
                      <a:headEnd/>
                      <a:tailEnd/>
                    </a:ln>
                  </pic:spPr>
                </pic:pic>
              </a:graphicData>
            </a:graphic>
          </wp:inline>
        </w:drawing>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（1）</w:t>
      </w:r>
    </w:p>
    <w:p>
      <w:pPr>
        <w:widowControl/>
        <w:spacing w:line="360" w:lineRule="auto"/>
        <w:ind w:firstLine="48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571875" cy="200025"/>
            <wp:effectExtent l="0" t="0" r="9525" b="7620"/>
            <wp:docPr id="78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50"/>
                    <pic:cNvPicPr>
                      <a:picLocks noChangeAspect="1" noChangeArrowheads="1"/>
                    </pic:cNvPicPr>
                  </pic:nvPicPr>
                  <pic:blipFill>
                    <a:blip r:embed="rId108"/>
                    <a:srcRect/>
                    <a:stretch>
                      <a:fillRect/>
                    </a:stretch>
                  </pic:blipFill>
                  <pic:spPr>
                    <a:xfrm>
                      <a:off x="0" y="0"/>
                      <a:ext cx="3571875" cy="200025"/>
                    </a:xfrm>
                    <a:prstGeom prst="rect">
                      <a:avLst/>
                    </a:prstGeom>
                    <a:noFill/>
                    <a:ln w="9525">
                      <a:noFill/>
                      <a:miter lim="800000"/>
                      <a:headEnd/>
                      <a:tailEnd/>
                    </a:ln>
                  </pic:spPr>
                </pic:pic>
              </a:graphicData>
            </a:graphic>
          </wp:inline>
        </w:drawing>
      </w:r>
      <w:r>
        <w:rPr>
          <w:color w:val="000000" w:themeColor="text1"/>
          <w:kern w:val="0"/>
          <w:sz w:val="24"/>
          <w14:textFill>
            <w14:solidFill>
              <w14:schemeClr w14:val="tx1"/>
            </w14:solidFill>
          </w14:textFill>
        </w:rPr>
        <w:t>（2）</w:t>
      </w:r>
    </w:p>
    <w:p>
      <w:pPr>
        <w:widowControl/>
        <w:spacing w:line="360" w:lineRule="auto"/>
        <w:ind w:firstLine="48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609975" cy="257175"/>
            <wp:effectExtent l="0" t="0" r="9525" b="8255"/>
            <wp:docPr id="7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49"/>
                    <pic:cNvPicPr>
                      <a:picLocks noChangeAspect="1" noChangeArrowheads="1"/>
                    </pic:cNvPicPr>
                  </pic:nvPicPr>
                  <pic:blipFill>
                    <a:blip r:embed="rId109"/>
                    <a:srcRect/>
                    <a:stretch>
                      <a:fillRect/>
                    </a:stretch>
                  </pic:blipFill>
                  <pic:spPr>
                    <a:xfrm>
                      <a:off x="0" y="0"/>
                      <a:ext cx="3609975" cy="257175"/>
                    </a:xfrm>
                    <a:prstGeom prst="rect">
                      <a:avLst/>
                    </a:prstGeom>
                    <a:noFill/>
                    <a:ln w="9525">
                      <a:noFill/>
                      <a:miter lim="800000"/>
                      <a:headEnd/>
                      <a:tailEnd/>
                    </a:ln>
                  </pic:spPr>
                </pic:pic>
              </a:graphicData>
            </a:graphic>
          </wp:inline>
        </w:drawing>
      </w:r>
      <w:r>
        <w:rPr>
          <w:color w:val="000000" w:themeColor="text1"/>
          <w:kern w:val="0"/>
          <w:sz w:val="24"/>
          <w14:textFill>
            <w14:solidFill>
              <w14:schemeClr w14:val="tx1"/>
            </w14:solidFill>
          </w14:textFill>
        </w:rPr>
        <w:t>（3）</w:t>
      </w:r>
    </w:p>
    <w:p>
      <w:pPr>
        <w:widowControl/>
        <w:adjustRightInd w:val="0"/>
        <w:snapToGrid w:val="0"/>
        <w:spacing w:line="50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w:t>
      </w:r>
      <w:r>
        <w:rPr>
          <w:rFonts w:hint="eastAsia"/>
          <w:color w:val="000000" w:themeColor="text1"/>
          <w:kern w:val="0"/>
          <w:sz w:val="24"/>
          <w:szCs w:val="20"/>
          <w14:textFill>
            <w14:solidFill>
              <w14:schemeClr w14:val="tx1"/>
            </w14:solidFill>
          </w14:textFill>
        </w:rPr>
        <w:t>（1）</w:t>
      </w:r>
      <w:r>
        <w:rPr>
          <w:color w:val="000000" w:themeColor="text1"/>
          <w:kern w:val="0"/>
          <w:sz w:val="24"/>
          <w:szCs w:val="20"/>
          <w14:textFill>
            <w14:solidFill>
              <w14:schemeClr w14:val="tx1"/>
            </w14:solidFill>
          </w14:textFill>
        </w:rPr>
        <w:t>中，右端前三项为弥散项，后三项为对流项，最后为由于化学反应或吸附解析所产生的溶质的增量；</w:t>
      </w:r>
      <w:r>
        <w:rPr>
          <w:color w:val="000000" w:themeColor="text1"/>
          <w:kern w:val="0"/>
          <w:sz w:val="24"/>
          <w:szCs w:val="20"/>
          <w14:textFill>
            <w14:solidFill>
              <w14:schemeClr w14:val="tx1"/>
            </w14:solidFill>
          </w14:textFill>
        </w:rPr>
        <w:drawing>
          <wp:inline distT="0" distB="0" distL="0" distR="0">
            <wp:extent cx="914400" cy="190500"/>
            <wp:effectExtent l="0" t="0" r="0" b="0"/>
            <wp:docPr id="113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图片 48"/>
                    <pic:cNvPicPr>
                      <a:picLocks noChangeAspect="1" noChangeArrowheads="1"/>
                    </pic:cNvPicPr>
                  </pic:nvPicPr>
                  <pic:blipFill>
                    <a:blip r:embed="rId110"/>
                    <a:srcRect/>
                    <a:stretch>
                      <a:fillRect/>
                    </a:stretch>
                  </pic:blipFill>
                  <pic:spPr>
                    <a:xfrm>
                      <a:off x="0" y="0"/>
                      <a:ext cx="914400" cy="190500"/>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分别为</w:t>
      </w:r>
      <w:r>
        <w:rPr>
          <w:color w:val="000000" w:themeColor="text1"/>
          <w:kern w:val="0"/>
          <w:sz w:val="24"/>
          <w:szCs w:val="20"/>
          <w14:textFill>
            <w14:solidFill>
              <w14:schemeClr w14:val="tx1"/>
            </w14:solidFill>
          </w14:textFill>
        </w:rPr>
        <w:drawing>
          <wp:inline distT="0" distB="0" distL="0" distR="0">
            <wp:extent cx="371475" cy="152400"/>
            <wp:effectExtent l="0" t="0" r="9525" b="0"/>
            <wp:docPr id="113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图片 47"/>
                    <pic:cNvPicPr>
                      <a:picLocks noChangeAspect="1" noChangeArrowheads="1"/>
                    </pic:cNvPicPr>
                  </pic:nvPicPr>
                  <pic:blipFill>
                    <a:blip r:embed="rId101"/>
                    <a:srcRect/>
                    <a:stretch>
                      <a:fillRect/>
                    </a:stretch>
                  </pic:blipFill>
                  <pic:spPr>
                    <a:xfrm>
                      <a:off x="0" y="0"/>
                      <a:ext cx="371475" cy="152400"/>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三个主方向的弥散系数；</w:t>
      </w:r>
      <w:r>
        <w:rPr>
          <w:color w:val="000000" w:themeColor="text1"/>
          <w:kern w:val="0"/>
          <w:sz w:val="24"/>
          <w:szCs w:val="20"/>
          <w14:textFill>
            <w14:solidFill>
              <w14:schemeClr w14:val="tx1"/>
            </w14:solidFill>
          </w14:textFill>
        </w:rPr>
        <w:drawing>
          <wp:inline distT="0" distB="0" distL="0" distR="0">
            <wp:extent cx="611505" cy="219075"/>
            <wp:effectExtent l="0" t="0" r="17145" b="6350"/>
            <wp:docPr id="113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图片 46"/>
                    <pic:cNvPicPr>
                      <a:picLocks noChangeAspect="1" noChangeArrowheads="1"/>
                    </pic:cNvPicPr>
                  </pic:nvPicPr>
                  <pic:blipFill>
                    <a:blip r:embed="rId111"/>
                    <a:srcRect/>
                    <a:stretch>
                      <a:fillRect/>
                    </a:stretch>
                  </pic:blipFill>
                  <pic:spPr>
                    <a:xfrm>
                      <a:off x="0" y="0"/>
                      <a:ext cx="611505" cy="219075"/>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为</w:t>
      </w:r>
      <w:r>
        <w:rPr>
          <w:color w:val="000000" w:themeColor="text1"/>
          <w:kern w:val="0"/>
          <w:sz w:val="24"/>
          <w:szCs w:val="20"/>
          <w14:textFill>
            <w14:solidFill>
              <w14:schemeClr w14:val="tx1"/>
            </w14:solidFill>
          </w14:textFill>
        </w:rPr>
        <w:drawing>
          <wp:inline distT="0" distB="0" distL="0" distR="0">
            <wp:extent cx="371475" cy="152400"/>
            <wp:effectExtent l="0" t="0" r="9525" b="0"/>
            <wp:docPr id="113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图片 45"/>
                    <pic:cNvPicPr>
                      <a:picLocks noChangeAspect="1" noChangeArrowheads="1"/>
                    </pic:cNvPicPr>
                  </pic:nvPicPr>
                  <pic:blipFill>
                    <a:blip r:embed="rId101"/>
                    <a:srcRect/>
                    <a:stretch>
                      <a:fillRect/>
                    </a:stretch>
                  </pic:blipFill>
                  <pic:spPr>
                    <a:xfrm>
                      <a:off x="0" y="0"/>
                      <a:ext cx="371475" cy="152400"/>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方向的实际水流速度；</w:t>
      </w:r>
      <w:r>
        <w:rPr>
          <w:color w:val="000000" w:themeColor="text1"/>
          <w:kern w:val="0"/>
          <w:sz w:val="24"/>
          <w:szCs w:val="20"/>
          <w14:textFill>
            <w14:solidFill>
              <w14:schemeClr w14:val="tx1"/>
            </w14:solidFill>
          </w14:textFill>
        </w:rPr>
        <w:drawing>
          <wp:inline distT="0" distB="0" distL="0" distR="0">
            <wp:extent cx="114300" cy="123825"/>
            <wp:effectExtent l="0" t="0" r="0" b="8255"/>
            <wp:docPr id="113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图片 44"/>
                    <pic:cNvPicPr>
                      <a:picLocks noChangeAspect="1" noChangeArrowheads="1"/>
                    </pic:cNvPicPr>
                  </pic:nvPicPr>
                  <pic:blipFill>
                    <a:blip r:embed="rId112"/>
                    <a:srcRect/>
                    <a:stretch>
                      <a:fillRect/>
                    </a:stretch>
                  </pic:blipFill>
                  <pic:spPr>
                    <a:xfrm>
                      <a:off x="0" y="0"/>
                      <a:ext cx="114300" cy="123825"/>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为溶质浓度。</w:t>
      </w:r>
    </w:p>
    <w:p>
      <w:pPr>
        <w:widowControl/>
        <w:adjustRightInd w:val="0"/>
        <w:snapToGrid w:val="0"/>
        <w:spacing w:line="50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w:t>
      </w:r>
      <w:r>
        <w:rPr>
          <w:rFonts w:hint="eastAsia"/>
          <w:color w:val="000000" w:themeColor="text1"/>
          <w:kern w:val="0"/>
          <w:sz w:val="24"/>
          <w:szCs w:val="20"/>
          <w14:textFill>
            <w14:solidFill>
              <w14:schemeClr w14:val="tx1"/>
            </w14:solidFill>
          </w14:textFill>
        </w:rPr>
        <w:t>（2）</w:t>
      </w:r>
      <w:r>
        <w:rPr>
          <w:color w:val="000000" w:themeColor="text1"/>
          <w:kern w:val="0"/>
          <w:sz w:val="24"/>
          <w:szCs w:val="20"/>
          <w14:textFill>
            <w14:solidFill>
              <w14:schemeClr w14:val="tx1"/>
            </w14:solidFill>
          </w14:textFill>
        </w:rPr>
        <w:t>和式</w:t>
      </w:r>
      <w:r>
        <w:rPr>
          <w:rFonts w:hint="eastAsia"/>
          <w:color w:val="000000" w:themeColor="text1"/>
          <w:kern w:val="0"/>
          <w:sz w:val="24"/>
          <w:szCs w:val="20"/>
          <w14:textFill>
            <w14:solidFill>
              <w14:schemeClr w14:val="tx1"/>
            </w14:solidFill>
          </w14:textFill>
        </w:rPr>
        <w:t>（3）</w:t>
      </w:r>
      <w:r>
        <w:rPr>
          <w:color w:val="000000" w:themeColor="text1"/>
          <w:kern w:val="0"/>
          <w:sz w:val="24"/>
          <w:szCs w:val="20"/>
          <w14:textFill>
            <w14:solidFill>
              <w14:schemeClr w14:val="tx1"/>
            </w14:solidFill>
          </w14:textFill>
        </w:rPr>
        <w:t>中，</w:t>
      </w:r>
      <w:r>
        <w:rPr>
          <w:color w:val="000000" w:themeColor="text1"/>
          <w:kern w:val="0"/>
          <w:sz w:val="24"/>
          <w:szCs w:val="20"/>
          <w14:textFill>
            <w14:solidFill>
              <w14:schemeClr w14:val="tx1"/>
            </w14:solidFill>
          </w14:textFill>
        </w:rPr>
        <w:drawing>
          <wp:inline distT="0" distB="0" distL="0" distR="0">
            <wp:extent cx="161925" cy="161925"/>
            <wp:effectExtent l="19050" t="0" r="0" b="0"/>
            <wp:docPr id="113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图片 43"/>
                    <pic:cNvPicPr>
                      <a:picLocks noChangeAspect="1" noChangeArrowheads="1"/>
                    </pic:cNvPicPr>
                  </pic:nvPicPr>
                  <pic:blipFill>
                    <a:blip r:embed="rId97"/>
                    <a:srcRect/>
                    <a:stretch>
                      <a:fillRect/>
                    </a:stretch>
                  </pic:blipFill>
                  <pic:spPr>
                    <a:xfrm>
                      <a:off x="0" y="0"/>
                      <a:ext cx="161925" cy="161925"/>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为溶质渗流的区域；</w:t>
      </w:r>
      <w:r>
        <w:rPr>
          <w:color w:val="000000" w:themeColor="text1"/>
          <w:kern w:val="0"/>
          <w:sz w:val="24"/>
          <w:szCs w:val="20"/>
          <w14:textFill>
            <w14:solidFill>
              <w14:schemeClr w14:val="tx1"/>
            </w14:solidFill>
          </w14:textFill>
        </w:rPr>
        <w:drawing>
          <wp:inline distT="0" distB="0" distL="0" distR="0">
            <wp:extent cx="180975" cy="200025"/>
            <wp:effectExtent l="0" t="0" r="9525" b="7620"/>
            <wp:docPr id="113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图片 42"/>
                    <pic:cNvPicPr>
                      <a:picLocks noChangeAspect="1" noChangeArrowheads="1"/>
                    </pic:cNvPicPr>
                  </pic:nvPicPr>
                  <pic:blipFill>
                    <a:blip r:embed="rId113"/>
                    <a:srcRect/>
                    <a:stretch>
                      <a:fillRect/>
                    </a:stretch>
                  </pic:blipFill>
                  <pic:spPr>
                    <a:xfrm>
                      <a:off x="0" y="0"/>
                      <a:ext cx="180975" cy="200025"/>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为二类边界；</w:t>
      </w:r>
      <w:r>
        <w:rPr>
          <w:color w:val="000000" w:themeColor="text1"/>
          <w:kern w:val="0"/>
          <w:sz w:val="24"/>
          <w:szCs w:val="20"/>
          <w14:textFill>
            <w14:solidFill>
              <w14:schemeClr w14:val="tx1"/>
            </w14:solidFill>
          </w14:textFill>
        </w:rPr>
        <w:drawing>
          <wp:inline distT="0" distB="0" distL="0" distR="0">
            <wp:extent cx="159385" cy="209550"/>
            <wp:effectExtent l="0" t="0" r="12065" b="0"/>
            <wp:docPr id="113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图片 41"/>
                    <pic:cNvPicPr>
                      <a:picLocks noChangeAspect="1" noChangeArrowheads="1"/>
                    </pic:cNvPicPr>
                  </pic:nvPicPr>
                  <pic:blipFill>
                    <a:blip r:embed="rId114"/>
                    <a:srcRect/>
                    <a:stretch>
                      <a:fillRect/>
                    </a:stretch>
                  </pic:blipFill>
                  <pic:spPr>
                    <a:xfrm>
                      <a:off x="0" y="0"/>
                      <a:ext cx="159385" cy="209550"/>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为初始浓度；</w:t>
      </w:r>
      <w:r>
        <w:rPr>
          <w:color w:val="000000" w:themeColor="text1"/>
          <w:kern w:val="0"/>
          <w:sz w:val="24"/>
          <w:szCs w:val="20"/>
          <w14:textFill>
            <w14:solidFill>
              <w14:schemeClr w14:val="tx1"/>
            </w14:solidFill>
          </w14:textFill>
        </w:rPr>
        <w:drawing>
          <wp:inline distT="0" distB="0" distL="0" distR="0">
            <wp:extent cx="123825" cy="161925"/>
            <wp:effectExtent l="0" t="0" r="9525" b="0"/>
            <wp:docPr id="11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图片 40"/>
                    <pic:cNvPicPr>
                      <a:picLocks noChangeAspect="1" noChangeArrowheads="1"/>
                    </pic:cNvPicPr>
                  </pic:nvPicPr>
                  <pic:blipFill>
                    <a:blip r:embed="rId115"/>
                    <a:srcRect/>
                    <a:stretch>
                      <a:fillRect/>
                    </a:stretch>
                  </pic:blipFill>
                  <pic:spPr>
                    <a:xfrm>
                      <a:off x="0" y="0"/>
                      <a:ext cx="123825" cy="161925"/>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为边界溶质通量；</w:t>
      </w:r>
      <w:r>
        <w:rPr>
          <w:color w:val="000000" w:themeColor="text1"/>
          <w:kern w:val="0"/>
          <w:sz w:val="24"/>
          <w:szCs w:val="20"/>
          <w14:textFill>
            <w14:solidFill>
              <w14:schemeClr w14:val="tx1"/>
            </w14:solidFill>
          </w14:textFill>
        </w:rPr>
        <w:drawing>
          <wp:inline distT="0" distB="0" distL="0" distR="0">
            <wp:extent cx="114300" cy="161925"/>
            <wp:effectExtent l="0" t="0" r="0" b="6350"/>
            <wp:docPr id="11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图片 39"/>
                    <pic:cNvPicPr>
                      <a:picLocks noChangeAspect="1" noChangeArrowheads="1"/>
                    </pic:cNvPicPr>
                  </pic:nvPicPr>
                  <pic:blipFill>
                    <a:blip r:embed="rId116"/>
                    <a:srcRect/>
                    <a:stretch>
                      <a:fillRect/>
                    </a:stretch>
                  </pic:blipFill>
                  <pic:spPr>
                    <a:xfrm>
                      <a:off x="0" y="0"/>
                      <a:ext cx="114300" cy="161925"/>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为渗流速度；</w:t>
      </w:r>
      <w:r>
        <w:rPr>
          <w:color w:val="000000" w:themeColor="text1"/>
          <w:kern w:val="0"/>
          <w:sz w:val="24"/>
          <w:szCs w:val="20"/>
          <w14:textFill>
            <w14:solidFill>
              <w14:schemeClr w14:val="tx1"/>
            </w14:solidFill>
          </w14:textFill>
        </w:rPr>
        <w:drawing>
          <wp:inline distT="0" distB="0" distL="0" distR="0">
            <wp:extent cx="381000" cy="190500"/>
            <wp:effectExtent l="19050" t="0" r="0" b="0"/>
            <wp:docPr id="11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图片 38"/>
                    <pic:cNvPicPr>
                      <a:picLocks noChangeAspect="1" noChangeArrowheads="1"/>
                    </pic:cNvPicPr>
                  </pic:nvPicPr>
                  <pic:blipFill>
                    <a:blip r:embed="rId117"/>
                    <a:srcRect/>
                    <a:stretch>
                      <a:fillRect/>
                    </a:stretch>
                  </pic:blipFill>
                  <pic:spPr>
                    <a:xfrm>
                      <a:off x="0" y="0"/>
                      <a:ext cx="381000" cy="190500"/>
                    </a:xfrm>
                    <a:prstGeom prst="rect">
                      <a:avLst/>
                    </a:prstGeom>
                    <a:noFill/>
                    <a:ln w="9525">
                      <a:noFill/>
                      <a:miter lim="800000"/>
                      <a:headEnd/>
                      <a:tailEnd/>
                    </a:ln>
                  </pic:spPr>
                </pic:pic>
              </a:graphicData>
            </a:graphic>
          </wp:inline>
        </w:drawing>
      </w:r>
      <w:r>
        <w:rPr>
          <w:color w:val="000000" w:themeColor="text1"/>
          <w:kern w:val="0"/>
          <w:sz w:val="24"/>
          <w:szCs w:val="20"/>
          <w14:textFill>
            <w14:solidFill>
              <w14:schemeClr w14:val="tx1"/>
            </w14:solidFill>
          </w14:textFill>
        </w:rPr>
        <w:t>为浓度梯度</w:t>
      </w:r>
      <w:r>
        <w:rPr>
          <w:rFonts w:hint="eastAsia"/>
          <w:color w:val="000000" w:themeColor="text1"/>
          <w:kern w:val="0"/>
          <w:sz w:val="24"/>
          <w:szCs w:val="20"/>
          <w14:textFill>
            <w14:solidFill>
              <w14:schemeClr w14:val="tx1"/>
            </w14:solidFill>
          </w14:textFill>
        </w:rPr>
        <w:t>。</w:t>
      </w:r>
    </w:p>
    <w:p>
      <w:pPr>
        <w:pStyle w:val="460"/>
      </w:pPr>
      <w:r>
        <w:rPr>
          <w:rFonts w:hint="eastAsia"/>
        </w:rPr>
        <w:t>5</w:t>
      </w:r>
      <w:r>
        <w:t xml:space="preserve">.4.7.3 </w:t>
      </w:r>
      <w:r>
        <w:rPr>
          <w:rFonts w:hint="eastAsia"/>
        </w:rPr>
        <w:t>地下水流数值模型的建立</w:t>
      </w:r>
    </w:p>
    <w:p>
      <w:pPr>
        <w:widowControl/>
        <w:adjustRightInd w:val="0"/>
        <w:snapToGrid w:val="0"/>
        <w:spacing w:line="500" w:lineRule="exact"/>
        <w:ind w:firstLine="480" w:firstLineChars="200"/>
        <w:jc w:val="left"/>
        <w:textAlignment w:val="baseline"/>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（1）</w:t>
      </w:r>
      <w:r>
        <w:rPr>
          <w:color w:val="000000" w:themeColor="text1"/>
          <w:kern w:val="0"/>
          <w:sz w:val="24"/>
          <w:szCs w:val="20"/>
          <w14:textFill>
            <w14:solidFill>
              <w14:schemeClr w14:val="tx1"/>
            </w14:solidFill>
          </w14:textFill>
        </w:rPr>
        <w:t>模型软件</w:t>
      </w:r>
    </w:p>
    <w:p>
      <w:pPr>
        <w:widowControl/>
        <w:adjustRightInd w:val="0"/>
        <w:snapToGrid w:val="0"/>
        <w:spacing w:line="50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本次模拟采用加拿大 WaterlooHydrogeologic公司（WHI）开发 VisualMODFLOW4.2软件。</w:t>
      </w:r>
    </w:p>
    <w:p>
      <w:pPr>
        <w:widowControl/>
        <w:adjustRightInd w:val="0"/>
        <w:snapToGrid w:val="0"/>
        <w:spacing w:line="500" w:lineRule="exact"/>
        <w:ind w:firstLine="480" w:firstLineChars="200"/>
        <w:jc w:val="left"/>
        <w:textAlignment w:val="baseline"/>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（2）</w:t>
      </w:r>
      <w:r>
        <w:rPr>
          <w:color w:val="000000" w:themeColor="text1"/>
          <w:kern w:val="0"/>
          <w:sz w:val="24"/>
          <w:szCs w:val="20"/>
          <w14:textFill>
            <w14:solidFill>
              <w14:schemeClr w14:val="tx1"/>
            </w14:solidFill>
          </w14:textFill>
        </w:rPr>
        <w:t>区域剖分</w:t>
      </w:r>
    </w:p>
    <w:p>
      <w:pPr>
        <w:widowControl/>
        <w:adjustRightInd w:val="0"/>
        <w:snapToGrid w:val="0"/>
        <w:spacing w:line="500" w:lineRule="exact"/>
        <w:ind w:firstLine="480" w:firstLineChars="200"/>
        <w:jc w:val="left"/>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对整个区域模型采用不等距矩形网格剖分，其中厂区进行局部加密剖分，其他区域等距离剖分，剖分为43行44列，共剖分矩形网格单元1892个，其中有效单元1307个，无效单元585个。模拟区网格剖分见</w:t>
      </w:r>
      <w:r>
        <w:rPr>
          <w:rFonts w:hint="eastAsia"/>
          <w:color w:val="000000" w:themeColor="text1"/>
          <w:kern w:val="0"/>
          <w:sz w:val="24"/>
          <w:szCs w:val="20"/>
          <w14:textFill>
            <w14:solidFill>
              <w14:schemeClr w14:val="tx1"/>
            </w14:solidFill>
          </w14:textFill>
        </w:rPr>
        <w:t>下图</w:t>
      </w:r>
      <w:r>
        <w:rPr>
          <w:color w:val="000000" w:themeColor="text1"/>
          <w:kern w:val="0"/>
          <w:sz w:val="24"/>
          <w:szCs w:val="20"/>
          <w14:textFill>
            <w14:solidFill>
              <w14:schemeClr w14:val="tx1"/>
            </w14:solidFill>
          </w14:textFill>
        </w:rPr>
        <w:t>。</w:t>
      </w:r>
    </w:p>
    <w:p>
      <w:pPr>
        <w:spacing w:line="360" w:lineRule="auto"/>
        <w:jc w:val="center"/>
        <w:rPr>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4606925" cy="3653155"/>
            <wp:effectExtent l="0" t="0" r="3175" b="4445"/>
            <wp:docPr id="18932325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32519" name="图片 1"/>
                    <pic:cNvPicPr>
                      <a:picLocks noChangeAspect="1"/>
                    </pic:cNvPicPr>
                  </pic:nvPicPr>
                  <pic:blipFill>
                    <a:blip r:embed="rId118"/>
                    <a:srcRect l="5913" r="26551" b="4240"/>
                    <a:stretch>
                      <a:fillRect/>
                    </a:stretch>
                  </pic:blipFill>
                  <pic:spPr>
                    <a:xfrm>
                      <a:off x="0" y="0"/>
                      <a:ext cx="4618388" cy="3653155"/>
                    </a:xfrm>
                    <a:prstGeom prst="rect">
                      <a:avLst/>
                    </a:prstGeom>
                    <a:ln>
                      <a:noFill/>
                    </a:ln>
                  </pic:spPr>
                </pic:pic>
              </a:graphicData>
            </a:graphic>
          </wp:inline>
        </w:drawing>
      </w:r>
    </w:p>
    <w:p>
      <w:pPr>
        <w:ind w:firstLine="225" w:firstLineChars="94"/>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图5.4-15 模拟区网格剖分图</w:t>
      </w:r>
    </w:p>
    <w:p>
      <w:pPr>
        <w:spacing w:line="360" w:lineRule="auto"/>
        <w:jc w:val="center"/>
        <w:rPr>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4819650" cy="1819275"/>
            <wp:effectExtent l="0" t="0" r="0" b="9525"/>
            <wp:docPr id="2004994762" name="图片 1"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94762" name="图片 1" descr="图片包含 背景图案&#10;&#10;描述已自动生成"/>
                    <pic:cNvPicPr>
                      <a:picLocks noChangeAspect="1"/>
                    </pic:cNvPicPr>
                  </pic:nvPicPr>
                  <pic:blipFill>
                    <a:blip r:embed="rId119"/>
                    <a:stretch>
                      <a:fillRect/>
                    </a:stretch>
                  </pic:blipFill>
                  <pic:spPr>
                    <a:xfrm>
                      <a:off x="0" y="0"/>
                      <a:ext cx="4819650" cy="181927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w:t>
      </w:r>
      <w:r>
        <w:rPr>
          <w:rFonts w:hint="eastAsia"/>
          <w:color w:val="000000" w:themeColor="text1"/>
          <w:sz w:val="24"/>
          <w:szCs w:val="24"/>
          <w14:textFill>
            <w14:solidFill>
              <w14:schemeClr w14:val="tx1"/>
            </w14:solidFill>
          </w14:textFill>
        </w:rPr>
        <w:t>正视图</w:t>
      </w:r>
    </w:p>
    <w:p>
      <w:pPr>
        <w:spacing w:line="360" w:lineRule="auto"/>
        <w:jc w:val="center"/>
        <w:rPr>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4857750" cy="1447800"/>
            <wp:effectExtent l="0" t="0" r="0" b="0"/>
            <wp:docPr id="91173262" name="图片 1"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3262" name="图片 1" descr="背景图案&#10;&#10;描述已自动生成"/>
                    <pic:cNvPicPr>
                      <a:picLocks noChangeAspect="1"/>
                    </pic:cNvPicPr>
                  </pic:nvPicPr>
                  <pic:blipFill>
                    <a:blip r:embed="rId120"/>
                    <a:stretch>
                      <a:fillRect/>
                    </a:stretch>
                  </pic:blipFill>
                  <pic:spPr>
                    <a:xfrm>
                      <a:off x="0" y="0"/>
                      <a:ext cx="4857750" cy="1447800"/>
                    </a:xfrm>
                    <a:prstGeom prst="rect">
                      <a:avLst/>
                    </a:prstGeom>
                  </pic:spPr>
                </pic:pic>
              </a:graphicData>
            </a:graphic>
          </wp:inline>
        </w:drawing>
      </w:r>
    </w:p>
    <w:p>
      <w:pPr>
        <w:spacing w:line="360" w:lineRule="auto"/>
        <w:ind w:firstLine="48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b</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侧视图</w:t>
      </w:r>
    </w:p>
    <w:p>
      <w:pPr>
        <w:ind w:firstLine="225" w:firstLineChars="94"/>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图5.4-16 模型结构剖面示意图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边界条件</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由于模拟范围不是一个完整的水文地质单元，区内的地下水含水岩组在水平方向上与区外含水层存在着密切水力联系，同时考虑到</w:t>
      </w:r>
      <w:r>
        <w:rPr>
          <w:rFonts w:hint="eastAsia"/>
          <w:color w:val="000000" w:themeColor="text1"/>
          <w:kern w:val="0"/>
          <w:sz w:val="24"/>
          <w:szCs w:val="20"/>
          <w14:textFill>
            <w14:solidFill>
              <w14:schemeClr w14:val="tx1"/>
            </w14:solidFill>
          </w14:textFill>
        </w:rPr>
        <w:t>西北</w:t>
      </w:r>
      <w:r>
        <w:rPr>
          <w:color w:val="000000" w:themeColor="text1"/>
          <w:kern w:val="0"/>
          <w:sz w:val="24"/>
          <w:szCs w:val="20"/>
          <w14:textFill>
            <w14:solidFill>
              <w14:schemeClr w14:val="tx1"/>
            </w14:solidFill>
          </w14:textFill>
        </w:rPr>
        <w:t>部的</w:t>
      </w:r>
      <w:r>
        <w:rPr>
          <w:rFonts w:hint="eastAsia"/>
          <w:color w:val="000000" w:themeColor="text1"/>
          <w:kern w:val="0"/>
          <w:sz w:val="24"/>
          <w:szCs w:val="20"/>
          <w14:textFill>
            <w14:solidFill>
              <w14:schemeClr w14:val="tx1"/>
            </w14:solidFill>
          </w14:textFill>
        </w:rPr>
        <w:t>文岩渠、西</w:t>
      </w:r>
      <w:r>
        <w:rPr>
          <w:color w:val="000000" w:themeColor="text1"/>
          <w:kern w:val="0"/>
          <w:sz w:val="24"/>
          <w:szCs w:val="20"/>
          <w14:textFill>
            <w14:solidFill>
              <w14:schemeClr w14:val="tx1"/>
            </w14:solidFill>
          </w14:textFill>
        </w:rPr>
        <w:t>部的</w:t>
      </w:r>
      <w:r>
        <w:rPr>
          <w:rFonts w:hint="eastAsia"/>
          <w:color w:val="000000" w:themeColor="text1"/>
          <w:kern w:val="0"/>
          <w:sz w:val="24"/>
          <w:szCs w:val="20"/>
          <w14:textFill>
            <w14:solidFill>
              <w14:schemeClr w14:val="tx1"/>
            </w14:solidFill>
          </w14:textFill>
        </w:rPr>
        <w:t>新一干渠、西南部的天然二支渠、东南和东部的西关排</w:t>
      </w:r>
      <w:r>
        <w:rPr>
          <w:color w:val="000000" w:themeColor="text1"/>
          <w:kern w:val="0"/>
          <w:sz w:val="24"/>
          <w:szCs w:val="20"/>
          <w14:textFill>
            <w14:solidFill>
              <w14:schemeClr w14:val="tx1"/>
            </w14:solidFill>
          </w14:textFill>
        </w:rPr>
        <w:t>与地下水联系密切，故将研究区东部以</w:t>
      </w:r>
      <w:r>
        <w:rPr>
          <w:rFonts w:hint="eastAsia"/>
          <w:color w:val="000000" w:themeColor="text1"/>
          <w:kern w:val="0"/>
          <w:sz w:val="24"/>
          <w:szCs w:val="20"/>
          <w14:textFill>
            <w14:solidFill>
              <w14:schemeClr w14:val="tx1"/>
            </w14:solidFill>
          </w14:textFill>
        </w:rPr>
        <w:t>西关排</w:t>
      </w:r>
      <w:r>
        <w:rPr>
          <w:color w:val="000000" w:themeColor="text1"/>
          <w:kern w:val="0"/>
          <w:sz w:val="24"/>
          <w:szCs w:val="20"/>
          <w14:textFill>
            <w14:solidFill>
              <w14:schemeClr w14:val="tx1"/>
            </w14:solidFill>
          </w14:textFill>
        </w:rPr>
        <w:t>为界，</w:t>
      </w:r>
      <w:r>
        <w:rPr>
          <w:rFonts w:hint="eastAsia"/>
          <w:color w:val="000000" w:themeColor="text1"/>
          <w:kern w:val="0"/>
          <w:sz w:val="24"/>
          <w:szCs w:val="20"/>
          <w14:textFill>
            <w14:solidFill>
              <w14:schemeClr w14:val="tx1"/>
            </w14:solidFill>
          </w14:textFill>
        </w:rPr>
        <w:t>南部以天然二支渠和西关排为边界，西部以新一干渠为边界、</w:t>
      </w:r>
      <w:r>
        <w:rPr>
          <w:color w:val="000000" w:themeColor="text1"/>
          <w:kern w:val="0"/>
          <w:sz w:val="24"/>
          <w:szCs w:val="20"/>
          <w14:textFill>
            <w14:solidFill>
              <w14:schemeClr w14:val="tx1"/>
            </w14:solidFill>
          </w14:textFill>
        </w:rPr>
        <w:t>西北部以</w:t>
      </w:r>
      <w:r>
        <w:rPr>
          <w:rFonts w:hint="eastAsia"/>
          <w:color w:val="000000" w:themeColor="text1"/>
          <w:kern w:val="0"/>
          <w:sz w:val="24"/>
          <w:szCs w:val="20"/>
          <w14:textFill>
            <w14:solidFill>
              <w14:schemeClr w14:val="tx1"/>
            </w14:solidFill>
          </w14:textFill>
        </w:rPr>
        <w:t>文岩渠</w:t>
      </w:r>
      <w:r>
        <w:rPr>
          <w:color w:val="000000" w:themeColor="text1"/>
          <w:kern w:val="0"/>
          <w:sz w:val="24"/>
          <w:szCs w:val="20"/>
          <w14:textFill>
            <w14:solidFill>
              <w14:schemeClr w14:val="tx1"/>
            </w14:solidFill>
          </w14:textFill>
        </w:rPr>
        <w:t>为边界，成为含水层的补给边界；</w:t>
      </w:r>
      <w:r>
        <w:rPr>
          <w:rFonts w:hint="eastAsia"/>
          <w:color w:val="000000" w:themeColor="text1"/>
          <w:kern w:val="0"/>
          <w:sz w:val="24"/>
          <w:szCs w:val="20"/>
          <w14:textFill>
            <w14:solidFill>
              <w14:schemeClr w14:val="tx1"/>
            </w14:solidFill>
          </w14:textFill>
        </w:rPr>
        <w:t>东北</w:t>
      </w:r>
      <w:r>
        <w:rPr>
          <w:color w:val="000000" w:themeColor="text1"/>
          <w:kern w:val="0"/>
          <w:sz w:val="24"/>
          <w:szCs w:val="20"/>
          <w14:textFill>
            <w14:solidFill>
              <w14:schemeClr w14:val="tx1"/>
            </w14:solidFill>
          </w14:textFill>
        </w:rPr>
        <w:t>部概化为流量边界。因此，研究边界条件均采用流量边界，其补给量或排泄量采用通用水头边界来处理，通过GHB子程序包自动计算边界补给量或排泄量。</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在垂向上，浅层含水层自由水面为系统的上边界，通过该边界，浅层地下水与系统外发生垂向交换。根据区内钻孔资料统计，浅层含水岩组上部包气带岩性主要为粉质粘土</w:t>
      </w:r>
      <w:r>
        <w:rPr>
          <w:rFonts w:hint="eastAsia"/>
          <w:color w:val="000000" w:themeColor="text1"/>
          <w:kern w:val="0"/>
          <w:sz w:val="24"/>
          <w:szCs w:val="20"/>
          <w14:textFill>
            <w14:solidFill>
              <w14:schemeClr w14:val="tx1"/>
            </w14:solidFill>
          </w14:textFill>
        </w:rPr>
        <w:t>夹粉土</w:t>
      </w:r>
      <w:r>
        <w:rPr>
          <w:color w:val="000000" w:themeColor="text1"/>
          <w:kern w:val="0"/>
          <w:sz w:val="24"/>
          <w:szCs w:val="20"/>
          <w14:textFill>
            <w14:solidFill>
              <w14:schemeClr w14:val="tx1"/>
            </w14:solidFill>
          </w14:textFill>
        </w:rPr>
        <w:t>，接受大气降水补给。由于深层含水层与浅层含水层之间有稳定的粘土层相隔，水力联系不密切。同时鉴于本次地下水数值模拟目的是在地下水识别模型的基础上预测规划区在正常和事故条件下地下水污染的时空分布特征，因此，此次建立工作区域的浅层含水层的数值模型，将浅层含水层和中深层含水层之间的粘土层当作模型的隔水底板。垂直方向上，模型的上部边界以潜水面为界，与外界发生垂向水量交换，包括接受大气降水入渗补给、灌溉入渗补给、蒸发排泄、人工开采等。</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（4）</w:t>
      </w:r>
      <w:r>
        <w:rPr>
          <w:color w:val="000000" w:themeColor="text1"/>
          <w:kern w:val="0"/>
          <w:sz w:val="24"/>
          <w:szCs w:val="20"/>
          <w14:textFill>
            <w14:solidFill>
              <w14:schemeClr w14:val="tx1"/>
            </w14:solidFill>
          </w14:textFill>
        </w:rPr>
        <w:t>源汇项处理</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根据前期调查，模拟区的补给项主要有：降水入渗补给量、灌溉回归补给量和河流渗漏补给量。排泄项主要有：蒸发排泄量、地下水开采量和地下水侧向流出量。</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fldChar w:fldCharType="begin"/>
      </w:r>
      <w:r>
        <w:rPr>
          <w:color w:val="000000" w:themeColor="text1"/>
          <w:kern w:val="0"/>
          <w:sz w:val="24"/>
          <w:szCs w:val="20"/>
          <w14:textFill>
            <w14:solidFill>
              <w14:schemeClr w14:val="tx1"/>
            </w14:solidFill>
          </w14:textFill>
        </w:rPr>
        <w:instrText xml:space="preserve"> = 1 \* GB3 </w:instrText>
      </w:r>
      <w:r>
        <w:rPr>
          <w:color w:val="000000" w:themeColor="text1"/>
          <w:kern w:val="0"/>
          <w:sz w:val="24"/>
          <w:szCs w:val="20"/>
          <w14:textFill>
            <w14:solidFill>
              <w14:schemeClr w14:val="tx1"/>
            </w14:solidFill>
          </w14:textFill>
        </w:rPr>
        <w:fldChar w:fldCharType="separate"/>
      </w:r>
      <w:r>
        <w:rPr>
          <w:rFonts w:hint="eastAsia" w:ascii="宋体" w:hAnsi="宋体" w:cs="宋体"/>
          <w:color w:val="000000" w:themeColor="text1"/>
          <w:kern w:val="0"/>
          <w:sz w:val="24"/>
          <w:szCs w:val="20"/>
          <w14:textFill>
            <w14:solidFill>
              <w14:schemeClr w14:val="tx1"/>
            </w14:solidFill>
          </w14:textFill>
        </w:rPr>
        <w:t>①</w:t>
      </w:r>
      <w:r>
        <w:rPr>
          <w:color w:val="000000" w:themeColor="text1"/>
          <w:kern w:val="0"/>
          <w:sz w:val="24"/>
          <w:szCs w:val="20"/>
          <w14:textFill>
            <w14:solidFill>
              <w14:schemeClr w14:val="tx1"/>
            </w14:solidFill>
          </w14:textFill>
        </w:rPr>
        <w:fldChar w:fldCharType="end"/>
      </w:r>
      <w:r>
        <w:rPr>
          <w:color w:val="000000" w:themeColor="text1"/>
          <w:kern w:val="0"/>
          <w:sz w:val="24"/>
          <w:szCs w:val="20"/>
          <w14:textFill>
            <w14:solidFill>
              <w14:schemeClr w14:val="tx1"/>
            </w14:solidFill>
          </w14:textFill>
        </w:rPr>
        <w:t xml:space="preserve"> 降水入渗量</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降水入渗补给是浅层地下水的主要补给来源之一，MODFLOW模型提供了RCH子程序包来计算地下水面状入渗补给量，输入的参数有入渗补给强度和补给层位两项。降水入渗补给强度不仅与降水量的大小、降水类型有关，而且受地形、地表植被、地下水埋深、包气带岩性等因素影响，但RCH子程序包不能完全处理上述影响因素，需要通过外部预处理，计算得到降水入渗强度，并输入模型。本次研究，降水入渗强度的计算主要考虑包气带岩性，忽略其他因子的影响，降水入渗补给强度计算公式为：</w:t>
      </w:r>
    </w:p>
    <w:tbl>
      <w:tblPr>
        <w:tblStyle w:val="49"/>
        <w:tblW w:w="0" w:type="auto"/>
        <w:jc w:val="center"/>
        <w:tblLayout w:type="fixed"/>
        <w:tblCellMar>
          <w:top w:w="0" w:type="dxa"/>
          <w:left w:w="108" w:type="dxa"/>
          <w:bottom w:w="0" w:type="dxa"/>
          <w:right w:w="108" w:type="dxa"/>
        </w:tblCellMar>
      </w:tblPr>
      <w:tblGrid>
        <w:gridCol w:w="851"/>
        <w:gridCol w:w="6814"/>
        <w:gridCol w:w="850"/>
      </w:tblGrid>
      <w:tr>
        <w:tblPrEx>
          <w:tblCellMar>
            <w:top w:w="0" w:type="dxa"/>
            <w:left w:w="108" w:type="dxa"/>
            <w:bottom w:w="0" w:type="dxa"/>
            <w:right w:w="108" w:type="dxa"/>
          </w:tblCellMar>
        </w:tblPrEx>
        <w:trPr>
          <w:trHeight w:val="508" w:hRule="atLeast"/>
          <w:jc w:val="center"/>
        </w:trPr>
        <w:tc>
          <w:tcPr>
            <w:tcW w:w="851" w:type="dxa"/>
            <w:vAlign w:val="center"/>
          </w:tcPr>
          <w:p>
            <w:pPr>
              <w:adjustRightInd w:val="0"/>
              <w:snapToGrid w:val="0"/>
              <w:textAlignment w:val="baseline"/>
              <w:rPr>
                <w:color w:val="000000" w:themeColor="text1"/>
                <w:kern w:val="0"/>
                <w:sz w:val="24"/>
                <w:szCs w:val="20"/>
                <w14:textFill>
                  <w14:solidFill>
                    <w14:schemeClr w14:val="tx1"/>
                  </w14:solidFill>
                </w14:textFill>
              </w:rPr>
            </w:pPr>
          </w:p>
        </w:tc>
        <w:tc>
          <w:tcPr>
            <w:tcW w:w="6814" w:type="dxa"/>
            <w:vAlign w:val="center"/>
          </w:tcPr>
          <w:p>
            <w:pPr>
              <w:adjustRightInd w:val="0"/>
              <w:snapToGrid w:val="0"/>
              <w:textAlignment w:val="baseline"/>
              <w:rPr>
                <w:color w:val="000000" w:themeColor="text1"/>
                <w:kern w:val="0"/>
                <w:sz w:val="24"/>
                <w:szCs w:val="20"/>
                <w14:textFill>
                  <w14:solidFill>
                    <w14:schemeClr w14:val="tx1"/>
                  </w14:solidFill>
                </w14:textFill>
              </w:rPr>
            </w:pPr>
            <w:r>
              <w:rPr>
                <w:color w:val="000000" w:themeColor="text1"/>
                <w:sz w:val="24"/>
                <w:szCs w:val="24"/>
                <w14:textFill>
                  <w14:solidFill>
                    <w14:schemeClr w14:val="tx1"/>
                  </w14:solidFill>
                </w14:textFill>
              </w:rPr>
              <w:object>
                <v:shape id="_x0000_i1033" o:spt="75" alt="" type="#_x0000_t75" style="height:20.05pt;width:57.75pt;" o:ole="t" filled="f" o:preferrelative="t" stroked="f" coordsize="21600,21600">
                  <v:path/>
                  <v:fill on="f" focussize="0,0"/>
                  <v:stroke on="f"/>
                  <v:imagedata r:id="rId122" o:title=""/>
                  <o:lock v:ext="edit" aspectratio="t"/>
                  <w10:wrap type="none"/>
                  <w10:anchorlock/>
                </v:shape>
                <o:OLEObject Type="Embed" ProgID="Equation.DSMT4" ShapeID="_x0000_i1033" DrawAspect="Content" ObjectID="_1468075733" r:id="rId121">
                  <o:LockedField>false</o:LockedField>
                </o:OLEObject>
              </w:object>
            </w:r>
          </w:p>
        </w:tc>
        <w:tc>
          <w:tcPr>
            <w:tcW w:w="850" w:type="dxa"/>
            <w:vAlign w:val="center"/>
          </w:tcPr>
          <w:p>
            <w:pPr>
              <w:adjustRightInd w:val="0"/>
              <w:snapToGrid w:val="0"/>
              <w:textAlignment w:val="baseline"/>
              <w:rPr>
                <w:color w:val="000000" w:themeColor="text1"/>
                <w:kern w:val="0"/>
                <w:sz w:val="24"/>
                <w:szCs w:val="20"/>
                <w14:textFill>
                  <w14:solidFill>
                    <w14:schemeClr w14:val="tx1"/>
                  </w14:solidFill>
                </w14:textFill>
              </w:rPr>
            </w:pPr>
          </w:p>
        </w:tc>
      </w:tr>
    </w:tbl>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w:t>
      </w:r>
      <w:r>
        <w:rPr>
          <w:color w:val="000000" w:themeColor="text1"/>
          <w:kern w:val="0"/>
          <w:sz w:val="24"/>
          <w:szCs w:val="20"/>
          <w14:textFill>
            <w14:solidFill>
              <w14:schemeClr w14:val="tx1"/>
            </w14:solidFill>
          </w14:textFill>
        </w:rPr>
        <w:object>
          <v:shape id="_x0000_i1034" o:spt="75" alt="" type="#_x0000_t75" style="height:20.85pt;width:29.25pt;" o:ole="t" filled="f" o:preferrelative="t" stroked="f" coordsize="21600,21600">
            <v:path/>
            <v:fill on="f" focussize="0,0"/>
            <v:stroke on="f"/>
            <v:imagedata r:id="rId124" o:title=""/>
            <o:lock v:ext="edit" aspectratio="t"/>
            <w10:wrap type="none"/>
            <w10:anchorlock/>
          </v:shape>
          <o:OLEObject Type="Embed" ProgID="Equation.3" ShapeID="_x0000_i1034" DrawAspect="Content" ObjectID="_1468075734" r:id="rId123">
            <o:LockedField>false</o:LockedField>
          </o:OLEObject>
        </w:object>
      </w:r>
      <w:r>
        <w:rPr>
          <w:color w:val="000000" w:themeColor="text1"/>
          <w:kern w:val="0"/>
          <w:sz w:val="24"/>
          <w:szCs w:val="20"/>
          <w14:textFill>
            <w14:solidFill>
              <w14:schemeClr w14:val="tx1"/>
            </w14:solidFill>
          </w14:textFill>
        </w:rPr>
        <w:t>为降水入渗补给量强度，mm；</w:t>
      </w:r>
      <w:r>
        <w:rPr>
          <w:color w:val="000000" w:themeColor="text1"/>
          <w:kern w:val="0"/>
          <w:sz w:val="24"/>
          <w:szCs w:val="20"/>
          <w14:textFill>
            <w14:solidFill>
              <w14:schemeClr w14:val="tx1"/>
            </w14:solidFill>
          </w14:textFill>
        </w:rPr>
        <w:object>
          <v:shape id="_x0000_i1035" o:spt="75" alt="" type="#_x0000_t75" style="height:14.25pt;width:13.4pt;" o:ole="t" filled="f" o:preferrelative="t" stroked="f" coordsize="21600,21600">
            <v:path/>
            <v:fill on="f" focussize="0,0"/>
            <v:stroke on="f"/>
            <v:imagedata r:id="rId126" o:title=""/>
            <o:lock v:ext="edit" aspectratio="t"/>
            <w10:wrap type="none"/>
            <w10:anchorlock/>
          </v:shape>
          <o:OLEObject Type="Embed" ProgID="Equation.3" ShapeID="_x0000_i1035" DrawAspect="Content" ObjectID="_1468075735" r:id="rId125">
            <o:LockedField>false</o:LockedField>
          </o:OLEObject>
        </w:object>
      </w:r>
      <w:r>
        <w:rPr>
          <w:color w:val="000000" w:themeColor="text1"/>
          <w:kern w:val="0"/>
          <w:sz w:val="24"/>
          <w:szCs w:val="20"/>
          <w14:textFill>
            <w14:solidFill>
              <w14:schemeClr w14:val="tx1"/>
            </w14:solidFill>
          </w14:textFill>
        </w:rPr>
        <w:t>为降水量，mm；</w:t>
      </w:r>
      <w:r>
        <w:rPr>
          <w:color w:val="000000" w:themeColor="text1"/>
          <w:kern w:val="0"/>
          <w:sz w:val="24"/>
          <w:szCs w:val="20"/>
          <w14:textFill>
            <w14:solidFill>
              <w14:schemeClr w14:val="tx1"/>
            </w14:solidFill>
          </w14:textFill>
        </w:rPr>
        <w:object>
          <v:shape id="_x0000_i1036" o:spt="75" alt="" type="#_x0000_t75" style="height:13.35pt;width:14.25pt;" o:ole="t" filled="f" o:preferrelative="t" stroked="f" coordsize="21600,21600">
            <v:path/>
            <v:fill on="f" focussize="0,0"/>
            <v:stroke on="f"/>
            <v:imagedata r:id="rId128" o:title=""/>
            <o:lock v:ext="edit" aspectratio="t"/>
            <w10:wrap type="none"/>
            <w10:anchorlock/>
          </v:shape>
          <o:OLEObject Type="Embed" ProgID="Equation.3" ShapeID="_x0000_i1036" DrawAspect="Content" ObjectID="_1468075736" r:id="rId127">
            <o:LockedField>false</o:LockedField>
          </o:OLEObject>
        </w:object>
      </w:r>
      <w:r>
        <w:rPr>
          <w:color w:val="000000" w:themeColor="text1"/>
          <w:kern w:val="0"/>
          <w:sz w:val="24"/>
          <w:szCs w:val="20"/>
          <w14:textFill>
            <w14:solidFill>
              <w14:schemeClr w14:val="tx1"/>
            </w14:solidFill>
          </w14:textFill>
        </w:rPr>
        <w:t>为降水入渗补给系数。</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根据</w:t>
      </w:r>
      <w:r>
        <w:rPr>
          <w:color w:val="000000" w:themeColor="text1"/>
          <w:kern w:val="0"/>
          <w:sz w:val="24"/>
          <w:szCs w:val="20"/>
          <w14:textFill>
            <w14:solidFill>
              <w14:schemeClr w14:val="tx1"/>
            </w14:solidFill>
          </w14:textFill>
        </w:rPr>
        <w:t>已有的水文地质资料，模拟区域内的年均降雨</w:t>
      </w:r>
      <w:r>
        <w:rPr>
          <w:color w:val="000000" w:themeColor="text1"/>
          <w:spacing w:val="-17"/>
          <w:kern w:val="0"/>
          <w:sz w:val="24"/>
          <w:szCs w:val="20"/>
          <w14:textFill>
            <w14:solidFill>
              <w14:schemeClr w14:val="tx1"/>
            </w14:solidFill>
          </w14:textFill>
        </w:rPr>
        <w:t>量为</w:t>
      </w:r>
      <w:r>
        <w:rPr>
          <w:color w:val="000000" w:themeColor="text1"/>
          <w:kern w:val="0"/>
          <w:sz w:val="24"/>
          <w:szCs w:val="20"/>
          <w14:textFill>
            <w14:solidFill>
              <w14:schemeClr w14:val="tx1"/>
            </w14:solidFill>
          </w14:textFill>
        </w:rPr>
        <w:t>556</w:t>
      </w:r>
      <w:r>
        <w:rPr>
          <w:color w:val="000000" w:themeColor="text1"/>
          <w:spacing w:val="-8"/>
          <w:kern w:val="0"/>
          <w:sz w:val="24"/>
          <w:szCs w:val="20"/>
          <w14:textFill>
            <w14:solidFill>
              <w14:schemeClr w14:val="tx1"/>
            </w14:solidFill>
          </w14:textFill>
        </w:rPr>
        <w:t>mm</w:t>
      </w:r>
      <w:r>
        <w:rPr>
          <w:color w:val="000000" w:themeColor="text1"/>
          <w:spacing w:val="-9"/>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研究区包气带岩性以粉土为主</w:t>
      </w:r>
      <w:r>
        <w:rPr>
          <w:rFonts w:hint="eastAsia"/>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降水入渗系数取0.25。</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fldChar w:fldCharType="begin"/>
      </w:r>
      <w:r>
        <w:rPr>
          <w:color w:val="000000" w:themeColor="text1"/>
          <w:kern w:val="0"/>
          <w:sz w:val="24"/>
          <w:szCs w:val="20"/>
          <w14:textFill>
            <w14:solidFill>
              <w14:schemeClr w14:val="tx1"/>
            </w14:solidFill>
          </w14:textFill>
        </w:rPr>
        <w:instrText xml:space="preserve"> = 2 \* GB3 </w:instrText>
      </w:r>
      <w:r>
        <w:rPr>
          <w:color w:val="000000" w:themeColor="text1"/>
          <w:kern w:val="0"/>
          <w:sz w:val="24"/>
          <w:szCs w:val="20"/>
          <w14:textFill>
            <w14:solidFill>
              <w14:schemeClr w14:val="tx1"/>
            </w14:solidFill>
          </w14:textFill>
        </w:rPr>
        <w:fldChar w:fldCharType="separate"/>
      </w:r>
      <w:r>
        <w:rPr>
          <w:rFonts w:hint="eastAsia" w:ascii="宋体" w:hAnsi="宋体" w:cs="宋体"/>
          <w:color w:val="000000" w:themeColor="text1"/>
          <w:kern w:val="0"/>
          <w:sz w:val="24"/>
          <w:szCs w:val="20"/>
          <w14:textFill>
            <w14:solidFill>
              <w14:schemeClr w14:val="tx1"/>
            </w14:solidFill>
          </w14:textFill>
        </w:rPr>
        <w:t>②</w:t>
      </w:r>
      <w:r>
        <w:rPr>
          <w:color w:val="000000" w:themeColor="text1"/>
          <w:kern w:val="0"/>
          <w:sz w:val="24"/>
          <w:szCs w:val="20"/>
          <w14:textFill>
            <w14:solidFill>
              <w14:schemeClr w14:val="tx1"/>
            </w14:solidFill>
          </w14:textFill>
        </w:rPr>
        <w:fldChar w:fldCharType="end"/>
      </w:r>
      <w:r>
        <w:rPr>
          <w:color w:val="000000" w:themeColor="text1"/>
          <w:kern w:val="0"/>
          <w:sz w:val="24"/>
          <w:szCs w:val="20"/>
          <w14:textFill>
            <w14:solidFill>
              <w14:schemeClr w14:val="tx1"/>
            </w14:solidFill>
          </w14:textFill>
        </w:rPr>
        <w:t xml:space="preserve"> 蒸发排泄量</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MODFLOW中蒸发随深度的变化取为线性。</w:t>
      </w:r>
    </w:p>
    <w:tbl>
      <w:tblPr>
        <w:tblStyle w:val="49"/>
        <w:tblW w:w="0" w:type="auto"/>
        <w:jc w:val="center"/>
        <w:tblLayout w:type="fixed"/>
        <w:tblCellMar>
          <w:top w:w="0" w:type="dxa"/>
          <w:left w:w="108" w:type="dxa"/>
          <w:bottom w:w="0" w:type="dxa"/>
          <w:right w:w="108" w:type="dxa"/>
        </w:tblCellMar>
      </w:tblPr>
      <w:tblGrid>
        <w:gridCol w:w="851"/>
        <w:gridCol w:w="6814"/>
        <w:gridCol w:w="850"/>
      </w:tblGrid>
      <w:tr>
        <w:tblPrEx>
          <w:tblCellMar>
            <w:top w:w="0" w:type="dxa"/>
            <w:left w:w="108" w:type="dxa"/>
            <w:bottom w:w="0" w:type="dxa"/>
            <w:right w:w="108" w:type="dxa"/>
          </w:tblCellMar>
        </w:tblPrEx>
        <w:trPr>
          <w:trHeight w:val="508" w:hRule="atLeast"/>
          <w:jc w:val="center"/>
        </w:trPr>
        <w:tc>
          <w:tcPr>
            <w:tcW w:w="851" w:type="dxa"/>
            <w:vAlign w:val="center"/>
          </w:tcPr>
          <w:p>
            <w:pPr>
              <w:adjustRightInd w:val="0"/>
              <w:snapToGrid w:val="0"/>
              <w:textAlignment w:val="baseline"/>
              <w:rPr>
                <w:color w:val="000000" w:themeColor="text1"/>
                <w:kern w:val="0"/>
                <w:sz w:val="24"/>
                <w:szCs w:val="20"/>
                <w14:textFill>
                  <w14:solidFill>
                    <w14:schemeClr w14:val="tx1"/>
                  </w14:solidFill>
                </w14:textFill>
              </w:rPr>
            </w:pPr>
          </w:p>
        </w:tc>
        <w:tc>
          <w:tcPr>
            <w:tcW w:w="6814" w:type="dxa"/>
            <w:vAlign w:val="center"/>
          </w:tcPr>
          <w:p>
            <w:pPr>
              <w:adjustRightInd w:val="0"/>
              <w:snapToGrid w:val="0"/>
              <w:textAlignment w:val="baseline"/>
              <w:rPr>
                <w:color w:val="000000" w:themeColor="text1"/>
                <w:kern w:val="0"/>
                <w:sz w:val="24"/>
                <w:szCs w:val="20"/>
                <w14:textFill>
                  <w14:solidFill>
                    <w14:schemeClr w14:val="tx1"/>
                  </w14:solidFill>
                </w14:textFill>
              </w:rPr>
            </w:pPr>
            <w:r>
              <w:rPr>
                <w:color w:val="000000" w:themeColor="text1"/>
                <w:position w:val="-50"/>
                <w:sz w:val="24"/>
                <w:szCs w:val="24"/>
                <w14:textFill>
                  <w14:solidFill>
                    <w14:schemeClr w14:val="tx1"/>
                  </w14:solidFill>
                </w14:textFill>
              </w:rPr>
              <w:object>
                <v:shape id="_x0000_i1037" o:spt="75" alt="" type="#_x0000_t75" style="height:55.1pt;width:108.75pt;" o:ole="t" filled="f" o:preferrelative="t" stroked="f" coordsize="21600,21600">
                  <v:path/>
                  <v:fill on="f" focussize="0,0"/>
                  <v:stroke on="f"/>
                  <v:imagedata r:id="rId130" o:title=""/>
                  <o:lock v:ext="edit" aspectratio="t"/>
                  <w10:wrap type="none"/>
                  <w10:anchorlock/>
                </v:shape>
                <o:OLEObject Type="Embed" ProgID="Equation.3" ShapeID="_x0000_i1037" DrawAspect="Content" ObjectID="_1468075737" r:id="rId129">
                  <o:LockedField>false</o:LockedField>
                </o:OLEObject>
              </w:object>
            </w:r>
            <w:r>
              <w:rPr>
                <w:color w:val="000000" w:themeColor="text1"/>
                <w:kern w:val="0"/>
                <w:sz w:val="24"/>
                <w:szCs w:val="20"/>
                <w14:textFill>
                  <w14:solidFill>
                    <w14:schemeClr w14:val="tx1"/>
                  </w14:solidFill>
                </w14:textFill>
              </w:rPr>
              <w:t xml:space="preserve">     </w:t>
            </w:r>
            <w:r>
              <w:rPr>
                <w:color w:val="000000" w:themeColor="text1"/>
                <w:position w:val="-48"/>
                <w:sz w:val="24"/>
                <w:szCs w:val="24"/>
                <w14:textFill>
                  <w14:solidFill>
                    <w14:schemeClr w14:val="tx1"/>
                  </w14:solidFill>
                </w14:textFill>
              </w:rPr>
              <w:object>
                <v:shape id="_x0000_i1038" o:spt="75" alt="" type="#_x0000_t75" style="height:53.45pt;width:79.45pt;" o:ole="t" filled="f" o:preferrelative="t" stroked="f" coordsize="21600,21600">
                  <v:path/>
                  <v:fill on="f" focussize="0,0"/>
                  <v:stroke on="f"/>
                  <v:imagedata r:id="rId132" o:title=""/>
                  <o:lock v:ext="edit" aspectratio="t"/>
                  <w10:wrap type="none"/>
                  <w10:anchorlock/>
                </v:shape>
                <o:OLEObject Type="Embed" ProgID="Equation.3" ShapeID="_x0000_i1038" DrawAspect="Content" ObjectID="_1468075738" r:id="rId131">
                  <o:LockedField>false</o:LockedField>
                </o:OLEObject>
              </w:object>
            </w:r>
          </w:p>
        </w:tc>
        <w:tc>
          <w:tcPr>
            <w:tcW w:w="850" w:type="dxa"/>
            <w:vAlign w:val="center"/>
          </w:tcPr>
          <w:p>
            <w:pPr>
              <w:adjustRightInd w:val="0"/>
              <w:snapToGrid w:val="0"/>
              <w:textAlignment w:val="baseline"/>
              <w:rPr>
                <w:color w:val="000000" w:themeColor="text1"/>
                <w:kern w:val="0"/>
                <w:sz w:val="24"/>
                <w:szCs w:val="20"/>
                <w14:textFill>
                  <w14:solidFill>
                    <w14:schemeClr w14:val="tx1"/>
                  </w14:solidFill>
                </w14:textFill>
              </w:rPr>
            </w:pPr>
          </w:p>
        </w:tc>
      </w:tr>
    </w:tbl>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式中，h为地下水位，m；hs为地表高程，m；</w:t>
      </w:r>
      <w:r>
        <w:rPr>
          <w:color w:val="000000" w:themeColor="text1"/>
          <w:kern w:val="0"/>
          <w:position w:val="-12"/>
          <w:sz w:val="24"/>
          <w:szCs w:val="20"/>
          <w14:textFill>
            <w14:solidFill>
              <w14:schemeClr w14:val="tx1"/>
            </w14:solidFill>
          </w14:textFill>
        </w:rPr>
        <w:object>
          <v:shape id="_x0000_i1039" o:spt="75" alt="" type="#_x0000_t75" style="height:20.1pt;width:14.25pt;" o:ole="t" filled="f" o:preferrelative="t" stroked="f" coordsize="21600,21600">
            <v:path/>
            <v:fill on="f" focussize="0,0"/>
            <v:stroke on="f"/>
            <v:imagedata r:id="rId134" o:title=""/>
            <o:lock v:ext="edit" aspectratio="t"/>
            <w10:wrap type="none"/>
            <w10:anchorlock/>
          </v:shape>
          <o:OLEObject Type="Embed" ProgID="Equation.3" ShapeID="_x0000_i1039" DrawAspect="Content" ObjectID="_1468075739" r:id="rId133">
            <o:LockedField>false</o:LockedField>
          </o:OLEObject>
        </w:object>
      </w:r>
      <w:r>
        <w:rPr>
          <w:color w:val="000000" w:themeColor="text1"/>
          <w:kern w:val="0"/>
          <w:sz w:val="24"/>
          <w:szCs w:val="20"/>
          <w14:textFill>
            <w14:solidFill>
              <w14:schemeClr w14:val="tx1"/>
            </w14:solidFill>
          </w14:textFill>
        </w:rPr>
        <w:t>为水面蒸发强度，mm/a；L为潜水蒸发极限深度，m，取4m。</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fldChar w:fldCharType="begin"/>
      </w:r>
      <w:r>
        <w:rPr>
          <w:color w:val="000000" w:themeColor="text1"/>
          <w:kern w:val="0"/>
          <w:sz w:val="24"/>
          <w:szCs w:val="20"/>
          <w14:textFill>
            <w14:solidFill>
              <w14:schemeClr w14:val="tx1"/>
            </w14:solidFill>
          </w14:textFill>
        </w:rPr>
        <w:instrText xml:space="preserve"> = 3 \* GB3 </w:instrText>
      </w:r>
      <w:r>
        <w:rPr>
          <w:color w:val="000000" w:themeColor="text1"/>
          <w:kern w:val="0"/>
          <w:sz w:val="24"/>
          <w:szCs w:val="20"/>
          <w14:textFill>
            <w14:solidFill>
              <w14:schemeClr w14:val="tx1"/>
            </w14:solidFill>
          </w14:textFill>
        </w:rPr>
        <w:fldChar w:fldCharType="separate"/>
      </w:r>
      <w:r>
        <w:rPr>
          <w:rFonts w:hint="eastAsia" w:ascii="宋体" w:hAnsi="宋体" w:cs="宋体"/>
          <w:color w:val="000000" w:themeColor="text1"/>
          <w:kern w:val="0"/>
          <w:sz w:val="24"/>
          <w:szCs w:val="20"/>
          <w14:textFill>
            <w14:solidFill>
              <w14:schemeClr w14:val="tx1"/>
            </w14:solidFill>
          </w14:textFill>
        </w:rPr>
        <w:t>③</w:t>
      </w:r>
      <w:r>
        <w:rPr>
          <w:color w:val="000000" w:themeColor="text1"/>
          <w:kern w:val="0"/>
          <w:sz w:val="24"/>
          <w:szCs w:val="20"/>
          <w14:textFill>
            <w14:solidFill>
              <w14:schemeClr w14:val="tx1"/>
            </w14:solidFill>
          </w14:textFill>
        </w:rPr>
        <w:fldChar w:fldCharType="end"/>
      </w:r>
      <w:r>
        <w:rPr>
          <w:color w:val="000000" w:themeColor="text1"/>
          <w:kern w:val="0"/>
          <w:sz w:val="24"/>
          <w:szCs w:val="20"/>
          <w14:textFill>
            <w14:solidFill>
              <w14:schemeClr w14:val="tx1"/>
            </w14:solidFill>
          </w14:textFill>
        </w:rPr>
        <w:t xml:space="preserve"> 地下水侧向补给量、排泄量</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根据地下水流场和达西定律，计算得到流量边界上的侧向补给量、排泄量：</w:t>
      </w:r>
    </w:p>
    <w:tbl>
      <w:tblPr>
        <w:tblStyle w:val="49"/>
        <w:tblW w:w="0" w:type="auto"/>
        <w:jc w:val="center"/>
        <w:tblLayout w:type="fixed"/>
        <w:tblCellMar>
          <w:top w:w="0" w:type="dxa"/>
          <w:left w:w="108" w:type="dxa"/>
          <w:bottom w:w="0" w:type="dxa"/>
          <w:right w:w="108" w:type="dxa"/>
        </w:tblCellMar>
      </w:tblPr>
      <w:tblGrid>
        <w:gridCol w:w="851"/>
        <w:gridCol w:w="6814"/>
        <w:gridCol w:w="850"/>
      </w:tblGrid>
      <w:tr>
        <w:tblPrEx>
          <w:tblCellMar>
            <w:top w:w="0" w:type="dxa"/>
            <w:left w:w="108" w:type="dxa"/>
            <w:bottom w:w="0" w:type="dxa"/>
            <w:right w:w="108" w:type="dxa"/>
          </w:tblCellMar>
        </w:tblPrEx>
        <w:trPr>
          <w:trHeight w:val="508" w:hRule="atLeast"/>
          <w:jc w:val="center"/>
        </w:trPr>
        <w:tc>
          <w:tcPr>
            <w:tcW w:w="851" w:type="dxa"/>
            <w:vAlign w:val="center"/>
          </w:tcPr>
          <w:p>
            <w:pPr>
              <w:adjustRightInd w:val="0"/>
              <w:snapToGrid w:val="0"/>
              <w:textAlignment w:val="baseline"/>
              <w:rPr>
                <w:color w:val="000000" w:themeColor="text1"/>
                <w:kern w:val="0"/>
                <w:sz w:val="24"/>
                <w:szCs w:val="20"/>
                <w14:textFill>
                  <w14:solidFill>
                    <w14:schemeClr w14:val="tx1"/>
                  </w14:solidFill>
                </w14:textFill>
              </w:rPr>
            </w:pPr>
          </w:p>
        </w:tc>
        <w:tc>
          <w:tcPr>
            <w:tcW w:w="6814" w:type="dxa"/>
            <w:vAlign w:val="center"/>
          </w:tcPr>
          <w:p>
            <w:pPr>
              <w:adjustRightInd w:val="0"/>
              <w:snapToGrid w:val="0"/>
              <w:jc w:val="center"/>
              <w:textAlignment w:val="baseline"/>
              <w:rPr>
                <w:color w:val="000000" w:themeColor="text1"/>
                <w:kern w:val="0"/>
                <w:sz w:val="24"/>
                <w:szCs w:val="20"/>
                <w14:textFill>
                  <w14:solidFill>
                    <w14:schemeClr w14:val="tx1"/>
                  </w14:solidFill>
                </w14:textFill>
              </w:rPr>
            </w:pPr>
            <w:r>
              <w:rPr>
                <w:bCs/>
                <w:color w:val="000000" w:themeColor="text1"/>
                <w:sz w:val="24"/>
                <w:szCs w:val="28"/>
                <w14:textFill>
                  <w14:solidFill>
                    <w14:schemeClr w14:val="tx1"/>
                  </w14:solidFill>
                </w14:textFill>
              </w:rPr>
              <w:object>
                <v:shape id="_x0000_i1040" o:spt="75" alt="" type="#_x0000_t75" style="height:21.75pt;width:76.1pt;" o:ole="t" filled="f" o:preferrelative="t" stroked="f" coordsize="21600,21600">
                  <v:path/>
                  <v:fill on="f" focussize="0,0"/>
                  <v:stroke on="f"/>
                  <v:imagedata r:id="rId136" o:title=""/>
                  <o:lock v:ext="edit" aspectratio="t"/>
                  <w10:wrap type="none"/>
                  <w10:anchorlock/>
                </v:shape>
                <o:OLEObject Type="Embed" ProgID="Equation.3" ShapeID="_x0000_i1040" DrawAspect="Content" ObjectID="_1468075740" r:id="rId135">
                  <o:LockedField>false</o:LockedField>
                </o:OLEObject>
              </w:object>
            </w:r>
          </w:p>
        </w:tc>
        <w:tc>
          <w:tcPr>
            <w:tcW w:w="850" w:type="dxa"/>
            <w:vAlign w:val="center"/>
          </w:tcPr>
          <w:p>
            <w:pPr>
              <w:adjustRightInd w:val="0"/>
              <w:snapToGrid w:val="0"/>
              <w:textAlignment w:val="baseline"/>
              <w:rPr>
                <w:color w:val="000000" w:themeColor="text1"/>
                <w:kern w:val="0"/>
                <w:sz w:val="24"/>
                <w:szCs w:val="20"/>
                <w14:textFill>
                  <w14:solidFill>
                    <w14:schemeClr w14:val="tx1"/>
                  </w14:solidFill>
                </w14:textFill>
              </w:rPr>
            </w:pPr>
          </w:p>
        </w:tc>
      </w:tr>
    </w:tbl>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w:t>
      </w:r>
      <w:r>
        <w:rPr>
          <w:color w:val="000000" w:themeColor="text1"/>
          <w:kern w:val="0"/>
          <w:position w:val="-12"/>
          <w:sz w:val="24"/>
          <w:szCs w:val="20"/>
          <w14:textFill>
            <w14:solidFill>
              <w14:schemeClr w14:val="tx1"/>
            </w14:solidFill>
          </w14:textFill>
        </w:rPr>
        <w:object>
          <v:shape id="_x0000_i1041" o:spt="75" alt="" type="#_x0000_t75" style="height:16.25pt;width:14.25pt;" o:ole="t" filled="f" o:preferrelative="t" stroked="f" coordsize="21600,21600">
            <v:path/>
            <v:fill on="f" focussize="0,0"/>
            <v:stroke on="f"/>
            <v:imagedata r:id="rId138" o:title=""/>
            <o:lock v:ext="edit" aspectratio="t"/>
            <w10:wrap type="none"/>
            <w10:anchorlock/>
          </v:shape>
          <o:OLEObject Type="Embed" ProgID="Equation.3" ShapeID="_x0000_i1041" DrawAspect="Content" ObjectID="_1468075741" r:id="rId137">
            <o:LockedField>false</o:LockedField>
          </o:OLEObject>
        </w:object>
      </w:r>
      <w:r>
        <w:rPr>
          <w:color w:val="000000" w:themeColor="text1"/>
          <w:kern w:val="0"/>
          <w:sz w:val="24"/>
          <w:szCs w:val="20"/>
          <w14:textFill>
            <w14:solidFill>
              <w14:schemeClr w14:val="tx1"/>
            </w14:solidFill>
          </w14:textFill>
        </w:rPr>
        <w:t>为侧向径流量（m</w:t>
      </w:r>
      <w:r>
        <w:rPr>
          <w:color w:val="000000" w:themeColor="text1"/>
          <w:kern w:val="0"/>
          <w:sz w:val="24"/>
          <w:szCs w:val="20"/>
          <w:vertAlign w:val="superscript"/>
          <w14:textFill>
            <w14:solidFill>
              <w14:schemeClr w14:val="tx1"/>
            </w14:solidFill>
          </w14:textFill>
        </w:rPr>
        <w:t>3</w:t>
      </w:r>
      <w:r>
        <w:rPr>
          <w:color w:val="000000" w:themeColor="text1"/>
          <w:kern w:val="0"/>
          <w:sz w:val="24"/>
          <w:szCs w:val="20"/>
          <w14:textFill>
            <w14:solidFill>
              <w14:schemeClr w14:val="tx1"/>
            </w14:solidFill>
          </w14:textFill>
        </w:rPr>
        <w:t>/d）；</w:t>
      </w:r>
      <w:r>
        <w:rPr>
          <w:color w:val="000000" w:themeColor="text1"/>
          <w:kern w:val="0"/>
          <w:position w:val="-4"/>
          <w:sz w:val="24"/>
          <w:szCs w:val="20"/>
          <w14:textFill>
            <w14:solidFill>
              <w14:schemeClr w14:val="tx1"/>
            </w14:solidFill>
          </w14:textFill>
        </w:rPr>
        <w:object>
          <v:shape id="_x0000_i1042" o:spt="75" alt="" type="#_x0000_t75" style="height:14.25pt;width:14.2pt;" o:ole="t" filled="f" o:preferrelative="t" stroked="f" coordsize="21600,21600">
            <v:path/>
            <v:fill on="f" focussize="0,0"/>
            <v:stroke on="f"/>
            <v:imagedata r:id="rId140" o:title=""/>
            <o:lock v:ext="edit" aspectratio="t"/>
            <w10:wrap type="none"/>
            <w10:anchorlock/>
          </v:shape>
          <o:OLEObject Type="Embed" ProgID="Equation.3" ShapeID="_x0000_i1042" DrawAspect="Content" ObjectID="_1468075742" r:id="rId139">
            <o:LockedField>false</o:LockedField>
          </o:OLEObject>
        </w:object>
      </w:r>
      <w:r>
        <w:rPr>
          <w:color w:val="000000" w:themeColor="text1"/>
          <w:kern w:val="0"/>
          <w:sz w:val="24"/>
          <w:szCs w:val="20"/>
          <w14:textFill>
            <w14:solidFill>
              <w14:schemeClr w14:val="tx1"/>
            </w14:solidFill>
          </w14:textFill>
        </w:rPr>
        <w:t>为渗透系数（m/d）；</w:t>
      </w:r>
      <w:r>
        <w:rPr>
          <w:color w:val="000000" w:themeColor="text1"/>
          <w:kern w:val="0"/>
          <w:position w:val="-4"/>
          <w:sz w:val="24"/>
          <w:szCs w:val="20"/>
          <w14:textFill>
            <w14:solidFill>
              <w14:schemeClr w14:val="tx1"/>
            </w14:solidFill>
          </w14:textFill>
        </w:rPr>
        <w:object>
          <v:shape id="_x0000_i1043" o:spt="75" alt="" type="#_x0000_t75" style="height:9.8pt;width:7.5pt;" o:ole="t" filled="f" o:preferrelative="t" stroked="f" coordsize="21600,21600">
            <v:path/>
            <v:fill on="f" focussize="0,0"/>
            <v:stroke on="f"/>
            <v:imagedata r:id="rId142" o:title=""/>
            <o:lock v:ext="edit" aspectratio="t"/>
            <w10:wrap type="none"/>
            <w10:anchorlock/>
          </v:shape>
          <o:OLEObject Type="Embed" ProgID="Equation.3" ShapeID="_x0000_i1043" DrawAspect="Content" ObjectID="_1468075743" r:id="rId141">
            <o:LockedField>false</o:LockedField>
          </o:OLEObject>
        </w:object>
      </w:r>
      <w:r>
        <w:rPr>
          <w:color w:val="000000" w:themeColor="text1"/>
          <w:kern w:val="0"/>
          <w:sz w:val="24"/>
          <w:szCs w:val="20"/>
          <w14:textFill>
            <w14:solidFill>
              <w14:schemeClr w14:val="tx1"/>
            </w14:solidFill>
          </w14:textFill>
        </w:rPr>
        <w:t>为垂直于断面的水力坡度；</w:t>
      </w:r>
      <w:r>
        <w:rPr>
          <w:color w:val="000000" w:themeColor="text1"/>
          <w:kern w:val="0"/>
          <w:position w:val="-4"/>
          <w:sz w:val="24"/>
          <w:szCs w:val="20"/>
          <w14:textFill>
            <w14:solidFill>
              <w14:schemeClr w14:val="tx1"/>
            </w14:solidFill>
          </w14:textFill>
        </w:rPr>
        <w:object>
          <v:shape id="_x0000_i1044" o:spt="75" alt="" type="#_x0000_t75" style="height:14.25pt;width:13.4pt;" o:ole="t" filled="f" o:preferrelative="t" stroked="f" coordsize="21600,21600">
            <v:path/>
            <v:fill on="f" focussize="0,0"/>
            <v:stroke on="f"/>
            <v:imagedata r:id="rId144" o:title=""/>
            <o:lock v:ext="edit" aspectratio="t"/>
            <w10:wrap type="none"/>
            <w10:anchorlock/>
          </v:shape>
          <o:OLEObject Type="Embed" ProgID="Equation.3" ShapeID="_x0000_i1044" DrawAspect="Content" ObjectID="_1468075744" r:id="rId143">
            <o:LockedField>false</o:LockedField>
          </o:OLEObject>
        </w:object>
      </w:r>
      <w:r>
        <w:rPr>
          <w:color w:val="000000" w:themeColor="text1"/>
          <w:kern w:val="0"/>
          <w:sz w:val="24"/>
          <w:szCs w:val="20"/>
          <w14:textFill>
            <w14:solidFill>
              <w14:schemeClr w14:val="tx1"/>
            </w14:solidFill>
          </w14:textFill>
        </w:rPr>
        <w:t>为过水断面面积（m</w:t>
      </w:r>
      <w:r>
        <w:rPr>
          <w:color w:val="000000" w:themeColor="text1"/>
          <w:kern w:val="0"/>
          <w:sz w:val="24"/>
          <w:szCs w:val="20"/>
          <w:vertAlign w:val="superscript"/>
          <w14:textFill>
            <w14:solidFill>
              <w14:schemeClr w14:val="tx1"/>
            </w14:solidFill>
          </w14:textFill>
        </w:rPr>
        <w:t>2</w:t>
      </w:r>
      <w:r>
        <w:rPr>
          <w:color w:val="000000" w:themeColor="text1"/>
          <w:kern w:val="0"/>
          <w:sz w:val="24"/>
          <w:szCs w:val="20"/>
          <w14:textFill>
            <w14:solidFill>
              <w14:schemeClr w14:val="tx1"/>
            </w14:solidFill>
          </w14:textFill>
        </w:rPr>
        <w:t>）。地下水侧向补给量、排泄量采用MODFLOW模型的GHB子程序包处理。</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fldChar w:fldCharType="begin"/>
      </w:r>
      <w:r>
        <w:rPr>
          <w:color w:val="000000" w:themeColor="text1"/>
          <w:kern w:val="0"/>
          <w:sz w:val="24"/>
          <w:szCs w:val="20"/>
          <w14:textFill>
            <w14:solidFill>
              <w14:schemeClr w14:val="tx1"/>
            </w14:solidFill>
          </w14:textFill>
        </w:rPr>
        <w:instrText xml:space="preserve"> = 4 \* GB3 </w:instrText>
      </w:r>
      <w:r>
        <w:rPr>
          <w:color w:val="000000" w:themeColor="text1"/>
          <w:kern w:val="0"/>
          <w:sz w:val="24"/>
          <w:szCs w:val="20"/>
          <w14:textFill>
            <w14:solidFill>
              <w14:schemeClr w14:val="tx1"/>
            </w14:solidFill>
          </w14:textFill>
        </w:rPr>
        <w:fldChar w:fldCharType="separate"/>
      </w:r>
      <w:r>
        <w:rPr>
          <w:rFonts w:hint="eastAsia" w:ascii="宋体" w:hAnsi="宋体" w:cs="宋体"/>
          <w:color w:val="000000" w:themeColor="text1"/>
          <w:kern w:val="0"/>
          <w:sz w:val="24"/>
          <w:szCs w:val="20"/>
          <w14:textFill>
            <w14:solidFill>
              <w14:schemeClr w14:val="tx1"/>
            </w14:solidFill>
          </w14:textFill>
        </w:rPr>
        <w:t>④</w:t>
      </w:r>
      <w:r>
        <w:rPr>
          <w:color w:val="000000" w:themeColor="text1"/>
          <w:kern w:val="0"/>
          <w:sz w:val="24"/>
          <w:szCs w:val="20"/>
          <w14:textFill>
            <w14:solidFill>
              <w14:schemeClr w14:val="tx1"/>
            </w14:solidFill>
          </w14:textFill>
        </w:rPr>
        <w:fldChar w:fldCharType="end"/>
      </w:r>
      <w:r>
        <w:rPr>
          <w:color w:val="000000" w:themeColor="text1"/>
          <w:kern w:val="0"/>
          <w:sz w:val="24"/>
          <w:szCs w:val="20"/>
          <w14:textFill>
            <w14:solidFill>
              <w14:schemeClr w14:val="tx1"/>
            </w14:solidFill>
          </w14:textFill>
        </w:rPr>
        <w:t xml:space="preserve"> 灌溉回归量</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研究区农田灌溉水源主要包括地下水。农田灌溉入渗补给量可以采用系数法计算得到灌溉入渗补给量，结合灌溉面积，折算为入渗补给强度后，通过MODFLOW的RCH子程序包进行处理，模拟田间入渗补给量。田间灌溉入渗补给量采用系数法计算，公式为：</w:t>
      </w:r>
    </w:p>
    <w:tbl>
      <w:tblPr>
        <w:tblStyle w:val="49"/>
        <w:tblW w:w="0" w:type="auto"/>
        <w:jc w:val="center"/>
        <w:tblLayout w:type="fixed"/>
        <w:tblCellMar>
          <w:top w:w="0" w:type="dxa"/>
          <w:left w:w="108" w:type="dxa"/>
          <w:bottom w:w="0" w:type="dxa"/>
          <w:right w:w="108" w:type="dxa"/>
        </w:tblCellMar>
      </w:tblPr>
      <w:tblGrid>
        <w:gridCol w:w="851"/>
        <w:gridCol w:w="6814"/>
        <w:gridCol w:w="850"/>
      </w:tblGrid>
      <w:tr>
        <w:tblPrEx>
          <w:tblCellMar>
            <w:top w:w="0" w:type="dxa"/>
            <w:left w:w="108" w:type="dxa"/>
            <w:bottom w:w="0" w:type="dxa"/>
            <w:right w:w="108" w:type="dxa"/>
          </w:tblCellMar>
        </w:tblPrEx>
        <w:trPr>
          <w:trHeight w:val="508" w:hRule="atLeast"/>
          <w:jc w:val="center"/>
        </w:trPr>
        <w:tc>
          <w:tcPr>
            <w:tcW w:w="851" w:type="dxa"/>
            <w:vAlign w:val="center"/>
          </w:tcPr>
          <w:p>
            <w:pPr>
              <w:adjustRightInd w:val="0"/>
              <w:snapToGrid w:val="0"/>
              <w:textAlignment w:val="baseline"/>
              <w:rPr>
                <w:color w:val="000000" w:themeColor="text1"/>
                <w:kern w:val="0"/>
                <w:sz w:val="24"/>
                <w:szCs w:val="20"/>
                <w14:textFill>
                  <w14:solidFill>
                    <w14:schemeClr w14:val="tx1"/>
                  </w14:solidFill>
                </w14:textFill>
              </w:rPr>
            </w:pPr>
          </w:p>
        </w:tc>
        <w:tc>
          <w:tcPr>
            <w:tcW w:w="6814" w:type="dxa"/>
            <w:vAlign w:val="center"/>
          </w:tcPr>
          <w:p>
            <w:pPr>
              <w:adjustRightInd w:val="0"/>
              <w:snapToGrid w:val="0"/>
              <w:jc w:val="center"/>
              <w:textAlignment w:val="baseline"/>
              <w:rPr>
                <w:color w:val="000000" w:themeColor="text1"/>
                <w:kern w:val="0"/>
                <w:sz w:val="24"/>
                <w:szCs w:val="20"/>
                <w14:textFill>
                  <w14:solidFill>
                    <w14:schemeClr w14:val="tx1"/>
                  </w14:solidFill>
                </w14:textFill>
              </w:rPr>
            </w:pPr>
            <w:r>
              <w:rPr>
                <w:color w:val="000000" w:themeColor="text1"/>
                <w:position w:val="-14"/>
                <w:sz w:val="24"/>
                <w:szCs w:val="24"/>
                <w14:textFill>
                  <w14:solidFill>
                    <w14:schemeClr w14:val="tx1"/>
                  </w14:solidFill>
                </w14:textFill>
              </w:rPr>
              <w:object>
                <v:shape id="_x0000_i1045" o:spt="75" alt="" type="#_x0000_t75" style="height:19.9pt;width:50.25pt;" o:ole="t" filled="f" o:preferrelative="t" stroked="f" coordsize="21600,21600">
                  <v:path/>
                  <v:fill on="f" focussize="0,0"/>
                  <v:stroke on="f"/>
                  <v:imagedata r:id="rId146" o:title=""/>
                  <o:lock v:ext="edit" aspectratio="t"/>
                  <w10:wrap type="none"/>
                  <w10:anchorlock/>
                </v:shape>
                <o:OLEObject Type="Embed" ProgID="Equation.DSMT4" ShapeID="_x0000_i1045" DrawAspect="Content" ObjectID="_1468075745" r:id="rId145">
                  <o:LockedField>false</o:LockedField>
                </o:OLEObject>
              </w:object>
            </w:r>
          </w:p>
        </w:tc>
        <w:tc>
          <w:tcPr>
            <w:tcW w:w="850" w:type="dxa"/>
            <w:vAlign w:val="center"/>
          </w:tcPr>
          <w:p>
            <w:pPr>
              <w:adjustRightInd w:val="0"/>
              <w:snapToGrid w:val="0"/>
              <w:textAlignment w:val="baseline"/>
              <w:rPr>
                <w:color w:val="000000" w:themeColor="text1"/>
                <w:kern w:val="0"/>
                <w:sz w:val="24"/>
                <w:szCs w:val="20"/>
                <w14:textFill>
                  <w14:solidFill>
                    <w14:schemeClr w14:val="tx1"/>
                  </w14:solidFill>
                </w14:textFill>
              </w:rPr>
            </w:pPr>
          </w:p>
        </w:tc>
      </w:tr>
    </w:tbl>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w:t>
      </w:r>
      <w:r>
        <w:rPr>
          <w:color w:val="000000" w:themeColor="text1"/>
          <w:kern w:val="0"/>
          <w:position w:val="-12"/>
          <w:sz w:val="24"/>
          <w:szCs w:val="20"/>
          <w14:textFill>
            <w14:solidFill>
              <w14:schemeClr w14:val="tx1"/>
            </w14:solidFill>
          </w14:textFill>
        </w:rPr>
        <w:object>
          <v:shape id="_x0000_i1046" o:spt="75" alt="" type="#_x0000_t75" style="height:18pt;width:14.25pt;" o:ole="t" filled="f" o:preferrelative="t" stroked="f" coordsize="21600,21600">
            <v:path/>
            <v:fill on="f" focussize="0,0"/>
            <v:stroke on="f"/>
            <v:imagedata r:id="rId148" o:title=""/>
            <o:lock v:ext="edit" aspectratio="t"/>
            <w10:wrap type="none"/>
            <w10:anchorlock/>
          </v:shape>
          <o:OLEObject Type="Embed" ProgID="Equation.DSMT4" ShapeID="_x0000_i1046" DrawAspect="Content" ObjectID="_1468075746" r:id="rId147">
            <o:LockedField>false</o:LockedField>
          </o:OLEObject>
        </w:object>
      </w:r>
      <w:r>
        <w:rPr>
          <w:color w:val="000000" w:themeColor="text1"/>
          <w:kern w:val="0"/>
          <w:sz w:val="24"/>
          <w:szCs w:val="20"/>
          <w14:textFill>
            <w14:solidFill>
              <w14:schemeClr w14:val="tx1"/>
            </w14:solidFill>
          </w14:textFill>
        </w:rPr>
        <w:t>为田间灌溉入渗补给量；</w:t>
      </w:r>
      <w:r>
        <w:rPr>
          <w:color w:val="000000" w:themeColor="text1"/>
          <w:kern w:val="0"/>
          <w:position w:val="-14"/>
          <w:sz w:val="24"/>
          <w:szCs w:val="20"/>
          <w14:textFill>
            <w14:solidFill>
              <w14:schemeClr w14:val="tx1"/>
            </w14:solidFill>
          </w14:textFill>
        </w:rPr>
        <w:object>
          <v:shape id="_x0000_i1047" o:spt="75" alt="" type="#_x0000_t75" style="height:17.8pt;width:14.25pt;" o:ole="t" filled="f" o:preferrelative="t" stroked="f" coordsize="21600,21600">
            <v:path/>
            <v:fill on="f" focussize="0,0"/>
            <v:stroke on="f"/>
            <v:imagedata r:id="rId150" o:title=""/>
            <o:lock v:ext="edit" aspectratio="t"/>
            <w10:wrap type="none"/>
            <w10:anchorlock/>
          </v:shape>
          <o:OLEObject Type="Embed" ProgID="Equation.DSMT4" ShapeID="_x0000_i1047" DrawAspect="Content" ObjectID="_1468075747" r:id="rId149">
            <o:LockedField>false</o:LockedField>
          </o:OLEObject>
        </w:object>
      </w:r>
      <w:r>
        <w:rPr>
          <w:color w:val="000000" w:themeColor="text1"/>
          <w:kern w:val="0"/>
          <w:sz w:val="24"/>
          <w:szCs w:val="20"/>
          <w14:textFill>
            <w14:solidFill>
              <w14:schemeClr w14:val="tx1"/>
            </w14:solidFill>
          </w14:textFill>
        </w:rPr>
        <w:t>为灌溉水量</w:t>
      </w:r>
      <w:r>
        <w:rPr>
          <w:rFonts w:hint="eastAsia"/>
          <w:color w:val="000000" w:themeColor="text1"/>
          <w:kern w:val="0"/>
          <w:sz w:val="24"/>
          <w:szCs w:val="20"/>
          <w14:textFill>
            <w14:solidFill>
              <w14:schemeClr w14:val="tx1"/>
            </w14:solidFill>
          </w14:textFill>
        </w:rPr>
        <w:t>，8</w:t>
      </w:r>
      <w:r>
        <w:rPr>
          <w:color w:val="000000" w:themeColor="text1"/>
          <w:kern w:val="0"/>
          <w:sz w:val="24"/>
          <w:szCs w:val="20"/>
          <w14:textFill>
            <w14:solidFill>
              <w14:schemeClr w14:val="tx1"/>
            </w14:solidFill>
          </w14:textFill>
        </w:rPr>
        <w:t>546</w:t>
      </w:r>
      <w:r>
        <w:rPr>
          <w:rFonts w:hint="eastAsia"/>
          <w:color w:val="000000" w:themeColor="text1"/>
          <w:kern w:val="0"/>
          <w:sz w:val="24"/>
          <w:szCs w:val="20"/>
          <w14:textFill>
            <w14:solidFill>
              <w14:schemeClr w14:val="tx1"/>
            </w14:solidFill>
          </w14:textFill>
        </w:rPr>
        <w:t>m</w:t>
      </w:r>
      <w:r>
        <w:rPr>
          <w:rFonts w:hint="eastAsia"/>
          <w:color w:val="000000" w:themeColor="text1"/>
          <w:kern w:val="0"/>
          <w:sz w:val="24"/>
          <w:szCs w:val="20"/>
          <w:vertAlign w:val="superscript"/>
          <w14:textFill>
            <w14:solidFill>
              <w14:schemeClr w14:val="tx1"/>
            </w14:solidFill>
          </w14:textFill>
        </w:rPr>
        <w:t>3</w:t>
      </w:r>
      <w:r>
        <w:rPr>
          <w:rFonts w:hint="eastAsia"/>
          <w:color w:val="000000" w:themeColor="text1"/>
          <w:kern w:val="0"/>
          <w:sz w:val="24"/>
          <w:szCs w:val="20"/>
          <w14:textFill>
            <w14:solidFill>
              <w14:schemeClr w14:val="tx1"/>
            </w14:solidFill>
          </w14:textFill>
        </w:rPr>
        <w:t>/a</w:t>
      </w:r>
      <w:r>
        <w:rPr>
          <w:color w:val="000000" w:themeColor="text1"/>
          <w:kern w:val="0"/>
          <w:sz w:val="24"/>
          <w:szCs w:val="20"/>
          <w14:textFill>
            <w14:solidFill>
              <w14:schemeClr w14:val="tx1"/>
            </w14:solidFill>
          </w14:textFill>
        </w:rPr>
        <w:t>；</w:t>
      </w:r>
      <w:r>
        <w:rPr>
          <w:color w:val="000000" w:themeColor="text1"/>
          <w:kern w:val="0"/>
          <w:position w:val="-10"/>
          <w:sz w:val="24"/>
          <w:szCs w:val="20"/>
          <w14:textFill>
            <w14:solidFill>
              <w14:schemeClr w14:val="tx1"/>
            </w14:solidFill>
          </w14:textFill>
        </w:rPr>
        <w:object>
          <v:shape id="_x0000_i1048" o:spt="75" alt="" type="#_x0000_t75" style="height:14.25pt;width:10.85pt;" o:ole="t" filled="f" o:preferrelative="t" stroked="f" coordsize="21600,21600">
            <v:path/>
            <v:fill on="f" focussize="0,0"/>
            <v:stroke on="f"/>
            <v:imagedata r:id="rId152" o:title=""/>
            <o:lock v:ext="edit" aspectratio="t"/>
            <w10:wrap type="none"/>
            <w10:anchorlock/>
          </v:shape>
          <o:OLEObject Type="Embed" ProgID="Equation.DSMT4" ShapeID="_x0000_i1048" DrawAspect="Content" ObjectID="_1468075748" r:id="rId151">
            <o:LockedField>false</o:LockedField>
          </o:OLEObject>
        </w:object>
      </w:r>
      <w:r>
        <w:rPr>
          <w:color w:val="000000" w:themeColor="text1"/>
          <w:kern w:val="0"/>
          <w:sz w:val="24"/>
          <w:szCs w:val="20"/>
          <w14:textFill>
            <w14:solidFill>
              <w14:schemeClr w14:val="tx1"/>
            </w14:solidFill>
          </w14:textFill>
        </w:rPr>
        <w:t>为入渗补给系数，其大小受地下水位埋深、包气带岩性及灌溉水量等因素的控制</w:t>
      </w:r>
      <w:r>
        <w:rPr>
          <w:rFonts w:hint="eastAsia"/>
          <w:color w:val="000000" w:themeColor="text1"/>
          <w:kern w:val="0"/>
          <w:sz w:val="24"/>
          <w:szCs w:val="20"/>
          <w14:textFill>
            <w14:solidFill>
              <w14:schemeClr w14:val="tx1"/>
            </w14:solidFill>
          </w14:textFill>
        </w:rPr>
        <w:t>，</w:t>
      </w:r>
      <w:r>
        <w:rPr>
          <w:color w:val="000000" w:themeColor="text1"/>
          <w:spacing w:val="-9"/>
          <w:kern w:val="0"/>
          <w:sz w:val="24"/>
          <w:szCs w:val="20"/>
          <w14:textFill>
            <w14:solidFill>
              <w14:schemeClr w14:val="tx1"/>
            </w14:solidFill>
          </w14:textFill>
        </w:rPr>
        <w:t>设置为</w:t>
      </w:r>
      <w:r>
        <w:rPr>
          <w:color w:val="000000" w:themeColor="text1"/>
          <w:kern w:val="0"/>
          <w:sz w:val="24"/>
          <w:szCs w:val="20"/>
          <w14:textFill>
            <w14:solidFill>
              <w14:schemeClr w14:val="tx1"/>
            </w14:solidFill>
          </w14:textFill>
        </w:rPr>
        <w:t>0.</w:t>
      </w:r>
      <w:r>
        <w:rPr>
          <w:rFonts w:hint="eastAsia"/>
          <w:color w:val="000000" w:themeColor="text1"/>
          <w:kern w:val="0"/>
          <w:sz w:val="24"/>
          <w:szCs w:val="20"/>
          <w14:textFill>
            <w14:solidFill>
              <w14:schemeClr w14:val="tx1"/>
            </w14:solidFill>
          </w14:textFill>
        </w:rPr>
        <w:t>0</w:t>
      </w:r>
      <w:r>
        <w:rPr>
          <w:color w:val="000000" w:themeColor="text1"/>
          <w:kern w:val="0"/>
          <w:sz w:val="24"/>
          <w:szCs w:val="20"/>
          <w14:textFill>
            <w14:solidFill>
              <w14:schemeClr w14:val="tx1"/>
            </w14:solidFill>
          </w14:textFill>
        </w:rPr>
        <w:t>5</w:t>
      </w:r>
      <w:r>
        <w:rPr>
          <w:color w:val="000000" w:themeColor="text1"/>
          <w:spacing w:val="-6"/>
          <w:kern w:val="0"/>
          <w:sz w:val="24"/>
          <w:szCs w:val="20"/>
          <w14:textFill>
            <w14:solidFill>
              <w14:schemeClr w14:val="tx1"/>
            </w14:solidFill>
          </w14:textFill>
        </w:rPr>
        <w:t>。</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fldChar w:fldCharType="begin"/>
      </w:r>
      <w:r>
        <w:rPr>
          <w:color w:val="000000" w:themeColor="text1"/>
          <w:kern w:val="0"/>
          <w:sz w:val="24"/>
          <w:szCs w:val="20"/>
          <w14:textFill>
            <w14:solidFill>
              <w14:schemeClr w14:val="tx1"/>
            </w14:solidFill>
          </w14:textFill>
        </w:rPr>
        <w:instrText xml:space="preserve"> = 5 \* GB3 </w:instrText>
      </w:r>
      <w:r>
        <w:rPr>
          <w:color w:val="000000" w:themeColor="text1"/>
          <w:kern w:val="0"/>
          <w:sz w:val="24"/>
          <w:szCs w:val="20"/>
          <w14:textFill>
            <w14:solidFill>
              <w14:schemeClr w14:val="tx1"/>
            </w14:solidFill>
          </w14:textFill>
        </w:rPr>
        <w:fldChar w:fldCharType="separate"/>
      </w:r>
      <w:r>
        <w:rPr>
          <w:rFonts w:hint="eastAsia" w:ascii="宋体" w:hAnsi="宋体" w:cs="宋体"/>
          <w:color w:val="000000" w:themeColor="text1"/>
          <w:kern w:val="0"/>
          <w:sz w:val="24"/>
          <w:szCs w:val="20"/>
          <w14:textFill>
            <w14:solidFill>
              <w14:schemeClr w14:val="tx1"/>
            </w14:solidFill>
          </w14:textFill>
        </w:rPr>
        <w:t>⑤</w:t>
      </w:r>
      <w:r>
        <w:rPr>
          <w:color w:val="000000" w:themeColor="text1"/>
          <w:kern w:val="0"/>
          <w:sz w:val="24"/>
          <w:szCs w:val="20"/>
          <w14:textFill>
            <w14:solidFill>
              <w14:schemeClr w14:val="tx1"/>
            </w14:solidFill>
          </w14:textFill>
        </w:rPr>
        <w:fldChar w:fldCharType="end"/>
      </w:r>
      <w:r>
        <w:rPr>
          <w:color w:val="000000" w:themeColor="text1"/>
          <w:kern w:val="0"/>
          <w:sz w:val="24"/>
          <w:szCs w:val="20"/>
          <w14:textFill>
            <w14:solidFill>
              <w14:schemeClr w14:val="tx1"/>
            </w14:solidFill>
          </w14:textFill>
        </w:rPr>
        <w:t xml:space="preserve"> 人工开采量</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研究区浅层含水层主要为农业灌溉开采，由于分散开采，地下水开采量按面状统计，通过MODFLOW的RCH模块以开采强度进行赋值，模拟地下水面状排泄。</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fldChar w:fldCharType="begin"/>
      </w:r>
      <w:r>
        <w:rPr>
          <w:color w:val="000000" w:themeColor="text1"/>
          <w:kern w:val="0"/>
          <w:sz w:val="24"/>
          <w:szCs w:val="20"/>
          <w14:textFill>
            <w14:solidFill>
              <w14:schemeClr w14:val="tx1"/>
            </w14:solidFill>
          </w14:textFill>
        </w:rPr>
        <w:instrText xml:space="preserve"> = 6 \* GB3 </w:instrText>
      </w:r>
      <w:r>
        <w:rPr>
          <w:color w:val="000000" w:themeColor="text1"/>
          <w:kern w:val="0"/>
          <w:sz w:val="24"/>
          <w:szCs w:val="20"/>
          <w14:textFill>
            <w14:solidFill>
              <w14:schemeClr w14:val="tx1"/>
            </w14:solidFill>
          </w14:textFill>
        </w:rPr>
        <w:fldChar w:fldCharType="separate"/>
      </w:r>
      <w:r>
        <w:rPr>
          <w:rFonts w:hint="eastAsia" w:ascii="宋体" w:hAnsi="宋体" w:cs="宋体"/>
          <w:color w:val="000000" w:themeColor="text1"/>
          <w:kern w:val="0"/>
          <w:sz w:val="24"/>
          <w:szCs w:val="20"/>
          <w14:textFill>
            <w14:solidFill>
              <w14:schemeClr w14:val="tx1"/>
            </w14:solidFill>
          </w14:textFill>
        </w:rPr>
        <w:t>⑥</w:t>
      </w:r>
      <w:r>
        <w:rPr>
          <w:color w:val="000000" w:themeColor="text1"/>
          <w:kern w:val="0"/>
          <w:sz w:val="24"/>
          <w:szCs w:val="20"/>
          <w14:textFill>
            <w14:solidFill>
              <w14:schemeClr w14:val="tx1"/>
            </w14:solidFill>
          </w14:textFill>
        </w:rPr>
        <w:fldChar w:fldCharType="end"/>
      </w:r>
      <w:r>
        <w:rPr>
          <w:color w:val="000000" w:themeColor="text1"/>
          <w:kern w:val="0"/>
          <w:sz w:val="24"/>
          <w:szCs w:val="20"/>
          <w14:textFill>
            <w14:solidFill>
              <w14:schemeClr w14:val="tx1"/>
            </w14:solidFill>
          </w14:textFill>
        </w:rPr>
        <w:t xml:space="preserve"> 河流补给和排泄</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当河流水位与河道两侧地下水位存在水位（水头）差时，河流与含水层之间将发生水量交换，即河流对地下水的补给或排泄过程。河流与含水层之间的交换水量QL计算公式为：</w:t>
      </w:r>
    </w:p>
    <w:tbl>
      <w:tblPr>
        <w:tblStyle w:val="49"/>
        <w:tblW w:w="0" w:type="auto"/>
        <w:jc w:val="center"/>
        <w:tblLayout w:type="fixed"/>
        <w:tblCellMar>
          <w:top w:w="0" w:type="dxa"/>
          <w:left w:w="108" w:type="dxa"/>
          <w:bottom w:w="0" w:type="dxa"/>
          <w:right w:w="108" w:type="dxa"/>
        </w:tblCellMar>
      </w:tblPr>
      <w:tblGrid>
        <w:gridCol w:w="851"/>
        <w:gridCol w:w="6814"/>
        <w:gridCol w:w="850"/>
      </w:tblGrid>
      <w:tr>
        <w:tblPrEx>
          <w:tblCellMar>
            <w:top w:w="0" w:type="dxa"/>
            <w:left w:w="108" w:type="dxa"/>
            <w:bottom w:w="0" w:type="dxa"/>
            <w:right w:w="108" w:type="dxa"/>
          </w:tblCellMar>
        </w:tblPrEx>
        <w:trPr>
          <w:trHeight w:val="508" w:hRule="atLeast"/>
          <w:jc w:val="center"/>
        </w:trPr>
        <w:tc>
          <w:tcPr>
            <w:tcW w:w="851" w:type="dxa"/>
            <w:vAlign w:val="center"/>
          </w:tcPr>
          <w:p>
            <w:pPr>
              <w:adjustRightInd w:val="0"/>
              <w:snapToGrid w:val="0"/>
              <w:textAlignment w:val="baseline"/>
              <w:rPr>
                <w:color w:val="000000" w:themeColor="text1"/>
                <w:kern w:val="0"/>
                <w:sz w:val="24"/>
                <w:szCs w:val="20"/>
                <w14:textFill>
                  <w14:solidFill>
                    <w14:schemeClr w14:val="tx1"/>
                  </w14:solidFill>
                </w14:textFill>
              </w:rPr>
            </w:pPr>
          </w:p>
        </w:tc>
        <w:tc>
          <w:tcPr>
            <w:tcW w:w="6814" w:type="dxa"/>
            <w:vAlign w:val="center"/>
          </w:tcPr>
          <w:p>
            <w:pPr>
              <w:adjustRightInd w:val="0"/>
              <w:snapToGrid w:val="0"/>
              <w:jc w:val="center"/>
              <w:textAlignment w:val="baseline"/>
              <w:rPr>
                <w:color w:val="000000" w:themeColor="text1"/>
                <w:kern w:val="0"/>
                <w:sz w:val="24"/>
                <w:szCs w:val="20"/>
                <w14:textFill>
                  <w14:solidFill>
                    <w14:schemeClr w14:val="tx1"/>
                  </w14:solidFill>
                </w14:textFill>
              </w:rPr>
            </w:pPr>
            <w:r>
              <w:rPr>
                <w:color w:val="000000" w:themeColor="text1"/>
                <w:position w:val="-22"/>
                <w:sz w:val="24"/>
                <w:szCs w:val="21"/>
                <w14:textFill>
                  <w14:solidFill>
                    <w14:schemeClr w14:val="tx1"/>
                  </w14:solidFill>
                </w14:textFill>
              </w:rPr>
              <w:object>
                <v:shape id="_x0000_i1049" o:spt="75" alt="" type="#_x0000_t75" style="height:28.2pt;width:86.25pt;" o:ole="t" filled="f" o:preferrelative="t" stroked="f" coordsize="21600,21600">
                  <v:path/>
                  <v:fill on="f" focussize="0,0"/>
                  <v:stroke on="f"/>
                  <v:imagedata r:id="rId154" o:title=""/>
                  <o:lock v:ext="edit" aspectratio="t"/>
                  <w10:wrap type="none"/>
                  <w10:anchorlock/>
                </v:shape>
                <o:OLEObject Type="Embed" ProgID="Equation.DSMT4" ShapeID="_x0000_i1049" DrawAspect="Content" ObjectID="_1468075749" r:id="rId153">
                  <o:LockedField>false</o:LockedField>
                </o:OLEObject>
              </w:object>
            </w:r>
          </w:p>
        </w:tc>
        <w:tc>
          <w:tcPr>
            <w:tcW w:w="850" w:type="dxa"/>
            <w:vAlign w:val="center"/>
          </w:tcPr>
          <w:p>
            <w:pPr>
              <w:adjustRightInd w:val="0"/>
              <w:snapToGrid w:val="0"/>
              <w:textAlignment w:val="baseline"/>
              <w:rPr>
                <w:color w:val="000000" w:themeColor="text1"/>
                <w:kern w:val="0"/>
                <w:sz w:val="24"/>
                <w:szCs w:val="20"/>
                <w14:textFill>
                  <w14:solidFill>
                    <w14:schemeClr w14:val="tx1"/>
                  </w14:solidFill>
                </w14:textFill>
              </w:rPr>
            </w:pPr>
          </w:p>
        </w:tc>
      </w:tr>
    </w:tbl>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式中，QL为某河段与含水层之间的交换水量，m</w:t>
      </w:r>
      <w:r>
        <w:rPr>
          <w:color w:val="000000" w:themeColor="text1"/>
          <w:kern w:val="0"/>
          <w:sz w:val="24"/>
          <w:szCs w:val="20"/>
          <w:vertAlign w:val="superscript"/>
          <w14:textFill>
            <w14:solidFill>
              <w14:schemeClr w14:val="tx1"/>
            </w14:solidFill>
          </w14:textFill>
        </w:rPr>
        <w:t>3</w:t>
      </w:r>
      <w:r>
        <w:rPr>
          <w:color w:val="000000" w:themeColor="text1"/>
          <w:kern w:val="0"/>
          <w:sz w:val="24"/>
          <w:szCs w:val="20"/>
          <w14:textFill>
            <w14:solidFill>
              <w14:schemeClr w14:val="tx1"/>
            </w14:solidFill>
          </w14:textFill>
        </w:rPr>
        <w:t>T-1；K为河床底积层渗透系数，mT-1；</w:t>
      </w:r>
      <w:r>
        <w:rPr>
          <w:color w:val="000000" w:themeColor="text1"/>
          <w:kern w:val="0"/>
          <w:position w:val="-6"/>
          <w:sz w:val="24"/>
          <w:szCs w:val="20"/>
          <w14:textFill>
            <w14:solidFill>
              <w14:schemeClr w14:val="tx1"/>
            </w14:solidFill>
          </w14:textFill>
        </w:rPr>
        <w:object>
          <v:shape id="_x0000_i1050" o:spt="75" alt="" type="#_x0000_t75" style="height:13.35pt;width:14.25pt;" o:ole="t" filled="f" o:preferrelative="t" stroked="f" coordsize="21600,21600">
            <v:path/>
            <v:fill on="f" focussize="0,0"/>
            <v:stroke on="f"/>
            <v:imagedata r:id="rId156" o:title=""/>
            <o:lock v:ext="edit" aspectratio="t"/>
            <w10:wrap type="none"/>
            <w10:anchorlock/>
          </v:shape>
          <o:OLEObject Type="Embed" ProgID="Equation.DSMT4" ShapeID="_x0000_i1050" DrawAspect="Content" ObjectID="_1468075750" r:id="rId155">
            <o:LockedField>false</o:LockedField>
          </o:OLEObject>
        </w:object>
      </w:r>
      <w:r>
        <w:rPr>
          <w:color w:val="000000" w:themeColor="text1"/>
          <w:kern w:val="0"/>
          <w:sz w:val="24"/>
          <w:szCs w:val="20"/>
          <w14:textFill>
            <w14:solidFill>
              <w14:schemeClr w14:val="tx1"/>
            </w14:solidFill>
          </w14:textFill>
        </w:rPr>
        <w:t>为河段宽度，m；m为河床底积层的厚度，m；L为河段长，m；hs为河水位，m；ha为地下水水位（水头），m。本次研究，直接采用MODFLOW的RIV模块处理河流与地下水含水层之间的补给和排泄过程。根据研究区河流来水情况，考虑</w:t>
      </w:r>
      <w:r>
        <w:rPr>
          <w:rFonts w:hint="eastAsia"/>
          <w:color w:val="000000" w:themeColor="text1"/>
          <w:kern w:val="0"/>
          <w:sz w:val="24"/>
          <w:szCs w:val="20"/>
          <w14:textFill>
            <w14:solidFill>
              <w14:schemeClr w14:val="tx1"/>
            </w14:solidFill>
          </w14:textFill>
        </w:rPr>
        <w:t>文岩渠</w:t>
      </w:r>
      <w:r>
        <w:rPr>
          <w:color w:val="000000" w:themeColor="text1"/>
          <w:kern w:val="0"/>
          <w:sz w:val="24"/>
          <w:szCs w:val="20"/>
          <w14:textFill>
            <w14:solidFill>
              <w14:schemeClr w14:val="tx1"/>
            </w14:solidFill>
          </w14:textFill>
        </w:rPr>
        <w:t>、</w:t>
      </w:r>
      <w:r>
        <w:rPr>
          <w:rFonts w:hint="eastAsia"/>
          <w:color w:val="000000" w:themeColor="text1"/>
          <w:kern w:val="0"/>
          <w:sz w:val="24"/>
          <w:szCs w:val="20"/>
          <w14:textFill>
            <w14:solidFill>
              <w14:schemeClr w14:val="tx1"/>
            </w14:solidFill>
          </w14:textFill>
        </w:rPr>
        <w:t>西关排、天然二支渠、新一干渠</w:t>
      </w:r>
      <w:r>
        <w:rPr>
          <w:color w:val="000000" w:themeColor="text1"/>
          <w:kern w:val="0"/>
          <w:sz w:val="24"/>
          <w:szCs w:val="20"/>
          <w14:textFill>
            <w14:solidFill>
              <w14:schemeClr w14:val="tx1"/>
            </w14:solidFill>
          </w14:textFill>
        </w:rPr>
        <w:t>与地下水含水层的补给和排泄。</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（3）地下水流动模型参数选取</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地下水流动模型参数包括含水层介质水平渗透系数、垂向渗透系数，给水度以及降雨入渗补给系数和潜水蒸发系数。为了较准确地刻画评价区水文地质条件，模型中参数的确定主要依据水文地质手册，并结合项目所在地区域水文地质资料，以及各种参数常用的经验值，得到初步含水层参数值。本次模型中，根据水文地质资料，模型浅层含水层，具体参数值参照已有的水文地质资料以及经验数据进行设置。模型模拟时间为7300d，采用PCG求解器计算。</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（4）模型识别</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模型识别过程通常要在反复修改水文地质参数和调整某些源汇项基础上才能达到较为理想的拟合结果。此模型的识别过程采用的方法称为试估—校正法，属于反求参数的间接方法之一。运行计算程序，可得到这种水文地质概念模型在给定水文地质参数和各均衡项条件下的地下水位时空分布，通过拟合同时期的地下水水位，识别水文地质参数、边界值和其它均衡项，使建立的模型更加符合模拟区的水文地质条件。</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地下位拟合效果见</w:t>
      </w:r>
      <w:r>
        <w:rPr>
          <w:rFonts w:hint="eastAsia"/>
          <w:color w:val="000000" w:themeColor="text1"/>
          <w:kern w:val="0"/>
          <w:sz w:val="24"/>
          <w:szCs w:val="20"/>
          <w14:textFill>
            <w14:solidFill>
              <w14:schemeClr w14:val="tx1"/>
            </w14:solidFill>
          </w14:textFill>
        </w:rPr>
        <w:t>下图</w:t>
      </w:r>
      <w:r>
        <w:rPr>
          <w:color w:val="000000" w:themeColor="text1"/>
          <w:kern w:val="0"/>
          <w:sz w:val="24"/>
          <w:szCs w:val="20"/>
          <w14:textFill>
            <w14:solidFill>
              <w14:schemeClr w14:val="tx1"/>
            </w14:solidFill>
          </w14:textFill>
        </w:rPr>
        <w:t>，可见地下水位模拟水位和实测水位误差均小于0.5m，所建立的数学模型达到了模型精度要求，可以利用该模型对研究区进行地下水污染情景预报。</w:t>
      </w:r>
    </w:p>
    <w:p>
      <w:pPr>
        <w:spacing w:line="360" w:lineRule="auto"/>
        <w:jc w:val="center"/>
        <w:rPr>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5505450" cy="4600575"/>
            <wp:effectExtent l="0" t="0" r="0" b="9525"/>
            <wp:docPr id="1252686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86915" name="图片 1"/>
                    <pic:cNvPicPr>
                      <a:picLocks noChangeAspect="1" noChangeArrowheads="1"/>
                    </pic:cNvPicPr>
                  </pic:nvPicPr>
                  <pic:blipFill>
                    <a:blip r:embed="rId157"/>
                    <a:srcRect/>
                    <a:stretch>
                      <a:fillRect/>
                    </a:stretch>
                  </pic:blipFill>
                  <pic:spPr>
                    <a:xfrm>
                      <a:off x="0" y="0"/>
                      <a:ext cx="5505450" cy="4600575"/>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 xml:space="preserve">图5.4-17 </w:t>
      </w:r>
      <w:r>
        <w:rPr>
          <w:rFonts w:hint="eastAsia" w:eastAsia="黑体"/>
          <w:bCs/>
          <w:color w:val="000000" w:themeColor="text1"/>
          <w:sz w:val="24"/>
          <w:szCs w:val="24"/>
          <w14:textFill>
            <w14:solidFill>
              <w14:schemeClr w14:val="tx1"/>
            </w14:solidFill>
          </w14:textFill>
        </w:rPr>
        <w:t>地下水位拟合效果</w:t>
      </w:r>
      <w:r>
        <w:rPr>
          <w:rFonts w:eastAsia="黑体"/>
          <w:bCs/>
          <w:color w:val="000000" w:themeColor="text1"/>
          <w:sz w:val="24"/>
          <w:szCs w:val="24"/>
          <w14:textFill>
            <w14:solidFill>
              <w14:schemeClr w14:val="tx1"/>
            </w14:solidFill>
          </w14:textFill>
        </w:rPr>
        <w:t>图</w:t>
      </w:r>
    </w:p>
    <w:p>
      <w:pPr>
        <w:pStyle w:val="727"/>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.4.8</w:t>
      </w:r>
      <w:r>
        <w:rPr>
          <w:rFonts w:hint="eastAsia"/>
          <w:color w:val="000000" w:themeColor="text1"/>
          <w14:textFill>
            <w14:solidFill>
              <w14:schemeClr w14:val="tx1"/>
            </w14:solidFill>
          </w14:textFill>
        </w:rPr>
        <w:t>地下水污染模拟预测</w:t>
      </w:r>
    </w:p>
    <w:p>
      <w:pPr>
        <w:pStyle w:val="460"/>
      </w:pPr>
      <w:r>
        <w:t>5.4.8.1溶质运移数学模型</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地下水中溶质运移的数学模型为：</w:t>
      </w:r>
    </w:p>
    <w:tbl>
      <w:tblPr>
        <w:tblStyle w:val="49"/>
        <w:tblW w:w="0" w:type="auto"/>
        <w:jc w:val="center"/>
        <w:tblLayout w:type="fixed"/>
        <w:tblCellMar>
          <w:top w:w="0" w:type="dxa"/>
          <w:left w:w="108" w:type="dxa"/>
          <w:bottom w:w="0" w:type="dxa"/>
          <w:right w:w="108" w:type="dxa"/>
        </w:tblCellMar>
      </w:tblPr>
      <w:tblGrid>
        <w:gridCol w:w="851"/>
        <w:gridCol w:w="6814"/>
        <w:gridCol w:w="850"/>
      </w:tblGrid>
      <w:tr>
        <w:tblPrEx>
          <w:tblCellMar>
            <w:top w:w="0" w:type="dxa"/>
            <w:left w:w="108" w:type="dxa"/>
            <w:bottom w:w="0" w:type="dxa"/>
            <w:right w:w="108" w:type="dxa"/>
          </w:tblCellMar>
        </w:tblPrEx>
        <w:trPr>
          <w:trHeight w:val="508" w:hRule="atLeast"/>
          <w:jc w:val="center"/>
        </w:trPr>
        <w:tc>
          <w:tcPr>
            <w:tcW w:w="851" w:type="dxa"/>
            <w:vAlign w:val="center"/>
          </w:tcPr>
          <w:p>
            <w:pPr>
              <w:adjustRightInd w:val="0"/>
              <w:snapToGrid w:val="0"/>
              <w:textAlignment w:val="baseline"/>
              <w:rPr>
                <w:color w:val="000000" w:themeColor="text1"/>
                <w:kern w:val="0"/>
                <w:sz w:val="24"/>
                <w:szCs w:val="20"/>
                <w14:textFill>
                  <w14:solidFill>
                    <w14:schemeClr w14:val="tx1"/>
                  </w14:solidFill>
                </w14:textFill>
              </w:rPr>
            </w:pPr>
          </w:p>
        </w:tc>
        <w:tc>
          <w:tcPr>
            <w:tcW w:w="6814" w:type="dxa"/>
            <w:vAlign w:val="center"/>
          </w:tcPr>
          <w:p>
            <w:pPr>
              <w:adjustRightInd w:val="0"/>
              <w:snapToGrid w:val="0"/>
              <w:jc w:val="center"/>
              <w:textAlignment w:val="baseline"/>
              <w:rPr>
                <w:color w:val="000000" w:themeColor="text1"/>
                <w:kern w:val="0"/>
                <w:sz w:val="24"/>
                <w:szCs w:val="20"/>
                <w14:textFill>
                  <w14:solidFill>
                    <w14:schemeClr w14:val="tx1"/>
                  </w14:solidFill>
                </w14:textFill>
              </w:rPr>
            </w:pPr>
            <w:r>
              <w:rPr>
                <w:color w:val="000000" w:themeColor="text1"/>
                <w:kern w:val="0"/>
                <w:position w:val="-34"/>
                <w:sz w:val="24"/>
                <w:szCs w:val="24"/>
                <w14:textFill>
                  <w14:solidFill>
                    <w14:schemeClr w14:val="tx1"/>
                  </w14:solidFill>
                </w14:textFill>
              </w:rPr>
              <w:object>
                <v:shape id="_x0000_i1051" o:spt="75" alt="" type="#_x0000_t75" style="height:40pt;width:201.75pt;" o:ole="t" filled="f" o:preferrelative="t" stroked="f" coordsize="21600,21600">
                  <v:path/>
                  <v:fill on="f" focussize="0,0"/>
                  <v:stroke on="f"/>
                  <v:imagedata r:id="rId159" o:title=""/>
                  <o:lock v:ext="edit" aspectratio="t"/>
                  <w10:wrap type="none"/>
                  <w10:anchorlock/>
                </v:shape>
                <o:OLEObject Type="Embed" ProgID="Equation.DSMT4" ShapeID="_x0000_i1051" DrawAspect="Content" ObjectID="_1468075751" r:id="rId158">
                  <o:LockedField>false</o:LockedField>
                </o:OLEObject>
              </w:object>
            </w:r>
          </w:p>
        </w:tc>
        <w:tc>
          <w:tcPr>
            <w:tcW w:w="850" w:type="dxa"/>
            <w:vAlign w:val="center"/>
          </w:tcPr>
          <w:p>
            <w:pPr>
              <w:adjustRightInd w:val="0"/>
              <w:snapToGrid w:val="0"/>
              <w:textAlignment w:val="baseline"/>
              <w:rPr>
                <w:color w:val="000000" w:themeColor="text1"/>
                <w:kern w:val="0"/>
                <w:sz w:val="24"/>
                <w:szCs w:val="20"/>
                <w14:textFill>
                  <w14:solidFill>
                    <w14:schemeClr w14:val="tx1"/>
                  </w14:solidFill>
                </w14:textFill>
              </w:rPr>
            </w:pPr>
          </w:p>
        </w:tc>
      </w:tr>
    </w:tbl>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w:t>
      </w:r>
      <w:r>
        <w:rPr>
          <w:color w:val="000000" w:themeColor="text1"/>
          <w:kern w:val="0"/>
          <w:position w:val="-12"/>
          <w:sz w:val="24"/>
          <w:szCs w:val="20"/>
          <w14:textFill>
            <w14:solidFill>
              <w14:schemeClr w14:val="tx1"/>
            </w14:solidFill>
          </w14:textFill>
        </w:rPr>
        <w:object>
          <v:shape id="_x0000_i1052" o:spt="75" alt="" type="#_x0000_t75" style="height:17.05pt;width:14.25pt;" o:ole="t" filled="f" o:preferrelative="t" stroked="f" coordsize="21600,21600">
            <v:path/>
            <v:fill on="f" focussize="0,0"/>
            <v:stroke on="f"/>
            <v:imagedata r:id="rId161" o:title=""/>
            <o:lock v:ext="edit" aspectratio="t"/>
            <w10:wrap type="none"/>
            <w10:anchorlock/>
          </v:shape>
          <o:OLEObject Type="Embed" ProgID="Equation.DSMT4" ShapeID="_x0000_i1052" DrawAspect="Content" ObjectID="_1468075752" r:id="rId160">
            <o:LockedField>false</o:LockedField>
          </o:OLEObject>
        </w:object>
      </w:r>
      <w:r>
        <w:rPr>
          <w:color w:val="000000" w:themeColor="text1"/>
          <w:kern w:val="0"/>
          <w:sz w:val="24"/>
          <w:szCs w:val="20"/>
          <w14:textFill>
            <w14:solidFill>
              <w14:schemeClr w14:val="tx1"/>
            </w14:solidFill>
          </w14:textFill>
        </w:rPr>
        <w:t>—介质密度，mg/(dm)</w:t>
      </w:r>
      <w:r>
        <w:rPr>
          <w:color w:val="000000" w:themeColor="text1"/>
          <w:kern w:val="0"/>
          <w:sz w:val="24"/>
          <w:szCs w:val="20"/>
          <w:vertAlign w:val="superscript"/>
          <w14:textFill>
            <w14:solidFill>
              <w14:schemeClr w14:val="tx1"/>
            </w14:solidFill>
          </w14:textFill>
        </w:rPr>
        <w:t>3</w:t>
      </w:r>
      <w:r>
        <w:rPr>
          <w:color w:val="000000" w:themeColor="text1"/>
          <w:kern w:val="0"/>
          <w:sz w:val="24"/>
          <w:szCs w:val="20"/>
          <w14:textFill>
            <w14:solidFill>
              <w14:schemeClr w14:val="tx1"/>
            </w14:solidFill>
          </w14:textFill>
        </w:rPr>
        <w:t>；</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position w:val="-6"/>
          <w:sz w:val="24"/>
          <w:szCs w:val="20"/>
          <w14:textFill>
            <w14:solidFill>
              <w14:schemeClr w14:val="tx1"/>
            </w14:solidFill>
          </w14:textFill>
        </w:rPr>
        <w:object>
          <v:shape id="_x0000_i1053" o:spt="75" alt="" type="#_x0000_t75" style="height:14.25pt;width:9.75pt;" o:ole="t" filled="f" o:preferrelative="t" stroked="f" coordsize="21600,21600">
            <v:path/>
            <v:fill on="f" focussize="0,0"/>
            <v:stroke on="f"/>
            <v:imagedata r:id="rId163" o:title=""/>
            <o:lock v:ext="edit" aspectratio="t"/>
            <w10:wrap type="none"/>
            <w10:anchorlock/>
          </v:shape>
          <o:OLEObject Type="Embed" ProgID="Equation.DSMT4" ShapeID="_x0000_i1053" DrawAspect="Content" ObjectID="_1468075753" r:id="rId162">
            <o:LockedField>false</o:LockedField>
          </o:OLEObject>
        </w:object>
      </w:r>
      <w:r>
        <w:rPr>
          <w:color w:val="000000" w:themeColor="text1"/>
          <w:kern w:val="0"/>
          <w:sz w:val="24"/>
          <w:szCs w:val="20"/>
          <w14:textFill>
            <w14:solidFill>
              <w14:schemeClr w14:val="tx1"/>
            </w14:solidFill>
          </w14:textFill>
        </w:rPr>
        <w:t>—介质孔隙度，无量纲；</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position w:val="-6"/>
          <w:sz w:val="24"/>
          <w:szCs w:val="20"/>
          <w14:textFill>
            <w14:solidFill>
              <w14:schemeClr w14:val="tx1"/>
            </w14:solidFill>
          </w14:textFill>
        </w:rPr>
        <w:object>
          <v:shape id="_x0000_i1054" o:spt="75" alt="" type="#_x0000_t75" style="height:14.25pt;width:12pt;" o:ole="t" filled="f" o:preferrelative="t" stroked="f" coordsize="21600,21600">
            <v:path/>
            <v:fill on="f" focussize="0,0"/>
            <v:stroke on="f"/>
            <v:imagedata r:id="rId165" o:title=""/>
            <o:lock v:ext="edit" aspectratio="t"/>
            <w10:wrap type="none"/>
            <w10:anchorlock/>
          </v:shape>
          <o:OLEObject Type="Embed" ProgID="Equation.DSMT4" ShapeID="_x0000_i1054" DrawAspect="Content" ObjectID="_1468075754" r:id="rId164">
            <o:LockedField>false</o:LockedField>
          </o:OLEObject>
        </w:object>
      </w:r>
      <w:r>
        <w:rPr>
          <w:color w:val="000000" w:themeColor="text1"/>
          <w:kern w:val="0"/>
          <w:sz w:val="24"/>
          <w:szCs w:val="20"/>
          <w14:textFill>
            <w14:solidFill>
              <w14:schemeClr w14:val="tx1"/>
            </w14:solidFill>
          </w14:textFill>
        </w:rPr>
        <w:t>—组分的浓度，mg/L；</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t —时间，d；</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x，y，z—空间位置坐标，m；</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Dij—水动力弥散系数张量，m</w:t>
      </w:r>
      <w:r>
        <w:rPr>
          <w:color w:val="000000" w:themeColor="text1"/>
          <w:kern w:val="0"/>
          <w:sz w:val="24"/>
          <w:szCs w:val="20"/>
          <w:vertAlign w:val="superscript"/>
          <w14:textFill>
            <w14:solidFill>
              <w14:schemeClr w14:val="tx1"/>
            </w14:solidFill>
          </w14:textFill>
        </w:rPr>
        <w:t>2</w:t>
      </w:r>
      <w:r>
        <w:rPr>
          <w:color w:val="000000" w:themeColor="text1"/>
          <w:kern w:val="0"/>
          <w:sz w:val="24"/>
          <w:szCs w:val="20"/>
          <w14:textFill>
            <w14:solidFill>
              <w14:schemeClr w14:val="tx1"/>
            </w14:solidFill>
          </w14:textFill>
        </w:rPr>
        <w:t>/d；</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Vi—地下水渗流速度张量，m/d；</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position w:val="-12"/>
          <w:sz w:val="24"/>
          <w:szCs w:val="20"/>
          <w14:textFill>
            <w14:solidFill>
              <w14:schemeClr w14:val="tx1"/>
            </w14:solidFill>
          </w14:textFill>
        </w:rPr>
        <w:object>
          <v:shape id="_x0000_i1055" o:spt="75" alt="" type="#_x0000_t75" style="height:17.05pt;width:14.25pt;" o:ole="t" filled="f" o:preferrelative="t" stroked="f" coordsize="21600,21600">
            <v:path/>
            <v:fill on="f" focussize="0,0"/>
            <v:stroke on="f"/>
            <v:imagedata r:id="rId167" o:title=""/>
            <o:lock v:ext="edit" aspectratio="t"/>
            <w10:wrap type="none"/>
            <w10:anchorlock/>
          </v:shape>
          <o:OLEObject Type="Embed" ProgID="Equation.DSMT4" ShapeID="_x0000_i1055" DrawAspect="Content" ObjectID="_1468075755" r:id="rId166">
            <o:LockedField>false</o:LockedField>
          </o:OLEObject>
        </w:object>
      </w:r>
      <w:r>
        <w:rPr>
          <w:color w:val="000000" w:themeColor="text1"/>
          <w:kern w:val="0"/>
          <w:sz w:val="24"/>
          <w:szCs w:val="20"/>
          <w14:textFill>
            <w14:solidFill>
              <w14:schemeClr w14:val="tx1"/>
            </w14:solidFill>
          </w14:textFill>
        </w:rPr>
        <w:t>—组分的浓度，mg/L。</w:t>
      </w:r>
    </w:p>
    <w:p>
      <w:pPr>
        <w:spacing w:line="52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地下水溶质运移模型参数主要包括弥散系数、有效孔隙度和岩土密度。有效孔隙度根据勘察的实测的孔隙率数据确定，岩土密度根据勘察的实测数据确定。弥散系数的确定相对比较困难。</w:t>
      </w:r>
    </w:p>
    <w:p>
      <w:pPr>
        <w:spacing w:line="520" w:lineRule="exact"/>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通常空隙介质中的弥散度随着溶质运移距离的增加而加大，这种现象称之为水动力弥散尺度效应。其具体表现为：野外弥散试验所求出的弥散度远远大于在实验室所测出的值，相差可达4-5个数量级；即使是同一含水层，溶质运移距离越大，所计算出的弥散度也越大。因此，即使是进行野外或室内弥散试验也难以获得准确的弥散系数。因此，模型中参考前人的研究成果（5.4-18），本次模拟取弥散度参数值取10m。本次溶质运移模型采用MT3DMS进行求解。</w:t>
      </w:r>
    </w:p>
    <w:p>
      <w:pPr>
        <w:spacing w:line="360" w:lineRule="auto"/>
        <w:jc w:val="center"/>
        <w:rPr>
          <w:color w:val="000000" w:themeColor="text1"/>
          <w14:textFill>
            <w14:solidFill>
              <w14:schemeClr w14:val="tx1"/>
            </w14:solidFill>
          </w14:textFill>
        </w:rPr>
      </w:pPr>
      <w:r>
        <w:rPr>
          <w:b/>
          <w:color w:val="000000" w:themeColor="text1"/>
          <w:szCs w:val="24"/>
          <w14:textFill>
            <w14:solidFill>
              <w14:schemeClr w14:val="tx1"/>
            </w14:solidFill>
          </w14:textFill>
        </w:rPr>
        <w:drawing>
          <wp:inline distT="0" distB="0" distL="0" distR="0">
            <wp:extent cx="5272405" cy="4219575"/>
            <wp:effectExtent l="0" t="0" r="4445" b="9525"/>
            <wp:docPr id="947" name="图片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图片 947"/>
                    <pic:cNvPicPr>
                      <a:picLocks noChangeAspect="1" noChangeArrowheads="1"/>
                    </pic:cNvPicPr>
                  </pic:nvPicPr>
                  <pic:blipFill>
                    <a:blip r:embed="rId168"/>
                    <a:srcRect/>
                    <a:stretch>
                      <a:fillRect/>
                    </a:stretch>
                  </pic:blipFill>
                  <pic:spPr>
                    <a:xfrm>
                      <a:off x="0" y="0"/>
                      <a:ext cx="5304194" cy="4219575"/>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w:t>
      </w:r>
      <w:r>
        <w:rPr>
          <w:rFonts w:hint="eastAsia" w:eastAsia="黑体"/>
          <w:bCs/>
          <w:color w:val="000000" w:themeColor="text1"/>
          <w:sz w:val="24"/>
          <w:szCs w:val="24"/>
          <w14:textFill>
            <w14:solidFill>
              <w14:schemeClr w14:val="tx1"/>
            </w14:solidFill>
          </w14:textFill>
        </w:rPr>
        <w:t>-</w:t>
      </w:r>
      <w:r>
        <w:rPr>
          <w:rFonts w:eastAsia="黑体"/>
          <w:bCs/>
          <w:color w:val="000000" w:themeColor="text1"/>
          <w:sz w:val="24"/>
          <w:szCs w:val="24"/>
          <w14:textFill>
            <w14:solidFill>
              <w14:schemeClr w14:val="tx1"/>
            </w14:solidFill>
          </w14:textFill>
        </w:rPr>
        <w:t>18孔隙介质数值模型的lgαL—lg Ls</w:t>
      </w:r>
    </w:p>
    <w:p>
      <w:pPr>
        <w:jc w:val="center"/>
        <w:rPr>
          <w:rFonts w:eastAsia="黑体"/>
          <w:bCs/>
          <w:color w:val="000000" w:themeColor="text1"/>
          <w:sz w:val="24"/>
          <w:szCs w:val="24"/>
          <w14:textFill>
            <w14:solidFill>
              <w14:schemeClr w14:val="tx1"/>
            </w14:solidFill>
          </w14:textFill>
        </w:rPr>
      </w:pPr>
    </w:p>
    <w:p>
      <w:pPr>
        <w:pStyle w:val="460"/>
      </w:pPr>
      <w:r>
        <w:t>5.4.8.2</w:t>
      </w:r>
      <w:r>
        <w:rPr>
          <w:rFonts w:hint="eastAsia"/>
        </w:rPr>
        <w:t>地下水污染途径分析</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地下水污染途径具有多样性，大致可归为四类：</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rFonts w:hint="eastAsia" w:ascii="宋体" w:hAnsi="宋体" w:cs="宋体"/>
          <w:color w:val="000000" w:themeColor="text1"/>
          <w:kern w:val="0"/>
          <w:sz w:val="24"/>
          <w:szCs w:val="20"/>
          <w14:textFill>
            <w14:solidFill>
              <w14:schemeClr w14:val="tx1"/>
            </w14:solidFill>
          </w14:textFill>
        </w:rPr>
        <w:t>①</w:t>
      </w:r>
      <w:r>
        <w:rPr>
          <w:color w:val="000000" w:themeColor="text1"/>
          <w:kern w:val="0"/>
          <w:sz w:val="24"/>
          <w:szCs w:val="20"/>
          <w14:textFill>
            <w14:solidFill>
              <w14:schemeClr w14:val="tx1"/>
            </w14:solidFill>
          </w14:textFill>
        </w:rPr>
        <w:t>间歇入渗型。大气降水或其他灌溉水使污染物随水通过包气带，周期地渗入含水层，主要是污染潜水，淋滤固体废物堆引起的污染，即属此类。</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rFonts w:hint="eastAsia" w:ascii="宋体" w:hAnsi="宋体" w:cs="宋体"/>
          <w:color w:val="000000" w:themeColor="text1"/>
          <w:kern w:val="0"/>
          <w:sz w:val="24"/>
          <w:szCs w:val="20"/>
          <w14:textFill>
            <w14:solidFill>
              <w14:schemeClr w14:val="tx1"/>
            </w14:solidFill>
          </w14:textFill>
        </w:rPr>
        <w:t>②</w:t>
      </w:r>
      <w:r>
        <w:rPr>
          <w:color w:val="000000" w:themeColor="text1"/>
          <w:kern w:val="0"/>
          <w:sz w:val="24"/>
          <w:szCs w:val="20"/>
          <w14:textFill>
            <w14:solidFill>
              <w14:schemeClr w14:val="tx1"/>
            </w14:solidFill>
          </w14:textFill>
        </w:rPr>
        <w:t xml:space="preserve">连续入渗型。污染物随水不断地渗入含水层，主要也是污染潜水，如废水聚集地段（如废水渠、废水池等）和受污染的地表水体连续渗漏造成地下水污染。 </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rFonts w:hint="eastAsia" w:ascii="宋体" w:hAnsi="宋体" w:cs="宋体"/>
          <w:color w:val="000000" w:themeColor="text1"/>
          <w:kern w:val="0"/>
          <w:sz w:val="24"/>
          <w:szCs w:val="20"/>
          <w14:textFill>
            <w14:solidFill>
              <w14:schemeClr w14:val="tx1"/>
            </w14:solidFill>
          </w14:textFill>
        </w:rPr>
        <w:t>③</w:t>
      </w:r>
      <w:r>
        <w:rPr>
          <w:color w:val="000000" w:themeColor="text1"/>
          <w:kern w:val="0"/>
          <w:sz w:val="24"/>
          <w:szCs w:val="20"/>
          <w14:textFill>
            <w14:solidFill>
              <w14:schemeClr w14:val="tx1"/>
            </w14:solidFill>
          </w14:textFill>
        </w:rPr>
        <w:t xml:space="preserve">越流型。污染物是通过越流的方式从已受污染的含水层转移到未受污染的含水层。污染物或者是通过整个层间，或者是通过地层尖灭的天窗，或者是通过破损的井管，污染潜水和承压水。地下水的开采改变了越流方向，使已受污染的潜水进入未受污染的承压水，即属此类。 </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rFonts w:hint="eastAsia" w:ascii="宋体" w:hAnsi="宋体" w:cs="宋体"/>
          <w:color w:val="000000" w:themeColor="text1"/>
          <w:kern w:val="0"/>
          <w:sz w:val="24"/>
          <w:szCs w:val="20"/>
          <w14:textFill>
            <w14:solidFill>
              <w14:schemeClr w14:val="tx1"/>
            </w14:solidFill>
          </w14:textFill>
        </w:rPr>
        <w:t>④</w:t>
      </w:r>
      <w:r>
        <w:rPr>
          <w:color w:val="000000" w:themeColor="text1"/>
          <w:kern w:val="0"/>
          <w:sz w:val="24"/>
          <w:szCs w:val="20"/>
          <w14:textFill>
            <w14:solidFill>
              <w14:schemeClr w14:val="tx1"/>
            </w14:solidFill>
          </w14:textFill>
        </w:rPr>
        <w:t xml:space="preserve">径流型。污染物通过地下径流进入含水层，污染潜水或承压水。污染物通过地下岩溶孔道进入含水层，即属此类。 </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通过以上对地下水污染途径的分类：研究区地下潜水与调查评价区内的承压水水力联系不密切，且人为通道少，因此发生越流型污染的现象小；厂区建设</w:t>
      </w:r>
      <w:r>
        <w:rPr>
          <w:rFonts w:hint="eastAsia"/>
          <w:color w:val="000000" w:themeColor="text1"/>
          <w:kern w:val="0"/>
          <w:sz w:val="24"/>
          <w:szCs w:val="20"/>
          <w14:textFill>
            <w14:solidFill>
              <w14:schemeClr w14:val="tx1"/>
            </w14:solidFill>
          </w14:textFill>
        </w:rPr>
        <w:t>污水处理站</w:t>
      </w:r>
      <w:r>
        <w:rPr>
          <w:color w:val="000000" w:themeColor="text1"/>
          <w:kern w:val="0"/>
          <w:sz w:val="24"/>
          <w:szCs w:val="20"/>
          <w14:textFill>
            <w14:solidFill>
              <w14:schemeClr w14:val="tx1"/>
            </w14:solidFill>
          </w14:textFill>
        </w:rPr>
        <w:t>，在生产过程中产生</w:t>
      </w:r>
      <w:r>
        <w:rPr>
          <w:rFonts w:hint="eastAsia"/>
          <w:color w:val="000000" w:themeColor="text1"/>
          <w:kern w:val="0"/>
          <w:sz w:val="24"/>
          <w:szCs w:val="20"/>
          <w14:textFill>
            <w14:solidFill>
              <w14:schemeClr w14:val="tx1"/>
            </w14:solidFill>
          </w14:textFill>
        </w:rPr>
        <w:t>的</w:t>
      </w:r>
      <w:r>
        <w:rPr>
          <w:color w:val="000000" w:themeColor="text1"/>
          <w:kern w:val="0"/>
          <w:sz w:val="24"/>
          <w:szCs w:val="20"/>
          <w14:textFill>
            <w14:solidFill>
              <w14:schemeClr w14:val="tx1"/>
            </w14:solidFill>
          </w14:textFill>
        </w:rPr>
        <w:t>污水可能产生入渗型污染，并通过径流污染下游的地下水。因此本规划区地下水的污染途径主要以入渗型为主。</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根据导则的要求及以上关于污染途径的描述，厂区正常工况下，不会发生污水渗漏进入地下的情况。本项目非正常工况主要考虑</w:t>
      </w:r>
      <w:r>
        <w:rPr>
          <w:rFonts w:hint="eastAsia"/>
          <w:color w:val="000000" w:themeColor="text1"/>
          <w:kern w:val="0"/>
          <w:sz w:val="24"/>
          <w:szCs w:val="20"/>
          <w14:textFill>
            <w14:solidFill>
              <w14:schemeClr w14:val="tx1"/>
            </w14:solidFill>
          </w14:textFill>
        </w:rPr>
        <w:t>集水池</w:t>
      </w:r>
      <w:r>
        <w:rPr>
          <w:color w:val="000000" w:themeColor="text1"/>
          <w:kern w:val="0"/>
          <w:sz w:val="24"/>
          <w:szCs w:val="20"/>
          <w14:textFill>
            <w14:solidFill>
              <w14:schemeClr w14:val="tx1"/>
            </w14:solidFill>
          </w14:textFill>
        </w:rPr>
        <w:t>出现破损发生污水渗漏，污染物通过事故造成的通道，直接进入潜水层中，由于逐渐积累，造成污染潜水层，但是项目有完整监测系统，可在一定时间内消除污染源，因此根据项目非正常工况下污染源及排放情况分析，项目非正常工况下的污染途径可定义为间歇式入渗型。</w:t>
      </w:r>
    </w:p>
    <w:p>
      <w:pPr>
        <w:pStyle w:val="460"/>
      </w:pPr>
      <w:r>
        <w:t>5.4.8.3地下水污染预测情景设定</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w:t>
      </w:r>
      <w:r>
        <w:rPr>
          <w:rFonts w:hint="eastAsia"/>
          <w:color w:val="000000" w:themeColor="text1"/>
          <w:kern w:val="0"/>
          <w:sz w:val="24"/>
          <w:szCs w:val="20"/>
          <w14:textFill>
            <w14:solidFill>
              <w14:schemeClr w14:val="tx1"/>
            </w14:solidFill>
          </w14:textFill>
        </w:rPr>
        <w:t>1</w:t>
      </w:r>
      <w:r>
        <w:rPr>
          <w:color w:val="000000" w:themeColor="text1"/>
          <w:kern w:val="0"/>
          <w:sz w:val="24"/>
          <w:szCs w:val="20"/>
          <w14:textFill>
            <w14:solidFill>
              <w14:schemeClr w14:val="tx1"/>
            </w14:solidFill>
          </w14:textFill>
        </w:rPr>
        <w:t>）预测参数</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地下水水流的预测模型所运用的参数是通过模型识别确定的。预测模型的补给量或排泄量采用现状年的资料。模型中的降雨入渗量也是采用现状年的资料。</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w:t>
      </w:r>
      <w:r>
        <w:rPr>
          <w:rFonts w:hint="eastAsia"/>
          <w:color w:val="000000" w:themeColor="text1"/>
          <w:kern w:val="0"/>
          <w:sz w:val="24"/>
          <w:szCs w:val="20"/>
          <w14:textFill>
            <w14:solidFill>
              <w14:schemeClr w14:val="tx1"/>
            </w14:solidFill>
          </w14:textFill>
        </w:rPr>
        <w:t>2</w:t>
      </w:r>
      <w:r>
        <w:rPr>
          <w:color w:val="000000" w:themeColor="text1"/>
          <w:kern w:val="0"/>
          <w:sz w:val="24"/>
          <w:szCs w:val="20"/>
          <w14:textFill>
            <w14:solidFill>
              <w14:schemeClr w14:val="tx1"/>
            </w14:solidFill>
          </w14:textFill>
        </w:rPr>
        <w:t>）预测时间</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根据《环境影响评价技术导则-地下水环境》（HJ610-2016）要求，地下水环境影响评价预测时段应包括项目建设、生产运行和服务期满后三个阶段。预测时段应选取可能产生地下水污染的关键时刻，至少包括污染发生后100天、1000天、服务年限或能反映特征因子迁移规律的其他重要的时间节点。</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结合项目实际，本次评价预测时段取100d、1000d、</w:t>
      </w:r>
      <w:r>
        <w:rPr>
          <w:rFonts w:hint="eastAsia"/>
          <w:bCs/>
          <w:color w:val="000000" w:themeColor="text1"/>
          <w:kern w:val="0"/>
          <w:sz w:val="24"/>
          <w:szCs w:val="20"/>
          <w14:textFill>
            <w14:solidFill>
              <w14:schemeClr w14:val="tx1"/>
            </w14:solidFill>
          </w14:textFill>
        </w:rPr>
        <w:t>3650d</w:t>
      </w:r>
      <w:r>
        <w:rPr>
          <w:color w:val="000000" w:themeColor="text1"/>
          <w:kern w:val="0"/>
          <w:sz w:val="24"/>
          <w:szCs w:val="20"/>
          <w14:textFill>
            <w14:solidFill>
              <w14:schemeClr w14:val="tx1"/>
            </w14:solidFill>
          </w14:textFill>
        </w:rPr>
        <w:t xml:space="preserve"> </w:t>
      </w:r>
      <w:r>
        <w:rPr>
          <w:rFonts w:hint="eastAsia"/>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7300d（项目运行期20年）。</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w:t>
      </w:r>
      <w:r>
        <w:rPr>
          <w:rFonts w:hint="eastAsia"/>
          <w:color w:val="000000" w:themeColor="text1"/>
          <w:kern w:val="0"/>
          <w:sz w:val="24"/>
          <w:szCs w:val="20"/>
          <w14:textFill>
            <w14:solidFill>
              <w14:schemeClr w14:val="tx1"/>
            </w14:solidFill>
          </w14:textFill>
        </w:rPr>
        <w:t>3</w:t>
      </w:r>
      <w:r>
        <w:rPr>
          <w:color w:val="000000" w:themeColor="text1"/>
          <w:kern w:val="0"/>
          <w:sz w:val="24"/>
          <w:szCs w:val="20"/>
          <w14:textFill>
            <w14:solidFill>
              <w14:schemeClr w14:val="tx1"/>
            </w14:solidFill>
          </w14:textFill>
        </w:rPr>
        <w:t>）预测范围</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考虑项目区周边地下水的水力梯度和渗透性能，地下水环境影响预测范围基本与调查评价范围一致，着重预测厂区内部及下游可能影响的范围之内。预测层位应以潜水含水层或污染物直接进入的含水层层为主，兼顾与其水利联系密切且具有饮用水开发利用价值的含水层。当建设项目场地天然包气带垂向渗透系数小于1×10-6cm/s或厚度超过100m时，预测范围应扩展至包气带。</w:t>
      </w:r>
      <w:r>
        <w:rPr>
          <w:rFonts w:hint="eastAsia"/>
          <w:color w:val="000000" w:themeColor="text1"/>
          <w:kern w:val="0"/>
          <w:sz w:val="24"/>
          <w:szCs w:val="20"/>
          <w14:textFill>
            <w14:solidFill>
              <w14:schemeClr w14:val="tx1"/>
            </w14:solidFill>
          </w14:textFill>
        </w:rPr>
        <w:t>本项目周边</w:t>
      </w:r>
      <w:r>
        <w:rPr>
          <w:color w:val="000000" w:themeColor="text1"/>
          <w:kern w:val="0"/>
          <w:sz w:val="24"/>
          <w:szCs w:val="24"/>
          <w14:textFill>
            <w14:solidFill>
              <w14:schemeClr w14:val="tx1"/>
            </w14:solidFill>
          </w14:textFill>
        </w:rPr>
        <w:t>包气带垂向渗透系数在2.55×10</w:t>
      </w:r>
      <w:r>
        <w:rPr>
          <w:color w:val="000000" w:themeColor="text1"/>
          <w:kern w:val="0"/>
          <w:sz w:val="24"/>
          <w:szCs w:val="24"/>
          <w:vertAlign w:val="superscript"/>
          <w14:textFill>
            <w14:solidFill>
              <w14:schemeClr w14:val="tx1"/>
            </w14:solidFill>
          </w14:textFill>
        </w:rPr>
        <w:t>-4</w:t>
      </w:r>
      <w:r>
        <w:rPr>
          <w:color w:val="000000" w:themeColor="text1"/>
          <w:kern w:val="0"/>
          <w:sz w:val="24"/>
          <w:szCs w:val="24"/>
          <w14:textFill>
            <w14:solidFill>
              <w14:schemeClr w14:val="tx1"/>
            </w14:solidFill>
          </w14:textFill>
        </w:rPr>
        <w:t>～2.99×10</w:t>
      </w:r>
      <w:r>
        <w:rPr>
          <w:color w:val="000000" w:themeColor="text1"/>
          <w:kern w:val="0"/>
          <w:sz w:val="24"/>
          <w:szCs w:val="24"/>
          <w:vertAlign w:val="superscript"/>
          <w14:textFill>
            <w14:solidFill>
              <w14:schemeClr w14:val="tx1"/>
            </w14:solidFill>
          </w14:textFill>
        </w:rPr>
        <w:t>-4</w:t>
      </w:r>
      <w:r>
        <w:rPr>
          <w:color w:val="000000" w:themeColor="text1"/>
          <w:kern w:val="0"/>
          <w:sz w:val="24"/>
          <w:szCs w:val="24"/>
          <w14:textFill>
            <w14:solidFill>
              <w14:schemeClr w14:val="tx1"/>
            </w14:solidFill>
          </w14:textFill>
        </w:rPr>
        <w:t>cm/s之间</w:t>
      </w:r>
      <w:r>
        <w:rPr>
          <w:rFonts w:hint="eastAsia"/>
          <w:color w:val="000000" w:themeColor="text1"/>
          <w:kern w:val="0"/>
          <w:sz w:val="24"/>
          <w:szCs w:val="24"/>
          <w14:textFill>
            <w14:solidFill>
              <w14:schemeClr w14:val="tx1"/>
            </w14:solidFill>
          </w14:textFill>
        </w:rPr>
        <w:t>，因此无需</w:t>
      </w:r>
      <w:r>
        <w:rPr>
          <w:color w:val="000000" w:themeColor="text1"/>
          <w:kern w:val="0"/>
          <w:sz w:val="24"/>
          <w:szCs w:val="20"/>
          <w14:textFill>
            <w14:solidFill>
              <w14:schemeClr w14:val="tx1"/>
            </w14:solidFill>
          </w14:textFill>
        </w:rPr>
        <w:t>扩展至包气带</w:t>
      </w:r>
      <w:r>
        <w:rPr>
          <w:rFonts w:hint="eastAsia"/>
          <w:color w:val="000000" w:themeColor="text1"/>
          <w:kern w:val="0"/>
          <w:sz w:val="24"/>
          <w:szCs w:val="20"/>
          <w14:textFill>
            <w14:solidFill>
              <w14:schemeClr w14:val="tx1"/>
            </w14:solidFill>
          </w14:textFill>
        </w:rPr>
        <w:t>。</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（4）预测因子及源强</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根据导则要求，I类建设项目预测因子选取重点应包括：</w:t>
      </w:r>
      <w:r>
        <w:rPr>
          <w:rFonts w:hint="eastAsia" w:ascii="宋体" w:hAnsi="宋体" w:cs="宋体"/>
          <w:color w:val="000000" w:themeColor="text1"/>
          <w:kern w:val="0"/>
          <w:sz w:val="24"/>
          <w:szCs w:val="20"/>
          <w14:textFill>
            <w14:solidFill>
              <w14:schemeClr w14:val="tx1"/>
            </w14:solidFill>
          </w14:textFill>
        </w:rPr>
        <w:t>①</w:t>
      </w:r>
      <w:r>
        <w:rPr>
          <w:color w:val="000000" w:themeColor="text1"/>
          <w:kern w:val="0"/>
          <w:sz w:val="24"/>
          <w:szCs w:val="20"/>
          <w14:textFill>
            <w14:solidFill>
              <w14:schemeClr w14:val="tx1"/>
            </w14:solidFill>
          </w14:textFill>
        </w:rPr>
        <w:t>新建项目将要产生的主要污染物；</w:t>
      </w:r>
      <w:r>
        <w:rPr>
          <w:rFonts w:hint="eastAsia" w:ascii="宋体" w:hAnsi="宋体" w:cs="宋体"/>
          <w:color w:val="000000" w:themeColor="text1"/>
          <w:kern w:val="0"/>
          <w:sz w:val="24"/>
          <w:szCs w:val="20"/>
          <w14:textFill>
            <w14:solidFill>
              <w14:schemeClr w14:val="tx1"/>
            </w14:solidFill>
          </w14:textFill>
        </w:rPr>
        <w:t>②</w:t>
      </w:r>
      <w:r>
        <w:rPr>
          <w:color w:val="000000" w:themeColor="text1"/>
          <w:kern w:val="0"/>
          <w:sz w:val="24"/>
          <w:szCs w:val="20"/>
          <w14:textFill>
            <w14:solidFill>
              <w14:schemeClr w14:val="tx1"/>
            </w14:solidFill>
          </w14:textFill>
        </w:rPr>
        <w:t>难降解、易生物蓄积、长期接触对人体和生物产生危害作用的污染物，应特别关注持久性有机污染物；</w:t>
      </w:r>
      <w:r>
        <w:rPr>
          <w:rFonts w:hint="eastAsia" w:ascii="宋体" w:hAnsi="宋体" w:cs="宋体"/>
          <w:color w:val="000000" w:themeColor="text1"/>
          <w:kern w:val="0"/>
          <w:sz w:val="24"/>
          <w:szCs w:val="20"/>
          <w14:textFill>
            <w14:solidFill>
              <w14:schemeClr w14:val="tx1"/>
            </w14:solidFill>
          </w14:textFill>
        </w:rPr>
        <w:t>③</w:t>
      </w:r>
      <w:r>
        <w:rPr>
          <w:color w:val="000000" w:themeColor="text1"/>
          <w:kern w:val="0"/>
          <w:sz w:val="24"/>
          <w:szCs w:val="20"/>
          <w14:textFill>
            <w14:solidFill>
              <w14:schemeClr w14:val="tx1"/>
            </w14:solidFill>
          </w14:textFill>
        </w:rPr>
        <w:t>国家或地方要求控制的污染物；</w:t>
      </w:r>
      <w:r>
        <w:rPr>
          <w:rFonts w:hint="eastAsia" w:ascii="宋体" w:hAnsi="宋体" w:cs="宋体"/>
          <w:color w:val="000000" w:themeColor="text1"/>
          <w:kern w:val="0"/>
          <w:sz w:val="24"/>
          <w:szCs w:val="20"/>
          <w14:textFill>
            <w14:solidFill>
              <w14:schemeClr w14:val="tx1"/>
            </w14:solidFill>
          </w14:textFill>
        </w:rPr>
        <w:t>④</w:t>
      </w:r>
      <w:r>
        <w:rPr>
          <w:color w:val="000000" w:themeColor="text1"/>
          <w:kern w:val="0"/>
          <w:sz w:val="24"/>
          <w:szCs w:val="20"/>
          <w14:textFill>
            <w14:solidFill>
              <w14:schemeClr w14:val="tx1"/>
            </w14:solidFill>
          </w14:textFill>
        </w:rPr>
        <w:t>反映地下水循环特征和水质成因类型的常规项目或超标项目。</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拟建项目预测因子选择应在导则要求的基础上，充分考虑选取与其排放的污染物有关的特征因子。预测因子为建设项目排放的污染物有关的特征因子，主要污染物为项目运营期产生的废水。</w:t>
      </w:r>
    </w:p>
    <w:p>
      <w:pPr>
        <w:adjustRightInd w:val="0"/>
        <w:snapToGrid w:val="0"/>
        <w:spacing w:line="520" w:lineRule="exact"/>
        <w:ind w:firstLine="480" w:firstLineChars="200"/>
        <w:textAlignment w:val="baseline"/>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本项目</w:t>
      </w:r>
      <w:r>
        <w:rPr>
          <w:bCs/>
          <w:color w:val="000000" w:themeColor="text1"/>
          <w:kern w:val="0"/>
          <w:sz w:val="24"/>
          <w:szCs w:val="20"/>
          <w14:textFill>
            <w14:solidFill>
              <w14:schemeClr w14:val="tx1"/>
            </w14:solidFill>
          </w14:textFill>
        </w:rPr>
        <w:t>废水主要为</w:t>
      </w:r>
      <w:r>
        <w:rPr>
          <w:rFonts w:hint="eastAsia"/>
          <w:bCs/>
          <w:color w:val="000000" w:themeColor="text1"/>
          <w:kern w:val="0"/>
          <w:sz w:val="24"/>
          <w:szCs w:val="20"/>
          <w14:textFill>
            <w14:solidFill>
              <w14:schemeClr w14:val="tx1"/>
            </w14:solidFill>
          </w14:textFill>
        </w:rPr>
        <w:t>入驻园区企业的生产工业废水，主要污染物为COD、BOD</w:t>
      </w:r>
      <w:r>
        <w:rPr>
          <w:rFonts w:hint="eastAsia"/>
          <w:bCs/>
          <w:color w:val="000000" w:themeColor="text1"/>
          <w:kern w:val="0"/>
          <w:sz w:val="24"/>
          <w:szCs w:val="20"/>
          <w:vertAlign w:val="subscript"/>
          <w14:textFill>
            <w14:solidFill>
              <w14:schemeClr w14:val="tx1"/>
            </w14:solidFill>
          </w14:textFill>
        </w:rPr>
        <w:t>5</w:t>
      </w:r>
      <w:r>
        <w:rPr>
          <w:rFonts w:hint="eastAsia"/>
          <w:bCs/>
          <w:color w:val="000000" w:themeColor="text1"/>
          <w:kern w:val="0"/>
          <w:sz w:val="24"/>
          <w:szCs w:val="20"/>
          <w14:textFill>
            <w14:solidFill>
              <w14:schemeClr w14:val="tx1"/>
            </w14:solidFill>
          </w14:textFill>
        </w:rPr>
        <w:t>、SS、NH</w:t>
      </w:r>
      <w:r>
        <w:rPr>
          <w:rFonts w:hint="eastAsia"/>
          <w:bCs/>
          <w:color w:val="000000" w:themeColor="text1"/>
          <w:kern w:val="0"/>
          <w:sz w:val="24"/>
          <w:szCs w:val="20"/>
          <w:vertAlign w:val="subscript"/>
          <w14:textFill>
            <w14:solidFill>
              <w14:schemeClr w14:val="tx1"/>
            </w14:solidFill>
          </w14:textFill>
        </w:rPr>
        <w:t>3</w:t>
      </w:r>
      <w:r>
        <w:rPr>
          <w:rFonts w:hint="eastAsia"/>
          <w:bCs/>
          <w:color w:val="000000" w:themeColor="text1"/>
          <w:kern w:val="0"/>
          <w:sz w:val="24"/>
          <w:szCs w:val="20"/>
          <w14:textFill>
            <w14:solidFill>
              <w14:schemeClr w14:val="tx1"/>
            </w14:solidFill>
          </w14:textFill>
        </w:rPr>
        <w:t>-N、TN、TP、动植物油，采用“格栅</w:t>
      </w:r>
      <w:r>
        <w:rPr>
          <w:bCs/>
          <w:color w:val="000000" w:themeColor="text1"/>
          <w:kern w:val="0"/>
          <w:sz w:val="24"/>
          <w:szCs w:val="20"/>
          <w14:textFill>
            <w14:solidFill>
              <w14:schemeClr w14:val="tx1"/>
            </w14:solidFill>
          </w14:textFill>
        </w:rPr>
        <w:t>+</w:t>
      </w:r>
      <w:r>
        <w:rPr>
          <w:rFonts w:hint="eastAsia"/>
          <w:bCs/>
          <w:color w:val="000000" w:themeColor="text1"/>
          <w:kern w:val="0"/>
          <w:sz w:val="24"/>
          <w:szCs w:val="20"/>
          <w14:textFill>
            <w14:solidFill>
              <w14:schemeClr w14:val="tx1"/>
            </w14:solidFill>
          </w14:textFill>
        </w:rPr>
        <w:t>集水池+超微过滤机+初沉池+调节池+水解酸化池+</w:t>
      </w:r>
      <w:r>
        <w:rPr>
          <w:bCs/>
          <w:color w:val="000000" w:themeColor="text1"/>
          <w:kern w:val="0"/>
          <w:sz w:val="24"/>
          <w:szCs w:val="20"/>
          <w14:textFill>
            <w14:solidFill>
              <w14:schemeClr w14:val="tx1"/>
            </w14:solidFill>
          </w14:textFill>
        </w:rPr>
        <w:t xml:space="preserve"> A</w:t>
      </w:r>
      <w:r>
        <w:rPr>
          <w:rFonts w:hint="eastAsia"/>
          <w:bCs/>
          <w:color w:val="000000" w:themeColor="text1"/>
          <w:kern w:val="0"/>
          <w:sz w:val="24"/>
          <w:szCs w:val="20"/>
          <w:vertAlign w:val="superscript"/>
          <w14:textFill>
            <w14:solidFill>
              <w14:schemeClr w14:val="tx1"/>
            </w14:solidFill>
          </w14:textFill>
        </w:rPr>
        <w:t>2</w:t>
      </w:r>
      <w:r>
        <w:rPr>
          <w:rFonts w:hint="eastAsia"/>
          <w:bCs/>
          <w:color w:val="000000" w:themeColor="text1"/>
          <w:kern w:val="0"/>
          <w:sz w:val="24"/>
          <w:szCs w:val="20"/>
          <w14:textFill>
            <w14:solidFill>
              <w14:schemeClr w14:val="tx1"/>
            </w14:solidFill>
          </w14:textFill>
        </w:rPr>
        <w:t>/</w:t>
      </w:r>
      <w:r>
        <w:rPr>
          <w:bCs/>
          <w:color w:val="000000" w:themeColor="text1"/>
          <w:kern w:val="0"/>
          <w:sz w:val="24"/>
          <w:szCs w:val="20"/>
          <w14:textFill>
            <w14:solidFill>
              <w14:schemeClr w14:val="tx1"/>
            </w14:solidFill>
          </w14:textFill>
        </w:rPr>
        <w:t>O</w:t>
      </w:r>
      <w:r>
        <w:rPr>
          <w:rFonts w:hint="eastAsia"/>
          <w:bCs/>
          <w:color w:val="000000" w:themeColor="text1"/>
          <w:kern w:val="0"/>
          <w:sz w:val="24"/>
          <w:szCs w:val="20"/>
          <w14:textFill>
            <w14:solidFill>
              <w14:schemeClr w14:val="tx1"/>
            </w14:solidFill>
          </w14:textFill>
        </w:rPr>
        <w:t>生化</w:t>
      </w:r>
      <w:r>
        <w:rPr>
          <w:bCs/>
          <w:color w:val="000000" w:themeColor="text1"/>
          <w:kern w:val="0"/>
          <w:sz w:val="24"/>
          <w:szCs w:val="20"/>
          <w14:textFill>
            <w14:solidFill>
              <w14:schemeClr w14:val="tx1"/>
            </w14:solidFill>
          </w14:textFill>
        </w:rPr>
        <w:t>池</w:t>
      </w:r>
      <w:r>
        <w:rPr>
          <w:rFonts w:hint="eastAsia"/>
          <w:bCs/>
          <w:color w:val="000000" w:themeColor="text1"/>
          <w:kern w:val="0"/>
          <w:sz w:val="24"/>
          <w:szCs w:val="20"/>
          <w14:textFill>
            <w14:solidFill>
              <w14:schemeClr w14:val="tx1"/>
            </w14:solidFill>
          </w14:textFill>
        </w:rPr>
        <w:t>+二沉池+三沉池”工艺处理，集水池中废水污染物浓度最高，考虑环评最不利原则，选择废水污染物浓度最高的集水池作为事故排放对象。根据工程分析，污水处理站设计废水污染物浓度为</w:t>
      </w:r>
      <w:r>
        <w:rPr>
          <w:bCs/>
          <w:color w:val="000000" w:themeColor="text1"/>
          <w:kern w:val="0"/>
          <w:sz w:val="24"/>
          <w:szCs w:val="20"/>
          <w14:textFill>
            <w14:solidFill>
              <w14:schemeClr w14:val="tx1"/>
            </w14:solidFill>
          </w14:textFill>
        </w:rPr>
        <w:t>COD 3000</w:t>
      </w:r>
      <w:r>
        <w:rPr>
          <w:rFonts w:hint="eastAsia"/>
          <w:bCs/>
          <w:color w:val="000000" w:themeColor="text1"/>
          <w:kern w:val="0"/>
          <w:sz w:val="24"/>
          <w:szCs w:val="20"/>
          <w14:textFill>
            <w14:solidFill>
              <w14:schemeClr w14:val="tx1"/>
            </w14:solidFill>
          </w14:textFill>
        </w:rPr>
        <w:t>mg/L、B</w:t>
      </w:r>
      <w:r>
        <w:rPr>
          <w:bCs/>
          <w:color w:val="000000" w:themeColor="text1"/>
          <w:kern w:val="0"/>
          <w:sz w:val="24"/>
          <w:szCs w:val="20"/>
          <w14:textFill>
            <w14:solidFill>
              <w14:schemeClr w14:val="tx1"/>
            </w14:solidFill>
          </w14:textFill>
        </w:rPr>
        <w:t>OD</w:t>
      </w:r>
      <w:r>
        <w:rPr>
          <w:bCs/>
          <w:color w:val="000000" w:themeColor="text1"/>
          <w:kern w:val="0"/>
          <w:sz w:val="24"/>
          <w:szCs w:val="20"/>
          <w:vertAlign w:val="subscript"/>
          <w14:textFill>
            <w14:solidFill>
              <w14:schemeClr w14:val="tx1"/>
            </w14:solidFill>
          </w14:textFill>
        </w:rPr>
        <w:t>5</w:t>
      </w:r>
      <w:r>
        <w:rPr>
          <w:bCs/>
          <w:color w:val="000000" w:themeColor="text1"/>
          <w:kern w:val="0"/>
          <w:sz w:val="24"/>
          <w:szCs w:val="20"/>
          <w14:textFill>
            <w14:solidFill>
              <w14:schemeClr w14:val="tx1"/>
            </w14:solidFill>
          </w14:textFill>
        </w:rPr>
        <w:t xml:space="preserve"> 1200</w:t>
      </w:r>
      <w:r>
        <w:rPr>
          <w:rFonts w:hint="eastAsia"/>
          <w:bCs/>
          <w:color w:val="000000" w:themeColor="text1"/>
          <w:kern w:val="0"/>
          <w:sz w:val="24"/>
          <w:szCs w:val="20"/>
          <w14:textFill>
            <w14:solidFill>
              <w14:schemeClr w14:val="tx1"/>
            </w14:solidFill>
          </w14:textFill>
        </w:rPr>
        <w:t>mg/L、S</w:t>
      </w:r>
      <w:r>
        <w:rPr>
          <w:bCs/>
          <w:color w:val="000000" w:themeColor="text1"/>
          <w:kern w:val="0"/>
          <w:sz w:val="24"/>
          <w:szCs w:val="20"/>
          <w14:textFill>
            <w14:solidFill>
              <w14:schemeClr w14:val="tx1"/>
            </w14:solidFill>
          </w14:textFill>
        </w:rPr>
        <w:t>S 1500</w:t>
      </w:r>
      <w:r>
        <w:rPr>
          <w:rFonts w:hint="eastAsia"/>
          <w:bCs/>
          <w:color w:val="000000" w:themeColor="text1"/>
          <w:kern w:val="0"/>
          <w:sz w:val="24"/>
          <w:szCs w:val="20"/>
          <w14:textFill>
            <w14:solidFill>
              <w14:schemeClr w14:val="tx1"/>
            </w14:solidFill>
          </w14:textFill>
        </w:rPr>
        <w:t>mg/L、氨氮</w:t>
      </w:r>
      <w:r>
        <w:rPr>
          <w:bCs/>
          <w:color w:val="000000" w:themeColor="text1"/>
          <w:kern w:val="0"/>
          <w:sz w:val="24"/>
          <w:szCs w:val="20"/>
          <w14:textFill>
            <w14:solidFill>
              <w14:schemeClr w14:val="tx1"/>
            </w14:solidFill>
          </w14:textFill>
        </w:rPr>
        <w:t>100</w:t>
      </w:r>
      <w:r>
        <w:rPr>
          <w:rFonts w:hint="eastAsia"/>
          <w:bCs/>
          <w:color w:val="000000" w:themeColor="text1"/>
          <w:kern w:val="0"/>
          <w:sz w:val="24"/>
          <w:szCs w:val="20"/>
          <w14:textFill>
            <w14:solidFill>
              <w14:schemeClr w14:val="tx1"/>
            </w14:solidFill>
          </w14:textFill>
        </w:rPr>
        <w:t>mg/L、T</w:t>
      </w:r>
      <w:r>
        <w:rPr>
          <w:bCs/>
          <w:color w:val="000000" w:themeColor="text1"/>
          <w:kern w:val="0"/>
          <w:sz w:val="24"/>
          <w:szCs w:val="20"/>
          <w14:textFill>
            <w14:solidFill>
              <w14:schemeClr w14:val="tx1"/>
            </w14:solidFill>
          </w14:textFill>
        </w:rPr>
        <w:t>P 30</w:t>
      </w:r>
      <w:r>
        <w:rPr>
          <w:rFonts w:hint="eastAsia"/>
          <w:bCs/>
          <w:color w:val="000000" w:themeColor="text1"/>
          <w:kern w:val="0"/>
          <w:sz w:val="24"/>
          <w:szCs w:val="20"/>
          <w14:textFill>
            <w14:solidFill>
              <w14:schemeClr w14:val="tx1"/>
            </w14:solidFill>
          </w14:textFill>
        </w:rPr>
        <w:t>mg/L、T</w:t>
      </w:r>
      <w:r>
        <w:rPr>
          <w:bCs/>
          <w:color w:val="000000" w:themeColor="text1"/>
          <w:kern w:val="0"/>
          <w:sz w:val="24"/>
          <w:szCs w:val="20"/>
          <w14:textFill>
            <w14:solidFill>
              <w14:schemeClr w14:val="tx1"/>
            </w14:solidFill>
          </w14:textFill>
        </w:rPr>
        <w:t>N 200</w:t>
      </w:r>
      <w:r>
        <w:rPr>
          <w:rFonts w:hint="eastAsia"/>
          <w:bCs/>
          <w:color w:val="000000" w:themeColor="text1"/>
          <w:kern w:val="0"/>
          <w:sz w:val="24"/>
          <w:szCs w:val="20"/>
          <w14:textFill>
            <w14:solidFill>
              <w14:schemeClr w14:val="tx1"/>
            </w14:solidFill>
          </w14:textFill>
        </w:rPr>
        <w:t>mg/L、动植物油1</w:t>
      </w:r>
      <w:r>
        <w:rPr>
          <w:bCs/>
          <w:color w:val="000000" w:themeColor="text1"/>
          <w:kern w:val="0"/>
          <w:sz w:val="24"/>
          <w:szCs w:val="20"/>
          <w14:textFill>
            <w14:solidFill>
              <w14:schemeClr w14:val="tx1"/>
            </w14:solidFill>
          </w14:textFill>
        </w:rPr>
        <w:t>20</w:t>
      </w:r>
      <w:r>
        <w:rPr>
          <w:rFonts w:hint="eastAsia"/>
          <w:bCs/>
          <w:color w:val="000000" w:themeColor="text1"/>
          <w:kern w:val="0"/>
          <w:sz w:val="24"/>
          <w:szCs w:val="20"/>
          <w14:textFill>
            <w14:solidFill>
              <w14:schemeClr w14:val="tx1"/>
            </w14:solidFill>
          </w14:textFill>
        </w:rPr>
        <w:t>mg/L。</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拟建项目地下水环境影响评价预测因子的选择基于上述要求及实际情况，一方面考虑预测的可行性，同时考虑预测因子的代表性，并以各污染物最高浓度为源强进行预测。本项目考虑运营</w:t>
      </w:r>
      <w:r>
        <w:rPr>
          <w:rFonts w:hint="eastAsia"/>
          <w:color w:val="000000" w:themeColor="text1"/>
          <w:kern w:val="0"/>
          <w:sz w:val="24"/>
          <w:szCs w:val="20"/>
          <w14:textFill>
            <w14:solidFill>
              <w14:schemeClr w14:val="tx1"/>
            </w14:solidFill>
          </w14:textFill>
        </w:rPr>
        <w:t>外排废水</w:t>
      </w:r>
      <w:r>
        <w:rPr>
          <w:color w:val="000000" w:themeColor="text1"/>
          <w:kern w:val="0"/>
          <w:sz w:val="24"/>
          <w:szCs w:val="20"/>
          <w14:textFill>
            <w14:solidFill>
              <w14:schemeClr w14:val="tx1"/>
            </w14:solidFill>
          </w14:textFill>
        </w:rPr>
        <w:t>污染物</w:t>
      </w:r>
      <w:r>
        <w:rPr>
          <w:rFonts w:hint="eastAsia"/>
          <w:color w:val="000000" w:themeColor="text1"/>
          <w:kern w:val="0"/>
          <w:sz w:val="24"/>
          <w:szCs w:val="20"/>
          <w14:textFill>
            <w14:solidFill>
              <w14:schemeClr w14:val="tx1"/>
            </w14:solidFill>
          </w14:textFill>
        </w:rPr>
        <w:t>虽然</w:t>
      </w:r>
      <w:r>
        <w:rPr>
          <w:color w:val="000000" w:themeColor="text1"/>
          <w:kern w:val="0"/>
          <w:sz w:val="24"/>
          <w:szCs w:val="20"/>
          <w14:textFill>
            <w14:solidFill>
              <w14:schemeClr w14:val="tx1"/>
            </w14:solidFill>
          </w14:textFill>
        </w:rPr>
        <w:t>为常规污染物，</w:t>
      </w:r>
      <w:r>
        <w:rPr>
          <w:rFonts w:hint="eastAsia"/>
          <w:color w:val="000000" w:themeColor="text1"/>
          <w:kern w:val="0"/>
          <w:sz w:val="24"/>
          <w:szCs w:val="20"/>
          <w14:textFill>
            <w14:solidFill>
              <w14:schemeClr w14:val="tx1"/>
            </w14:solidFill>
          </w14:textFill>
        </w:rPr>
        <w:t>但是</w:t>
      </w:r>
      <w:r>
        <w:rPr>
          <w:bCs/>
          <w:color w:val="000000" w:themeColor="text1"/>
          <w:kern w:val="0"/>
          <w:sz w:val="24"/>
          <w:szCs w:val="20"/>
          <w14:textFill>
            <w14:solidFill>
              <w14:schemeClr w14:val="tx1"/>
            </w14:solidFill>
          </w14:textFill>
        </w:rPr>
        <w:t>COD</w:t>
      </w:r>
      <w:r>
        <w:rPr>
          <w:rFonts w:hint="eastAsia"/>
          <w:bCs/>
          <w:color w:val="000000" w:themeColor="text1"/>
          <w:kern w:val="0"/>
          <w:sz w:val="24"/>
          <w:szCs w:val="20"/>
          <w14:textFill>
            <w14:solidFill>
              <w14:schemeClr w14:val="tx1"/>
            </w14:solidFill>
          </w14:textFill>
        </w:rPr>
        <w:t>、氨氮为本项目产生的主要污染物和</w:t>
      </w:r>
      <w:r>
        <w:rPr>
          <w:bCs/>
          <w:color w:val="000000" w:themeColor="text1"/>
          <w:kern w:val="0"/>
          <w:sz w:val="24"/>
          <w:szCs w:val="20"/>
          <w14:textFill>
            <w14:solidFill>
              <w14:schemeClr w14:val="tx1"/>
            </w14:solidFill>
          </w14:textFill>
        </w:rPr>
        <w:t>地方要求控制的污染物</w:t>
      </w:r>
      <w:r>
        <w:rPr>
          <w:rFonts w:hint="eastAsia"/>
          <w:bCs/>
          <w:color w:val="000000" w:themeColor="text1"/>
          <w:kern w:val="0"/>
          <w:sz w:val="24"/>
          <w:szCs w:val="20"/>
          <w14:textFill>
            <w14:solidFill>
              <w14:schemeClr w14:val="tx1"/>
            </w14:solidFill>
          </w14:textFill>
        </w:rPr>
        <w:t>，故</w:t>
      </w:r>
      <w:r>
        <w:rPr>
          <w:bCs/>
          <w:color w:val="000000" w:themeColor="text1"/>
          <w:kern w:val="0"/>
          <w:sz w:val="24"/>
          <w:szCs w:val="20"/>
          <w14:textFill>
            <w14:solidFill>
              <w14:schemeClr w14:val="tx1"/>
            </w14:solidFill>
          </w14:textFill>
        </w:rPr>
        <w:t>拟建项目预测因子</w:t>
      </w:r>
      <w:r>
        <w:rPr>
          <w:rFonts w:hint="eastAsia"/>
          <w:bCs/>
          <w:color w:val="000000" w:themeColor="text1"/>
          <w:kern w:val="0"/>
          <w:sz w:val="24"/>
          <w:szCs w:val="20"/>
          <w14:textFill>
            <w14:solidFill>
              <w14:schemeClr w14:val="tx1"/>
            </w14:solidFill>
          </w14:textFill>
        </w:rPr>
        <w:t>及浓度</w:t>
      </w:r>
      <w:r>
        <w:rPr>
          <w:bCs/>
          <w:color w:val="000000" w:themeColor="text1"/>
          <w:kern w:val="0"/>
          <w:sz w:val="24"/>
          <w:szCs w:val="20"/>
          <w14:textFill>
            <w14:solidFill>
              <w14:schemeClr w14:val="tx1"/>
            </w14:solidFill>
          </w14:textFill>
        </w:rPr>
        <w:t>为COD 3000</w:t>
      </w:r>
      <w:r>
        <w:rPr>
          <w:rFonts w:hint="eastAsia"/>
          <w:bCs/>
          <w:color w:val="000000" w:themeColor="text1"/>
          <w:kern w:val="0"/>
          <w:sz w:val="24"/>
          <w:szCs w:val="20"/>
          <w14:textFill>
            <w14:solidFill>
              <w14:schemeClr w14:val="tx1"/>
            </w14:solidFill>
          </w14:textFill>
        </w:rPr>
        <w:t>mg/L、氨氮</w:t>
      </w:r>
      <w:r>
        <w:rPr>
          <w:bCs/>
          <w:color w:val="000000" w:themeColor="text1"/>
          <w:kern w:val="0"/>
          <w:sz w:val="24"/>
          <w:szCs w:val="20"/>
          <w14:textFill>
            <w14:solidFill>
              <w14:schemeClr w14:val="tx1"/>
            </w14:solidFill>
          </w14:textFill>
        </w:rPr>
        <w:t>100</w:t>
      </w:r>
      <w:r>
        <w:rPr>
          <w:rFonts w:hint="eastAsia"/>
          <w:bCs/>
          <w:color w:val="000000" w:themeColor="text1"/>
          <w:kern w:val="0"/>
          <w:sz w:val="24"/>
          <w:szCs w:val="20"/>
          <w14:textFill>
            <w14:solidFill>
              <w14:schemeClr w14:val="tx1"/>
            </w14:solidFill>
          </w14:textFill>
        </w:rPr>
        <w:t>mg/L。</w:t>
      </w:r>
    </w:p>
    <w:p>
      <w:pPr>
        <w:adjustRightInd w:val="0"/>
        <w:snapToGrid w:val="0"/>
        <w:spacing w:line="360" w:lineRule="auto"/>
        <w:textAlignment w:val="baseline"/>
        <w:rPr>
          <w:bCs/>
          <w:color w:val="000000" w:themeColor="text1"/>
          <w:kern w:val="0"/>
          <w:sz w:val="24"/>
          <w:szCs w:val="20"/>
          <w14:textFill>
            <w14:solidFill>
              <w14:schemeClr w14:val="tx1"/>
            </w14:solidFill>
          </w14:textFill>
        </w:rPr>
      </w:pPr>
      <w:r>
        <w:drawing>
          <wp:inline distT="0" distB="0" distL="0" distR="0">
            <wp:extent cx="5125085" cy="5431155"/>
            <wp:effectExtent l="12700" t="12700" r="24765" b="23495"/>
            <wp:docPr id="629135382"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35382" name="图片 1" descr="图示, 示意图&#10;&#10;描述已自动生成"/>
                    <pic:cNvPicPr>
                      <a:picLocks noChangeAspect="1"/>
                    </pic:cNvPicPr>
                  </pic:nvPicPr>
                  <pic:blipFill>
                    <a:blip r:embed="rId169"/>
                    <a:stretch>
                      <a:fillRect/>
                    </a:stretch>
                  </pic:blipFill>
                  <pic:spPr>
                    <a:xfrm>
                      <a:off x="0" y="0"/>
                      <a:ext cx="5125085" cy="5434161"/>
                    </a:xfrm>
                    <a:prstGeom prst="rect">
                      <a:avLst/>
                    </a:prstGeom>
                    <a:ln w="12700">
                      <a:solidFill>
                        <a:schemeClr val="tx1"/>
                      </a:solidFill>
                    </a:ln>
                  </pic:spPr>
                </pic:pic>
              </a:graphicData>
            </a:graphic>
          </wp:inline>
        </w:drawing>
      </w:r>
    </w:p>
    <w:p>
      <w:pPr>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w:t>
      </w:r>
      <w:r>
        <w:rPr>
          <w:rFonts w:hint="eastAsia" w:eastAsia="黑体"/>
          <w:bCs/>
          <w:color w:val="000000" w:themeColor="text1"/>
          <w:sz w:val="24"/>
          <w:szCs w:val="24"/>
          <w14:textFill>
            <w14:solidFill>
              <w14:schemeClr w14:val="tx1"/>
            </w14:solidFill>
          </w14:textFill>
        </w:rPr>
        <w:t>-</w:t>
      </w:r>
      <w:r>
        <w:rPr>
          <w:rFonts w:eastAsia="黑体"/>
          <w:bCs/>
          <w:color w:val="000000" w:themeColor="text1"/>
          <w:sz w:val="24"/>
          <w:szCs w:val="24"/>
          <w14:textFill>
            <w14:solidFill>
              <w14:schemeClr w14:val="tx1"/>
            </w14:solidFill>
          </w14:textFill>
        </w:rPr>
        <w:t>19</w:t>
      </w:r>
      <w:r>
        <w:rPr>
          <w:rFonts w:hint="eastAsia" w:eastAsia="黑体"/>
          <w:bCs/>
          <w:color w:val="000000" w:themeColor="text1"/>
          <w:sz w:val="24"/>
          <w:szCs w:val="24"/>
          <w14:textFill>
            <w14:solidFill>
              <w14:schemeClr w14:val="tx1"/>
            </w14:solidFill>
          </w14:textFill>
        </w:rPr>
        <w:t>地下水污染源设定位置图</w:t>
      </w:r>
    </w:p>
    <w:p>
      <w:pPr>
        <w:pStyle w:val="460"/>
      </w:pPr>
      <w:r>
        <w:t>5.4.8.4</w:t>
      </w:r>
      <w:r>
        <w:rPr>
          <w:rFonts w:hint="eastAsia"/>
        </w:rPr>
        <w:t>污染物运移预测与评价</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rFonts w:hint="eastAsia"/>
          <w:bCs/>
          <w:color w:val="000000" w:themeColor="text1"/>
          <w:kern w:val="0"/>
          <w:sz w:val="24"/>
          <w:szCs w:val="20"/>
          <w14:textFill>
            <w14:solidFill>
              <w14:schemeClr w14:val="tx1"/>
            </w14:solidFill>
          </w14:textFill>
        </w:rPr>
        <w:t>污染物在地下水系统中的迁移转化过程十分复杂，它包括挥发、溶解、吸附、沉淀、生物吸收、化学和生物降解等作用。本次评价本着风险最大原则，在模拟污染物运移扩散时不考虑化学反应等因素，重点考虑对流弥散作用。利用校验后的水流模型，耦合溶质运移模型，进行污染物运移模拟。</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rFonts w:hint="eastAsia"/>
          <w:bCs/>
          <w:color w:val="000000" w:themeColor="text1"/>
          <w:kern w:val="0"/>
          <w:sz w:val="24"/>
          <w:szCs w:val="20"/>
          <w14:textFill>
            <w14:solidFill>
              <w14:schemeClr w14:val="tx1"/>
            </w14:solidFill>
          </w14:textFill>
        </w:rPr>
        <w:t>考虑项目区建设和发展的产业周期，将地下水环境影响预测时段拟定为7300天。结合工程特征与环境特征，预测污染发生100d、1000d、10a（3650d）及</w:t>
      </w:r>
      <w:r>
        <w:rPr>
          <w:rFonts w:hint="eastAsia"/>
          <w:bCs/>
          <w:color w:val="000000" w:themeColor="text1"/>
          <w:sz w:val="24"/>
          <w:szCs w:val="24"/>
          <w14:textFill>
            <w14:solidFill>
              <w14:schemeClr w14:val="tx1"/>
            </w14:solidFill>
          </w14:textFill>
        </w:rPr>
        <w:t>2</w:t>
      </w:r>
      <w:r>
        <w:rPr>
          <w:bCs/>
          <w:color w:val="000000" w:themeColor="text1"/>
          <w:sz w:val="24"/>
          <w:szCs w:val="24"/>
          <w14:textFill>
            <w14:solidFill>
              <w14:schemeClr w14:val="tx1"/>
            </w14:solidFill>
          </w14:textFill>
        </w:rPr>
        <w:t>0</w:t>
      </w:r>
      <w:r>
        <w:rPr>
          <w:rFonts w:hint="eastAsia"/>
          <w:bCs/>
          <w:color w:val="000000" w:themeColor="text1"/>
          <w:sz w:val="24"/>
          <w:szCs w:val="24"/>
          <w14:textFill>
            <w14:solidFill>
              <w14:schemeClr w14:val="tx1"/>
            </w14:solidFill>
          </w14:textFill>
        </w:rPr>
        <w:t>a（</w:t>
      </w:r>
      <w:r>
        <w:rPr>
          <w:color w:val="000000" w:themeColor="text1"/>
          <w:sz w:val="24"/>
          <w:szCs w:val="24"/>
          <w14:textFill>
            <w14:solidFill>
              <w14:schemeClr w14:val="tx1"/>
            </w14:solidFill>
          </w14:textFill>
        </w:rPr>
        <w:t>7300d</w:t>
      </w:r>
      <w:r>
        <w:rPr>
          <w:rFonts w:hint="eastAsia"/>
          <w:bCs/>
          <w:color w:val="000000" w:themeColor="text1"/>
          <w:sz w:val="24"/>
          <w:szCs w:val="24"/>
          <w14:textFill>
            <w14:solidFill>
              <w14:schemeClr w14:val="tx1"/>
            </w14:solidFill>
          </w14:textFill>
        </w:rPr>
        <w:t>）</w:t>
      </w:r>
      <w:r>
        <w:rPr>
          <w:rFonts w:hint="eastAsia"/>
          <w:bCs/>
          <w:color w:val="000000" w:themeColor="text1"/>
          <w:kern w:val="0"/>
          <w:sz w:val="24"/>
          <w:szCs w:val="20"/>
          <w14:textFill>
            <w14:solidFill>
              <w14:schemeClr w14:val="tx1"/>
            </w14:solidFill>
          </w14:textFill>
        </w:rPr>
        <w:t>后污染物迁移情况，重点预测对地下水环境保护目标的影响。</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rFonts w:hint="eastAsia"/>
          <w:bCs/>
          <w:color w:val="000000" w:themeColor="text1"/>
          <w:kern w:val="0"/>
          <w:sz w:val="24"/>
          <w:szCs w:val="20"/>
          <w14:textFill>
            <w14:solidFill>
              <w14:schemeClr w14:val="tx1"/>
            </w14:solidFill>
          </w14:textFill>
        </w:rPr>
        <w:t>非正常状况下，利用所建立的模型，评价预测时间段内污染物运移过程。经过模拟计算得到污染物运移过程分布图和重要敏感点污染物浓度随时间变化趋势图。</w:t>
      </w:r>
    </w:p>
    <w:p>
      <w:pPr>
        <w:adjustRightInd w:val="0"/>
        <w:snapToGrid w:val="0"/>
        <w:spacing w:line="520" w:lineRule="exact"/>
        <w:ind w:firstLine="482" w:firstLineChars="200"/>
        <w:textAlignment w:val="baseline"/>
        <w:outlineLvl w:val="4"/>
        <w:rPr>
          <w:b/>
          <w:color w:val="000000" w:themeColor="text1"/>
          <w:kern w:val="0"/>
          <w:sz w:val="24"/>
          <w:szCs w:val="20"/>
          <w14:textFill>
            <w14:solidFill>
              <w14:schemeClr w14:val="tx1"/>
            </w14:solidFill>
          </w14:textFill>
        </w:rPr>
      </w:pPr>
      <w:r>
        <w:rPr>
          <w:rFonts w:hint="eastAsia"/>
          <w:b/>
          <w:color w:val="000000" w:themeColor="text1"/>
          <w:kern w:val="0"/>
          <w:sz w:val="24"/>
          <w:szCs w:val="20"/>
          <w14:textFill>
            <w14:solidFill>
              <w14:schemeClr w14:val="tx1"/>
            </w14:solidFill>
          </w14:textFill>
        </w:rPr>
        <w:t>（1）COD短时泄露模拟预测</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rFonts w:hint="eastAsia"/>
          <w:bCs/>
          <w:color w:val="000000" w:themeColor="text1"/>
          <w:kern w:val="0"/>
          <w:sz w:val="24"/>
          <w:szCs w:val="20"/>
          <w14:textFill>
            <w14:solidFill>
              <w14:schemeClr w14:val="tx1"/>
            </w14:solidFill>
          </w14:textFill>
        </w:rPr>
        <w:t>假设泄漏区域为厂区内污水处理站集水池底部，COD</w:t>
      </w:r>
      <w:r>
        <w:rPr>
          <w:rFonts w:hint="eastAsia"/>
          <w:bCs/>
          <w:color w:val="000000" w:themeColor="text1"/>
          <w:kern w:val="0"/>
          <w:sz w:val="24"/>
          <w:szCs w:val="20"/>
          <w:vertAlign w:val="subscript"/>
          <w14:textFill>
            <w14:solidFill>
              <w14:schemeClr w14:val="tx1"/>
            </w14:solidFill>
          </w14:textFill>
        </w:rPr>
        <w:t>Mn</w:t>
      </w:r>
      <w:r>
        <w:rPr>
          <w:rFonts w:hint="eastAsia"/>
          <w:bCs/>
          <w:color w:val="000000" w:themeColor="text1"/>
          <w:kern w:val="0"/>
          <w:sz w:val="24"/>
          <w:szCs w:val="20"/>
          <w14:textFill>
            <w14:solidFill>
              <w14:schemeClr w14:val="tx1"/>
            </w14:solidFill>
          </w14:textFill>
        </w:rPr>
        <w:t>泄漏浓度为</w:t>
      </w:r>
      <w:r>
        <w:rPr>
          <w:bCs/>
          <w:color w:val="000000" w:themeColor="text1"/>
          <w:kern w:val="0"/>
          <w:sz w:val="24"/>
          <w:szCs w:val="20"/>
          <w14:textFill>
            <w14:solidFill>
              <w14:schemeClr w14:val="tx1"/>
            </w14:solidFill>
          </w14:textFill>
        </w:rPr>
        <w:t>3000</w:t>
      </w:r>
      <w:r>
        <w:rPr>
          <w:rFonts w:hint="eastAsia"/>
          <w:bCs/>
          <w:color w:val="000000" w:themeColor="text1"/>
          <w:kern w:val="0"/>
          <w:sz w:val="24"/>
          <w:szCs w:val="20"/>
          <w14:textFill>
            <w14:solidFill>
              <w14:schemeClr w14:val="tx1"/>
            </w14:solidFill>
          </w14:textFill>
        </w:rPr>
        <w:t>mg/L，根据《工业企业土壤和地下水自行监测技术指南（试行）》（H</w:t>
      </w:r>
      <w:r>
        <w:rPr>
          <w:bCs/>
          <w:color w:val="000000" w:themeColor="text1"/>
          <w:kern w:val="0"/>
          <w:sz w:val="24"/>
          <w:szCs w:val="20"/>
          <w14:textFill>
            <w14:solidFill>
              <w14:schemeClr w14:val="tx1"/>
            </w14:solidFill>
          </w14:textFill>
        </w:rPr>
        <w:t>J1209-2021</w:t>
      </w:r>
      <w:r>
        <w:rPr>
          <w:rFonts w:hint="eastAsia"/>
          <w:bCs/>
          <w:color w:val="000000" w:themeColor="text1"/>
          <w:kern w:val="0"/>
          <w:sz w:val="24"/>
          <w:szCs w:val="20"/>
          <w14:textFill>
            <w14:solidFill>
              <w14:schemeClr w14:val="tx1"/>
            </w14:solidFill>
          </w14:textFill>
        </w:rPr>
        <w:t>），地下水长期监测点的监测频次为每季度1次，故假设泄露发生90天时得到妥善处理（即不再有污染物进入地下水中）。</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bCs/>
          <w:color w:val="000000" w:themeColor="text1"/>
          <w:kern w:val="0"/>
          <w:sz w:val="24"/>
          <w:szCs w:val="20"/>
          <w14:textFill>
            <w14:solidFill>
              <w14:schemeClr w14:val="tx1"/>
            </w14:solidFill>
          </w14:textFill>
        </w:rPr>
        <w:t>根据《地下水质量标准》（GB/T14848-2017），Ⅲ类地下水是以人体健康基准值为依据，主要适用于集中式生活饮用水水源及工、农业水，本次评价采用Ⅲ类标准，即要求</w:t>
      </w:r>
      <w:r>
        <w:rPr>
          <w:rFonts w:hint="eastAsia"/>
          <w:bCs/>
          <w:color w:val="000000" w:themeColor="text1"/>
          <w:kern w:val="0"/>
          <w:sz w:val="24"/>
          <w:szCs w:val="20"/>
          <w14:textFill>
            <w14:solidFill>
              <w14:schemeClr w14:val="tx1"/>
            </w14:solidFill>
          </w14:textFill>
        </w:rPr>
        <w:t>耗氧量</w:t>
      </w:r>
      <w:r>
        <w:rPr>
          <w:bCs/>
          <w:color w:val="000000" w:themeColor="text1"/>
          <w:kern w:val="0"/>
          <w:sz w:val="24"/>
          <w:szCs w:val="20"/>
          <w14:textFill>
            <w14:solidFill>
              <w14:schemeClr w14:val="tx1"/>
            </w14:solidFill>
          </w14:textFill>
        </w:rPr>
        <w:t>浓度≤3mg/L，</w:t>
      </w:r>
      <w:r>
        <w:rPr>
          <w:rFonts w:hint="eastAsia"/>
          <w:bCs/>
          <w:color w:val="000000" w:themeColor="text1"/>
          <w:kern w:val="0"/>
          <w:sz w:val="24"/>
          <w:szCs w:val="20"/>
          <w14:textFill>
            <w14:solidFill>
              <w14:schemeClr w14:val="tx1"/>
            </w14:solidFill>
          </w14:textFill>
        </w:rPr>
        <w:t>考虑环境质量现状本底值，根据</w:t>
      </w:r>
      <w:r>
        <w:rPr>
          <w:bCs/>
          <w:color w:val="000000" w:themeColor="text1"/>
          <w:kern w:val="0"/>
          <w:sz w:val="24"/>
          <w:szCs w:val="20"/>
          <w14:textFill>
            <w14:solidFill>
              <w14:schemeClr w14:val="tx1"/>
            </w14:solidFill>
          </w14:textFill>
        </w:rPr>
        <w:t>河南永飞检测科技有限公司202</w:t>
      </w:r>
      <w:r>
        <w:rPr>
          <w:rFonts w:hint="eastAsia"/>
          <w:bCs/>
          <w:color w:val="000000" w:themeColor="text1"/>
          <w:kern w:val="0"/>
          <w:sz w:val="24"/>
          <w:szCs w:val="20"/>
          <w14:textFill>
            <w14:solidFill>
              <w14:schemeClr w14:val="tx1"/>
            </w14:solidFill>
          </w14:textFill>
        </w:rPr>
        <w:t>3</w:t>
      </w:r>
      <w:r>
        <w:rPr>
          <w:bCs/>
          <w:color w:val="000000" w:themeColor="text1"/>
          <w:kern w:val="0"/>
          <w:sz w:val="24"/>
          <w:szCs w:val="20"/>
          <w14:textFill>
            <w14:solidFill>
              <w14:schemeClr w14:val="tx1"/>
            </w14:solidFill>
          </w14:textFill>
        </w:rPr>
        <w:t>年4月7日~4月9日对地下水</w:t>
      </w:r>
      <w:r>
        <w:rPr>
          <w:rFonts w:hint="eastAsia"/>
          <w:bCs/>
          <w:color w:val="000000" w:themeColor="text1"/>
          <w:kern w:val="0"/>
          <w:sz w:val="24"/>
          <w:szCs w:val="20"/>
          <w14:textFill>
            <w14:solidFill>
              <w14:schemeClr w14:val="tx1"/>
            </w14:solidFill>
          </w14:textFill>
        </w:rPr>
        <w:t>的监测，地下水耗氧量现状最大监测浓度为</w:t>
      </w:r>
      <w:r>
        <w:rPr>
          <w:bCs/>
          <w:color w:val="000000" w:themeColor="text1"/>
          <w:kern w:val="0"/>
          <w:sz w:val="24"/>
          <w:szCs w:val="20"/>
          <w14:textFill>
            <w14:solidFill>
              <w14:schemeClr w14:val="tx1"/>
            </w14:solidFill>
          </w14:textFill>
        </w:rPr>
        <w:t>1.72mg/L</w:t>
      </w:r>
      <w:r>
        <w:rPr>
          <w:rFonts w:hint="eastAsia"/>
          <w:bCs/>
          <w:color w:val="000000" w:themeColor="text1"/>
          <w:kern w:val="0"/>
          <w:sz w:val="24"/>
          <w:szCs w:val="20"/>
          <w14:textFill>
            <w14:solidFill>
              <w14:schemeClr w14:val="tx1"/>
            </w14:solidFill>
          </w14:textFill>
        </w:rPr>
        <w:t>，</w:t>
      </w:r>
      <w:r>
        <w:rPr>
          <w:bCs/>
          <w:color w:val="000000" w:themeColor="text1"/>
          <w:kern w:val="0"/>
          <w:sz w:val="24"/>
          <w:szCs w:val="20"/>
          <w14:textFill>
            <w14:solidFill>
              <w14:schemeClr w14:val="tx1"/>
            </w14:solidFill>
          </w14:textFill>
        </w:rPr>
        <w:t>故按照耗氧量≤1.28mg/L设置等值线的色晕包络，以检出限值</w:t>
      </w:r>
      <w:r>
        <w:rPr>
          <w:rFonts w:hint="eastAsia"/>
          <w:bCs/>
          <w:color w:val="000000" w:themeColor="text1"/>
          <w:kern w:val="0"/>
          <w:sz w:val="24"/>
          <w:szCs w:val="20"/>
          <w14:textFill>
            <w14:solidFill>
              <w14:schemeClr w14:val="tx1"/>
            </w14:solidFill>
          </w14:textFill>
        </w:rPr>
        <w:t>0</w:t>
      </w:r>
      <w:r>
        <w:rPr>
          <w:bCs/>
          <w:color w:val="000000" w:themeColor="text1"/>
          <w:kern w:val="0"/>
          <w:sz w:val="24"/>
          <w:szCs w:val="20"/>
          <w14:textFill>
            <w14:solidFill>
              <w14:schemeClr w14:val="tx1"/>
            </w14:solidFill>
          </w14:textFill>
        </w:rPr>
        <w:t>.05mg/L设置等值线的外缘，确定由本项目风险事故造成的影响范围。下图显示了污染物COD泄漏后随时间推移的污染晕变化趋势。</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sectPr>
          <w:headerReference r:id="rId20" w:type="default"/>
          <w:footerReference r:id="rId21" w:type="even"/>
          <w:pgSz w:w="11906" w:h="16838"/>
          <w:pgMar w:top="1701" w:right="1588" w:bottom="1701" w:left="1588" w:header="851" w:footer="1134" w:gutter="0"/>
          <w:cols w:space="720" w:num="1"/>
          <w:docGrid w:type="lines" w:linePitch="312" w:charSpace="0"/>
        </w:sectPr>
      </w:pPr>
    </w:p>
    <w:p>
      <w:pPr>
        <w:adjustRightInd w:val="0"/>
        <w:snapToGrid w:val="0"/>
        <w:spacing w:line="360" w:lineRule="auto"/>
        <w:textAlignment w:val="baseline"/>
        <w:rPr>
          <w:bCs/>
          <w:color w:val="000000" w:themeColor="text1"/>
          <w:kern w:val="0"/>
          <w:sz w:val="24"/>
          <w:szCs w:val="20"/>
          <w14:textFill>
            <w14:solidFill>
              <w14:schemeClr w14:val="tx1"/>
            </w14:solidFill>
          </w14:textFill>
        </w:rPr>
      </w:pPr>
      <w:r>
        <w:rPr>
          <w:bCs/>
          <w:color w:val="000000" w:themeColor="text1"/>
          <w:kern w:val="0"/>
          <w:sz w:val="24"/>
          <w:szCs w:val="20"/>
          <w14:textFill>
            <w14:solidFill>
              <w14:schemeClr w14:val="tx1"/>
            </w14:solidFill>
          </w14:textFill>
        </w:rPr>
        <mc:AlternateContent>
          <mc:Choice Requires="wpg">
            <w:drawing>
              <wp:anchor distT="0" distB="0" distL="114300" distR="114300" simplePos="0" relativeHeight="251715584" behindDoc="0" locked="0" layoutInCell="1" allowOverlap="1">
                <wp:simplePos x="0" y="0"/>
                <wp:positionH relativeFrom="margin">
                  <wp:align>left</wp:align>
                </wp:positionH>
                <wp:positionV relativeFrom="paragraph">
                  <wp:posOffset>2557780</wp:posOffset>
                </wp:positionV>
                <wp:extent cx="4060190" cy="755015"/>
                <wp:effectExtent l="0" t="0" r="0" b="7620"/>
                <wp:wrapNone/>
                <wp:docPr id="841358964" name="组合 16"/>
                <wp:cNvGraphicFramePr/>
                <a:graphic xmlns:a="http://schemas.openxmlformats.org/drawingml/2006/main">
                  <a:graphicData uri="http://schemas.microsoft.com/office/word/2010/wordprocessingGroup">
                    <wpg:wgp>
                      <wpg:cNvGrpSpPr/>
                      <wpg:grpSpPr>
                        <a:xfrm>
                          <a:off x="0" y="0"/>
                          <a:ext cx="4060466" cy="754794"/>
                          <a:chOff x="0" y="0"/>
                          <a:chExt cx="4060466" cy="754794"/>
                        </a:xfrm>
                      </wpg:grpSpPr>
                      <wps:wsp>
                        <wps:cNvPr id="1946135881" name="文本框 12"/>
                        <wps:cNvSpPr txBox="1"/>
                        <wps:spPr>
                          <a:xfrm>
                            <a:off x="0" y="0"/>
                            <a:ext cx="419100" cy="295275"/>
                          </a:xfrm>
                          <a:prstGeom prst="rect">
                            <a:avLst/>
                          </a:prstGeom>
                          <a:noFill/>
                          <a:ln w="1270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4099973" name="文本框 13"/>
                        <wps:cNvSpPr txBox="1"/>
                        <wps:spPr>
                          <a:xfrm>
                            <a:off x="1622066" y="437322"/>
                            <a:ext cx="2438400" cy="285750"/>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6763281" name="文本框 13"/>
                        <wps:cNvSpPr txBox="1"/>
                        <wps:spPr>
                          <a:xfrm>
                            <a:off x="1630017" y="198783"/>
                            <a:ext cx="2362200" cy="2952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405496" name="文本框 13"/>
                        <wps:cNvSpPr txBox="1"/>
                        <wps:spPr>
                          <a:xfrm>
                            <a:off x="278295" y="182880"/>
                            <a:ext cx="933450"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0611616" name="文本框 13"/>
                        <wps:cNvSpPr txBox="1"/>
                        <wps:spPr>
                          <a:xfrm>
                            <a:off x="254441" y="421419"/>
                            <a:ext cx="1057275"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8299677" name="矩形 14"/>
                        <wps:cNvSpPr/>
                        <wps:spPr>
                          <a:xfrm>
                            <a:off x="87464" y="270345"/>
                            <a:ext cx="228600" cy="133350"/>
                          </a:xfrm>
                          <a:prstGeom prst="rect">
                            <a:avLst/>
                          </a:prstGeom>
                          <a:solidFill>
                            <a:srgbClr val="3114AC">
                              <a:alpha val="50196"/>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9261973" name="椭圆 15"/>
                        <wps:cNvSpPr/>
                        <wps:spPr>
                          <a:xfrm>
                            <a:off x="135172" y="516835"/>
                            <a:ext cx="144000" cy="144000"/>
                          </a:xfrm>
                          <a:prstGeom prst="ellipse">
                            <a:avLst/>
                          </a:prstGeom>
                          <a:solidFill>
                            <a:srgbClr val="43F6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0957164" name="椭圆 15"/>
                        <wps:cNvSpPr/>
                        <wps:spPr>
                          <a:xfrm>
                            <a:off x="1534601" y="278296"/>
                            <a:ext cx="144000" cy="144000"/>
                          </a:xfrm>
                          <a:prstGeom prst="ellipse">
                            <a:avLst/>
                          </a:prstGeom>
                          <a:solidFill>
                            <a:srgbClr val="D11805">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51884221" name="椭圆 15"/>
                        <wps:cNvSpPr/>
                        <wps:spPr>
                          <a:xfrm>
                            <a:off x="1534601" y="508884"/>
                            <a:ext cx="144000" cy="144000"/>
                          </a:xfrm>
                          <a:prstGeom prst="ellipse">
                            <a:avLst/>
                          </a:prstGeom>
                          <a:solidFill>
                            <a:srgbClr val="FFC000">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26" o:spt="203" style="position:absolute;left:0pt;margin-top:201.4pt;height:59.45pt;width:319.7pt;mso-position-horizontal:left;mso-position-horizontal-relative:margin;z-index:251715584;mso-width-relative:page;mso-height-relative:page;" coordsize="4060466,754794" o:gfxdata="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GAd+QDaAAAACAEAAA8AAAAAAAAA&#10;AQAgAAAAIgAAAGRycy9kb3ducmV2LnhtbFBLAQIUABQAAAAIAIdO4kD0J44q9AQAAP0cAAAOAAAA&#10;AAAAAAEAIAAAACkBAABkcnMvZTJvRG9jLnhtbFBLBQYAAAAABgAGAFkBAACPCAAAAAA=&#10;">
                <o:lock v:ext="edit" aspectratio="f"/>
                <v:shape id="文本框 12" o:spid="_x0000_s1026" o:spt="202" type="#_x0000_t202" style="position:absolute;left:0;top:0;height:295275;width:419100;" filled="f" stroked="f" coordsize="21600,21600" o:gfxdata="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ylNpbFAAAA4wAAAA8AAAAAAAAAAQAgAAAAIgAAAGRycy9kb3ducmV2LnhtbFBLAQIUABQAAAAI&#10;AIdO4kAzLwWeOwAAADkAAAAQAAAAAAAAAAEAIAAAABQBAABkcnMvc2hhcGV4bWwueG1sUEsFBgAA&#10;AAAGAAYAWwEAAL4DAAAAAA==&#10;">
                  <v:fill on="f" focussize="0,0"/>
                  <v:stroke on="f" weight="1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v:textbox>
                </v:shape>
                <v:shape id="文本框 13" o:spid="_x0000_s1026" o:spt="202" type="#_x0000_t202" style="position:absolute;left:1622066;top:437322;height:285750;width:2438400;" filled="f" stroked="f" coordsize="21600,21600" o:gfxdata="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2DjNDFAAAA4w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v:textbox>
                </v:shape>
                <v:shape id="文本框 13" o:spid="_x0000_s1026" o:spt="202" type="#_x0000_t202" style="position:absolute;left:1630017;top:198783;height:295275;width:2362200;" filled="f" stroked="f" coordsize="21600,21600" o:gfxdata="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0;WoSP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v:textbox>
                </v:shape>
                <v:shape id="文本框 13" o:spid="_x0000_s1026" o:spt="202" type="#_x0000_t202" style="position:absolute;left:278295;top:182880;height:333375;width:933450;" filled="f" stroked="f" coordsize="21600,21600" o:gfxdata="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ZtP0MQAAADh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v:textbox>
                </v:shape>
                <v:shape id="文本框 13" o:spid="_x0000_s1026" o:spt="202" type="#_x0000_t202" style="position:absolute;left:254441;top:421419;height:333375;width:1057275;" filled="f" stroked="f" coordsize="21600,21600" o:gfxdata="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jPn&#10;3MEAAADj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v:textbox>
                </v:shape>
                <v:rect id="矩形 14" o:spid="_x0000_s1026" o:spt="1" style="position:absolute;left:87464;top:270345;height:133350;width:228600;v-text-anchor:middle;" fillcolor="#3114AC" filled="t" stroked="t" coordsize="21600,21600" o:gfxdata="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yTV&#10;esEAAADiAAAADwAAAAAAAAABACAAAAAiAAAAZHJzL2Rvd25yZXYueG1sUEsBAhQAFAAAAAgAh07i&#10;QDMvBZ47AAAAOQAAABAAAAAAAAAAAQAgAAAAEAEAAGRycy9zaGFwZXhtbC54bWxQSwUGAAAAAAYA&#10;BgBbAQAAugMAAAAA&#10;">
                  <v:fill on="t" opacity="32896f" focussize="0,0"/>
                  <v:stroke weight="1pt" color="#FF0000 [3204]" miterlimit="8" joinstyle="miter"/>
                  <v:imagedata o:title=""/>
                  <o:lock v:ext="edit" aspectratio="f"/>
                </v:rect>
                <v:shape id="椭圆 15" o:spid="_x0000_s1026" o:spt="3" type="#_x0000_t3" style="position:absolute;left:135172;top:516835;height:144000;width:144000;v-text-anchor:middle;" fillcolor="#43F612" filled="t" stroked="f" coordsize="21600,21600" o:gfxdata="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tn3iMQAAADiAAAADwAAAAAAAAABACAAAAAiAAAAZHJzL2Rvd25yZXYueG1sUEsBAhQAFAAAAAgA&#10;h07iQDMvBZ47AAAAOQAAABAAAAAAAAAAAQAgAAAAEwEAAGRycy9zaGFwZXhtbC54bWxQSwUGAAAA&#10;AAYABgBbAQAAvQMAAAAA&#10;">
                  <v:fill on="t" focussize="0,0"/>
                  <v:stroke on="f" weight="1pt" miterlimit="8" joinstyle="miter"/>
                  <v:imagedata o:title=""/>
                  <o:lock v:ext="edit" aspectratio="f"/>
                </v:shape>
                <v:shape id="椭圆 15" o:spid="_x0000_s1026" o:spt="3" type="#_x0000_t3" style="position:absolute;left:1534601;top:278296;height:144000;width:144000;v-text-anchor:middle;" fillcolor="#D11805" filled="t" stroked="t" coordsize="21600,21600" o:gfxdata="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adK&#10;dcEAAADjAAAADwAAAAAAAAABACAAAAAiAAAAZHJzL2Rvd25yZXYueG1sUEsBAhQAFAAAAAgAh07i&#10;QDMvBZ47AAAAOQAAABAAAAAAAAAAAQAgAAAAEAEAAGRycy9zaGFwZXhtbC54bWxQSwUGAAAAAAYA&#10;BgBbAQAAugMAAAAA&#10;">
                  <v:fill on="t" opacity="26214f" focussize="0,0"/>
                  <v:stroke weight="1pt" color="#000000 [3213]" miterlimit="8" joinstyle="miter"/>
                  <v:imagedata o:title=""/>
                  <o:lock v:ext="edit" aspectratio="f"/>
                </v:shape>
                <v:shape id="椭圆 15" o:spid="_x0000_s1026" o:spt="3" type="#_x0000_t3" style="position:absolute;left:1534601;top:508884;height:144000;width:144000;v-text-anchor:middle;" fillcolor="#FFC000" filled="t" stroked="t" coordsize="21600,21600" o:gfxdata="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Ak&#10;vbnCAAAA4wAAAA8AAAAAAAAAAQAgAAAAIgAAAGRycy9kb3ducmV2LnhtbFBLAQIUABQAAAAIAIdO&#10;4kAzLwWeOwAAADkAAAAQAAAAAAAAAAEAIAAAABEBAABkcnMvc2hhcGV4bWwueG1sUEsFBgAAAAAG&#10;AAYAWwEAALsDAAAAAA==&#10;">
                  <v:fill on="t" opacity="26214f" focussize="0,0"/>
                  <v:stroke weight="1pt" color="#000000 [3213]" miterlimit="8" joinstyle="miter"/>
                  <v:imagedata o:title=""/>
                  <o:lock v:ext="edit" aspectratio="f"/>
                </v:shape>
              </v:group>
            </w:pict>
          </mc:Fallback>
        </mc:AlternateContent>
      </w:r>
      <w:r>
        <w:drawing>
          <wp:inline distT="0" distB="0" distL="0" distR="0">
            <wp:extent cx="5539105" cy="3274060"/>
            <wp:effectExtent l="0" t="0" r="4445" b="2540"/>
            <wp:docPr id="1561021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21139" name="图片 1"/>
                    <pic:cNvPicPr>
                      <a:picLocks noChangeAspect="1" noChangeArrowheads="1"/>
                    </pic:cNvPicPr>
                  </pic:nvPicPr>
                  <pic:blipFill>
                    <a:blip r:embed="rId170"/>
                    <a:srcRect/>
                    <a:stretch>
                      <a:fillRect/>
                    </a:stretch>
                  </pic:blipFill>
                  <pic:spPr>
                    <a:xfrm>
                      <a:off x="0" y="0"/>
                      <a:ext cx="5539105" cy="3274060"/>
                    </a:xfrm>
                    <a:prstGeom prst="rect">
                      <a:avLst/>
                    </a:prstGeom>
                    <a:noFill/>
                    <a:ln>
                      <a:noFill/>
                    </a:ln>
                  </pic:spPr>
                </pic:pic>
              </a:graphicData>
            </a:graphic>
          </wp:inline>
        </w:drawing>
      </w:r>
      <w:r>
        <w:rPr>
          <w:rFonts w:eastAsia="Times New Roman"/>
          <w:snapToGrid w:val="0"/>
          <w:color w:val="000000" w:themeColor="text1"/>
          <w:w w:val="0"/>
          <w:kern w:val="0"/>
          <w:sz w:val="0"/>
          <w:szCs w:val="0"/>
          <w:u w:color="000000"/>
          <w:shd w:val="clear" w:color="000000" w:fill="000000"/>
          <w:lang w:val="zh-CN" w:bidi="zh-CN"/>
          <w14:textFill>
            <w14:solidFill>
              <w14:schemeClr w14:val="tx1"/>
            </w14:solidFill>
          </w14:textFill>
        </w:rPr>
        <w:t xml:space="preserve"> </w:t>
      </w:r>
    </w:p>
    <w:p>
      <w:pPr>
        <w:jc w:val="center"/>
        <w:rPr>
          <w:rFonts w:eastAsia="黑体"/>
          <w:bCs/>
          <w:color w:val="000000" w:themeColor="text1"/>
          <w:sz w:val="24"/>
          <w:szCs w:val="24"/>
          <w14:textFill>
            <w14:solidFill>
              <w14:schemeClr w14:val="tx1"/>
            </w14:solidFill>
          </w14:textFill>
        </w:rPr>
      </w:pPr>
      <w:r>
        <w:drawing>
          <wp:inline distT="0" distB="0" distL="0" distR="0">
            <wp:extent cx="5539105" cy="3800475"/>
            <wp:effectExtent l="0" t="0" r="4445" b="9525"/>
            <wp:docPr id="8576347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34715" name="图片 2"/>
                    <pic:cNvPicPr>
                      <a:picLocks noChangeAspect="1" noChangeArrowheads="1"/>
                    </pic:cNvPicPr>
                  </pic:nvPicPr>
                  <pic:blipFill>
                    <a:blip r:embed="rId171"/>
                    <a:srcRect/>
                    <a:stretch>
                      <a:fillRect/>
                    </a:stretch>
                  </pic:blipFill>
                  <pic:spPr>
                    <a:xfrm>
                      <a:off x="0" y="0"/>
                      <a:ext cx="5539105" cy="3800475"/>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w:t>
      </w:r>
      <w:r>
        <w:rPr>
          <w:rFonts w:hint="eastAsia" w:eastAsia="黑体"/>
          <w:bCs/>
          <w:color w:val="000000" w:themeColor="text1"/>
          <w:sz w:val="24"/>
          <w:szCs w:val="24"/>
          <w14:textFill>
            <w14:solidFill>
              <w14:schemeClr w14:val="tx1"/>
            </w14:solidFill>
          </w14:textFill>
        </w:rPr>
        <w:t>-</w:t>
      </w:r>
      <w:r>
        <w:rPr>
          <w:rFonts w:eastAsia="黑体"/>
          <w:bCs/>
          <w:color w:val="000000" w:themeColor="text1"/>
          <w:sz w:val="24"/>
          <w:szCs w:val="24"/>
          <w14:textFill>
            <w14:solidFill>
              <w14:schemeClr w14:val="tx1"/>
            </w14:solidFill>
          </w14:textFill>
        </w:rPr>
        <w:t>20</w:t>
      </w:r>
      <w:r>
        <w:rPr>
          <w:rFonts w:hint="eastAsia" w:eastAsia="黑体"/>
          <w:bCs/>
          <w:color w:val="000000" w:themeColor="text1"/>
          <w:sz w:val="24"/>
          <w:szCs w:val="24"/>
          <w14:textFill>
            <w14:solidFill>
              <w14:schemeClr w14:val="tx1"/>
            </w14:solidFill>
          </w14:textFill>
        </w:rPr>
        <w:t>泄露1</w:t>
      </w:r>
      <w:r>
        <w:rPr>
          <w:rFonts w:eastAsia="黑体"/>
          <w:bCs/>
          <w:color w:val="000000" w:themeColor="text1"/>
          <w:sz w:val="24"/>
          <w:szCs w:val="24"/>
          <w14:textFill>
            <w14:solidFill>
              <w14:schemeClr w14:val="tx1"/>
            </w14:solidFill>
          </w14:textFill>
        </w:rPr>
        <w:t>00</w:t>
      </w:r>
      <w:r>
        <w:rPr>
          <w:rFonts w:hint="eastAsia" w:eastAsia="黑体"/>
          <w:bCs/>
          <w:color w:val="000000" w:themeColor="text1"/>
          <w:sz w:val="24"/>
          <w:szCs w:val="24"/>
          <w14:textFill>
            <w14:solidFill>
              <w14:schemeClr w14:val="tx1"/>
            </w14:solidFill>
          </w14:textFill>
        </w:rPr>
        <w:t>天后地下水C</w:t>
      </w:r>
      <w:r>
        <w:rPr>
          <w:rFonts w:eastAsia="黑体"/>
          <w:bCs/>
          <w:color w:val="000000" w:themeColor="text1"/>
          <w:sz w:val="24"/>
          <w:szCs w:val="24"/>
          <w14:textFill>
            <w14:solidFill>
              <w14:schemeClr w14:val="tx1"/>
            </w14:solidFill>
          </w14:textFill>
        </w:rPr>
        <w:t>OD</w:t>
      </w:r>
      <w:r>
        <w:rPr>
          <w:rFonts w:hint="eastAsia" w:eastAsia="黑体"/>
          <w:bCs/>
          <w:color w:val="000000" w:themeColor="text1"/>
          <w:sz w:val="24"/>
          <w:szCs w:val="24"/>
          <w14:textFill>
            <w14:solidFill>
              <w14:schemeClr w14:val="tx1"/>
            </w14:solidFill>
          </w14:textFill>
        </w:rPr>
        <w:t>污染分布图</w:t>
      </w:r>
    </w:p>
    <w:p>
      <w:pPr>
        <w:jc w:val="center"/>
        <w:rPr>
          <w:rFonts w:eastAsia="黑体"/>
          <w:bCs/>
          <w:color w:val="000000" w:themeColor="text1"/>
          <w:sz w:val="24"/>
          <w:szCs w:val="24"/>
          <w14:textFill>
            <w14:solidFill>
              <w14:schemeClr w14:val="tx1"/>
            </w14:solidFill>
          </w14:textFill>
        </w:rPr>
      </w:pPr>
      <w:r>
        <w:rPr>
          <w:bCs/>
          <w:color w:val="000000" w:themeColor="text1"/>
          <w:kern w:val="0"/>
          <w:sz w:val="24"/>
          <w:szCs w:val="20"/>
          <w14:textFill>
            <w14:solidFill>
              <w14:schemeClr w14:val="tx1"/>
            </w14:solidFill>
          </w14:textFill>
        </w:rPr>
        <mc:AlternateContent>
          <mc:Choice Requires="wpg">
            <w:drawing>
              <wp:anchor distT="0" distB="0" distL="114300" distR="114300" simplePos="0" relativeHeight="251716608" behindDoc="0" locked="0" layoutInCell="1" allowOverlap="1">
                <wp:simplePos x="0" y="0"/>
                <wp:positionH relativeFrom="margin">
                  <wp:posOffset>0</wp:posOffset>
                </wp:positionH>
                <wp:positionV relativeFrom="paragraph">
                  <wp:posOffset>2428240</wp:posOffset>
                </wp:positionV>
                <wp:extent cx="4060190" cy="755015"/>
                <wp:effectExtent l="0" t="0" r="0" b="7620"/>
                <wp:wrapNone/>
                <wp:docPr id="148026736" name="组合 16"/>
                <wp:cNvGraphicFramePr/>
                <a:graphic xmlns:a="http://schemas.openxmlformats.org/drawingml/2006/main">
                  <a:graphicData uri="http://schemas.microsoft.com/office/word/2010/wordprocessingGroup">
                    <wpg:wgp>
                      <wpg:cNvGrpSpPr/>
                      <wpg:grpSpPr>
                        <a:xfrm>
                          <a:off x="0" y="0"/>
                          <a:ext cx="4060466" cy="754794"/>
                          <a:chOff x="0" y="0"/>
                          <a:chExt cx="4060466" cy="754794"/>
                        </a:xfrm>
                      </wpg:grpSpPr>
                      <wps:wsp>
                        <wps:cNvPr id="1644245449" name="文本框 12"/>
                        <wps:cNvSpPr txBox="1"/>
                        <wps:spPr>
                          <a:xfrm>
                            <a:off x="0" y="0"/>
                            <a:ext cx="419100" cy="295275"/>
                          </a:xfrm>
                          <a:prstGeom prst="rect">
                            <a:avLst/>
                          </a:prstGeom>
                          <a:noFill/>
                          <a:ln w="1270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0365493" name="文本框 13"/>
                        <wps:cNvSpPr txBox="1"/>
                        <wps:spPr>
                          <a:xfrm>
                            <a:off x="1622066" y="437322"/>
                            <a:ext cx="2438400" cy="285750"/>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8182997" name="文本框 13"/>
                        <wps:cNvSpPr txBox="1"/>
                        <wps:spPr>
                          <a:xfrm>
                            <a:off x="1630017" y="198783"/>
                            <a:ext cx="2362200" cy="2952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3346770" name="文本框 13"/>
                        <wps:cNvSpPr txBox="1"/>
                        <wps:spPr>
                          <a:xfrm>
                            <a:off x="278295" y="182880"/>
                            <a:ext cx="933450"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6048682" name="文本框 13"/>
                        <wps:cNvSpPr txBox="1"/>
                        <wps:spPr>
                          <a:xfrm>
                            <a:off x="254441" y="421419"/>
                            <a:ext cx="1057275"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8390859" name="矩形 14"/>
                        <wps:cNvSpPr/>
                        <wps:spPr>
                          <a:xfrm>
                            <a:off x="87464" y="270345"/>
                            <a:ext cx="228600" cy="133350"/>
                          </a:xfrm>
                          <a:prstGeom prst="rect">
                            <a:avLst/>
                          </a:prstGeom>
                          <a:solidFill>
                            <a:srgbClr val="3114AC">
                              <a:alpha val="50196"/>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59165101" name="椭圆 15"/>
                        <wps:cNvSpPr/>
                        <wps:spPr>
                          <a:xfrm>
                            <a:off x="135172" y="516835"/>
                            <a:ext cx="144000" cy="144000"/>
                          </a:xfrm>
                          <a:prstGeom prst="ellipse">
                            <a:avLst/>
                          </a:prstGeom>
                          <a:solidFill>
                            <a:srgbClr val="43F6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113798" name="椭圆 15"/>
                        <wps:cNvSpPr/>
                        <wps:spPr>
                          <a:xfrm>
                            <a:off x="1534601" y="278296"/>
                            <a:ext cx="144000" cy="144000"/>
                          </a:xfrm>
                          <a:prstGeom prst="ellipse">
                            <a:avLst/>
                          </a:prstGeom>
                          <a:solidFill>
                            <a:srgbClr val="D11805">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37540079" name="椭圆 15"/>
                        <wps:cNvSpPr/>
                        <wps:spPr>
                          <a:xfrm>
                            <a:off x="1534601" y="508884"/>
                            <a:ext cx="144000" cy="144000"/>
                          </a:xfrm>
                          <a:prstGeom prst="ellipse">
                            <a:avLst/>
                          </a:prstGeom>
                          <a:solidFill>
                            <a:srgbClr val="FFC000">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26" o:spt="203" style="position:absolute;left:0pt;margin-left:0pt;margin-top:191.2pt;height:59.45pt;width:319.7pt;mso-position-horizontal-relative:margin;z-index:251716608;mso-width-relative:page;mso-height-relative:page;" coordsize="4060466,754794" o:gfxdata="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">
                <o:lock v:ext="edit" aspectratio="f"/>
                <v:shape id="文本框 12" o:spid="_x0000_s1026" o:spt="202" type="#_x0000_t202" style="position:absolute;left:0;top:0;height:295275;width:419100;" filled="f" stroked="f" coordsize="21600,21600" o:gfxdata="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0Nd98QAAADjAAAADwAAAAAAAAABACAAAAAiAAAAZHJzL2Rvd25yZXYueG1sUEsBAhQAFAAAAAgA&#10;h07iQDMvBZ47AAAAOQAAABAAAAAAAAAAAQAgAAAAEwEAAGRycy9zaGFwZXhtbC54bWxQSwUGAAAA&#10;AAYABgBbAQAAvQMAAAAA&#10;">
                  <v:fill on="f" focussize="0,0"/>
                  <v:stroke on="f" weight="1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v:textbox>
                </v:shape>
                <v:shape id="文本框 13" o:spid="_x0000_s1026" o:spt="202" type="#_x0000_t202" style="position:absolute;left:1622066;top:437322;height:285750;width:2438400;" filled="f" stroked="f" coordsize="21600,21600" o:gfxdata="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2eb9rxgAAAOI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v:textbox>
                </v:shape>
                <v:shape id="文本框 13" o:spid="_x0000_s1026" o:spt="202" type="#_x0000_t202" style="position:absolute;left:1630017;top:198783;height:295275;width:2362200;" filled="f" stroked="f" coordsize="21600,21600" o:gfxdata="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HF853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v:textbox>
                </v:shape>
                <v:shape id="文本框 13" o:spid="_x0000_s1026" o:spt="202" type="#_x0000_t202" style="position:absolute;left:278295;top:182880;height:333375;width:933450;" filled="f" stroked="f" coordsize="21600,21600" o:gfxdata="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3&#10;HZUPwwAAAOI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v:textbox>
                </v:shape>
                <v:shape id="文本框 13" o:spid="_x0000_s1026" o:spt="202" type="#_x0000_t202" style="position:absolute;left:254441;top:421419;height:333375;width:1057275;" filled="f" stroked="f" coordsize="21600,21600" o:gfxdata="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aPNj8QAAADi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v:textbox>
                </v:shape>
                <v:rect id="矩形 14" o:spid="_x0000_s1026" o:spt="1" style="position:absolute;left:87464;top:270345;height:133350;width:228600;v-text-anchor:middle;" fillcolor="#3114AC" filled="t" stroked="t" coordsize="21600,21600" o:gfxdata="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vU&#10;WMEAAADiAAAADwAAAAAAAAABACAAAAAiAAAAZHJzL2Rvd25yZXYueG1sUEsBAhQAFAAAAAgAh07i&#10;QDMvBZ47AAAAOQAAABAAAAAAAAAAAQAgAAAAEAEAAGRycy9zaGFwZXhtbC54bWxQSwUGAAAAAAYA&#10;BgBbAQAAugMAAAAA&#10;">
                  <v:fill on="t" opacity="32896f" focussize="0,0"/>
                  <v:stroke weight="1pt" color="#FF0000 [3204]" miterlimit="8" joinstyle="miter"/>
                  <v:imagedata o:title=""/>
                  <o:lock v:ext="edit" aspectratio="f"/>
                </v:rect>
                <v:shape id="椭圆 15" o:spid="_x0000_s1026" o:spt="3" type="#_x0000_t3" style="position:absolute;left:135172;top:516835;height:144000;width:144000;v-text-anchor:middle;" fillcolor="#43F612" filled="t" stroked="f" coordsize="21600,21600" o:gfxdata="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Rig&#10;28EAAADjAAAADwAAAAAAAAABACAAAAAiAAAAZHJzL2Rvd25yZXYueG1sUEsBAhQAFAAAAAgAh07i&#10;QDMvBZ47AAAAOQAAABAAAAAAAAAAAQAgAAAAEAEAAGRycy9zaGFwZXhtbC54bWxQSwUGAAAAAAYA&#10;BgBbAQAAugMAAAAA&#10;">
                  <v:fill on="t" focussize="0,0"/>
                  <v:stroke on="f" weight="1pt" miterlimit="8" joinstyle="miter"/>
                  <v:imagedata o:title=""/>
                  <o:lock v:ext="edit" aspectratio="f"/>
                </v:shape>
                <v:shape id="椭圆 15" o:spid="_x0000_s1026" o:spt="3" type="#_x0000_t3" style="position:absolute;left:1534601;top:278296;height:144000;width:144000;v-text-anchor:middle;" fillcolor="#D11805" filled="t" stroked="t" coordsize="21600,21600" o:gfxdata="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UlC&#10;tMEAAADiAAAADwAAAAAAAAABACAAAAAiAAAAZHJzL2Rvd25yZXYueG1sUEsBAhQAFAAAAAgAh07i&#10;QDMvBZ47AAAAOQAAABAAAAAAAAAAAQAgAAAAEAEAAGRycy9zaGFwZXhtbC54bWxQSwUGAAAAAAYA&#10;BgBbAQAAugMAAAAA&#10;">
                  <v:fill on="t" opacity="26214f" focussize="0,0"/>
                  <v:stroke weight="1pt" color="#000000 [3213]" miterlimit="8" joinstyle="miter"/>
                  <v:imagedata o:title=""/>
                  <o:lock v:ext="edit" aspectratio="f"/>
                </v:shape>
                <v:shape id="椭圆 15" o:spid="_x0000_s1026" o:spt="3" type="#_x0000_t3" style="position:absolute;left:1534601;top:508884;height:144000;width:144000;v-text-anchor:middle;" fillcolor="#FFC000" filled="t" stroked="t" coordsize="21600,21600" o:gfxdata="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bzX&#10;isEAAADjAAAADwAAAAAAAAABACAAAAAiAAAAZHJzL2Rvd25yZXYueG1sUEsBAhQAFAAAAAgAh07i&#10;QDMvBZ47AAAAOQAAABAAAAAAAAAAAQAgAAAAEAEAAGRycy9zaGFwZXhtbC54bWxQSwUGAAAAAAYA&#10;BgBbAQAAugMAAAAA&#10;">
                  <v:fill on="t" opacity="26214f" focussize="0,0"/>
                  <v:stroke weight="1pt" color="#000000 [3213]" miterlimit="8" joinstyle="miter"/>
                  <v:imagedata o:title=""/>
                  <o:lock v:ext="edit" aspectratio="f"/>
                </v:shape>
              </v:group>
            </w:pict>
          </mc:Fallback>
        </mc:AlternateContent>
      </w:r>
      <w:r>
        <w:drawing>
          <wp:inline distT="0" distB="0" distL="0" distR="0">
            <wp:extent cx="5540375" cy="3094990"/>
            <wp:effectExtent l="0" t="0" r="3175" b="10160"/>
            <wp:docPr id="11142570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57064" name="图片 3"/>
                    <pic:cNvPicPr>
                      <a:picLocks noChangeAspect="1" noChangeArrowheads="1"/>
                    </pic:cNvPicPr>
                  </pic:nvPicPr>
                  <pic:blipFill>
                    <a:blip r:embed="rId172"/>
                    <a:srcRect/>
                    <a:stretch>
                      <a:fillRect/>
                    </a:stretch>
                  </pic:blipFill>
                  <pic:spPr>
                    <a:xfrm>
                      <a:off x="0" y="0"/>
                      <a:ext cx="5540375" cy="3094990"/>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r>
        <w:drawing>
          <wp:inline distT="0" distB="0" distL="0" distR="0">
            <wp:extent cx="5543550" cy="4060190"/>
            <wp:effectExtent l="0" t="0" r="0" b="16510"/>
            <wp:docPr id="6272400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40053" name="图片 4"/>
                    <pic:cNvPicPr>
                      <a:picLocks noChangeAspect="1" noChangeArrowheads="1"/>
                    </pic:cNvPicPr>
                  </pic:nvPicPr>
                  <pic:blipFill>
                    <a:blip r:embed="rId173"/>
                    <a:srcRect/>
                    <a:stretch>
                      <a:fillRect/>
                    </a:stretch>
                  </pic:blipFill>
                  <pic:spPr>
                    <a:xfrm>
                      <a:off x="0" y="0"/>
                      <a:ext cx="5543550" cy="4060190"/>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w:t>
      </w:r>
      <w:r>
        <w:rPr>
          <w:rFonts w:hint="eastAsia" w:eastAsia="黑体"/>
          <w:bCs/>
          <w:color w:val="000000" w:themeColor="text1"/>
          <w:sz w:val="24"/>
          <w:szCs w:val="24"/>
          <w14:textFill>
            <w14:solidFill>
              <w14:schemeClr w14:val="tx1"/>
            </w14:solidFill>
          </w14:textFill>
        </w:rPr>
        <w:t>-</w:t>
      </w:r>
      <w:r>
        <w:rPr>
          <w:rFonts w:eastAsia="黑体"/>
          <w:bCs/>
          <w:color w:val="000000" w:themeColor="text1"/>
          <w:sz w:val="24"/>
          <w:szCs w:val="24"/>
          <w14:textFill>
            <w14:solidFill>
              <w14:schemeClr w14:val="tx1"/>
            </w14:solidFill>
          </w14:textFill>
        </w:rPr>
        <w:t>21</w:t>
      </w:r>
      <w:r>
        <w:rPr>
          <w:rFonts w:hint="eastAsia" w:eastAsia="黑体"/>
          <w:bCs/>
          <w:color w:val="000000" w:themeColor="text1"/>
          <w:sz w:val="24"/>
          <w:szCs w:val="24"/>
          <w14:textFill>
            <w14:solidFill>
              <w14:schemeClr w14:val="tx1"/>
            </w14:solidFill>
          </w14:textFill>
        </w:rPr>
        <w:t>泄露1</w:t>
      </w:r>
      <w:r>
        <w:rPr>
          <w:rFonts w:eastAsia="黑体"/>
          <w:bCs/>
          <w:color w:val="000000" w:themeColor="text1"/>
          <w:sz w:val="24"/>
          <w:szCs w:val="24"/>
          <w14:textFill>
            <w14:solidFill>
              <w14:schemeClr w14:val="tx1"/>
            </w14:solidFill>
          </w14:textFill>
        </w:rPr>
        <w:t>000</w:t>
      </w:r>
      <w:r>
        <w:rPr>
          <w:rFonts w:hint="eastAsia" w:eastAsia="黑体"/>
          <w:bCs/>
          <w:color w:val="000000" w:themeColor="text1"/>
          <w:sz w:val="24"/>
          <w:szCs w:val="24"/>
          <w14:textFill>
            <w14:solidFill>
              <w14:schemeClr w14:val="tx1"/>
            </w14:solidFill>
          </w14:textFill>
        </w:rPr>
        <w:t>天后地下水C</w:t>
      </w:r>
      <w:r>
        <w:rPr>
          <w:rFonts w:eastAsia="黑体"/>
          <w:bCs/>
          <w:color w:val="000000" w:themeColor="text1"/>
          <w:sz w:val="24"/>
          <w:szCs w:val="24"/>
          <w14:textFill>
            <w14:solidFill>
              <w14:schemeClr w14:val="tx1"/>
            </w14:solidFill>
          </w14:textFill>
        </w:rPr>
        <w:t>OD</w:t>
      </w:r>
      <w:r>
        <w:rPr>
          <w:rFonts w:hint="eastAsia" w:eastAsia="黑体"/>
          <w:bCs/>
          <w:color w:val="000000" w:themeColor="text1"/>
          <w:sz w:val="24"/>
          <w:szCs w:val="24"/>
          <w14:textFill>
            <w14:solidFill>
              <w14:schemeClr w14:val="tx1"/>
            </w14:solidFill>
          </w14:textFill>
        </w:rPr>
        <w:t>污染分布图</w:t>
      </w:r>
    </w:p>
    <w:p>
      <w:pPr>
        <w:jc w:val="center"/>
        <w:rPr>
          <w:rFonts w:eastAsia="黑体"/>
          <w:bCs/>
          <w:color w:val="000000" w:themeColor="text1"/>
          <w:sz w:val="24"/>
          <w:szCs w:val="24"/>
          <w14:textFill>
            <w14:solidFill>
              <w14:schemeClr w14:val="tx1"/>
            </w14:solidFill>
          </w14:textFill>
        </w:rPr>
      </w:pPr>
    </w:p>
    <w:p>
      <w:pPr>
        <w:jc w:val="center"/>
        <w:rPr>
          <w:rFonts w:eastAsia="黑体"/>
          <w:bCs/>
          <w:color w:val="000000" w:themeColor="text1"/>
          <w:sz w:val="24"/>
          <w:szCs w:val="24"/>
          <w14:textFill>
            <w14:solidFill>
              <w14:schemeClr w14:val="tx1"/>
            </w14:solidFill>
          </w14:textFill>
        </w:rPr>
      </w:pPr>
    </w:p>
    <w:p>
      <w:pPr>
        <w:jc w:val="center"/>
        <w:rPr>
          <w:rFonts w:eastAsia="黑体"/>
          <w:bCs/>
          <w:color w:val="000000" w:themeColor="text1"/>
          <w:sz w:val="24"/>
          <w:szCs w:val="24"/>
          <w14:textFill>
            <w14:solidFill>
              <w14:schemeClr w14:val="tx1"/>
            </w14:solidFill>
          </w14:textFill>
        </w:rPr>
      </w:pPr>
      <w:r>
        <w:rPr>
          <w:bCs/>
          <w:color w:val="000000" w:themeColor="text1"/>
          <w:kern w:val="0"/>
          <w:sz w:val="24"/>
          <w:szCs w:val="20"/>
          <w14:textFill>
            <w14:solidFill>
              <w14:schemeClr w14:val="tx1"/>
            </w14:solidFill>
          </w14:textFill>
        </w:rPr>
        <mc:AlternateContent>
          <mc:Choice Requires="wpg">
            <w:drawing>
              <wp:anchor distT="0" distB="0" distL="114300" distR="114300" simplePos="0" relativeHeight="251717632" behindDoc="0" locked="0" layoutInCell="1" allowOverlap="1">
                <wp:simplePos x="0" y="0"/>
                <wp:positionH relativeFrom="margin">
                  <wp:align>left</wp:align>
                </wp:positionH>
                <wp:positionV relativeFrom="paragraph">
                  <wp:posOffset>2366645</wp:posOffset>
                </wp:positionV>
                <wp:extent cx="4060190" cy="755015"/>
                <wp:effectExtent l="0" t="0" r="0" b="7620"/>
                <wp:wrapNone/>
                <wp:docPr id="2099545940" name="组合 16"/>
                <wp:cNvGraphicFramePr/>
                <a:graphic xmlns:a="http://schemas.openxmlformats.org/drawingml/2006/main">
                  <a:graphicData uri="http://schemas.microsoft.com/office/word/2010/wordprocessingGroup">
                    <wpg:wgp>
                      <wpg:cNvGrpSpPr/>
                      <wpg:grpSpPr>
                        <a:xfrm>
                          <a:off x="0" y="0"/>
                          <a:ext cx="4060466" cy="754794"/>
                          <a:chOff x="0" y="0"/>
                          <a:chExt cx="4060466" cy="754794"/>
                        </a:xfrm>
                      </wpg:grpSpPr>
                      <wps:wsp>
                        <wps:cNvPr id="845325619" name="文本框 12"/>
                        <wps:cNvSpPr txBox="1"/>
                        <wps:spPr>
                          <a:xfrm>
                            <a:off x="0" y="0"/>
                            <a:ext cx="419100" cy="295275"/>
                          </a:xfrm>
                          <a:prstGeom prst="rect">
                            <a:avLst/>
                          </a:prstGeom>
                          <a:noFill/>
                          <a:ln w="1270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5000894" name="文本框 13"/>
                        <wps:cNvSpPr txBox="1"/>
                        <wps:spPr>
                          <a:xfrm>
                            <a:off x="1622066" y="437322"/>
                            <a:ext cx="2438400" cy="285750"/>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0077080" name="文本框 13"/>
                        <wps:cNvSpPr txBox="1"/>
                        <wps:spPr>
                          <a:xfrm>
                            <a:off x="1630017" y="198783"/>
                            <a:ext cx="2362200" cy="2952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1810094" name="文本框 13"/>
                        <wps:cNvSpPr txBox="1"/>
                        <wps:spPr>
                          <a:xfrm>
                            <a:off x="278295" y="182880"/>
                            <a:ext cx="933450"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8499334" name="文本框 13"/>
                        <wps:cNvSpPr txBox="1"/>
                        <wps:spPr>
                          <a:xfrm>
                            <a:off x="254441" y="421419"/>
                            <a:ext cx="1057275"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8516932" name="矩形 14"/>
                        <wps:cNvSpPr/>
                        <wps:spPr>
                          <a:xfrm>
                            <a:off x="87464" y="270345"/>
                            <a:ext cx="228600" cy="133350"/>
                          </a:xfrm>
                          <a:prstGeom prst="rect">
                            <a:avLst/>
                          </a:prstGeom>
                          <a:solidFill>
                            <a:srgbClr val="3114AC">
                              <a:alpha val="50196"/>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1137406" name="椭圆 15"/>
                        <wps:cNvSpPr/>
                        <wps:spPr>
                          <a:xfrm>
                            <a:off x="135172" y="516835"/>
                            <a:ext cx="144000" cy="144000"/>
                          </a:xfrm>
                          <a:prstGeom prst="ellipse">
                            <a:avLst/>
                          </a:prstGeom>
                          <a:solidFill>
                            <a:srgbClr val="43F6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50850909" name="椭圆 15"/>
                        <wps:cNvSpPr/>
                        <wps:spPr>
                          <a:xfrm>
                            <a:off x="1534601" y="278296"/>
                            <a:ext cx="144000" cy="144000"/>
                          </a:xfrm>
                          <a:prstGeom prst="ellipse">
                            <a:avLst/>
                          </a:prstGeom>
                          <a:solidFill>
                            <a:srgbClr val="D11805">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06541541" name="椭圆 15"/>
                        <wps:cNvSpPr/>
                        <wps:spPr>
                          <a:xfrm>
                            <a:off x="1534601" y="508884"/>
                            <a:ext cx="144000" cy="144000"/>
                          </a:xfrm>
                          <a:prstGeom prst="ellipse">
                            <a:avLst/>
                          </a:prstGeom>
                          <a:solidFill>
                            <a:srgbClr val="FFC000">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26" o:spt="203" style="position:absolute;left:0pt;margin-top:186.35pt;height:59.45pt;width:319.7pt;mso-position-horizontal:left;mso-position-horizontal-relative:margin;z-index:251717632;mso-width-relative:page;mso-height-relative:page;" coordsize="4060466,754794" o:gfxdata="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IVxuL7aAAAACAEAAA8AAAAAAAAA&#10;AQAgAAAAIgAAAGRycy9kb3ducmV2LnhtbFBLAQIUABQAAAAIAIdO4kDIl/SA9AQAAPwcAAAOAAAA&#10;AAAAAAEAIAAAACkBAABkcnMvZTJvRG9jLnhtbFBLBQYAAAAABgAGAFkBAACPCAAAAAA=&#10;">
                <o:lock v:ext="edit" aspectratio="f"/>
                <v:shape id="文本框 12" o:spid="_x0000_s1026" o:spt="202" type="#_x0000_t202" style="position:absolute;left:0;top:0;height:295275;width:419100;" filled="f" stroked="f" coordsize="21600,21600" o:gfxdata="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m&#10;i+dywwAAAOIAAAAPAAAAAAAAAAEAIAAAACIAAABkcnMvZG93bnJldi54bWxQSwECFAAUAAAACACH&#10;TuJAMy8FnjsAAAA5AAAAEAAAAAAAAAABACAAAAASAQAAZHJzL3NoYXBleG1sLnhtbFBLBQYAAAAA&#10;BgAGAFsBAAC8AwAAAAA=&#10;">
                  <v:fill on="f" focussize="0,0"/>
                  <v:stroke on="f" weight="1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v:textbox>
                </v:shape>
                <v:shape id="文本框 13" o:spid="_x0000_s1026" o:spt="202" type="#_x0000_t202" style="position:absolute;left:1622066;top:437322;height:285750;width:2438400;" filled="f" stroked="f" coordsize="21600,21600" o:gfxdata="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JhLtz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v:textbox>
                </v:shape>
                <v:shape id="文本框 13" o:spid="_x0000_s1026" o:spt="202" type="#_x0000_t202" style="position:absolute;left:1630017;top:198783;height:295275;width:2362200;" filled="f" stroked="f" coordsize="21600,21600" o:gfxdata="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S&#10;EPDOwwAAAOI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v:textbox>
                </v:shape>
                <v:shape id="文本框 13" o:spid="_x0000_s1026" o:spt="202" type="#_x0000_t202" style="position:absolute;left:278295;top:182880;height:333375;width:933450;" filled="f" stroked="f" coordsize="21600,21600" o:gfxdata="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w3kTcQAAADi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v:textbox>
                </v:shape>
                <v:shape id="文本框 13" o:spid="_x0000_s1026" o:spt="202" type="#_x0000_t202" style="position:absolute;left:254441;top:421419;height:333375;width:1057275;" filled="f" stroked="f" coordsize="21600,21600" o:gfxdata="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mD3EMQAAADj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v:textbox>
                </v:shape>
                <v:rect id="矩形 14" o:spid="_x0000_s1026" o:spt="1" style="position:absolute;left:87464;top:270345;height:133350;width:228600;v-text-anchor:middle;" fillcolor="#3114AC" filled="t" stroked="t" coordsize="21600,21600" o:gfxdata="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Od&#10;6YvCAAAA4gAAAA8AAAAAAAAAAQAgAAAAIgAAAGRycy9kb3ducmV2LnhtbFBLAQIUABQAAAAIAIdO&#10;4kAzLwWeOwAAADkAAAAQAAAAAAAAAAEAIAAAABEBAABkcnMvc2hhcGV4bWwueG1sUEsFBgAAAAAG&#10;AAYAWwEAALsDAAAAAA==&#10;">
                  <v:fill on="t" opacity="32896f" focussize="0,0"/>
                  <v:stroke weight="1pt" color="#FF0000 [3204]" miterlimit="8" joinstyle="miter"/>
                  <v:imagedata o:title=""/>
                  <o:lock v:ext="edit" aspectratio="f"/>
                </v:rect>
                <v:shape id="椭圆 15" o:spid="_x0000_s1026" o:spt="3" type="#_x0000_t3" style="position:absolute;left:135172;top:516835;height:144000;width:144000;v-text-anchor:middle;" fillcolor="#43F612" filled="t" stroked="f" coordsize="21600,21600" o:gfxdata="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lnHy8QAAADiAAAADwAAAAAAAAABACAAAAAiAAAAZHJzL2Rvd25yZXYueG1sUEsBAhQAFAAAAAgA&#10;h07iQDMvBZ47AAAAOQAAABAAAAAAAAAAAQAgAAAAEwEAAGRycy9zaGFwZXhtbC54bWxQSwUGAAAA&#10;AAYABgBbAQAAvQMAAAAA&#10;">
                  <v:fill on="t" focussize="0,0"/>
                  <v:stroke on="f" weight="1pt" miterlimit="8" joinstyle="miter"/>
                  <v:imagedata o:title=""/>
                  <o:lock v:ext="edit" aspectratio="f"/>
                </v:shape>
                <v:shape id="椭圆 15" o:spid="_x0000_s1026" o:spt="3" type="#_x0000_t3" style="position:absolute;left:1534601;top:278296;height:144000;width:144000;v-text-anchor:middle;" fillcolor="#D11805" filled="t" stroked="t" coordsize="21600,21600" o:gfxdata="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PI&#10;osEAAADjAAAADwAAAAAAAAABACAAAAAiAAAAZHJzL2Rvd25yZXYueG1sUEsBAhQAFAAAAAgAh07i&#10;QDMvBZ47AAAAOQAAABAAAAAAAAAAAQAgAAAAEAEAAGRycy9zaGFwZXhtbC54bWxQSwUGAAAAAAYA&#10;BgBbAQAAugMAAAAA&#10;">
                  <v:fill on="t" opacity="26214f" focussize="0,0"/>
                  <v:stroke weight="1pt" color="#000000 [3213]" miterlimit="8" joinstyle="miter"/>
                  <v:imagedata o:title=""/>
                  <o:lock v:ext="edit" aspectratio="f"/>
                </v:shape>
                <v:shape id="椭圆 15" o:spid="_x0000_s1026" o:spt="3" type="#_x0000_t3" style="position:absolute;left:1534601;top:508884;height:144000;width:144000;v-text-anchor:middle;" fillcolor="#FFC000" filled="t" stroked="t" coordsize="21600,21600" o:gfxdata="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x57k8QAAADjAAAADwAAAAAAAAABACAAAAAiAAAAZHJzL2Rvd25yZXYueG1sUEsBAhQAFAAAAAgA&#10;h07iQDMvBZ47AAAAOQAAABAAAAAAAAAAAQAgAAAAEwEAAGRycy9zaGFwZXhtbC54bWxQSwUGAAAA&#10;AAYABgBbAQAAvQMAAAAA&#10;">
                  <v:fill on="t" opacity="26214f" focussize="0,0"/>
                  <v:stroke weight="1pt" color="#000000 [3213]" miterlimit="8" joinstyle="miter"/>
                  <v:imagedata o:title=""/>
                  <o:lock v:ext="edit" aspectratio="f"/>
                </v:shape>
              </v:group>
            </w:pict>
          </mc:Fallback>
        </mc:AlternateContent>
      </w:r>
      <w:r>
        <w:drawing>
          <wp:inline distT="0" distB="0" distL="0" distR="0">
            <wp:extent cx="5543550" cy="2990850"/>
            <wp:effectExtent l="0" t="0" r="0" b="0"/>
            <wp:docPr id="9326603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60399" name="图片 6"/>
                    <pic:cNvPicPr>
                      <a:picLocks noChangeAspect="1" noChangeArrowheads="1"/>
                    </pic:cNvPicPr>
                  </pic:nvPicPr>
                  <pic:blipFill>
                    <a:blip r:embed="rId174"/>
                    <a:srcRect/>
                    <a:stretch>
                      <a:fillRect/>
                    </a:stretch>
                  </pic:blipFill>
                  <pic:spPr>
                    <a:xfrm>
                      <a:off x="0" y="0"/>
                      <a:ext cx="5543550" cy="2990850"/>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r>
        <w:drawing>
          <wp:inline distT="0" distB="0" distL="0" distR="0">
            <wp:extent cx="5543550" cy="3891280"/>
            <wp:effectExtent l="0" t="0" r="0" b="13970"/>
            <wp:docPr id="562977943" name="图片 7" descr="图片包含 桌子,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77943" name="图片 7" descr="图片包含 桌子, 食物&#10;&#10;描述已自动生成"/>
                    <pic:cNvPicPr>
                      <a:picLocks noChangeAspect="1" noChangeArrowheads="1"/>
                    </pic:cNvPicPr>
                  </pic:nvPicPr>
                  <pic:blipFill>
                    <a:blip r:embed="rId175"/>
                    <a:srcRect/>
                    <a:stretch>
                      <a:fillRect/>
                    </a:stretch>
                  </pic:blipFill>
                  <pic:spPr>
                    <a:xfrm>
                      <a:off x="0" y="0"/>
                      <a:ext cx="5543550" cy="3891280"/>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w:t>
      </w:r>
      <w:r>
        <w:rPr>
          <w:rFonts w:hint="eastAsia" w:eastAsia="黑体"/>
          <w:bCs/>
          <w:color w:val="000000" w:themeColor="text1"/>
          <w:sz w:val="24"/>
          <w:szCs w:val="24"/>
          <w14:textFill>
            <w14:solidFill>
              <w14:schemeClr w14:val="tx1"/>
            </w14:solidFill>
          </w14:textFill>
        </w:rPr>
        <w:t>-</w:t>
      </w:r>
      <w:r>
        <w:rPr>
          <w:rFonts w:eastAsia="黑体"/>
          <w:bCs/>
          <w:color w:val="000000" w:themeColor="text1"/>
          <w:sz w:val="24"/>
          <w:szCs w:val="24"/>
          <w14:textFill>
            <w14:solidFill>
              <w14:schemeClr w14:val="tx1"/>
            </w14:solidFill>
          </w14:textFill>
        </w:rPr>
        <w:t>22</w:t>
      </w:r>
      <w:r>
        <w:rPr>
          <w:rFonts w:hint="eastAsia" w:eastAsia="黑体"/>
          <w:bCs/>
          <w:color w:val="000000" w:themeColor="text1"/>
          <w:sz w:val="24"/>
          <w:szCs w:val="24"/>
          <w14:textFill>
            <w14:solidFill>
              <w14:schemeClr w14:val="tx1"/>
            </w14:solidFill>
          </w14:textFill>
        </w:rPr>
        <w:t>泄露</w:t>
      </w:r>
      <w:r>
        <w:rPr>
          <w:rFonts w:eastAsia="黑体"/>
          <w:bCs/>
          <w:color w:val="000000" w:themeColor="text1"/>
          <w:sz w:val="24"/>
          <w:szCs w:val="24"/>
          <w14:textFill>
            <w14:solidFill>
              <w14:schemeClr w14:val="tx1"/>
            </w14:solidFill>
          </w14:textFill>
        </w:rPr>
        <w:t>3650</w:t>
      </w:r>
      <w:r>
        <w:rPr>
          <w:rFonts w:hint="eastAsia" w:eastAsia="黑体"/>
          <w:bCs/>
          <w:color w:val="000000" w:themeColor="text1"/>
          <w:sz w:val="24"/>
          <w:szCs w:val="24"/>
          <w14:textFill>
            <w14:solidFill>
              <w14:schemeClr w14:val="tx1"/>
            </w14:solidFill>
          </w14:textFill>
        </w:rPr>
        <w:t>天后地下水C</w:t>
      </w:r>
      <w:r>
        <w:rPr>
          <w:rFonts w:eastAsia="黑体"/>
          <w:bCs/>
          <w:color w:val="000000" w:themeColor="text1"/>
          <w:sz w:val="24"/>
          <w:szCs w:val="24"/>
          <w14:textFill>
            <w14:solidFill>
              <w14:schemeClr w14:val="tx1"/>
            </w14:solidFill>
          </w14:textFill>
        </w:rPr>
        <w:t>OD</w:t>
      </w:r>
      <w:r>
        <w:rPr>
          <w:rFonts w:hint="eastAsia" w:eastAsia="黑体"/>
          <w:bCs/>
          <w:color w:val="000000" w:themeColor="text1"/>
          <w:sz w:val="24"/>
          <w:szCs w:val="24"/>
          <w14:textFill>
            <w14:solidFill>
              <w14:schemeClr w14:val="tx1"/>
            </w14:solidFill>
          </w14:textFill>
        </w:rPr>
        <w:t>污染分布图</w:t>
      </w:r>
    </w:p>
    <w:p>
      <w:pPr>
        <w:jc w:val="center"/>
        <w:rPr>
          <w:rFonts w:eastAsia="黑体"/>
          <w:bCs/>
          <w:color w:val="000000" w:themeColor="text1"/>
          <w:sz w:val="24"/>
          <w:szCs w:val="24"/>
          <w14:textFill>
            <w14:solidFill>
              <w14:schemeClr w14:val="tx1"/>
            </w14:solidFill>
          </w14:textFill>
        </w:rPr>
      </w:pPr>
    </w:p>
    <w:p>
      <w:pPr>
        <w:jc w:val="center"/>
        <w:rPr>
          <w:rFonts w:eastAsia="黑体"/>
          <w:bCs/>
          <w:color w:val="000000" w:themeColor="text1"/>
          <w:sz w:val="24"/>
          <w:szCs w:val="24"/>
          <w14:textFill>
            <w14:solidFill>
              <w14:schemeClr w14:val="tx1"/>
            </w14:solidFill>
          </w14:textFill>
        </w:rPr>
      </w:pPr>
      <w:r>
        <w:rPr>
          <w:bCs/>
          <w:color w:val="000000" w:themeColor="text1"/>
          <w:kern w:val="0"/>
          <w:sz w:val="24"/>
          <w:szCs w:val="20"/>
          <w14:textFill>
            <w14:solidFill>
              <w14:schemeClr w14:val="tx1"/>
            </w14:solidFill>
          </w14:textFill>
        </w:rPr>
        <mc:AlternateContent>
          <mc:Choice Requires="wpg">
            <w:drawing>
              <wp:anchor distT="0" distB="0" distL="114300" distR="114300" simplePos="0" relativeHeight="251718656" behindDoc="0" locked="0" layoutInCell="1" allowOverlap="1">
                <wp:simplePos x="0" y="0"/>
                <wp:positionH relativeFrom="margin">
                  <wp:posOffset>41910</wp:posOffset>
                </wp:positionH>
                <wp:positionV relativeFrom="paragraph">
                  <wp:posOffset>2443480</wp:posOffset>
                </wp:positionV>
                <wp:extent cx="4060190" cy="755015"/>
                <wp:effectExtent l="0" t="0" r="0" b="7620"/>
                <wp:wrapNone/>
                <wp:docPr id="1051703382" name="组合 16"/>
                <wp:cNvGraphicFramePr/>
                <a:graphic xmlns:a="http://schemas.openxmlformats.org/drawingml/2006/main">
                  <a:graphicData uri="http://schemas.microsoft.com/office/word/2010/wordprocessingGroup">
                    <wpg:wgp>
                      <wpg:cNvGrpSpPr/>
                      <wpg:grpSpPr>
                        <a:xfrm>
                          <a:off x="0" y="0"/>
                          <a:ext cx="4060466" cy="754794"/>
                          <a:chOff x="0" y="0"/>
                          <a:chExt cx="4060466" cy="754794"/>
                        </a:xfrm>
                      </wpg:grpSpPr>
                      <wps:wsp>
                        <wps:cNvPr id="1752395639" name="文本框 12"/>
                        <wps:cNvSpPr txBox="1"/>
                        <wps:spPr>
                          <a:xfrm>
                            <a:off x="0" y="0"/>
                            <a:ext cx="419100" cy="295275"/>
                          </a:xfrm>
                          <a:prstGeom prst="rect">
                            <a:avLst/>
                          </a:prstGeom>
                          <a:noFill/>
                          <a:ln w="1270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4366535" name="文本框 13"/>
                        <wps:cNvSpPr txBox="1"/>
                        <wps:spPr>
                          <a:xfrm>
                            <a:off x="1622066" y="437322"/>
                            <a:ext cx="2438400" cy="285750"/>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7822814" name="文本框 13"/>
                        <wps:cNvSpPr txBox="1"/>
                        <wps:spPr>
                          <a:xfrm>
                            <a:off x="1630017" y="198783"/>
                            <a:ext cx="2362200" cy="2952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3892182" name="文本框 13"/>
                        <wps:cNvSpPr txBox="1"/>
                        <wps:spPr>
                          <a:xfrm>
                            <a:off x="278295" y="182880"/>
                            <a:ext cx="933450"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1766441" name="文本框 13"/>
                        <wps:cNvSpPr txBox="1"/>
                        <wps:spPr>
                          <a:xfrm>
                            <a:off x="254441" y="421419"/>
                            <a:ext cx="1057275"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061260" name="矩形 14"/>
                        <wps:cNvSpPr/>
                        <wps:spPr>
                          <a:xfrm>
                            <a:off x="87464" y="270345"/>
                            <a:ext cx="228600" cy="133350"/>
                          </a:xfrm>
                          <a:prstGeom prst="rect">
                            <a:avLst/>
                          </a:prstGeom>
                          <a:solidFill>
                            <a:srgbClr val="3114AC">
                              <a:alpha val="50196"/>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4947131" name="椭圆 15"/>
                        <wps:cNvSpPr/>
                        <wps:spPr>
                          <a:xfrm>
                            <a:off x="135172" y="516835"/>
                            <a:ext cx="144000" cy="144000"/>
                          </a:xfrm>
                          <a:prstGeom prst="ellipse">
                            <a:avLst/>
                          </a:prstGeom>
                          <a:solidFill>
                            <a:srgbClr val="43F6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5555999" name="椭圆 15"/>
                        <wps:cNvSpPr/>
                        <wps:spPr>
                          <a:xfrm>
                            <a:off x="1534601" y="278296"/>
                            <a:ext cx="144000" cy="144000"/>
                          </a:xfrm>
                          <a:prstGeom prst="ellipse">
                            <a:avLst/>
                          </a:prstGeom>
                          <a:solidFill>
                            <a:srgbClr val="D11805">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6413872" name="椭圆 15"/>
                        <wps:cNvSpPr/>
                        <wps:spPr>
                          <a:xfrm>
                            <a:off x="1534601" y="508884"/>
                            <a:ext cx="144000" cy="144000"/>
                          </a:xfrm>
                          <a:prstGeom prst="ellipse">
                            <a:avLst/>
                          </a:prstGeom>
                          <a:solidFill>
                            <a:srgbClr val="FFC000">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26" o:spt="203" style="position:absolute;left:0pt;margin-left:3.3pt;margin-top:192.4pt;height:59.45pt;width:319.7pt;mso-position-horizontal-relative:margin;z-index:251718656;mso-width-relative:page;mso-height-relative:page;" coordsize="4060466,754794" o:gfxdata="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">
                <o:lock v:ext="edit" aspectratio="f"/>
                <v:shape id="文本框 12" o:spid="_x0000_s1026" o:spt="202" type="#_x0000_t202" style="position:absolute;left:0;top:0;height:295275;width:419100;" filled="f" stroked="f" coordsize="21600,21600" o:gfxdata="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w9VWcQAAADjAAAADwAAAAAAAAABACAAAAAiAAAAZHJzL2Rvd25yZXYueG1sUEsBAhQAFAAAAAgA&#10;h07iQDMvBZ47AAAAOQAAABAAAAAAAAAAAQAgAAAAEwEAAGRycy9zaGFwZXhtbC54bWxQSwUGAAAA&#10;AAYABgBbAQAAvQMAAAAA&#10;">
                  <v:fill on="f" focussize="0,0"/>
                  <v:stroke on="f" weight="1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v:textbox>
                </v:shape>
                <v:shape id="文本框 13" o:spid="_x0000_s1026" o:spt="202" type="#_x0000_t202" style="position:absolute;left:1622066;top:437322;height:285750;width:2438400;" filled="f" stroked="f" coordsize="21600,21600" o:gfxdata="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lw&#10;kQz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v:textbox>
                </v:shape>
                <v:shape id="文本框 13" o:spid="_x0000_s1026" o:spt="202" type="#_x0000_t202" style="position:absolute;left:1630017;top:198783;height:295275;width:2362200;" filled="f" stroked="f" coordsize="21600,21600" o:gfxdata="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yvsvT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v:textbox>
                </v:shape>
                <v:shape id="文本框 13" o:spid="_x0000_s1026" o:spt="202" type="#_x0000_t202" style="position:absolute;left:278295;top:182880;height:333375;width:933450;" filled="f" stroked="f" coordsize="21600,21600" o:gfxdata="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iTdA7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v:textbox>
                </v:shape>
                <v:shape id="文本框 13" o:spid="_x0000_s1026" o:spt="202" type="#_x0000_t202" style="position:absolute;left:254441;top:421419;height:333375;width:1057275;" filled="f" stroked="f" coordsize="21600,21600" o:gfxdata="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eteXB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v:textbox>
                </v:shape>
                <v:rect id="矩形 14" o:spid="_x0000_s1026" o:spt="1" style="position:absolute;left:87464;top:270345;height:133350;width:228600;v-text-anchor:middle;" fillcolor="#3114AC" filled="t" stroked="t" coordsize="21600,21600" o:gfxdata="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m4u&#10;o8EAAADjAAAADwAAAAAAAAABACAAAAAiAAAAZHJzL2Rvd25yZXYueG1sUEsBAhQAFAAAAAgAh07i&#10;QDMvBZ47AAAAOQAAABAAAAAAAAAAAQAgAAAAEAEAAGRycy9zaGFwZXhtbC54bWxQSwUGAAAAAAYA&#10;BgBbAQAAugMAAAAA&#10;">
                  <v:fill on="t" opacity="32896f" focussize="0,0"/>
                  <v:stroke weight="1pt" color="#FF0000 [3204]" miterlimit="8" joinstyle="miter"/>
                  <v:imagedata o:title=""/>
                  <o:lock v:ext="edit" aspectratio="f"/>
                </v:rect>
                <v:shape id="椭圆 15" o:spid="_x0000_s1026" o:spt="3" type="#_x0000_t3" style="position:absolute;left:135172;top:516835;height:144000;width:144000;v-text-anchor:middle;" fillcolor="#43F612" filled="t" stroked="f" coordsize="21600,21600" o:gfxdata="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N/AkcQAAADiAAAADwAAAAAAAAABACAAAAAiAAAAZHJzL2Rvd25yZXYueG1sUEsBAhQAFAAAAAgA&#10;h07iQDMvBZ47AAAAOQAAABAAAAAAAAAAAQAgAAAAEwEAAGRycy9zaGFwZXhtbC54bWxQSwUGAAAA&#10;AAYABgBbAQAAvQMAAAAA&#10;">
                  <v:fill on="t" focussize="0,0"/>
                  <v:stroke on="f" weight="1pt" miterlimit="8" joinstyle="miter"/>
                  <v:imagedata o:title=""/>
                  <o:lock v:ext="edit" aspectratio="f"/>
                </v:shape>
                <v:shape id="椭圆 15" o:spid="_x0000_s1026" o:spt="3" type="#_x0000_t3" style="position:absolute;left:1534601;top:278296;height:144000;width:144000;v-text-anchor:middle;" fillcolor="#D11805" filled="t" stroked="t" coordsize="21600,21600" o:gfxdata="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3&#10;I4Q7wwAAAOMAAAAPAAAAAAAAAAEAIAAAACIAAABkcnMvZG93bnJldi54bWxQSwECFAAUAAAACACH&#10;TuJAMy8FnjsAAAA5AAAAEAAAAAAAAAABACAAAAASAQAAZHJzL3NoYXBleG1sLnhtbFBLBQYAAAAA&#10;BgAGAFsBAAC8AwAAAAA=&#10;">
                  <v:fill on="t" opacity="26214f" focussize="0,0"/>
                  <v:stroke weight="1pt" color="#000000 [3213]" miterlimit="8" joinstyle="miter"/>
                  <v:imagedata o:title=""/>
                  <o:lock v:ext="edit" aspectratio="f"/>
                </v:shape>
                <v:shape id="椭圆 15" o:spid="_x0000_s1026" o:spt="3" type="#_x0000_t3" style="position:absolute;left:1534601;top:508884;height:144000;width:144000;v-text-anchor:middle;" fillcolor="#FFC000" filled="t" stroked="t" coordsize="21600,21600" o:gfxdata="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tZaCnFAAAA4gAAAA8AAAAAAAAAAQAgAAAAIgAAAGRycy9kb3ducmV2LnhtbFBLAQIUABQAAAAI&#10;AIdO4kAzLwWeOwAAADkAAAAQAAAAAAAAAAEAIAAAABQBAABkcnMvc2hhcGV4bWwueG1sUEsFBgAA&#10;AAAGAAYAWwEAAL4DAAAAAA==&#10;">
                  <v:fill on="t" opacity="26214f" focussize="0,0"/>
                  <v:stroke weight="1pt" color="#000000 [3213]" miterlimit="8" joinstyle="miter"/>
                  <v:imagedata o:title=""/>
                  <o:lock v:ext="edit" aspectratio="f"/>
                </v:shape>
              </v:group>
            </w:pict>
          </mc:Fallback>
        </mc:AlternateContent>
      </w:r>
      <w:r>
        <w:drawing>
          <wp:inline distT="0" distB="0" distL="0" distR="0">
            <wp:extent cx="5537835" cy="3150870"/>
            <wp:effectExtent l="0" t="0" r="5715" b="11430"/>
            <wp:docPr id="13765647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64781" name="图片 8"/>
                    <pic:cNvPicPr>
                      <a:picLocks noChangeAspect="1" noChangeArrowheads="1"/>
                    </pic:cNvPicPr>
                  </pic:nvPicPr>
                  <pic:blipFill>
                    <a:blip r:embed="rId176"/>
                    <a:srcRect/>
                    <a:stretch>
                      <a:fillRect/>
                    </a:stretch>
                  </pic:blipFill>
                  <pic:spPr>
                    <a:xfrm>
                      <a:off x="0" y="0"/>
                      <a:ext cx="5537835" cy="3150870"/>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p>
    <w:p>
      <w:pPr>
        <w:jc w:val="center"/>
        <w:rPr>
          <w:rFonts w:eastAsia="黑体"/>
          <w:bCs/>
          <w:color w:val="000000" w:themeColor="text1"/>
          <w:sz w:val="24"/>
          <w:szCs w:val="24"/>
          <w14:textFill>
            <w14:solidFill>
              <w14:schemeClr w14:val="tx1"/>
            </w14:solidFill>
          </w14:textFill>
        </w:rPr>
      </w:pPr>
      <w:r>
        <w:drawing>
          <wp:inline distT="0" distB="0" distL="0" distR="0">
            <wp:extent cx="5532120" cy="4125595"/>
            <wp:effectExtent l="0" t="0" r="11430" b="8255"/>
            <wp:docPr id="1293479994" name="图片 9" descr="建筑与房屋的城市空拍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79994" name="图片 9" descr="建筑与房屋的城市空拍图&#10;&#10;低可信度描述已自动生成"/>
                    <pic:cNvPicPr>
                      <a:picLocks noChangeAspect="1" noChangeArrowheads="1"/>
                    </pic:cNvPicPr>
                  </pic:nvPicPr>
                  <pic:blipFill>
                    <a:blip r:embed="rId177"/>
                    <a:srcRect/>
                    <a:stretch>
                      <a:fillRect/>
                    </a:stretch>
                  </pic:blipFill>
                  <pic:spPr>
                    <a:xfrm>
                      <a:off x="0" y="0"/>
                      <a:ext cx="5532120" cy="4125595"/>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w:t>
      </w:r>
      <w:r>
        <w:rPr>
          <w:rFonts w:hint="eastAsia" w:eastAsia="黑体"/>
          <w:bCs/>
          <w:color w:val="000000" w:themeColor="text1"/>
          <w:sz w:val="24"/>
          <w:szCs w:val="24"/>
          <w14:textFill>
            <w14:solidFill>
              <w14:schemeClr w14:val="tx1"/>
            </w14:solidFill>
          </w14:textFill>
        </w:rPr>
        <w:t>-</w:t>
      </w:r>
      <w:r>
        <w:rPr>
          <w:rFonts w:eastAsia="黑体"/>
          <w:bCs/>
          <w:color w:val="000000" w:themeColor="text1"/>
          <w:sz w:val="24"/>
          <w:szCs w:val="24"/>
          <w14:textFill>
            <w14:solidFill>
              <w14:schemeClr w14:val="tx1"/>
            </w14:solidFill>
          </w14:textFill>
        </w:rPr>
        <w:t>23</w:t>
      </w:r>
      <w:r>
        <w:rPr>
          <w:rFonts w:hint="eastAsia" w:eastAsia="黑体"/>
          <w:bCs/>
          <w:color w:val="000000" w:themeColor="text1"/>
          <w:sz w:val="24"/>
          <w:szCs w:val="24"/>
          <w14:textFill>
            <w14:solidFill>
              <w14:schemeClr w14:val="tx1"/>
            </w14:solidFill>
          </w14:textFill>
        </w:rPr>
        <w:t>泄露</w:t>
      </w:r>
      <w:r>
        <w:rPr>
          <w:rFonts w:eastAsia="黑体"/>
          <w:bCs/>
          <w:color w:val="000000" w:themeColor="text1"/>
          <w:sz w:val="24"/>
          <w:szCs w:val="24"/>
          <w14:textFill>
            <w14:solidFill>
              <w14:schemeClr w14:val="tx1"/>
            </w14:solidFill>
          </w14:textFill>
        </w:rPr>
        <w:t>7300</w:t>
      </w:r>
      <w:r>
        <w:rPr>
          <w:rFonts w:hint="eastAsia" w:eastAsia="黑体"/>
          <w:bCs/>
          <w:color w:val="000000" w:themeColor="text1"/>
          <w:sz w:val="24"/>
          <w:szCs w:val="24"/>
          <w14:textFill>
            <w14:solidFill>
              <w14:schemeClr w14:val="tx1"/>
            </w14:solidFill>
          </w14:textFill>
        </w:rPr>
        <w:t>天后地下水C</w:t>
      </w:r>
      <w:r>
        <w:rPr>
          <w:rFonts w:eastAsia="黑体"/>
          <w:bCs/>
          <w:color w:val="000000" w:themeColor="text1"/>
          <w:sz w:val="24"/>
          <w:szCs w:val="24"/>
          <w14:textFill>
            <w14:solidFill>
              <w14:schemeClr w14:val="tx1"/>
            </w14:solidFill>
          </w14:textFill>
        </w:rPr>
        <w:t>OD</w:t>
      </w:r>
      <w:r>
        <w:rPr>
          <w:rFonts w:hint="eastAsia" w:eastAsia="黑体"/>
          <w:bCs/>
          <w:color w:val="000000" w:themeColor="text1"/>
          <w:sz w:val="24"/>
          <w:szCs w:val="24"/>
          <w14:textFill>
            <w14:solidFill>
              <w14:schemeClr w14:val="tx1"/>
            </w14:solidFill>
          </w14:textFill>
        </w:rPr>
        <w:t>污染分布图</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bCs/>
          <w:color w:val="000000" w:themeColor="text1"/>
          <w:kern w:val="0"/>
          <w:sz w:val="24"/>
          <w:szCs w:val="20"/>
          <w14:textFill>
            <w14:solidFill>
              <w14:schemeClr w14:val="tx1"/>
            </w14:solidFill>
          </w14:textFill>
        </w:rPr>
        <w:t>从以上模拟结果看出，风险事故情况下，</w:t>
      </w:r>
      <w:r>
        <w:rPr>
          <w:rFonts w:hint="eastAsia"/>
          <w:bCs/>
          <w:color w:val="000000" w:themeColor="text1"/>
          <w:kern w:val="0"/>
          <w:sz w:val="24"/>
          <w:szCs w:val="20"/>
          <w14:textFill>
            <w14:solidFill>
              <w14:schemeClr w14:val="tx1"/>
            </w14:solidFill>
          </w14:textFill>
        </w:rPr>
        <w:t>C</w:t>
      </w:r>
      <w:r>
        <w:rPr>
          <w:bCs/>
          <w:color w:val="000000" w:themeColor="text1"/>
          <w:kern w:val="0"/>
          <w:sz w:val="24"/>
          <w:szCs w:val="20"/>
          <w14:textFill>
            <w14:solidFill>
              <w14:schemeClr w14:val="tx1"/>
            </w14:solidFill>
          </w14:textFill>
        </w:rPr>
        <w:t>OD污染物泄露100天时候，中心浓度达到81.9mg/L，超标距离为下游24m，预测超标面积为200m</w:t>
      </w:r>
      <w:r>
        <w:rPr>
          <w:bCs/>
          <w:color w:val="000000" w:themeColor="text1"/>
          <w:kern w:val="0"/>
          <w:sz w:val="24"/>
          <w:szCs w:val="20"/>
          <w:vertAlign w:val="superscript"/>
          <w14:textFill>
            <w14:solidFill>
              <w14:schemeClr w14:val="tx1"/>
            </w14:solidFill>
          </w14:textFill>
        </w:rPr>
        <w:t>2</w:t>
      </w:r>
      <w:r>
        <w:rPr>
          <w:bCs/>
          <w:color w:val="000000" w:themeColor="text1"/>
          <w:kern w:val="0"/>
          <w:sz w:val="24"/>
          <w:szCs w:val="20"/>
          <w14:textFill>
            <w14:solidFill>
              <w14:schemeClr w14:val="tx1"/>
            </w14:solidFill>
          </w14:textFill>
        </w:rPr>
        <w:t>；影响距离为下游40m，预测影响面积为1200m</w:t>
      </w:r>
      <w:r>
        <w:rPr>
          <w:bCs/>
          <w:color w:val="000000" w:themeColor="text1"/>
          <w:kern w:val="0"/>
          <w:sz w:val="24"/>
          <w:szCs w:val="20"/>
          <w:vertAlign w:val="superscript"/>
          <w14:textFill>
            <w14:solidFill>
              <w14:schemeClr w14:val="tx1"/>
            </w14:solidFill>
          </w14:textFill>
        </w:rPr>
        <w:t>2</w:t>
      </w:r>
      <w:r>
        <w:rPr>
          <w:bCs/>
          <w:color w:val="000000" w:themeColor="text1"/>
          <w:kern w:val="0"/>
          <w:sz w:val="24"/>
          <w:szCs w:val="20"/>
          <w14:textFill>
            <w14:solidFill>
              <w14:schemeClr w14:val="tx1"/>
            </w14:solidFill>
          </w14:textFill>
        </w:rPr>
        <w:t>；泄露1000天时，中心浓度达到73.7mg/L，超标距离为下游116m，预测超标面积为4000m</w:t>
      </w:r>
      <w:r>
        <w:rPr>
          <w:bCs/>
          <w:color w:val="000000" w:themeColor="text1"/>
          <w:kern w:val="0"/>
          <w:sz w:val="24"/>
          <w:szCs w:val="20"/>
          <w:vertAlign w:val="superscript"/>
          <w14:textFill>
            <w14:solidFill>
              <w14:schemeClr w14:val="tx1"/>
            </w14:solidFill>
          </w14:textFill>
        </w:rPr>
        <w:t>2</w:t>
      </w:r>
      <w:r>
        <w:rPr>
          <w:bCs/>
          <w:color w:val="000000" w:themeColor="text1"/>
          <w:kern w:val="0"/>
          <w:sz w:val="24"/>
          <w:szCs w:val="20"/>
          <w14:textFill>
            <w14:solidFill>
              <w14:schemeClr w14:val="tx1"/>
            </w14:solidFill>
          </w14:textFill>
        </w:rPr>
        <w:t>；影响距离为下游174m，预测影响面积为11800m</w:t>
      </w:r>
      <w:r>
        <w:rPr>
          <w:bCs/>
          <w:color w:val="000000" w:themeColor="text1"/>
          <w:kern w:val="0"/>
          <w:sz w:val="24"/>
          <w:szCs w:val="20"/>
          <w:vertAlign w:val="superscript"/>
          <w14:textFill>
            <w14:solidFill>
              <w14:schemeClr w14:val="tx1"/>
            </w14:solidFill>
          </w14:textFill>
        </w:rPr>
        <w:t>2</w:t>
      </w:r>
      <w:r>
        <w:rPr>
          <w:bCs/>
          <w:color w:val="000000" w:themeColor="text1"/>
          <w:kern w:val="0"/>
          <w:sz w:val="24"/>
          <w:szCs w:val="20"/>
          <w14:textFill>
            <w14:solidFill>
              <w14:schemeClr w14:val="tx1"/>
            </w14:solidFill>
          </w14:textFill>
        </w:rPr>
        <w:t>；泄露3650天时，中心浓度达到64.7mg/L，超标距离为下游334m，预测超标面积为17800m</w:t>
      </w:r>
      <w:r>
        <w:rPr>
          <w:bCs/>
          <w:color w:val="000000" w:themeColor="text1"/>
          <w:kern w:val="0"/>
          <w:sz w:val="24"/>
          <w:szCs w:val="20"/>
          <w:vertAlign w:val="superscript"/>
          <w14:textFill>
            <w14:solidFill>
              <w14:schemeClr w14:val="tx1"/>
            </w14:solidFill>
          </w14:textFill>
        </w:rPr>
        <w:t>2</w:t>
      </w:r>
      <w:r>
        <w:rPr>
          <w:bCs/>
          <w:color w:val="000000" w:themeColor="text1"/>
          <w:kern w:val="0"/>
          <w:sz w:val="24"/>
          <w:szCs w:val="20"/>
          <w14:textFill>
            <w14:solidFill>
              <w14:schemeClr w14:val="tx1"/>
            </w14:solidFill>
          </w14:textFill>
        </w:rPr>
        <w:t>；影响距离为下游460m，预测影响面积为49400m</w:t>
      </w:r>
      <w:r>
        <w:rPr>
          <w:bCs/>
          <w:color w:val="000000" w:themeColor="text1"/>
          <w:kern w:val="0"/>
          <w:sz w:val="24"/>
          <w:szCs w:val="20"/>
          <w:vertAlign w:val="superscript"/>
          <w14:textFill>
            <w14:solidFill>
              <w14:schemeClr w14:val="tx1"/>
            </w14:solidFill>
          </w14:textFill>
        </w:rPr>
        <w:t>2</w:t>
      </w:r>
      <w:r>
        <w:rPr>
          <w:bCs/>
          <w:color w:val="000000" w:themeColor="text1"/>
          <w:kern w:val="0"/>
          <w:sz w:val="24"/>
          <w:szCs w:val="20"/>
          <w14:textFill>
            <w14:solidFill>
              <w14:schemeClr w14:val="tx1"/>
            </w14:solidFill>
          </w14:textFill>
        </w:rPr>
        <w:t>；泄露发生20年后，中心浓度</w:t>
      </w:r>
      <w:r>
        <w:rPr>
          <w:rFonts w:hint="eastAsia"/>
          <w:bCs/>
          <w:color w:val="000000" w:themeColor="text1"/>
          <w:kern w:val="0"/>
          <w:sz w:val="24"/>
          <w:szCs w:val="20"/>
          <w14:textFill>
            <w14:solidFill>
              <w14:schemeClr w14:val="tx1"/>
            </w14:solidFill>
          </w14:textFill>
        </w:rPr>
        <w:t>达到5</w:t>
      </w:r>
      <w:r>
        <w:rPr>
          <w:bCs/>
          <w:color w:val="000000" w:themeColor="text1"/>
          <w:kern w:val="0"/>
          <w:sz w:val="24"/>
          <w:szCs w:val="20"/>
          <w14:textFill>
            <w14:solidFill>
              <w14:schemeClr w14:val="tx1"/>
            </w14:solidFill>
          </w14:textFill>
        </w:rPr>
        <w:t>9.6mg/L，</w:t>
      </w:r>
      <w:r>
        <w:rPr>
          <w:rFonts w:hint="eastAsia"/>
          <w:bCs/>
          <w:color w:val="000000" w:themeColor="text1"/>
          <w:kern w:val="0"/>
          <w:sz w:val="24"/>
          <w:szCs w:val="20"/>
          <w14:textFill>
            <w14:solidFill>
              <w14:schemeClr w14:val="tx1"/>
            </w14:solidFill>
          </w14:textFill>
        </w:rPr>
        <w:t>超标距离为下游</w:t>
      </w:r>
      <w:r>
        <w:rPr>
          <w:bCs/>
          <w:color w:val="000000" w:themeColor="text1"/>
          <w:kern w:val="0"/>
          <w:sz w:val="24"/>
          <w:szCs w:val="20"/>
          <w14:textFill>
            <w14:solidFill>
              <w14:schemeClr w14:val="tx1"/>
            </w14:solidFill>
          </w14:textFill>
        </w:rPr>
        <w:t>613</w:t>
      </w:r>
      <w:r>
        <w:rPr>
          <w:rFonts w:hint="eastAsia"/>
          <w:bCs/>
          <w:color w:val="000000" w:themeColor="text1"/>
          <w:kern w:val="0"/>
          <w:sz w:val="24"/>
          <w:szCs w:val="20"/>
          <w14:textFill>
            <w14:solidFill>
              <w14:schemeClr w14:val="tx1"/>
            </w14:solidFill>
          </w14:textFill>
        </w:rPr>
        <w:t>m，预测超标面积为</w:t>
      </w:r>
      <w:r>
        <w:rPr>
          <w:bCs/>
          <w:color w:val="000000" w:themeColor="text1"/>
          <w:kern w:val="0"/>
          <w:sz w:val="24"/>
          <w:szCs w:val="20"/>
          <w14:textFill>
            <w14:solidFill>
              <w14:schemeClr w14:val="tx1"/>
            </w14:solidFill>
          </w14:textFill>
        </w:rPr>
        <w:t>411</w:t>
      </w:r>
      <w:r>
        <w:rPr>
          <w:rFonts w:hint="eastAsia"/>
          <w:bCs/>
          <w:color w:val="000000" w:themeColor="text1"/>
          <w:kern w:val="0"/>
          <w:sz w:val="24"/>
          <w:szCs w:val="20"/>
          <w14:textFill>
            <w14:solidFill>
              <w14:schemeClr w14:val="tx1"/>
            </w14:solidFill>
          </w14:textFill>
        </w:rPr>
        <w:t>00m</w:t>
      </w:r>
      <w:r>
        <w:rPr>
          <w:rFonts w:hint="eastAsia"/>
          <w:bCs/>
          <w:color w:val="000000" w:themeColor="text1"/>
          <w:kern w:val="0"/>
          <w:sz w:val="24"/>
          <w:szCs w:val="20"/>
          <w:vertAlign w:val="superscript"/>
          <w14:textFill>
            <w14:solidFill>
              <w14:schemeClr w14:val="tx1"/>
            </w14:solidFill>
          </w14:textFill>
        </w:rPr>
        <w:t>2</w:t>
      </w:r>
      <w:r>
        <w:rPr>
          <w:rFonts w:hint="eastAsia"/>
          <w:bCs/>
          <w:color w:val="000000" w:themeColor="text1"/>
          <w:kern w:val="0"/>
          <w:sz w:val="24"/>
          <w:szCs w:val="20"/>
          <w14:textFill>
            <w14:solidFill>
              <w14:schemeClr w14:val="tx1"/>
            </w14:solidFill>
          </w14:textFill>
        </w:rPr>
        <w:t>；影响距离为下游</w:t>
      </w:r>
      <w:r>
        <w:rPr>
          <w:bCs/>
          <w:color w:val="000000" w:themeColor="text1"/>
          <w:kern w:val="0"/>
          <w:sz w:val="24"/>
          <w:szCs w:val="20"/>
          <w14:textFill>
            <w14:solidFill>
              <w14:schemeClr w14:val="tx1"/>
            </w14:solidFill>
          </w14:textFill>
        </w:rPr>
        <w:t>811</w:t>
      </w:r>
      <w:r>
        <w:rPr>
          <w:rFonts w:hint="eastAsia"/>
          <w:bCs/>
          <w:color w:val="000000" w:themeColor="text1"/>
          <w:kern w:val="0"/>
          <w:sz w:val="24"/>
          <w:szCs w:val="20"/>
          <w14:textFill>
            <w14:solidFill>
              <w14:schemeClr w14:val="tx1"/>
            </w14:solidFill>
          </w14:textFill>
        </w:rPr>
        <w:t>m，预测范围内影响面积为：</w:t>
      </w:r>
      <w:r>
        <w:rPr>
          <w:bCs/>
          <w:color w:val="000000" w:themeColor="text1"/>
          <w:kern w:val="0"/>
          <w:sz w:val="24"/>
          <w:szCs w:val="20"/>
          <w14:textFill>
            <w14:solidFill>
              <w14:schemeClr w14:val="tx1"/>
            </w14:solidFill>
          </w14:textFill>
        </w:rPr>
        <w:t>11</w:t>
      </w:r>
      <w:r>
        <w:rPr>
          <w:rFonts w:hint="eastAsia"/>
          <w:bCs/>
          <w:color w:val="000000" w:themeColor="text1"/>
          <w:kern w:val="0"/>
          <w:sz w:val="24"/>
          <w:szCs w:val="20"/>
          <w14:textFill>
            <w14:solidFill>
              <w14:schemeClr w14:val="tx1"/>
            </w14:solidFill>
          </w14:textFill>
        </w:rPr>
        <w:t>5000m</w:t>
      </w:r>
      <w:r>
        <w:rPr>
          <w:rFonts w:hint="eastAsia"/>
          <w:bCs/>
          <w:color w:val="000000" w:themeColor="text1"/>
          <w:kern w:val="0"/>
          <w:sz w:val="24"/>
          <w:szCs w:val="20"/>
          <w:vertAlign w:val="superscript"/>
          <w14:textFill>
            <w14:solidFill>
              <w14:schemeClr w14:val="tx1"/>
            </w14:solidFill>
          </w14:textFill>
        </w:rPr>
        <w:t>2</w:t>
      </w:r>
      <w:r>
        <w:rPr>
          <w:rFonts w:hint="eastAsia"/>
          <w:bCs/>
          <w:color w:val="000000" w:themeColor="text1"/>
          <w:kern w:val="0"/>
          <w:sz w:val="24"/>
          <w:szCs w:val="20"/>
          <w14:textFill>
            <w14:solidFill>
              <w14:schemeClr w14:val="tx1"/>
            </w14:solidFill>
          </w14:textFill>
        </w:rPr>
        <w:t>。</w:t>
      </w:r>
    </w:p>
    <w:p>
      <w:pPr>
        <w:adjustRightInd w:val="0"/>
        <w:snapToGrid w:val="0"/>
        <w:spacing w:line="520" w:lineRule="exact"/>
        <w:ind w:firstLine="482" w:firstLineChars="200"/>
        <w:textAlignment w:val="baseline"/>
        <w:outlineLvl w:val="4"/>
        <w:rPr>
          <w:b/>
          <w:color w:val="000000" w:themeColor="text1"/>
          <w:kern w:val="0"/>
          <w:sz w:val="24"/>
          <w:szCs w:val="20"/>
          <w14:textFill>
            <w14:solidFill>
              <w14:schemeClr w14:val="tx1"/>
            </w14:solidFill>
          </w14:textFill>
        </w:rPr>
      </w:pPr>
      <w:r>
        <w:rPr>
          <w:rFonts w:hint="eastAsia"/>
          <w:b/>
          <w:color w:val="000000" w:themeColor="text1"/>
          <w:kern w:val="0"/>
          <w:sz w:val="24"/>
          <w:szCs w:val="20"/>
          <w14:textFill>
            <w14:solidFill>
              <w14:schemeClr w14:val="tx1"/>
            </w14:solidFill>
          </w14:textFill>
        </w:rPr>
        <w:t>（</w:t>
      </w:r>
      <w:r>
        <w:rPr>
          <w:b/>
          <w:color w:val="000000" w:themeColor="text1"/>
          <w:kern w:val="0"/>
          <w:sz w:val="24"/>
          <w:szCs w:val="20"/>
          <w14:textFill>
            <w14:solidFill>
              <w14:schemeClr w14:val="tx1"/>
            </w14:solidFill>
          </w14:textFill>
        </w:rPr>
        <w:t>2</w:t>
      </w:r>
      <w:r>
        <w:rPr>
          <w:rFonts w:hint="eastAsia"/>
          <w:b/>
          <w:color w:val="000000" w:themeColor="text1"/>
          <w:kern w:val="0"/>
          <w:sz w:val="24"/>
          <w:szCs w:val="20"/>
          <w14:textFill>
            <w14:solidFill>
              <w14:schemeClr w14:val="tx1"/>
            </w14:solidFill>
          </w14:textFill>
        </w:rPr>
        <w:t>）氨氮短时泄露模拟预测</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rFonts w:hint="eastAsia"/>
          <w:bCs/>
          <w:color w:val="000000" w:themeColor="text1"/>
          <w:kern w:val="0"/>
          <w:sz w:val="24"/>
          <w:szCs w:val="20"/>
          <w14:textFill>
            <w14:solidFill>
              <w14:schemeClr w14:val="tx1"/>
            </w14:solidFill>
          </w14:textFill>
        </w:rPr>
        <w:t>假设泄漏区域为厂区内污水处理站集水池底部，氨氮泄漏浓度为</w:t>
      </w:r>
      <w:r>
        <w:rPr>
          <w:bCs/>
          <w:color w:val="000000" w:themeColor="text1"/>
          <w:kern w:val="0"/>
          <w:sz w:val="24"/>
          <w:szCs w:val="20"/>
          <w14:textFill>
            <w14:solidFill>
              <w14:schemeClr w14:val="tx1"/>
            </w14:solidFill>
          </w14:textFill>
        </w:rPr>
        <w:t>100</w:t>
      </w:r>
      <w:r>
        <w:rPr>
          <w:rFonts w:hint="eastAsia"/>
          <w:bCs/>
          <w:color w:val="000000" w:themeColor="text1"/>
          <w:kern w:val="0"/>
          <w:sz w:val="24"/>
          <w:szCs w:val="20"/>
          <w14:textFill>
            <w14:solidFill>
              <w14:schemeClr w14:val="tx1"/>
            </w14:solidFill>
          </w14:textFill>
        </w:rPr>
        <w:t>mg/L，根据《工业企业土壤和地下水自行监测技术指南（试行）》（H</w:t>
      </w:r>
      <w:r>
        <w:rPr>
          <w:bCs/>
          <w:color w:val="000000" w:themeColor="text1"/>
          <w:kern w:val="0"/>
          <w:sz w:val="24"/>
          <w:szCs w:val="20"/>
          <w14:textFill>
            <w14:solidFill>
              <w14:schemeClr w14:val="tx1"/>
            </w14:solidFill>
          </w14:textFill>
        </w:rPr>
        <w:t>J1209-2021</w:t>
      </w:r>
      <w:r>
        <w:rPr>
          <w:rFonts w:hint="eastAsia"/>
          <w:bCs/>
          <w:color w:val="000000" w:themeColor="text1"/>
          <w:kern w:val="0"/>
          <w:sz w:val="24"/>
          <w:szCs w:val="20"/>
          <w14:textFill>
            <w14:solidFill>
              <w14:schemeClr w14:val="tx1"/>
            </w14:solidFill>
          </w14:textFill>
        </w:rPr>
        <w:t>），地下水长期监测点的监测频次为每季度1次，故假设泄露发生90天时得到妥善处理（即不再有污染物进入地下水中）。</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sectPr>
          <w:headerReference r:id="rId22" w:type="default"/>
          <w:footerReference r:id="rId23" w:type="even"/>
          <w:pgSz w:w="11906" w:h="16838"/>
          <w:pgMar w:top="1701" w:right="1588" w:bottom="1701" w:left="1588" w:header="851" w:footer="1134" w:gutter="0"/>
          <w:cols w:space="720" w:num="1"/>
          <w:docGrid w:type="lines" w:linePitch="312" w:charSpace="0"/>
        </w:sectPr>
      </w:pPr>
      <w:r>
        <w:rPr>
          <w:bCs/>
          <w:color w:val="000000" w:themeColor="text1"/>
          <w:kern w:val="0"/>
          <w:sz w:val="24"/>
          <w:szCs w:val="20"/>
          <w14:textFill>
            <w14:solidFill>
              <w14:schemeClr w14:val="tx1"/>
            </w14:solidFill>
          </w14:textFill>
        </w:rPr>
        <w:t>根据《地下水质量标准》（GB/T14848-2017），Ⅲ类地下水是以人体健康基准值为依据，主要适用于集中式生活饮用水水源及工、农业水，本次评价采用Ⅲ类标准，即要求</w:t>
      </w:r>
      <w:r>
        <w:rPr>
          <w:rFonts w:hint="eastAsia"/>
          <w:bCs/>
          <w:color w:val="000000" w:themeColor="text1"/>
          <w:kern w:val="0"/>
          <w:sz w:val="24"/>
          <w:szCs w:val="20"/>
          <w14:textFill>
            <w14:solidFill>
              <w14:schemeClr w14:val="tx1"/>
            </w14:solidFill>
          </w14:textFill>
        </w:rPr>
        <w:t>氨氮</w:t>
      </w:r>
      <w:r>
        <w:rPr>
          <w:bCs/>
          <w:color w:val="000000" w:themeColor="text1"/>
          <w:kern w:val="0"/>
          <w:sz w:val="24"/>
          <w:szCs w:val="20"/>
          <w14:textFill>
            <w14:solidFill>
              <w14:schemeClr w14:val="tx1"/>
            </w14:solidFill>
          </w14:textFill>
        </w:rPr>
        <w:t>浓度≤0.5mg/L，</w:t>
      </w:r>
      <w:r>
        <w:rPr>
          <w:rFonts w:hint="eastAsia"/>
          <w:bCs/>
          <w:color w:val="000000" w:themeColor="text1"/>
          <w:kern w:val="0"/>
          <w:sz w:val="24"/>
          <w:szCs w:val="20"/>
          <w14:textFill>
            <w14:solidFill>
              <w14:schemeClr w14:val="tx1"/>
            </w14:solidFill>
          </w14:textFill>
        </w:rPr>
        <w:t>考虑环境质量现状本底值，根据</w:t>
      </w:r>
      <w:r>
        <w:rPr>
          <w:bCs/>
          <w:color w:val="000000" w:themeColor="text1"/>
          <w:kern w:val="0"/>
          <w:sz w:val="24"/>
          <w:szCs w:val="20"/>
          <w14:textFill>
            <w14:solidFill>
              <w14:schemeClr w14:val="tx1"/>
            </w14:solidFill>
          </w14:textFill>
        </w:rPr>
        <w:t>河南永飞检测科技有限公司202</w:t>
      </w:r>
      <w:r>
        <w:rPr>
          <w:rFonts w:hint="eastAsia"/>
          <w:bCs/>
          <w:color w:val="000000" w:themeColor="text1"/>
          <w:kern w:val="0"/>
          <w:sz w:val="24"/>
          <w:szCs w:val="20"/>
          <w14:textFill>
            <w14:solidFill>
              <w14:schemeClr w14:val="tx1"/>
            </w14:solidFill>
          </w14:textFill>
        </w:rPr>
        <w:t>3</w:t>
      </w:r>
      <w:r>
        <w:rPr>
          <w:bCs/>
          <w:color w:val="000000" w:themeColor="text1"/>
          <w:kern w:val="0"/>
          <w:sz w:val="24"/>
          <w:szCs w:val="20"/>
          <w14:textFill>
            <w14:solidFill>
              <w14:schemeClr w14:val="tx1"/>
            </w14:solidFill>
          </w14:textFill>
        </w:rPr>
        <w:t>年4月7日~4月9日对地下水</w:t>
      </w:r>
      <w:r>
        <w:rPr>
          <w:rFonts w:hint="eastAsia"/>
          <w:bCs/>
          <w:color w:val="000000" w:themeColor="text1"/>
          <w:kern w:val="0"/>
          <w:sz w:val="24"/>
          <w:szCs w:val="20"/>
          <w14:textFill>
            <w14:solidFill>
              <w14:schemeClr w14:val="tx1"/>
            </w14:solidFill>
          </w14:textFill>
        </w:rPr>
        <w:t>的监测，地下水氨氮现状最大监测浓度为</w:t>
      </w:r>
      <w:r>
        <w:rPr>
          <w:bCs/>
          <w:color w:val="000000" w:themeColor="text1"/>
          <w:kern w:val="0"/>
          <w:sz w:val="24"/>
          <w:szCs w:val="20"/>
          <w14:textFill>
            <w14:solidFill>
              <w14:schemeClr w14:val="tx1"/>
            </w14:solidFill>
          </w14:textFill>
        </w:rPr>
        <w:t>0.175mg/L</w:t>
      </w:r>
      <w:r>
        <w:rPr>
          <w:rFonts w:hint="eastAsia"/>
          <w:bCs/>
          <w:color w:val="000000" w:themeColor="text1"/>
          <w:kern w:val="0"/>
          <w:sz w:val="24"/>
          <w:szCs w:val="20"/>
          <w14:textFill>
            <w14:solidFill>
              <w14:schemeClr w14:val="tx1"/>
            </w14:solidFill>
          </w14:textFill>
        </w:rPr>
        <w:t>，</w:t>
      </w:r>
      <w:r>
        <w:rPr>
          <w:bCs/>
          <w:color w:val="000000" w:themeColor="text1"/>
          <w:kern w:val="0"/>
          <w:sz w:val="24"/>
          <w:szCs w:val="20"/>
          <w14:textFill>
            <w14:solidFill>
              <w14:schemeClr w14:val="tx1"/>
            </w14:solidFill>
          </w14:textFill>
        </w:rPr>
        <w:t>故按照氨氮≤0.325mg/L设置等值线的色晕包络，以检出限值</w:t>
      </w:r>
      <w:r>
        <w:rPr>
          <w:rFonts w:hint="eastAsia"/>
          <w:bCs/>
          <w:color w:val="000000" w:themeColor="text1"/>
          <w:kern w:val="0"/>
          <w:sz w:val="24"/>
          <w:szCs w:val="20"/>
          <w14:textFill>
            <w14:solidFill>
              <w14:schemeClr w14:val="tx1"/>
            </w14:solidFill>
          </w14:textFill>
        </w:rPr>
        <w:t>0</w:t>
      </w:r>
      <w:r>
        <w:rPr>
          <w:bCs/>
          <w:color w:val="000000" w:themeColor="text1"/>
          <w:kern w:val="0"/>
          <w:sz w:val="24"/>
          <w:szCs w:val="20"/>
          <w14:textFill>
            <w14:solidFill>
              <w14:schemeClr w14:val="tx1"/>
            </w14:solidFill>
          </w14:textFill>
        </w:rPr>
        <w:t>.025mg/L设置等值线的外缘，确定由本项目风险事故造成的影响范围。下图显示了污染物</w:t>
      </w:r>
      <w:r>
        <w:rPr>
          <w:rFonts w:hint="eastAsia"/>
          <w:bCs/>
          <w:color w:val="000000" w:themeColor="text1"/>
          <w:kern w:val="0"/>
          <w:sz w:val="24"/>
          <w:szCs w:val="20"/>
          <w14:textFill>
            <w14:solidFill>
              <w14:schemeClr w14:val="tx1"/>
            </w14:solidFill>
          </w14:textFill>
        </w:rPr>
        <w:t>氨氮</w:t>
      </w:r>
      <w:r>
        <w:rPr>
          <w:bCs/>
          <w:color w:val="000000" w:themeColor="text1"/>
          <w:kern w:val="0"/>
          <w:sz w:val="24"/>
          <w:szCs w:val="20"/>
          <w14:textFill>
            <w14:solidFill>
              <w14:schemeClr w14:val="tx1"/>
            </w14:solidFill>
          </w14:textFill>
        </w:rPr>
        <w:t>泄漏后随时间推移的污染晕变化趋势。</w:t>
      </w:r>
    </w:p>
    <w:p>
      <w:pPr>
        <w:adjustRightInd w:val="0"/>
        <w:snapToGrid w:val="0"/>
        <w:spacing w:line="360" w:lineRule="auto"/>
        <w:jc w:val="center"/>
        <w:textAlignment w:val="baseline"/>
        <w:rPr>
          <w:bCs/>
          <w:color w:val="000000" w:themeColor="text1"/>
          <w:kern w:val="0"/>
          <w:sz w:val="24"/>
          <w:szCs w:val="20"/>
          <w14:textFill>
            <w14:solidFill>
              <w14:schemeClr w14:val="tx1"/>
            </w14:solidFill>
          </w14:textFill>
        </w:rPr>
      </w:pPr>
      <w:r>
        <w:rPr>
          <w:bCs/>
          <w:color w:val="000000" w:themeColor="text1"/>
          <w:kern w:val="0"/>
          <w:sz w:val="24"/>
          <w:szCs w:val="20"/>
          <w14:textFill>
            <w14:solidFill>
              <w14:schemeClr w14:val="tx1"/>
            </w14:solidFill>
          </w14:textFill>
        </w:rPr>
        <mc:AlternateContent>
          <mc:Choice Requires="wpg">
            <w:drawing>
              <wp:anchor distT="0" distB="0" distL="114300" distR="114300" simplePos="0" relativeHeight="251719680" behindDoc="0" locked="0" layoutInCell="1" allowOverlap="1">
                <wp:simplePos x="0" y="0"/>
                <wp:positionH relativeFrom="margin">
                  <wp:align>left</wp:align>
                </wp:positionH>
                <wp:positionV relativeFrom="paragraph">
                  <wp:posOffset>2480945</wp:posOffset>
                </wp:positionV>
                <wp:extent cx="4060190" cy="755015"/>
                <wp:effectExtent l="0" t="0" r="0" b="7620"/>
                <wp:wrapNone/>
                <wp:docPr id="1359597056" name="组合 16"/>
                <wp:cNvGraphicFramePr/>
                <a:graphic xmlns:a="http://schemas.openxmlformats.org/drawingml/2006/main">
                  <a:graphicData uri="http://schemas.microsoft.com/office/word/2010/wordprocessingGroup">
                    <wpg:wgp>
                      <wpg:cNvGrpSpPr/>
                      <wpg:grpSpPr>
                        <a:xfrm>
                          <a:off x="0" y="0"/>
                          <a:ext cx="4060466" cy="754794"/>
                          <a:chOff x="0" y="0"/>
                          <a:chExt cx="4060466" cy="754794"/>
                        </a:xfrm>
                      </wpg:grpSpPr>
                      <wps:wsp>
                        <wps:cNvPr id="630928764" name="文本框 12"/>
                        <wps:cNvSpPr txBox="1"/>
                        <wps:spPr>
                          <a:xfrm>
                            <a:off x="0" y="0"/>
                            <a:ext cx="419100" cy="295275"/>
                          </a:xfrm>
                          <a:prstGeom prst="rect">
                            <a:avLst/>
                          </a:prstGeom>
                          <a:noFill/>
                          <a:ln w="1270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6029771" name="文本框 13"/>
                        <wps:cNvSpPr txBox="1"/>
                        <wps:spPr>
                          <a:xfrm>
                            <a:off x="1622066" y="437322"/>
                            <a:ext cx="2438400" cy="285750"/>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0071874" name="文本框 13"/>
                        <wps:cNvSpPr txBox="1"/>
                        <wps:spPr>
                          <a:xfrm>
                            <a:off x="1630017" y="198783"/>
                            <a:ext cx="2362200" cy="2952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3360729" name="文本框 13"/>
                        <wps:cNvSpPr txBox="1"/>
                        <wps:spPr>
                          <a:xfrm>
                            <a:off x="278295" y="182880"/>
                            <a:ext cx="933450"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6105238" name="文本框 13"/>
                        <wps:cNvSpPr txBox="1"/>
                        <wps:spPr>
                          <a:xfrm>
                            <a:off x="254441" y="421419"/>
                            <a:ext cx="1057275"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8776007" name="矩形 14"/>
                        <wps:cNvSpPr/>
                        <wps:spPr>
                          <a:xfrm>
                            <a:off x="87464" y="270345"/>
                            <a:ext cx="228600" cy="133350"/>
                          </a:xfrm>
                          <a:prstGeom prst="rect">
                            <a:avLst/>
                          </a:prstGeom>
                          <a:solidFill>
                            <a:srgbClr val="3114AC">
                              <a:alpha val="50196"/>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37247388" name="椭圆 15"/>
                        <wps:cNvSpPr/>
                        <wps:spPr>
                          <a:xfrm>
                            <a:off x="135172" y="516835"/>
                            <a:ext cx="144000" cy="144000"/>
                          </a:xfrm>
                          <a:prstGeom prst="ellipse">
                            <a:avLst/>
                          </a:prstGeom>
                          <a:solidFill>
                            <a:srgbClr val="43F6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6048496" name="椭圆 15"/>
                        <wps:cNvSpPr/>
                        <wps:spPr>
                          <a:xfrm>
                            <a:off x="1534601" y="278296"/>
                            <a:ext cx="144000" cy="144000"/>
                          </a:xfrm>
                          <a:prstGeom prst="ellipse">
                            <a:avLst/>
                          </a:prstGeom>
                          <a:solidFill>
                            <a:srgbClr val="D11805">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7193615" name="椭圆 15"/>
                        <wps:cNvSpPr/>
                        <wps:spPr>
                          <a:xfrm>
                            <a:off x="1534601" y="508884"/>
                            <a:ext cx="144000" cy="144000"/>
                          </a:xfrm>
                          <a:prstGeom prst="ellipse">
                            <a:avLst/>
                          </a:prstGeom>
                          <a:solidFill>
                            <a:srgbClr val="FFC000">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26" o:spt="203" style="position:absolute;left:0pt;margin-top:195.35pt;height:59.45pt;width:319.7pt;mso-position-horizontal:left;mso-position-horizontal-relative:margin;z-index:251719680;mso-width-relative:page;mso-height-relative:page;" coordsize="4060466,754794" o:gfxdata="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">
                <o:lock v:ext="edit" aspectratio="f"/>
                <v:shape id="文本框 12" o:spid="_x0000_s1026" o:spt="202" type="#_x0000_t202" style="position:absolute;left:0;top:0;height:295275;width:419100;" filled="f" stroked="f" coordsize="21600,21600" o:gfxdata="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GEqdcQAAADiAAAADwAAAAAAAAABACAAAAAiAAAAZHJzL2Rvd25yZXYueG1sUEsBAhQAFAAAAAgA&#10;h07iQDMvBZ47AAAAOQAAABAAAAAAAAAAAQAgAAAAEwEAAGRycy9zaGFwZXhtbC54bWxQSwUGAAAA&#10;AAYABgBbAQAAvQMAAAAA&#10;">
                  <v:fill on="f" focussize="0,0"/>
                  <v:stroke on="f" weight="1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v:textbox>
                </v:shape>
                <v:shape id="文本框 13" o:spid="_x0000_s1026" o:spt="202" type="#_x0000_t202" style="position:absolute;left:1622066;top:437322;height:285750;width:2438400;" filled="f" stroked="f" coordsize="21600,21600" o:gfxdata="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5BLmv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v:textbox>
                </v:shape>
                <v:shape id="文本框 13" o:spid="_x0000_s1026" o:spt="202" type="#_x0000_t202" style="position:absolute;left:1630017;top:198783;height:295275;width:2362200;" filled="f" stroked="f" coordsize="21600,21600" o:gfxdata="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nS&#10;qSr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v:textbox>
                </v:shape>
                <v:shape id="文本框 13" o:spid="_x0000_s1026" o:spt="202" type="#_x0000_t202" style="position:absolute;left:278295;top:182880;height:333375;width:933450;" filled="f" stroked="f" coordsize="21600,21600" o:gfxdata="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nGL6/xgAAAOI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v:textbox>
                </v:shape>
                <v:shape id="文本框 13" o:spid="_x0000_s1026" o:spt="202" type="#_x0000_t202" style="position:absolute;left:254441;top:421419;height:333375;width:1057275;" filled="f" stroked="f" coordsize="21600,21600" o:gfxdata="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1aOq/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v:textbox>
                </v:shape>
                <v:rect id="矩形 14" o:spid="_x0000_s1026" o:spt="1" style="position:absolute;left:87464;top:270345;height:133350;width:228600;v-text-anchor:middle;" fillcolor="#3114AC" filled="t" stroked="t" coordsize="21600,21600" o:gfxdata="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UVyjvQAA&#10;AOMAAAAPAAAAAAAAAAEAIAAAACIAAABkcnMvZG93bnJldi54bWxQSwECFAAUAAAACACHTuJAMy8F&#10;njsAAAA5AAAAEAAAAAAAAAABACAAAAAMAQAAZHJzL3NoYXBleG1sLnhtbFBLBQYAAAAABgAGAFsB&#10;AAC2AwAAAAA=&#10;">
                  <v:fill on="t" opacity="32896f" focussize="0,0"/>
                  <v:stroke weight="1pt" color="#FF0000 [3204]" miterlimit="8" joinstyle="miter"/>
                  <v:imagedata o:title=""/>
                  <o:lock v:ext="edit" aspectratio="f"/>
                </v:rect>
                <v:shape id="椭圆 15" o:spid="_x0000_s1026" o:spt="3" type="#_x0000_t3" style="position:absolute;left:135172;top:516835;height:144000;width:144000;v-text-anchor:middle;" fillcolor="#43F612" filled="t" stroked="f" coordsize="21600,21600" o:gfxdata="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bM6MuxgAAAOMAAAAPAAAAAAAAAAEAIAAAACIAAABkcnMvZG93bnJldi54bWxQSwECFAAUAAAA&#10;CACHTuJAMy8FnjsAAAA5AAAAEAAAAAAAAAABACAAAAAVAQAAZHJzL3NoYXBleG1sLnhtbFBLBQYA&#10;AAAABgAGAFsBAAC/AwAAAAA=&#10;">
                  <v:fill on="t" focussize="0,0"/>
                  <v:stroke on="f" weight="1pt" miterlimit="8" joinstyle="miter"/>
                  <v:imagedata o:title=""/>
                  <o:lock v:ext="edit" aspectratio="f"/>
                </v:shape>
                <v:shape id="椭圆 15" o:spid="_x0000_s1026" o:spt="3" type="#_x0000_t3" style="position:absolute;left:1534601;top:278296;height:144000;width:144000;v-text-anchor:middle;" fillcolor="#D11805" filled="t" stroked="t" coordsize="21600,21600" o:gfxdata="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0X2pcQAAADiAAAADwAAAAAAAAABACAAAAAiAAAAZHJzL2Rvd25yZXYueG1sUEsBAhQAFAAAAAgA&#10;h07iQDMvBZ47AAAAOQAAABAAAAAAAAAAAQAgAAAAEwEAAGRycy9zaGFwZXhtbC54bWxQSwUGAAAA&#10;AAYABgBbAQAAvQMAAAAA&#10;">
                  <v:fill on="t" opacity="26214f" focussize="0,0"/>
                  <v:stroke weight="1pt" color="#000000 [3213]" miterlimit="8" joinstyle="miter"/>
                  <v:imagedata o:title=""/>
                  <o:lock v:ext="edit" aspectratio="f"/>
                </v:shape>
                <v:shape id="椭圆 15" o:spid="_x0000_s1026" o:spt="3" type="#_x0000_t3" style="position:absolute;left:1534601;top:508884;height:144000;width:144000;v-text-anchor:middle;" fillcolor="#FFC000" filled="t" stroked="t" coordsize="21600,21600" o:gfxdata="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LF2&#10;yMEAAADjAAAADwAAAAAAAAABACAAAAAiAAAAZHJzL2Rvd25yZXYueG1sUEsBAhQAFAAAAAgAh07i&#10;QDMvBZ47AAAAOQAAABAAAAAAAAAAAQAgAAAAEAEAAGRycy9zaGFwZXhtbC54bWxQSwUGAAAAAAYA&#10;BgBbAQAAugMAAAAA&#10;">
                  <v:fill on="t" opacity="26214f" focussize="0,0"/>
                  <v:stroke weight="1pt" color="#000000 [3213]" miterlimit="8" joinstyle="miter"/>
                  <v:imagedata o:title=""/>
                  <o:lock v:ext="edit" aspectratio="f"/>
                </v:shape>
              </v:group>
            </w:pict>
          </mc:Fallback>
        </mc:AlternateContent>
      </w:r>
      <w:r>
        <w:drawing>
          <wp:inline distT="0" distB="0" distL="0" distR="0">
            <wp:extent cx="5539740" cy="3171190"/>
            <wp:effectExtent l="0" t="0" r="3810" b="10160"/>
            <wp:docPr id="10013933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3384" name="图片 10"/>
                    <pic:cNvPicPr>
                      <a:picLocks noChangeAspect="1" noChangeArrowheads="1"/>
                    </pic:cNvPicPr>
                  </pic:nvPicPr>
                  <pic:blipFill>
                    <a:blip r:embed="rId178"/>
                    <a:srcRect/>
                    <a:stretch>
                      <a:fillRect/>
                    </a:stretch>
                  </pic:blipFill>
                  <pic:spPr>
                    <a:xfrm>
                      <a:off x="0" y="0"/>
                      <a:ext cx="5539740" cy="3171190"/>
                    </a:xfrm>
                    <a:prstGeom prst="rect">
                      <a:avLst/>
                    </a:prstGeom>
                    <a:noFill/>
                    <a:ln>
                      <a:noFill/>
                    </a:ln>
                  </pic:spPr>
                </pic:pic>
              </a:graphicData>
            </a:graphic>
          </wp:inline>
        </w:drawing>
      </w:r>
    </w:p>
    <w:p>
      <w:pPr>
        <w:adjustRightInd w:val="0"/>
        <w:snapToGrid w:val="0"/>
        <w:spacing w:line="360" w:lineRule="auto"/>
        <w:jc w:val="center"/>
        <w:textAlignment w:val="baseline"/>
        <w:rPr>
          <w:bCs/>
          <w:color w:val="000000" w:themeColor="text1"/>
          <w:kern w:val="0"/>
          <w:sz w:val="24"/>
          <w:szCs w:val="20"/>
          <w14:textFill>
            <w14:solidFill>
              <w14:schemeClr w14:val="tx1"/>
            </w14:solidFill>
          </w14:textFill>
        </w:rPr>
      </w:pPr>
      <w:r>
        <w:drawing>
          <wp:inline distT="0" distB="0" distL="0" distR="0">
            <wp:extent cx="5538470" cy="4180205"/>
            <wp:effectExtent l="0" t="0" r="5080" b="10795"/>
            <wp:docPr id="1070737555" name="图片 11" descr="地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37555" name="图片 11" descr="地图&#10;&#10;低可信度描述已自动生成"/>
                    <pic:cNvPicPr>
                      <a:picLocks noChangeAspect="1" noChangeArrowheads="1"/>
                    </pic:cNvPicPr>
                  </pic:nvPicPr>
                  <pic:blipFill>
                    <a:blip r:embed="rId179"/>
                    <a:srcRect/>
                    <a:stretch>
                      <a:fillRect/>
                    </a:stretch>
                  </pic:blipFill>
                  <pic:spPr>
                    <a:xfrm>
                      <a:off x="0" y="0"/>
                      <a:ext cx="5538470" cy="4180205"/>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w:t>
      </w:r>
      <w:r>
        <w:rPr>
          <w:rFonts w:hint="eastAsia" w:eastAsia="黑体"/>
          <w:bCs/>
          <w:color w:val="000000" w:themeColor="text1"/>
          <w:sz w:val="24"/>
          <w:szCs w:val="24"/>
          <w14:textFill>
            <w14:solidFill>
              <w14:schemeClr w14:val="tx1"/>
            </w14:solidFill>
          </w14:textFill>
        </w:rPr>
        <w:t>-</w:t>
      </w:r>
      <w:r>
        <w:rPr>
          <w:rFonts w:eastAsia="黑体"/>
          <w:bCs/>
          <w:color w:val="000000" w:themeColor="text1"/>
          <w:sz w:val="24"/>
          <w:szCs w:val="24"/>
          <w14:textFill>
            <w14:solidFill>
              <w14:schemeClr w14:val="tx1"/>
            </w14:solidFill>
          </w14:textFill>
        </w:rPr>
        <w:t>24</w:t>
      </w:r>
      <w:r>
        <w:rPr>
          <w:rFonts w:hint="eastAsia" w:eastAsia="黑体"/>
          <w:bCs/>
          <w:color w:val="000000" w:themeColor="text1"/>
          <w:sz w:val="24"/>
          <w:szCs w:val="24"/>
          <w14:textFill>
            <w14:solidFill>
              <w14:schemeClr w14:val="tx1"/>
            </w14:solidFill>
          </w14:textFill>
        </w:rPr>
        <w:t>泄露</w:t>
      </w:r>
      <w:r>
        <w:rPr>
          <w:rFonts w:eastAsia="黑体"/>
          <w:bCs/>
          <w:color w:val="000000" w:themeColor="text1"/>
          <w:sz w:val="24"/>
          <w:szCs w:val="24"/>
          <w14:textFill>
            <w14:solidFill>
              <w14:schemeClr w14:val="tx1"/>
            </w14:solidFill>
          </w14:textFill>
        </w:rPr>
        <w:t>100</w:t>
      </w:r>
      <w:r>
        <w:rPr>
          <w:rFonts w:hint="eastAsia" w:eastAsia="黑体"/>
          <w:bCs/>
          <w:color w:val="000000" w:themeColor="text1"/>
          <w:sz w:val="24"/>
          <w:szCs w:val="24"/>
          <w14:textFill>
            <w14:solidFill>
              <w14:schemeClr w14:val="tx1"/>
            </w14:solidFill>
          </w14:textFill>
        </w:rPr>
        <w:t>天后地下水氨氮污染分布图</w:t>
      </w:r>
    </w:p>
    <w:p>
      <w:pPr>
        <w:adjustRightInd w:val="0"/>
        <w:snapToGrid w:val="0"/>
        <w:spacing w:line="360" w:lineRule="auto"/>
        <w:jc w:val="center"/>
        <w:textAlignment w:val="baseline"/>
        <w:rPr>
          <w:bCs/>
          <w:color w:val="000000" w:themeColor="text1"/>
          <w:kern w:val="0"/>
          <w:sz w:val="24"/>
          <w:szCs w:val="20"/>
          <w14:textFill>
            <w14:solidFill>
              <w14:schemeClr w14:val="tx1"/>
            </w14:solidFill>
          </w14:textFill>
        </w:rPr>
      </w:pPr>
      <w:r>
        <w:rPr>
          <w:bCs/>
          <w:color w:val="000000" w:themeColor="text1"/>
          <w:kern w:val="0"/>
          <w:sz w:val="24"/>
          <w:szCs w:val="20"/>
          <w14:textFill>
            <w14:solidFill>
              <w14:schemeClr w14:val="tx1"/>
            </w14:solidFill>
          </w14:textFill>
        </w:rPr>
        <mc:AlternateContent>
          <mc:Choice Requires="wpg">
            <w:drawing>
              <wp:anchor distT="0" distB="0" distL="114300" distR="114300" simplePos="0" relativeHeight="251720704" behindDoc="0" locked="0" layoutInCell="1" allowOverlap="1">
                <wp:simplePos x="0" y="0"/>
                <wp:positionH relativeFrom="margin">
                  <wp:align>left</wp:align>
                </wp:positionH>
                <wp:positionV relativeFrom="paragraph">
                  <wp:posOffset>2353310</wp:posOffset>
                </wp:positionV>
                <wp:extent cx="4060190" cy="755015"/>
                <wp:effectExtent l="0" t="0" r="0" b="7620"/>
                <wp:wrapNone/>
                <wp:docPr id="1633216617" name="组合 16"/>
                <wp:cNvGraphicFramePr/>
                <a:graphic xmlns:a="http://schemas.openxmlformats.org/drawingml/2006/main">
                  <a:graphicData uri="http://schemas.microsoft.com/office/word/2010/wordprocessingGroup">
                    <wpg:wgp>
                      <wpg:cNvGrpSpPr/>
                      <wpg:grpSpPr>
                        <a:xfrm>
                          <a:off x="0" y="0"/>
                          <a:ext cx="4060466" cy="754794"/>
                          <a:chOff x="0" y="0"/>
                          <a:chExt cx="4060466" cy="754794"/>
                        </a:xfrm>
                      </wpg:grpSpPr>
                      <wps:wsp>
                        <wps:cNvPr id="12206020" name="文本框 12"/>
                        <wps:cNvSpPr txBox="1"/>
                        <wps:spPr>
                          <a:xfrm>
                            <a:off x="0" y="0"/>
                            <a:ext cx="419100" cy="295275"/>
                          </a:xfrm>
                          <a:prstGeom prst="rect">
                            <a:avLst/>
                          </a:prstGeom>
                          <a:noFill/>
                          <a:ln w="1270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6281420" name="文本框 13"/>
                        <wps:cNvSpPr txBox="1"/>
                        <wps:spPr>
                          <a:xfrm>
                            <a:off x="1622066" y="437322"/>
                            <a:ext cx="2438400" cy="285750"/>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0703155" name="文本框 13"/>
                        <wps:cNvSpPr txBox="1"/>
                        <wps:spPr>
                          <a:xfrm>
                            <a:off x="1630017" y="198783"/>
                            <a:ext cx="2362200" cy="2952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9536478" name="文本框 13"/>
                        <wps:cNvSpPr txBox="1"/>
                        <wps:spPr>
                          <a:xfrm>
                            <a:off x="278295" y="182880"/>
                            <a:ext cx="933450"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3750318" name="文本框 13"/>
                        <wps:cNvSpPr txBox="1"/>
                        <wps:spPr>
                          <a:xfrm>
                            <a:off x="254441" y="421419"/>
                            <a:ext cx="1057275"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0541103" name="矩形 14"/>
                        <wps:cNvSpPr/>
                        <wps:spPr>
                          <a:xfrm>
                            <a:off x="87464" y="270345"/>
                            <a:ext cx="228600" cy="133350"/>
                          </a:xfrm>
                          <a:prstGeom prst="rect">
                            <a:avLst/>
                          </a:prstGeom>
                          <a:solidFill>
                            <a:srgbClr val="3114AC">
                              <a:alpha val="50196"/>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57212091" name="椭圆 15"/>
                        <wps:cNvSpPr/>
                        <wps:spPr>
                          <a:xfrm>
                            <a:off x="135172" y="516835"/>
                            <a:ext cx="144000" cy="144000"/>
                          </a:xfrm>
                          <a:prstGeom prst="ellipse">
                            <a:avLst/>
                          </a:prstGeom>
                          <a:solidFill>
                            <a:srgbClr val="43F6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2835121" name="椭圆 15"/>
                        <wps:cNvSpPr/>
                        <wps:spPr>
                          <a:xfrm>
                            <a:off x="1534601" y="278296"/>
                            <a:ext cx="144000" cy="144000"/>
                          </a:xfrm>
                          <a:prstGeom prst="ellipse">
                            <a:avLst/>
                          </a:prstGeom>
                          <a:solidFill>
                            <a:srgbClr val="D11805">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9354902" name="椭圆 15"/>
                        <wps:cNvSpPr/>
                        <wps:spPr>
                          <a:xfrm>
                            <a:off x="1534601" y="508884"/>
                            <a:ext cx="144000" cy="144000"/>
                          </a:xfrm>
                          <a:prstGeom prst="ellipse">
                            <a:avLst/>
                          </a:prstGeom>
                          <a:solidFill>
                            <a:srgbClr val="FFC000">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26" o:spt="203" style="position:absolute;left:0pt;margin-top:185.3pt;height:59.45pt;width:319.7pt;mso-position-horizontal:left;mso-position-horizontal-relative:margin;z-index:251720704;mso-width-relative:page;mso-height-relative:page;" coordsize="4060466,754794" o:gfxdata="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JpIf1/aAAAACAEAAA8AAAAAAAAAAQAgAAAA&#10;IgAAAGRycy9kb3ducmV2LnhtbFBLAQIUABQAAAAIAIdO4kB/4WXW7gQAAPwcAAAOAAAAAAAAAAEA&#10;IAAAACkBAABkcnMvZTJvRG9jLnhtbFBLBQYAAAAABgAGAFkBAACJCAAAAAA=&#10;">
                <o:lock v:ext="edit" aspectratio="f"/>
                <v:shape id="文本框 12" o:spid="_x0000_s1026" o:spt="202" type="#_x0000_t202" style="position:absolute;left:0;top:0;height:295275;width:419100;" filled="f" stroked="f" coordsize="21600,21600" o:gfxdata="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trJL4A&#10;AADh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v:textbox>
                </v:shape>
                <v:shape id="文本框 13" o:spid="_x0000_s1026" o:spt="202" type="#_x0000_t202" style="position:absolute;left:1622066;top:437322;height:285750;width:2438400;" filled="f" stroked="f" coordsize="21600,21600" o:gfxdata="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rZlrt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v:textbox>
                </v:shape>
                <v:shape id="文本框 13" o:spid="_x0000_s1026" o:spt="202" type="#_x0000_t202" style="position:absolute;left:1630017;top:198783;height:295275;width:2362200;" filled="f" stroked="f" coordsize="21600,21600" o:gfxdata="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Icib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v:textbox>
                </v:shape>
                <v:shape id="文本框 13" o:spid="_x0000_s1026" o:spt="202" type="#_x0000_t202" style="position:absolute;left:278295;top:182880;height:333375;width:933450;" filled="f" stroked="f" coordsize="21600,21600" o:gfxdata="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aWJ4MscAAADjAAAADwAAAAAAAAABACAAAAAiAAAAZHJzL2Rvd25yZXYueG1sUEsBAhQAFAAA&#10;AAgAh07iQDMvBZ47AAAAOQAAABAAAAAAAAAAAQAgAAAAFgEAAGRycy9zaGFwZXhtbC54bWxQSwUG&#10;AAAAAAYABgBbAQAAwAM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v:textbox>
                </v:shape>
                <v:shape id="文本框 13" o:spid="_x0000_s1026" o:spt="202" type="#_x0000_t202" style="position:absolute;left:254441;top:421419;height:333375;width:1057275;" filled="f" stroked="f" coordsize="21600,21600" o:gfxdata="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nP&#10;UJTCAAAA4g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v:textbox>
                </v:shape>
                <v:rect id="矩形 14" o:spid="_x0000_s1026" o:spt="1" style="position:absolute;left:87464;top:270345;height:133350;width:228600;v-text-anchor:middle;" fillcolor="#3114AC" filled="t" stroked="t" coordsize="21600,21600" o:gfxdata="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VmA&#10;y8EAAADiAAAADwAAAAAAAAABACAAAAAiAAAAZHJzL2Rvd25yZXYueG1sUEsBAhQAFAAAAAgAh07i&#10;QDMvBZ47AAAAOQAAABAAAAAAAAAAAQAgAAAAEAEAAGRycy9zaGFwZXhtbC54bWxQSwUGAAAAAAYA&#10;BgBbAQAAugMAAAAA&#10;">
                  <v:fill on="t" opacity="32896f" focussize="0,0"/>
                  <v:stroke weight="1pt" color="#FF0000 [3204]" miterlimit="8" joinstyle="miter"/>
                  <v:imagedata o:title=""/>
                  <o:lock v:ext="edit" aspectratio="f"/>
                </v:rect>
                <v:shape id="椭圆 15" o:spid="_x0000_s1026" o:spt="3" type="#_x0000_t3" style="position:absolute;left:135172;top:516835;height:144000;width:144000;v-text-anchor:middle;" fillcolor="#43F612" filled="t" stroked="f" coordsize="21600,21600" o:gfxdata="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br&#10;MQzCAAAA4wAAAA8AAAAAAAAAAQAgAAAAIgAAAGRycy9kb3ducmV2LnhtbFBLAQIUABQAAAAIAIdO&#10;4kAzLwWeOwAAADkAAAAQAAAAAAAAAAEAIAAAABEBAABkcnMvc2hhcGV4bWwueG1sUEsFBgAAAAAG&#10;AAYAWwEAALsDAAAAAA==&#10;">
                  <v:fill on="t" focussize="0,0"/>
                  <v:stroke on="f" weight="1pt" miterlimit="8" joinstyle="miter"/>
                  <v:imagedata o:title=""/>
                  <o:lock v:ext="edit" aspectratio="f"/>
                </v:shape>
                <v:shape id="椭圆 15" o:spid="_x0000_s1026" o:spt="3" type="#_x0000_t3" style="position:absolute;left:1534601;top:278296;height:144000;width:144000;v-text-anchor:middle;" fillcolor="#D11805" filled="t" stroked="t" coordsize="21600,21600" o:gfxdata="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pLRS&#10;wAAAAOIAAAAPAAAAAAAAAAEAIAAAACIAAABkcnMvZG93bnJldi54bWxQSwECFAAUAAAACACHTuJA&#10;My8FnjsAAAA5AAAAEAAAAAAAAAABACAAAAAPAQAAZHJzL3NoYXBleG1sLnhtbFBLBQYAAAAABgAG&#10;AFsBAAC5AwAAAAA=&#10;">
                  <v:fill on="t" opacity="26214f" focussize="0,0"/>
                  <v:stroke weight="1pt" color="#000000 [3213]" miterlimit="8" joinstyle="miter"/>
                  <v:imagedata o:title=""/>
                  <o:lock v:ext="edit" aspectratio="f"/>
                </v:shape>
                <v:shape id="椭圆 15" o:spid="_x0000_s1026" o:spt="3" type="#_x0000_t3" style="position:absolute;left:1534601;top:508884;height:144000;width:144000;v-text-anchor:middle;" fillcolor="#FFC000" filled="t" stroked="t" coordsize="21600,21600" o:gfxdata="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GoQ27FAAAA4gAAAA8AAAAAAAAAAQAgAAAAIgAAAGRycy9kb3ducmV2LnhtbFBLAQIUABQAAAAI&#10;AIdO4kAzLwWeOwAAADkAAAAQAAAAAAAAAAEAIAAAABQBAABkcnMvc2hhcGV4bWwueG1sUEsFBgAA&#10;AAAGAAYAWwEAAL4DAAAAAA==&#10;">
                  <v:fill on="t" opacity="26214f" focussize="0,0"/>
                  <v:stroke weight="1pt" color="#000000 [3213]" miterlimit="8" joinstyle="miter"/>
                  <v:imagedata o:title=""/>
                  <o:lock v:ext="edit" aspectratio="f"/>
                </v:shape>
              </v:group>
            </w:pict>
          </mc:Fallback>
        </mc:AlternateContent>
      </w:r>
      <w:r>
        <w:drawing>
          <wp:inline distT="0" distB="0" distL="0" distR="0">
            <wp:extent cx="5541645" cy="3057525"/>
            <wp:effectExtent l="0" t="0" r="1905" b="9525"/>
            <wp:docPr id="6814059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05959" name="图片 12"/>
                    <pic:cNvPicPr>
                      <a:picLocks noChangeAspect="1" noChangeArrowheads="1"/>
                    </pic:cNvPicPr>
                  </pic:nvPicPr>
                  <pic:blipFill>
                    <a:blip r:embed="rId180"/>
                    <a:srcRect/>
                    <a:stretch>
                      <a:fillRect/>
                    </a:stretch>
                  </pic:blipFill>
                  <pic:spPr>
                    <a:xfrm>
                      <a:off x="0" y="0"/>
                      <a:ext cx="5541645" cy="3057525"/>
                    </a:xfrm>
                    <a:prstGeom prst="rect">
                      <a:avLst/>
                    </a:prstGeom>
                    <a:noFill/>
                    <a:ln>
                      <a:noFill/>
                    </a:ln>
                  </pic:spPr>
                </pic:pic>
              </a:graphicData>
            </a:graphic>
          </wp:inline>
        </w:drawing>
      </w:r>
    </w:p>
    <w:p>
      <w:pPr>
        <w:adjustRightInd w:val="0"/>
        <w:snapToGrid w:val="0"/>
        <w:spacing w:line="360" w:lineRule="auto"/>
        <w:jc w:val="center"/>
        <w:textAlignment w:val="baseline"/>
        <w:rPr>
          <w:bCs/>
          <w:color w:val="000000" w:themeColor="text1"/>
          <w:kern w:val="0"/>
          <w:sz w:val="24"/>
          <w:szCs w:val="20"/>
          <w14:textFill>
            <w14:solidFill>
              <w14:schemeClr w14:val="tx1"/>
            </w14:solidFill>
          </w14:textFill>
        </w:rPr>
      </w:pPr>
      <w:r>
        <w:drawing>
          <wp:inline distT="0" distB="0" distL="0" distR="0">
            <wp:extent cx="5553075" cy="4160520"/>
            <wp:effectExtent l="0" t="0" r="9525" b="11430"/>
            <wp:docPr id="10903005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00559" name="图片 13"/>
                    <pic:cNvPicPr>
                      <a:picLocks noChangeAspect="1" noChangeArrowheads="1"/>
                    </pic:cNvPicPr>
                  </pic:nvPicPr>
                  <pic:blipFill>
                    <a:blip r:embed="rId181"/>
                    <a:srcRect/>
                    <a:stretch>
                      <a:fillRect/>
                    </a:stretch>
                  </pic:blipFill>
                  <pic:spPr>
                    <a:xfrm>
                      <a:off x="0" y="0"/>
                      <a:ext cx="5553075" cy="4160520"/>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w:t>
      </w:r>
      <w:r>
        <w:rPr>
          <w:rFonts w:hint="eastAsia" w:eastAsia="黑体"/>
          <w:bCs/>
          <w:color w:val="000000" w:themeColor="text1"/>
          <w:sz w:val="24"/>
          <w:szCs w:val="24"/>
          <w14:textFill>
            <w14:solidFill>
              <w14:schemeClr w14:val="tx1"/>
            </w14:solidFill>
          </w14:textFill>
        </w:rPr>
        <w:t>-</w:t>
      </w:r>
      <w:r>
        <w:rPr>
          <w:rFonts w:eastAsia="黑体"/>
          <w:bCs/>
          <w:color w:val="000000" w:themeColor="text1"/>
          <w:sz w:val="24"/>
          <w:szCs w:val="24"/>
          <w14:textFill>
            <w14:solidFill>
              <w14:schemeClr w14:val="tx1"/>
            </w14:solidFill>
          </w14:textFill>
        </w:rPr>
        <w:t>25</w:t>
      </w:r>
      <w:r>
        <w:rPr>
          <w:rFonts w:hint="eastAsia" w:eastAsia="黑体"/>
          <w:bCs/>
          <w:color w:val="000000" w:themeColor="text1"/>
          <w:sz w:val="24"/>
          <w:szCs w:val="24"/>
          <w14:textFill>
            <w14:solidFill>
              <w14:schemeClr w14:val="tx1"/>
            </w14:solidFill>
          </w14:textFill>
        </w:rPr>
        <w:t>泄露</w:t>
      </w:r>
      <w:r>
        <w:rPr>
          <w:rFonts w:eastAsia="黑体"/>
          <w:bCs/>
          <w:color w:val="000000" w:themeColor="text1"/>
          <w:sz w:val="24"/>
          <w:szCs w:val="24"/>
          <w14:textFill>
            <w14:solidFill>
              <w14:schemeClr w14:val="tx1"/>
            </w14:solidFill>
          </w14:textFill>
        </w:rPr>
        <w:t>1000</w:t>
      </w:r>
      <w:r>
        <w:rPr>
          <w:rFonts w:hint="eastAsia" w:eastAsia="黑体"/>
          <w:bCs/>
          <w:color w:val="000000" w:themeColor="text1"/>
          <w:sz w:val="24"/>
          <w:szCs w:val="24"/>
          <w14:textFill>
            <w14:solidFill>
              <w14:schemeClr w14:val="tx1"/>
            </w14:solidFill>
          </w14:textFill>
        </w:rPr>
        <w:t>天后地下水氨氮污染分布图</w:t>
      </w:r>
    </w:p>
    <w:p>
      <w:pPr>
        <w:adjustRightInd w:val="0"/>
        <w:snapToGrid w:val="0"/>
        <w:spacing w:line="360" w:lineRule="auto"/>
        <w:jc w:val="center"/>
        <w:textAlignment w:val="baseline"/>
        <w:rPr>
          <w:bCs/>
          <w:color w:val="000000" w:themeColor="text1"/>
          <w:kern w:val="0"/>
          <w:sz w:val="24"/>
          <w:szCs w:val="20"/>
          <w14:textFill>
            <w14:solidFill>
              <w14:schemeClr w14:val="tx1"/>
            </w14:solidFill>
          </w14:textFill>
        </w:rPr>
      </w:pPr>
      <w:r>
        <w:rPr>
          <w:bCs/>
          <w:color w:val="000000" w:themeColor="text1"/>
          <w:kern w:val="0"/>
          <w:sz w:val="24"/>
          <w:szCs w:val="20"/>
          <w14:textFill>
            <w14:solidFill>
              <w14:schemeClr w14:val="tx1"/>
            </w14:solidFill>
          </w14:textFill>
        </w:rPr>
        <mc:AlternateContent>
          <mc:Choice Requires="wpg">
            <w:drawing>
              <wp:anchor distT="0" distB="0" distL="114300" distR="114300" simplePos="0" relativeHeight="251721728" behindDoc="0" locked="0" layoutInCell="1" allowOverlap="1">
                <wp:simplePos x="0" y="0"/>
                <wp:positionH relativeFrom="margin">
                  <wp:align>left</wp:align>
                </wp:positionH>
                <wp:positionV relativeFrom="paragraph">
                  <wp:posOffset>2406650</wp:posOffset>
                </wp:positionV>
                <wp:extent cx="4060190" cy="755015"/>
                <wp:effectExtent l="0" t="0" r="0" b="7620"/>
                <wp:wrapNone/>
                <wp:docPr id="1062003596" name="组合 16"/>
                <wp:cNvGraphicFramePr/>
                <a:graphic xmlns:a="http://schemas.openxmlformats.org/drawingml/2006/main">
                  <a:graphicData uri="http://schemas.microsoft.com/office/word/2010/wordprocessingGroup">
                    <wpg:wgp>
                      <wpg:cNvGrpSpPr/>
                      <wpg:grpSpPr>
                        <a:xfrm>
                          <a:off x="0" y="0"/>
                          <a:ext cx="4060466" cy="754794"/>
                          <a:chOff x="0" y="0"/>
                          <a:chExt cx="4060466" cy="754794"/>
                        </a:xfrm>
                      </wpg:grpSpPr>
                      <wps:wsp>
                        <wps:cNvPr id="1915583379" name="文本框 12"/>
                        <wps:cNvSpPr txBox="1"/>
                        <wps:spPr>
                          <a:xfrm>
                            <a:off x="0" y="0"/>
                            <a:ext cx="419100" cy="295275"/>
                          </a:xfrm>
                          <a:prstGeom prst="rect">
                            <a:avLst/>
                          </a:prstGeom>
                          <a:noFill/>
                          <a:ln w="1270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3902829" name="文本框 13"/>
                        <wps:cNvSpPr txBox="1"/>
                        <wps:spPr>
                          <a:xfrm>
                            <a:off x="1622066" y="437322"/>
                            <a:ext cx="2438400" cy="285750"/>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9595695" name="文本框 13"/>
                        <wps:cNvSpPr txBox="1"/>
                        <wps:spPr>
                          <a:xfrm>
                            <a:off x="1630017" y="198783"/>
                            <a:ext cx="2362200" cy="2952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5359761" name="文本框 13"/>
                        <wps:cNvSpPr txBox="1"/>
                        <wps:spPr>
                          <a:xfrm>
                            <a:off x="278295" y="182880"/>
                            <a:ext cx="933450"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2037478" name="文本框 13"/>
                        <wps:cNvSpPr txBox="1"/>
                        <wps:spPr>
                          <a:xfrm>
                            <a:off x="254441" y="421419"/>
                            <a:ext cx="1057275"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5587095" name="矩形 14"/>
                        <wps:cNvSpPr/>
                        <wps:spPr>
                          <a:xfrm>
                            <a:off x="87464" y="270345"/>
                            <a:ext cx="228600" cy="133350"/>
                          </a:xfrm>
                          <a:prstGeom prst="rect">
                            <a:avLst/>
                          </a:prstGeom>
                          <a:solidFill>
                            <a:srgbClr val="3114AC">
                              <a:alpha val="50196"/>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642766" name="椭圆 15"/>
                        <wps:cNvSpPr/>
                        <wps:spPr>
                          <a:xfrm>
                            <a:off x="135172" y="516835"/>
                            <a:ext cx="144000" cy="144000"/>
                          </a:xfrm>
                          <a:prstGeom prst="ellipse">
                            <a:avLst/>
                          </a:prstGeom>
                          <a:solidFill>
                            <a:srgbClr val="43F6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80967017" name="椭圆 15"/>
                        <wps:cNvSpPr/>
                        <wps:spPr>
                          <a:xfrm>
                            <a:off x="1534601" y="278296"/>
                            <a:ext cx="144000" cy="144000"/>
                          </a:xfrm>
                          <a:prstGeom prst="ellipse">
                            <a:avLst/>
                          </a:prstGeom>
                          <a:solidFill>
                            <a:srgbClr val="D11805">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3703472" name="椭圆 15"/>
                        <wps:cNvSpPr/>
                        <wps:spPr>
                          <a:xfrm>
                            <a:off x="1534601" y="508884"/>
                            <a:ext cx="144000" cy="144000"/>
                          </a:xfrm>
                          <a:prstGeom prst="ellipse">
                            <a:avLst/>
                          </a:prstGeom>
                          <a:solidFill>
                            <a:srgbClr val="FFC000">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26" o:spt="203" style="position:absolute;left:0pt;margin-top:189.5pt;height:59.45pt;width:319.7pt;mso-position-horizontal:left;mso-position-horizontal-relative:margin;z-index:251721728;mso-width-relative:page;mso-height-relative:page;" coordsize="4060466,754794" o:gfxdata="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LDpv7fZAAAACAEAAA8AAAAAAAAA&#10;AQAgAAAAIgAAAGRycy9kb3ducmV2LnhtbFBLAQIUABQAAAAIAIdO4kD9TQPy9QQAAP4cAAAOAAAA&#10;AAAAAAEAIAAAACgBAABkcnMvZTJvRG9jLnhtbFBLBQYAAAAABgAGAFkBAACPCAAAAAA=&#10;">
                <o:lock v:ext="edit" aspectratio="f"/>
                <v:shape id="文本框 12" o:spid="_x0000_s1026" o:spt="202" type="#_x0000_t202" style="position:absolute;left:0;top:0;height:295275;width:419100;" filled="f" stroked="f" coordsize="21600,21600" o:gfxdata="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rVXJ8QAAADjAAAADwAAAAAAAAABACAAAAAiAAAAZHJzL2Rvd25yZXYueG1sUEsBAhQAFAAAAAgA&#10;h07iQDMvBZ47AAAAOQAAABAAAAAAAAAAAQAgAAAAEwEAAGRycy9zaGFwZXhtbC54bWxQSwUGAAAA&#10;AAYABgBbAQAAvQMAAAAA&#10;">
                  <v:fill on="f" focussize="0,0"/>
                  <v:stroke on="f" weight="1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v:textbox>
                </v:shape>
                <v:shape id="文本框 13" o:spid="_x0000_s1026" o:spt="202" type="#_x0000_t202" style="position:absolute;left:1622066;top:437322;height:285750;width:2438400;" filled="f" stroked="f" coordsize="21600,21600" o:gfxdata="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t&#10;S6wd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v:textbox>
                </v:shape>
                <v:shape id="文本框 13" o:spid="_x0000_s1026" o:spt="202" type="#_x0000_t202" style="position:absolute;left:1630017;top:198783;height:295275;width:2362200;" filled="f" stroked="f" coordsize="21600,21600" o:gfxdata="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etxiH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v:textbox>
                </v:shape>
                <v:shape id="文本框 13" o:spid="_x0000_s1026" o:spt="202" type="#_x0000_t202" style="position:absolute;left:278295;top:182880;height:333375;width:933450;" filled="f" stroked="f" coordsize="21600,21600" o:gfxdata="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M&#10;3dYj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v:textbox>
                </v:shape>
                <v:shape id="文本框 13" o:spid="_x0000_s1026" o:spt="202" type="#_x0000_t202" style="position:absolute;left:254441;top:421419;height:333375;width:1057275;" filled="f" stroked="f" coordsize="21600,21600" o:gfxdata="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cQHgw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v:textbox>
                </v:shape>
                <v:rect id="矩形 14" o:spid="_x0000_s1026" o:spt="1" style="position:absolute;left:87464;top:270345;height:133350;width:228600;v-text-anchor:middle;" fillcolor="#3114AC" filled="t" stroked="t" coordsize="21600,21600" o:gfxdata="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4cuq&#10;wAAAAOIAAAAPAAAAAAAAAAEAIAAAACIAAABkcnMvZG93bnJldi54bWxQSwECFAAUAAAACACHTuJA&#10;My8FnjsAAAA5AAAAEAAAAAAAAAABACAAAAAPAQAAZHJzL3NoYXBleG1sLnhtbFBLBQYAAAAABgAG&#10;AFsBAAC5AwAAAAA=&#10;">
                  <v:fill on="t" opacity="32896f" focussize="0,0"/>
                  <v:stroke weight="1pt" color="#FF0000 [3204]" miterlimit="8" joinstyle="miter"/>
                  <v:imagedata o:title=""/>
                  <o:lock v:ext="edit" aspectratio="f"/>
                </v:rect>
                <v:shape id="椭圆 15" o:spid="_x0000_s1026" o:spt="3" type="#_x0000_t3" style="position:absolute;left:135172;top:516835;height:144000;width:144000;v-text-anchor:middle;" fillcolor="#43F612" filled="t" stroked="f" coordsize="21600,21600" o:gfxdata="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4ZOVwwAAAOEAAAAPAAAAAAAAAAEAIAAAACIAAABkcnMvZG93bnJldi54bWxQSwECFAAUAAAACACH&#10;TuJAMy8FnjsAAAA5AAAAEAAAAAAAAAABACAAAAASAQAAZHJzL3NoYXBleG1sLnhtbFBLBQYAAAAA&#10;BgAGAFsBAAC8AwAAAAA=&#10;">
                  <v:fill on="t" focussize="0,0"/>
                  <v:stroke on="f" weight="1pt" miterlimit="8" joinstyle="miter"/>
                  <v:imagedata o:title=""/>
                  <o:lock v:ext="edit" aspectratio="f"/>
                </v:shape>
                <v:shape id="椭圆 15" o:spid="_x0000_s1026" o:spt="3" type="#_x0000_t3" style="position:absolute;left:1534601;top:278296;height:144000;width:144000;v-text-anchor:middle;" fillcolor="#D11805" filled="t" stroked="t" coordsize="21600,21600" o:gfxdata="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abi&#10;RsEAAADjAAAADwAAAAAAAAABACAAAAAiAAAAZHJzL2Rvd25yZXYueG1sUEsBAhQAFAAAAAgAh07i&#10;QDMvBZ47AAAAOQAAABAAAAAAAAAAAQAgAAAAEAEAAGRycy9zaGFwZXhtbC54bWxQSwUGAAAAAAYA&#10;BgBbAQAAugMAAAAA&#10;">
                  <v:fill on="t" opacity="26214f" focussize="0,0"/>
                  <v:stroke weight="1pt" color="#000000 [3213]" miterlimit="8" joinstyle="miter"/>
                  <v:imagedata o:title=""/>
                  <o:lock v:ext="edit" aspectratio="f"/>
                </v:shape>
                <v:shape id="椭圆 15" o:spid="_x0000_s1026" o:spt="3" type="#_x0000_t3" style="position:absolute;left:1534601;top:508884;height:144000;width:144000;v-text-anchor:middle;" fillcolor="#FFC000" filled="t" stroked="t" coordsize="21600,21600" o:gfxdata="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Yk&#10;r8EAAADjAAAADwAAAAAAAAABACAAAAAiAAAAZHJzL2Rvd25yZXYueG1sUEsBAhQAFAAAAAgAh07i&#10;QDMvBZ47AAAAOQAAABAAAAAAAAAAAQAgAAAAEAEAAGRycy9zaGFwZXhtbC54bWxQSwUGAAAAAAYA&#10;BgBbAQAAugMAAAAA&#10;">
                  <v:fill on="t" opacity="26214f" focussize="0,0"/>
                  <v:stroke weight="1pt" color="#000000 [3213]" miterlimit="8" joinstyle="miter"/>
                  <v:imagedata o:title=""/>
                  <o:lock v:ext="edit" aspectratio="f"/>
                </v:shape>
              </v:group>
            </w:pict>
          </mc:Fallback>
        </mc:AlternateContent>
      </w:r>
      <w:r>
        <w:drawing>
          <wp:inline distT="0" distB="0" distL="0" distR="0">
            <wp:extent cx="5538470" cy="3102610"/>
            <wp:effectExtent l="0" t="0" r="5080" b="2540"/>
            <wp:docPr id="9718544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4461" name="图片 14"/>
                    <pic:cNvPicPr>
                      <a:picLocks noChangeAspect="1" noChangeArrowheads="1"/>
                    </pic:cNvPicPr>
                  </pic:nvPicPr>
                  <pic:blipFill>
                    <a:blip r:embed="rId182"/>
                    <a:srcRect/>
                    <a:stretch>
                      <a:fillRect/>
                    </a:stretch>
                  </pic:blipFill>
                  <pic:spPr>
                    <a:xfrm>
                      <a:off x="0" y="0"/>
                      <a:ext cx="5538470" cy="3102610"/>
                    </a:xfrm>
                    <a:prstGeom prst="rect">
                      <a:avLst/>
                    </a:prstGeom>
                    <a:noFill/>
                    <a:ln>
                      <a:noFill/>
                    </a:ln>
                  </pic:spPr>
                </pic:pic>
              </a:graphicData>
            </a:graphic>
          </wp:inline>
        </w:drawing>
      </w:r>
    </w:p>
    <w:p>
      <w:pPr>
        <w:adjustRightInd w:val="0"/>
        <w:snapToGrid w:val="0"/>
        <w:spacing w:line="360" w:lineRule="auto"/>
        <w:jc w:val="center"/>
        <w:textAlignment w:val="baseline"/>
        <w:rPr>
          <w:bCs/>
          <w:color w:val="000000" w:themeColor="text1"/>
          <w:kern w:val="0"/>
          <w:sz w:val="24"/>
          <w:szCs w:val="20"/>
          <w14:textFill>
            <w14:solidFill>
              <w14:schemeClr w14:val="tx1"/>
            </w14:solidFill>
          </w14:textFill>
        </w:rPr>
      </w:pPr>
      <w:r>
        <w:drawing>
          <wp:inline distT="0" distB="0" distL="0" distR="0">
            <wp:extent cx="5543550" cy="3644265"/>
            <wp:effectExtent l="0" t="0" r="0" b="13335"/>
            <wp:docPr id="387382421" name="图片 15" descr="图片包含 飞盘, 草, 橙子,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82421" name="图片 15" descr="图片包含 飞盘, 草, 橙子, 桌子&#10;&#10;描述已自动生成"/>
                    <pic:cNvPicPr>
                      <a:picLocks noChangeAspect="1" noChangeArrowheads="1"/>
                    </pic:cNvPicPr>
                  </pic:nvPicPr>
                  <pic:blipFill>
                    <a:blip r:embed="rId183"/>
                    <a:srcRect/>
                    <a:stretch>
                      <a:fillRect/>
                    </a:stretch>
                  </pic:blipFill>
                  <pic:spPr>
                    <a:xfrm>
                      <a:off x="0" y="0"/>
                      <a:ext cx="5543550" cy="3644265"/>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w:t>
      </w:r>
      <w:r>
        <w:rPr>
          <w:rFonts w:hint="eastAsia" w:eastAsia="黑体"/>
          <w:bCs/>
          <w:color w:val="000000" w:themeColor="text1"/>
          <w:sz w:val="24"/>
          <w:szCs w:val="24"/>
          <w14:textFill>
            <w14:solidFill>
              <w14:schemeClr w14:val="tx1"/>
            </w14:solidFill>
          </w14:textFill>
        </w:rPr>
        <w:t>-</w:t>
      </w:r>
      <w:r>
        <w:rPr>
          <w:rFonts w:eastAsia="黑体"/>
          <w:bCs/>
          <w:color w:val="000000" w:themeColor="text1"/>
          <w:sz w:val="24"/>
          <w:szCs w:val="24"/>
          <w14:textFill>
            <w14:solidFill>
              <w14:schemeClr w14:val="tx1"/>
            </w14:solidFill>
          </w14:textFill>
        </w:rPr>
        <w:t>26</w:t>
      </w:r>
      <w:r>
        <w:rPr>
          <w:rFonts w:hint="eastAsia" w:eastAsia="黑体"/>
          <w:bCs/>
          <w:color w:val="000000" w:themeColor="text1"/>
          <w:sz w:val="24"/>
          <w:szCs w:val="24"/>
          <w14:textFill>
            <w14:solidFill>
              <w14:schemeClr w14:val="tx1"/>
            </w14:solidFill>
          </w14:textFill>
        </w:rPr>
        <w:t>泄露</w:t>
      </w:r>
      <w:r>
        <w:rPr>
          <w:rFonts w:eastAsia="黑体"/>
          <w:bCs/>
          <w:color w:val="000000" w:themeColor="text1"/>
          <w:sz w:val="24"/>
          <w:szCs w:val="24"/>
          <w14:textFill>
            <w14:solidFill>
              <w14:schemeClr w14:val="tx1"/>
            </w14:solidFill>
          </w14:textFill>
        </w:rPr>
        <w:t>3650</w:t>
      </w:r>
      <w:r>
        <w:rPr>
          <w:rFonts w:hint="eastAsia" w:eastAsia="黑体"/>
          <w:bCs/>
          <w:color w:val="000000" w:themeColor="text1"/>
          <w:sz w:val="24"/>
          <w:szCs w:val="24"/>
          <w14:textFill>
            <w14:solidFill>
              <w14:schemeClr w14:val="tx1"/>
            </w14:solidFill>
          </w14:textFill>
        </w:rPr>
        <w:t>天后地下水氨氮污染分布图</w:t>
      </w:r>
    </w:p>
    <w:p>
      <w:pPr>
        <w:adjustRightInd w:val="0"/>
        <w:snapToGrid w:val="0"/>
        <w:spacing w:line="360" w:lineRule="auto"/>
        <w:jc w:val="center"/>
        <w:textAlignment w:val="baseline"/>
        <w:rPr>
          <w:bCs/>
          <w:color w:val="000000" w:themeColor="text1"/>
          <w:kern w:val="0"/>
          <w:sz w:val="24"/>
          <w:szCs w:val="20"/>
          <w14:textFill>
            <w14:solidFill>
              <w14:schemeClr w14:val="tx1"/>
            </w14:solidFill>
          </w14:textFill>
        </w:rPr>
      </w:pPr>
      <w:r>
        <w:rPr>
          <w:bCs/>
          <w:color w:val="000000" w:themeColor="text1"/>
          <w:kern w:val="0"/>
          <w:sz w:val="24"/>
          <w:szCs w:val="20"/>
          <w14:textFill>
            <w14:solidFill>
              <w14:schemeClr w14:val="tx1"/>
            </w14:solidFill>
          </w14:textFill>
        </w:rPr>
        <mc:AlternateContent>
          <mc:Choice Requires="wpg">
            <w:drawing>
              <wp:anchor distT="0" distB="0" distL="114300" distR="114300" simplePos="0" relativeHeight="251722752" behindDoc="0" locked="0" layoutInCell="1" allowOverlap="1">
                <wp:simplePos x="0" y="0"/>
                <wp:positionH relativeFrom="margin">
                  <wp:posOffset>-40640</wp:posOffset>
                </wp:positionH>
                <wp:positionV relativeFrom="paragraph">
                  <wp:posOffset>2342515</wp:posOffset>
                </wp:positionV>
                <wp:extent cx="4060190" cy="755015"/>
                <wp:effectExtent l="0" t="0" r="0" b="7620"/>
                <wp:wrapNone/>
                <wp:docPr id="183048413" name="组合 16"/>
                <wp:cNvGraphicFramePr/>
                <a:graphic xmlns:a="http://schemas.openxmlformats.org/drawingml/2006/main">
                  <a:graphicData uri="http://schemas.microsoft.com/office/word/2010/wordprocessingGroup">
                    <wpg:wgp>
                      <wpg:cNvGrpSpPr/>
                      <wpg:grpSpPr>
                        <a:xfrm>
                          <a:off x="0" y="0"/>
                          <a:ext cx="4060466" cy="754794"/>
                          <a:chOff x="0" y="0"/>
                          <a:chExt cx="4060466" cy="754794"/>
                        </a:xfrm>
                      </wpg:grpSpPr>
                      <wps:wsp>
                        <wps:cNvPr id="1666095230" name="文本框 12"/>
                        <wps:cNvSpPr txBox="1"/>
                        <wps:spPr>
                          <a:xfrm>
                            <a:off x="0" y="0"/>
                            <a:ext cx="419100" cy="295275"/>
                          </a:xfrm>
                          <a:prstGeom prst="rect">
                            <a:avLst/>
                          </a:prstGeom>
                          <a:noFill/>
                          <a:ln w="1270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6228969" name="文本框 13"/>
                        <wps:cNvSpPr txBox="1"/>
                        <wps:spPr>
                          <a:xfrm>
                            <a:off x="1622066" y="437322"/>
                            <a:ext cx="2438400" cy="285750"/>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0318754" name="文本框 13"/>
                        <wps:cNvSpPr txBox="1"/>
                        <wps:spPr>
                          <a:xfrm>
                            <a:off x="1630017" y="198783"/>
                            <a:ext cx="2362200" cy="2952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1488308" name="文本框 13"/>
                        <wps:cNvSpPr txBox="1"/>
                        <wps:spPr>
                          <a:xfrm>
                            <a:off x="278295" y="182880"/>
                            <a:ext cx="933450"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65074" name="文本框 13"/>
                        <wps:cNvSpPr txBox="1"/>
                        <wps:spPr>
                          <a:xfrm>
                            <a:off x="254441" y="421419"/>
                            <a:ext cx="1057275" cy="333375"/>
                          </a:xfrm>
                          <a:prstGeom prst="rect">
                            <a:avLst/>
                          </a:prstGeom>
                          <a:noFill/>
                          <a:ln w="6350">
                            <a:noFill/>
                          </a:ln>
                        </wps:spPr>
                        <wps:txb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3432999" name="矩形 14"/>
                        <wps:cNvSpPr/>
                        <wps:spPr>
                          <a:xfrm>
                            <a:off x="87464" y="270345"/>
                            <a:ext cx="228600" cy="133350"/>
                          </a:xfrm>
                          <a:prstGeom prst="rect">
                            <a:avLst/>
                          </a:prstGeom>
                          <a:solidFill>
                            <a:srgbClr val="3114AC">
                              <a:alpha val="50196"/>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07360913" name="椭圆 15"/>
                        <wps:cNvSpPr/>
                        <wps:spPr>
                          <a:xfrm>
                            <a:off x="135172" y="516835"/>
                            <a:ext cx="144000" cy="144000"/>
                          </a:xfrm>
                          <a:prstGeom prst="ellipse">
                            <a:avLst/>
                          </a:prstGeom>
                          <a:solidFill>
                            <a:srgbClr val="43F61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86342543" name="椭圆 15"/>
                        <wps:cNvSpPr/>
                        <wps:spPr>
                          <a:xfrm>
                            <a:off x="1534601" y="278296"/>
                            <a:ext cx="144000" cy="144000"/>
                          </a:xfrm>
                          <a:prstGeom prst="ellipse">
                            <a:avLst/>
                          </a:prstGeom>
                          <a:solidFill>
                            <a:srgbClr val="D11805">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4024002" name="椭圆 15"/>
                        <wps:cNvSpPr/>
                        <wps:spPr>
                          <a:xfrm>
                            <a:off x="1534601" y="508884"/>
                            <a:ext cx="144000" cy="144000"/>
                          </a:xfrm>
                          <a:prstGeom prst="ellipse">
                            <a:avLst/>
                          </a:prstGeom>
                          <a:solidFill>
                            <a:srgbClr val="FFC000">
                              <a:alpha val="40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26" o:spt="203" style="position:absolute;left:0pt;margin-left:-3.2pt;margin-top:184.45pt;height:59.45pt;width:319.7pt;mso-position-horizontal-relative:margin;z-index:251722752;mso-width-relative:page;mso-height-relative:page;" coordsize="4060466,754794" o:gfxdata="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">
                <o:lock v:ext="edit" aspectratio="f"/>
                <v:shape id="文本框 12" o:spid="_x0000_s1026" o:spt="202" type="#_x0000_t202" style="position:absolute;left:0;top:0;height:295275;width:419100;" filled="f" stroked="f" coordsize="21600,21600" o:gfxdata="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ItTQ8QAAADjAAAADwAAAAAAAAABACAAAAAiAAAAZHJzL2Rvd25yZXYueG1sUEsBAhQAFAAAAAgA&#10;h07iQDMvBZ47AAAAOQAAABAAAAAAAAAAAQAgAAAAEwEAAGRycy9zaGFwZXhtbC54bWxQSwUGAAAA&#10;AAYABgBbAQAAvQMAAAAA&#10;">
                  <v:fill on="f" focussize="0,0"/>
                  <v:stroke on="f" weight="1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注：</w:t>
                        </w:r>
                      </w:p>
                    </w:txbxContent>
                  </v:textbox>
                </v:shape>
                <v:shape id="文本框 13" o:spid="_x0000_s1026" o:spt="202" type="#_x0000_t202" style="position:absolute;left:1622066;top:437322;height:285750;width:2438400;" filled="f" stroked="f" coordsize="21600,21600" o:gfxdata="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v7&#10;2D/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原阳县水厂地下水井群二级保护区</w:t>
                        </w:r>
                      </w:p>
                    </w:txbxContent>
                  </v:textbox>
                </v:shape>
                <v:shape id="文本框 13" o:spid="_x0000_s1026" o:spt="202" type="#_x0000_t202" style="position:absolute;left:1630017;top:198783;height:295275;width:2362200;" filled="f" stroked="f" coordsize="21600,21600" o:gfxdata="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TO9/8xgAAAOI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原阳县水厂地下水井群一级保护区</w:t>
                        </w:r>
                      </w:p>
                    </w:txbxContent>
                  </v:textbox>
                </v:shape>
                <v:shape id="文本框 13" o:spid="_x0000_s1026" o:spt="202" type="#_x0000_t202" style="position:absolute;left:278295;top:182880;height:333375;width:933450;" filled="f" stroked="f" coordsize="21600,21600" o:gfxdata="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t+&#10;dYbCAAAA4g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本项目厂区</w:t>
                        </w:r>
                      </w:p>
                    </w:txbxContent>
                  </v:textbox>
                </v:shape>
                <v:shape id="文本框 13" o:spid="_x0000_s1026" o:spt="202" type="#_x0000_t202" style="position:absolute;left:254441;top:421419;height:333375;width:1057275;" filled="f" stroked="f" coordsize="21600,21600" o:gfxdata="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y0&#10;mP7CAAAA4A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集水池泄漏点</w:t>
                        </w:r>
                      </w:p>
                    </w:txbxContent>
                  </v:textbox>
                </v:shape>
                <v:rect id="矩形 14" o:spid="_x0000_s1026" o:spt="1" style="position:absolute;left:87464;top:270345;height:133350;width:228600;v-text-anchor:middle;" fillcolor="#3114AC" filled="t" stroked="t" coordsize="21600,21600" o:gfxdata="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p2x1&#10;wAAAAOIAAAAPAAAAAAAAAAEAIAAAACIAAABkcnMvZG93bnJldi54bWxQSwECFAAUAAAACACHTuJA&#10;My8FnjsAAAA5AAAAEAAAAAAAAAABACAAAAAPAQAAZHJzL3NoYXBleG1sLnhtbFBLBQYAAAAABgAG&#10;AFsBAAC5AwAAAAA=&#10;">
                  <v:fill on="t" opacity="32896f" focussize="0,0"/>
                  <v:stroke weight="1pt" color="#FF0000 [3204]" miterlimit="8" joinstyle="miter"/>
                  <v:imagedata o:title=""/>
                  <o:lock v:ext="edit" aspectratio="f"/>
                </v:rect>
                <v:shape id="椭圆 15" o:spid="_x0000_s1026" o:spt="3" type="#_x0000_t3" style="position:absolute;left:135172;top:516835;height:144000;width:144000;v-text-anchor:middle;" fillcolor="#43F612" filled="t" stroked="f" coordsize="21600,21600" o:gfxdata="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zvdebFAAAA4wAAAA8AAAAAAAAAAQAgAAAAIgAAAGRycy9kb3ducmV2LnhtbFBLAQIUABQAAAAI&#10;AIdO4kAzLwWeOwAAADkAAAAQAAAAAAAAAAEAIAAAABQBAABkcnMvc2hhcGV4bWwueG1sUEsFBgAA&#10;AAAGAAYAWwEAAL4DAAAAAA==&#10;">
                  <v:fill on="t" focussize="0,0"/>
                  <v:stroke on="f" weight="1pt" miterlimit="8" joinstyle="miter"/>
                  <v:imagedata o:title=""/>
                  <o:lock v:ext="edit" aspectratio="f"/>
                </v:shape>
                <v:shape id="椭圆 15" o:spid="_x0000_s1026" o:spt="3" type="#_x0000_t3" style="position:absolute;left:1534601;top:278296;height:144000;width:144000;v-text-anchor:middle;" fillcolor="#D11805" filled="t" stroked="t" coordsize="21600,21600" o:gfxdata="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2iV&#10;f8EAAADjAAAADwAAAAAAAAABACAAAAAiAAAAZHJzL2Rvd25yZXYueG1sUEsBAhQAFAAAAAgAh07i&#10;QDMvBZ47AAAAOQAAABAAAAAAAAAAAQAgAAAAEAEAAGRycy9zaGFwZXhtbC54bWxQSwUGAAAAAAYA&#10;BgBbAQAAugMAAAAA&#10;">
                  <v:fill on="t" opacity="26214f" focussize="0,0"/>
                  <v:stroke weight="1pt" color="#000000 [3213]" miterlimit="8" joinstyle="miter"/>
                  <v:imagedata o:title=""/>
                  <o:lock v:ext="edit" aspectratio="f"/>
                </v:shape>
                <v:shape id="椭圆 15" o:spid="_x0000_s1026" o:spt="3" type="#_x0000_t3" style="position:absolute;left:1534601;top:508884;height:144000;width:144000;v-text-anchor:middle;" fillcolor="#FFC000" filled="t" stroked="t" coordsize="21600,21600" o:gfxdata="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QHu+&#10;wAAAAOIAAAAPAAAAAAAAAAEAIAAAACIAAABkcnMvZG93bnJldi54bWxQSwECFAAUAAAACACHTuJA&#10;My8FnjsAAAA5AAAAEAAAAAAAAAABACAAAAAPAQAAZHJzL3NoYXBleG1sLnhtbFBLBQYAAAAABgAG&#10;AFsBAAC5AwAAAAA=&#10;">
                  <v:fill on="t" opacity="26214f" focussize="0,0"/>
                  <v:stroke weight="1pt" color="#000000 [3213]" miterlimit="8" joinstyle="miter"/>
                  <v:imagedata o:title=""/>
                  <o:lock v:ext="edit" aspectratio="f"/>
                </v:shape>
              </v:group>
            </w:pict>
          </mc:Fallback>
        </mc:AlternateContent>
      </w:r>
      <w:r>
        <w:drawing>
          <wp:inline distT="0" distB="0" distL="0" distR="0">
            <wp:extent cx="5543550" cy="3048000"/>
            <wp:effectExtent l="0" t="0" r="0" b="0"/>
            <wp:docPr id="5194590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59020" name="图片 16"/>
                    <pic:cNvPicPr>
                      <a:picLocks noChangeAspect="1" noChangeArrowheads="1"/>
                    </pic:cNvPicPr>
                  </pic:nvPicPr>
                  <pic:blipFill>
                    <a:blip r:embed="rId184"/>
                    <a:srcRect/>
                    <a:stretch>
                      <a:fillRect/>
                    </a:stretch>
                  </pic:blipFill>
                  <pic:spPr>
                    <a:xfrm>
                      <a:off x="0" y="0"/>
                      <a:ext cx="5543550" cy="3048000"/>
                    </a:xfrm>
                    <a:prstGeom prst="rect">
                      <a:avLst/>
                    </a:prstGeom>
                    <a:noFill/>
                    <a:ln>
                      <a:noFill/>
                    </a:ln>
                  </pic:spPr>
                </pic:pic>
              </a:graphicData>
            </a:graphic>
          </wp:inline>
        </w:drawing>
      </w:r>
    </w:p>
    <w:p>
      <w:pPr>
        <w:adjustRightInd w:val="0"/>
        <w:snapToGrid w:val="0"/>
        <w:spacing w:line="360" w:lineRule="auto"/>
        <w:jc w:val="center"/>
        <w:textAlignment w:val="baseline"/>
        <w:rPr>
          <w:bCs/>
          <w:color w:val="000000" w:themeColor="text1"/>
          <w:kern w:val="0"/>
          <w:sz w:val="24"/>
          <w:szCs w:val="20"/>
          <w14:textFill>
            <w14:solidFill>
              <w14:schemeClr w14:val="tx1"/>
            </w14:solidFill>
          </w14:textFill>
        </w:rPr>
      </w:pPr>
      <w:r>
        <w:drawing>
          <wp:inline distT="0" distB="0" distL="0" distR="0">
            <wp:extent cx="5528945" cy="4617085"/>
            <wp:effectExtent l="0" t="0" r="14605" b="12065"/>
            <wp:docPr id="1262989723" name="图片 17" descr="图片包含 桌子, 食物, 大,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89723" name="图片 17" descr="图片包含 桌子, 食物, 大, 站&#10;&#10;描述已自动生成"/>
                    <pic:cNvPicPr>
                      <a:picLocks noChangeAspect="1" noChangeArrowheads="1"/>
                    </pic:cNvPicPr>
                  </pic:nvPicPr>
                  <pic:blipFill>
                    <a:blip r:embed="rId185"/>
                    <a:srcRect/>
                    <a:stretch>
                      <a:fillRect/>
                    </a:stretch>
                  </pic:blipFill>
                  <pic:spPr>
                    <a:xfrm>
                      <a:off x="0" y="0"/>
                      <a:ext cx="5528945" cy="4617085"/>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w:t>
      </w:r>
      <w:r>
        <w:rPr>
          <w:rFonts w:hint="eastAsia" w:eastAsia="黑体"/>
          <w:bCs/>
          <w:color w:val="000000" w:themeColor="text1"/>
          <w:sz w:val="24"/>
          <w:szCs w:val="24"/>
          <w14:textFill>
            <w14:solidFill>
              <w14:schemeClr w14:val="tx1"/>
            </w14:solidFill>
          </w14:textFill>
        </w:rPr>
        <w:t>-</w:t>
      </w:r>
      <w:r>
        <w:rPr>
          <w:rFonts w:eastAsia="黑体"/>
          <w:bCs/>
          <w:color w:val="000000" w:themeColor="text1"/>
          <w:sz w:val="24"/>
          <w:szCs w:val="24"/>
          <w14:textFill>
            <w14:solidFill>
              <w14:schemeClr w14:val="tx1"/>
            </w14:solidFill>
          </w14:textFill>
        </w:rPr>
        <w:t>27</w:t>
      </w:r>
      <w:r>
        <w:rPr>
          <w:rFonts w:hint="eastAsia" w:eastAsia="黑体"/>
          <w:bCs/>
          <w:color w:val="000000" w:themeColor="text1"/>
          <w:sz w:val="24"/>
          <w:szCs w:val="24"/>
          <w14:textFill>
            <w14:solidFill>
              <w14:schemeClr w14:val="tx1"/>
            </w14:solidFill>
          </w14:textFill>
        </w:rPr>
        <w:t>泄露</w:t>
      </w:r>
      <w:r>
        <w:rPr>
          <w:rFonts w:eastAsia="黑体"/>
          <w:bCs/>
          <w:color w:val="000000" w:themeColor="text1"/>
          <w:sz w:val="24"/>
          <w:szCs w:val="24"/>
          <w14:textFill>
            <w14:solidFill>
              <w14:schemeClr w14:val="tx1"/>
            </w14:solidFill>
          </w14:textFill>
        </w:rPr>
        <w:t>7300</w:t>
      </w:r>
      <w:r>
        <w:rPr>
          <w:rFonts w:hint="eastAsia" w:eastAsia="黑体"/>
          <w:bCs/>
          <w:color w:val="000000" w:themeColor="text1"/>
          <w:sz w:val="24"/>
          <w:szCs w:val="24"/>
          <w14:textFill>
            <w14:solidFill>
              <w14:schemeClr w14:val="tx1"/>
            </w14:solidFill>
          </w14:textFill>
        </w:rPr>
        <w:t>天后地下水氨氮污染分布图</w:t>
      </w:r>
    </w:p>
    <w:p>
      <w:pPr>
        <w:adjustRightInd w:val="0"/>
        <w:snapToGrid w:val="0"/>
        <w:spacing w:line="360" w:lineRule="auto"/>
        <w:jc w:val="center"/>
        <w:textAlignment w:val="baseline"/>
        <w:rPr>
          <w:bCs/>
          <w:color w:val="000000" w:themeColor="text1"/>
          <w:kern w:val="0"/>
          <w:sz w:val="24"/>
          <w:szCs w:val="20"/>
          <w14:textFill>
            <w14:solidFill>
              <w14:schemeClr w14:val="tx1"/>
            </w14:solidFill>
          </w14:textFill>
        </w:rPr>
      </w:pP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bCs/>
          <w:color w:val="000000" w:themeColor="text1"/>
          <w:kern w:val="0"/>
          <w:sz w:val="24"/>
          <w:szCs w:val="20"/>
          <w14:textFill>
            <w14:solidFill>
              <w14:schemeClr w14:val="tx1"/>
            </w14:solidFill>
          </w14:textFill>
        </w:rPr>
        <w:t>从以上模拟结果看出，风险事故情况下</w:t>
      </w:r>
      <w:r>
        <w:rPr>
          <w:rFonts w:hint="eastAsia"/>
          <w:bCs/>
          <w:color w:val="000000" w:themeColor="text1"/>
          <w:kern w:val="0"/>
          <w:sz w:val="24"/>
          <w:szCs w:val="20"/>
          <w14:textFill>
            <w14:solidFill>
              <w14:schemeClr w14:val="tx1"/>
            </w14:solidFill>
          </w14:textFill>
        </w:rPr>
        <w:t>氨氮</w:t>
      </w:r>
      <w:r>
        <w:rPr>
          <w:bCs/>
          <w:color w:val="000000" w:themeColor="text1"/>
          <w:kern w:val="0"/>
          <w:sz w:val="24"/>
          <w:szCs w:val="20"/>
          <w14:textFill>
            <w14:solidFill>
              <w14:schemeClr w14:val="tx1"/>
            </w14:solidFill>
          </w14:textFill>
        </w:rPr>
        <w:t>污染物泄露100天时候，中心浓度达到13mg/L，超标距离为下游21m，预测超标面积为200m</w:t>
      </w:r>
      <w:r>
        <w:rPr>
          <w:bCs/>
          <w:color w:val="000000" w:themeColor="text1"/>
          <w:kern w:val="0"/>
          <w:sz w:val="24"/>
          <w:szCs w:val="20"/>
          <w:vertAlign w:val="superscript"/>
          <w14:textFill>
            <w14:solidFill>
              <w14:schemeClr w14:val="tx1"/>
            </w14:solidFill>
          </w14:textFill>
        </w:rPr>
        <w:t>2</w:t>
      </w:r>
      <w:r>
        <w:rPr>
          <w:bCs/>
          <w:color w:val="000000" w:themeColor="text1"/>
          <w:kern w:val="0"/>
          <w:sz w:val="24"/>
          <w:szCs w:val="20"/>
          <w14:textFill>
            <w14:solidFill>
              <w14:schemeClr w14:val="tx1"/>
            </w14:solidFill>
          </w14:textFill>
        </w:rPr>
        <w:t>；影响距离为下游35m，预测影响面积为900m</w:t>
      </w:r>
      <w:r>
        <w:rPr>
          <w:bCs/>
          <w:color w:val="000000" w:themeColor="text1"/>
          <w:kern w:val="0"/>
          <w:sz w:val="24"/>
          <w:szCs w:val="20"/>
          <w:vertAlign w:val="superscript"/>
          <w14:textFill>
            <w14:solidFill>
              <w14:schemeClr w14:val="tx1"/>
            </w14:solidFill>
          </w14:textFill>
        </w:rPr>
        <w:t>2</w:t>
      </w:r>
      <w:r>
        <w:rPr>
          <w:bCs/>
          <w:color w:val="000000" w:themeColor="text1"/>
          <w:kern w:val="0"/>
          <w:sz w:val="24"/>
          <w:szCs w:val="20"/>
          <w14:textFill>
            <w14:solidFill>
              <w14:schemeClr w14:val="tx1"/>
            </w14:solidFill>
          </w14:textFill>
        </w:rPr>
        <w:t>；泄露1000天时，中心浓度达到11.7mg/L，超标距离为下游104m，预测超标面积为2900m</w:t>
      </w:r>
      <w:r>
        <w:rPr>
          <w:bCs/>
          <w:color w:val="000000" w:themeColor="text1"/>
          <w:kern w:val="0"/>
          <w:sz w:val="24"/>
          <w:szCs w:val="20"/>
          <w:vertAlign w:val="superscript"/>
          <w14:textFill>
            <w14:solidFill>
              <w14:schemeClr w14:val="tx1"/>
            </w14:solidFill>
          </w14:textFill>
        </w:rPr>
        <w:t>2</w:t>
      </w:r>
      <w:r>
        <w:rPr>
          <w:bCs/>
          <w:color w:val="000000" w:themeColor="text1"/>
          <w:kern w:val="0"/>
          <w:sz w:val="24"/>
          <w:szCs w:val="20"/>
          <w14:textFill>
            <w14:solidFill>
              <w14:schemeClr w14:val="tx1"/>
            </w14:solidFill>
          </w14:textFill>
        </w:rPr>
        <w:t>；影响距离为下游157m，预测影响面积为8800m</w:t>
      </w:r>
      <w:r>
        <w:rPr>
          <w:bCs/>
          <w:color w:val="000000" w:themeColor="text1"/>
          <w:kern w:val="0"/>
          <w:sz w:val="24"/>
          <w:szCs w:val="20"/>
          <w:vertAlign w:val="superscript"/>
          <w14:textFill>
            <w14:solidFill>
              <w14:schemeClr w14:val="tx1"/>
            </w14:solidFill>
          </w14:textFill>
        </w:rPr>
        <w:t>2</w:t>
      </w:r>
      <w:r>
        <w:rPr>
          <w:bCs/>
          <w:color w:val="000000" w:themeColor="text1"/>
          <w:kern w:val="0"/>
          <w:sz w:val="24"/>
          <w:szCs w:val="20"/>
          <w14:textFill>
            <w14:solidFill>
              <w14:schemeClr w14:val="tx1"/>
            </w14:solidFill>
          </w14:textFill>
        </w:rPr>
        <w:t>；泄露3650天时，中心浓度达到10.3mg/L，超标距离为下游303m，预测超标面积为13600m</w:t>
      </w:r>
      <w:r>
        <w:rPr>
          <w:bCs/>
          <w:color w:val="000000" w:themeColor="text1"/>
          <w:kern w:val="0"/>
          <w:sz w:val="24"/>
          <w:szCs w:val="20"/>
          <w:vertAlign w:val="superscript"/>
          <w14:textFill>
            <w14:solidFill>
              <w14:schemeClr w14:val="tx1"/>
            </w14:solidFill>
          </w14:textFill>
        </w:rPr>
        <w:t>2</w:t>
      </w:r>
      <w:r>
        <w:rPr>
          <w:bCs/>
          <w:color w:val="000000" w:themeColor="text1"/>
          <w:kern w:val="0"/>
          <w:sz w:val="24"/>
          <w:szCs w:val="20"/>
          <w14:textFill>
            <w14:solidFill>
              <w14:schemeClr w14:val="tx1"/>
            </w14:solidFill>
          </w14:textFill>
        </w:rPr>
        <w:t>；影响距离为下游424m，预测影响面积为38000m</w:t>
      </w:r>
      <w:r>
        <w:rPr>
          <w:bCs/>
          <w:color w:val="000000" w:themeColor="text1"/>
          <w:kern w:val="0"/>
          <w:sz w:val="24"/>
          <w:szCs w:val="20"/>
          <w:vertAlign w:val="superscript"/>
          <w14:textFill>
            <w14:solidFill>
              <w14:schemeClr w14:val="tx1"/>
            </w14:solidFill>
          </w14:textFill>
        </w:rPr>
        <w:t>2</w:t>
      </w:r>
      <w:r>
        <w:rPr>
          <w:bCs/>
          <w:color w:val="000000" w:themeColor="text1"/>
          <w:kern w:val="0"/>
          <w:sz w:val="24"/>
          <w:szCs w:val="20"/>
          <w14:textFill>
            <w14:solidFill>
              <w14:schemeClr w14:val="tx1"/>
            </w14:solidFill>
          </w14:textFill>
        </w:rPr>
        <w:t>；泄露发生20年后，中心浓度</w:t>
      </w:r>
      <w:r>
        <w:rPr>
          <w:rFonts w:hint="eastAsia"/>
          <w:bCs/>
          <w:color w:val="000000" w:themeColor="text1"/>
          <w:kern w:val="0"/>
          <w:sz w:val="24"/>
          <w:szCs w:val="20"/>
          <w14:textFill>
            <w14:solidFill>
              <w14:schemeClr w14:val="tx1"/>
            </w14:solidFill>
          </w14:textFill>
        </w:rPr>
        <w:t>为9</w:t>
      </w:r>
      <w:r>
        <w:rPr>
          <w:bCs/>
          <w:color w:val="000000" w:themeColor="text1"/>
          <w:kern w:val="0"/>
          <w:sz w:val="24"/>
          <w:szCs w:val="20"/>
          <w14:textFill>
            <w14:solidFill>
              <w14:schemeClr w14:val="tx1"/>
            </w14:solidFill>
          </w14:textFill>
        </w:rPr>
        <w:t>.47mg/L，</w:t>
      </w:r>
      <w:r>
        <w:rPr>
          <w:rFonts w:hint="eastAsia"/>
          <w:bCs/>
          <w:color w:val="000000" w:themeColor="text1"/>
          <w:kern w:val="0"/>
          <w:sz w:val="24"/>
          <w:szCs w:val="20"/>
          <w14:textFill>
            <w14:solidFill>
              <w14:schemeClr w14:val="tx1"/>
            </w14:solidFill>
          </w14:textFill>
        </w:rPr>
        <w:t>超标距离为下游</w:t>
      </w:r>
      <w:r>
        <w:rPr>
          <w:bCs/>
          <w:color w:val="000000" w:themeColor="text1"/>
          <w:kern w:val="0"/>
          <w:sz w:val="24"/>
          <w:szCs w:val="20"/>
          <w14:textFill>
            <w14:solidFill>
              <w14:schemeClr w14:val="tx1"/>
            </w14:solidFill>
          </w14:textFill>
        </w:rPr>
        <w:t>557</w:t>
      </w:r>
      <w:r>
        <w:rPr>
          <w:rFonts w:hint="eastAsia"/>
          <w:bCs/>
          <w:color w:val="000000" w:themeColor="text1"/>
          <w:kern w:val="0"/>
          <w:sz w:val="24"/>
          <w:szCs w:val="20"/>
          <w14:textFill>
            <w14:solidFill>
              <w14:schemeClr w14:val="tx1"/>
            </w14:solidFill>
          </w14:textFill>
        </w:rPr>
        <w:t>m，预测超标面积为</w:t>
      </w:r>
      <w:r>
        <w:rPr>
          <w:bCs/>
          <w:color w:val="000000" w:themeColor="text1"/>
          <w:kern w:val="0"/>
          <w:sz w:val="24"/>
          <w:szCs w:val="20"/>
          <w14:textFill>
            <w14:solidFill>
              <w14:schemeClr w14:val="tx1"/>
            </w14:solidFill>
          </w14:textFill>
        </w:rPr>
        <w:t>29600</w:t>
      </w:r>
      <w:r>
        <w:rPr>
          <w:rFonts w:hint="eastAsia"/>
          <w:bCs/>
          <w:color w:val="000000" w:themeColor="text1"/>
          <w:kern w:val="0"/>
          <w:sz w:val="24"/>
          <w:szCs w:val="20"/>
          <w14:textFill>
            <w14:solidFill>
              <w14:schemeClr w14:val="tx1"/>
            </w14:solidFill>
          </w14:textFill>
        </w:rPr>
        <w:t>m</w:t>
      </w:r>
      <w:r>
        <w:rPr>
          <w:rFonts w:hint="eastAsia"/>
          <w:bCs/>
          <w:color w:val="000000" w:themeColor="text1"/>
          <w:kern w:val="0"/>
          <w:sz w:val="24"/>
          <w:szCs w:val="20"/>
          <w:vertAlign w:val="superscript"/>
          <w14:textFill>
            <w14:solidFill>
              <w14:schemeClr w14:val="tx1"/>
            </w14:solidFill>
          </w14:textFill>
        </w:rPr>
        <w:t>2</w:t>
      </w:r>
      <w:r>
        <w:rPr>
          <w:rFonts w:hint="eastAsia"/>
          <w:bCs/>
          <w:color w:val="000000" w:themeColor="text1"/>
          <w:kern w:val="0"/>
          <w:sz w:val="24"/>
          <w:szCs w:val="20"/>
          <w14:textFill>
            <w14:solidFill>
              <w14:schemeClr w14:val="tx1"/>
            </w14:solidFill>
          </w14:textFill>
        </w:rPr>
        <w:t>；影响距离为下游</w:t>
      </w:r>
      <w:r>
        <w:rPr>
          <w:bCs/>
          <w:color w:val="000000" w:themeColor="text1"/>
          <w:kern w:val="0"/>
          <w:sz w:val="24"/>
          <w:szCs w:val="20"/>
          <w14:textFill>
            <w14:solidFill>
              <w14:schemeClr w14:val="tx1"/>
            </w14:solidFill>
          </w14:textFill>
        </w:rPr>
        <w:t>757</w:t>
      </w:r>
      <w:r>
        <w:rPr>
          <w:rFonts w:hint="eastAsia"/>
          <w:bCs/>
          <w:color w:val="000000" w:themeColor="text1"/>
          <w:kern w:val="0"/>
          <w:sz w:val="24"/>
          <w:szCs w:val="20"/>
          <w14:textFill>
            <w14:solidFill>
              <w14:schemeClr w14:val="tx1"/>
            </w14:solidFill>
          </w14:textFill>
        </w:rPr>
        <w:t>m，预测范围内影响面积为：</w:t>
      </w:r>
      <w:r>
        <w:rPr>
          <w:bCs/>
          <w:color w:val="000000" w:themeColor="text1"/>
          <w:kern w:val="0"/>
          <w:sz w:val="24"/>
          <w:szCs w:val="20"/>
          <w14:textFill>
            <w14:solidFill>
              <w14:schemeClr w14:val="tx1"/>
            </w14:solidFill>
          </w14:textFill>
        </w:rPr>
        <w:t>893</w:t>
      </w:r>
      <w:r>
        <w:rPr>
          <w:rFonts w:hint="eastAsia"/>
          <w:bCs/>
          <w:color w:val="000000" w:themeColor="text1"/>
          <w:kern w:val="0"/>
          <w:sz w:val="24"/>
          <w:szCs w:val="20"/>
          <w14:textFill>
            <w14:solidFill>
              <w14:schemeClr w14:val="tx1"/>
            </w14:solidFill>
          </w14:textFill>
        </w:rPr>
        <w:t>00m</w:t>
      </w:r>
      <w:r>
        <w:rPr>
          <w:rFonts w:hint="eastAsia"/>
          <w:bCs/>
          <w:color w:val="000000" w:themeColor="text1"/>
          <w:kern w:val="0"/>
          <w:sz w:val="24"/>
          <w:szCs w:val="20"/>
          <w:vertAlign w:val="superscript"/>
          <w14:textFill>
            <w14:solidFill>
              <w14:schemeClr w14:val="tx1"/>
            </w14:solidFill>
          </w14:textFill>
        </w:rPr>
        <w:t>2</w:t>
      </w:r>
      <w:r>
        <w:rPr>
          <w:rFonts w:hint="eastAsia"/>
          <w:bCs/>
          <w:color w:val="000000" w:themeColor="text1"/>
          <w:kern w:val="0"/>
          <w:sz w:val="24"/>
          <w:szCs w:val="20"/>
          <w14:textFill>
            <w14:solidFill>
              <w14:schemeClr w14:val="tx1"/>
            </w14:solidFill>
          </w14:textFill>
        </w:rPr>
        <w:t>。</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rFonts w:hint="eastAsia"/>
          <w:bCs/>
          <w:color w:val="000000" w:themeColor="text1"/>
          <w:kern w:val="0"/>
          <w:sz w:val="24"/>
          <w:szCs w:val="20"/>
          <w14:textFill>
            <w14:solidFill>
              <w14:schemeClr w14:val="tx1"/>
            </w14:solidFill>
          </w14:textFill>
        </w:rPr>
        <w:t>综上，超标影响情况详见下表。</w:t>
      </w:r>
    </w:p>
    <w:p>
      <w:pPr>
        <w:adjustRightInd w:val="0"/>
        <w:snapToGrid w:val="0"/>
        <w:spacing w:line="520" w:lineRule="exact"/>
        <w:ind w:firstLine="480" w:firstLineChars="200"/>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表5</w:t>
      </w:r>
      <w:r>
        <w:rPr>
          <w:rFonts w:eastAsia="黑体"/>
          <w:color w:val="000000" w:themeColor="text1"/>
          <w:sz w:val="24"/>
          <w14:textFill>
            <w14:solidFill>
              <w14:schemeClr w14:val="tx1"/>
            </w14:solidFill>
          </w14:textFill>
        </w:rPr>
        <w:t>.4</w:t>
      </w:r>
      <w:r>
        <w:rPr>
          <w:rFonts w:hint="eastAsia" w:eastAsia="黑体"/>
          <w:color w:val="000000" w:themeColor="text1"/>
          <w:sz w:val="24"/>
          <w14:textFill>
            <w14:solidFill>
              <w14:schemeClr w14:val="tx1"/>
            </w14:solidFill>
          </w14:textFill>
        </w:rPr>
        <w:t>-3</w:t>
      </w:r>
      <w:r>
        <w:rPr>
          <w:rFonts w:eastAsia="黑体"/>
          <w:color w:val="000000" w:themeColor="text1"/>
          <w:sz w:val="24"/>
          <w14:textFill>
            <w14:solidFill>
              <w14:schemeClr w14:val="tx1"/>
            </w14:solidFill>
          </w14:textFill>
        </w:rPr>
        <w:t>3</w:t>
      </w:r>
      <w:r>
        <w:rPr>
          <w:rFonts w:hint="eastAsia" w:eastAsia="黑体"/>
          <w:color w:val="000000" w:themeColor="text1"/>
          <w:sz w:val="24"/>
          <w14:textFill>
            <w14:solidFill>
              <w14:schemeClr w14:val="tx1"/>
            </w14:solidFill>
          </w14:textFill>
        </w:rPr>
        <w:t xml:space="preserve">  </w:t>
      </w:r>
      <w:r>
        <w:rPr>
          <w:rFonts w:eastAsia="黑体"/>
          <w:color w:val="000000" w:themeColor="text1"/>
          <w:sz w:val="24"/>
          <w14:textFill>
            <w14:solidFill>
              <w14:schemeClr w14:val="tx1"/>
            </w14:solidFill>
          </w14:textFill>
        </w:rPr>
        <w:t xml:space="preserve">     </w:t>
      </w:r>
      <w:r>
        <w:rPr>
          <w:rFonts w:hint="eastAsia" w:eastAsia="黑体"/>
          <w:color w:val="000000" w:themeColor="text1"/>
          <w:sz w:val="24"/>
          <w14:textFill>
            <w14:solidFill>
              <w14:schemeClr w14:val="tx1"/>
            </w14:solidFill>
          </w14:textFill>
        </w:rPr>
        <w:t>非正常工况下污染物对地下水的影响范围</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39"/>
        <w:gridCol w:w="1139"/>
        <w:gridCol w:w="1430"/>
        <w:gridCol w:w="1622"/>
        <w:gridCol w:w="992"/>
        <w:gridCol w:w="1447"/>
        <w:gridCol w:w="10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1129" w:type="dxa"/>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泄露后时间</w:t>
            </w:r>
          </w:p>
        </w:tc>
        <w:tc>
          <w:tcPr>
            <w:tcW w:w="1129" w:type="dxa"/>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特征污染物</w:t>
            </w:r>
          </w:p>
        </w:tc>
        <w:tc>
          <w:tcPr>
            <w:tcW w:w="1418" w:type="dxa"/>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中心浓度</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mg/L</w:t>
            </w:r>
            <w:r>
              <w:rPr>
                <w:rFonts w:hint="eastAsia"/>
                <w:b/>
                <w:bCs/>
                <w:color w:val="000000" w:themeColor="text1"/>
                <w:szCs w:val="21"/>
                <w14:textFill>
                  <w14:solidFill>
                    <w14:schemeClr w14:val="tx1"/>
                  </w14:solidFill>
                </w14:textFill>
              </w:rPr>
              <w:t>）</w:t>
            </w:r>
          </w:p>
        </w:tc>
        <w:tc>
          <w:tcPr>
            <w:tcW w:w="1608" w:type="dxa"/>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下游最远超标距离</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m</w:t>
            </w:r>
            <w:r>
              <w:rPr>
                <w:rFonts w:hint="eastAsia"/>
                <w:b/>
                <w:bCs/>
                <w:color w:val="000000" w:themeColor="text1"/>
                <w:szCs w:val="21"/>
                <w14:textFill>
                  <w14:solidFill>
                    <w14:schemeClr w14:val="tx1"/>
                  </w14:solidFill>
                </w14:textFill>
              </w:rPr>
              <w:t>）</w:t>
            </w:r>
          </w:p>
        </w:tc>
        <w:tc>
          <w:tcPr>
            <w:tcW w:w="983" w:type="dxa"/>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超标范围</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m</w:t>
            </w:r>
            <w:r>
              <w:rPr>
                <w:b/>
                <w:bCs/>
                <w:color w:val="000000" w:themeColor="text1"/>
                <w:szCs w:val="21"/>
                <w:vertAlign w:val="superscript"/>
                <w14:textFill>
                  <w14:solidFill>
                    <w14:schemeClr w14:val="tx1"/>
                  </w14:solidFill>
                </w14:textFill>
              </w:rPr>
              <w:t>2</w:t>
            </w:r>
            <w:r>
              <w:rPr>
                <w:rFonts w:hint="eastAsia"/>
                <w:b/>
                <w:bCs/>
                <w:color w:val="000000" w:themeColor="text1"/>
                <w:szCs w:val="21"/>
                <w14:textFill>
                  <w14:solidFill>
                    <w14:schemeClr w14:val="tx1"/>
                  </w14:solidFill>
                </w14:textFill>
              </w:rPr>
              <w:t>）</w:t>
            </w:r>
          </w:p>
        </w:tc>
        <w:tc>
          <w:tcPr>
            <w:tcW w:w="1434" w:type="dxa"/>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下游最远影响距离</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m</w:t>
            </w:r>
            <w:r>
              <w:rPr>
                <w:rFonts w:hint="eastAsia"/>
                <w:b/>
                <w:bCs/>
                <w:color w:val="000000" w:themeColor="text1"/>
                <w:szCs w:val="21"/>
                <w14:textFill>
                  <w14:solidFill>
                    <w14:schemeClr w14:val="tx1"/>
                  </w14:solidFill>
                </w14:textFill>
              </w:rPr>
              <w:t>）</w:t>
            </w:r>
          </w:p>
        </w:tc>
        <w:tc>
          <w:tcPr>
            <w:tcW w:w="1009" w:type="dxa"/>
            <w:vAlign w:val="center"/>
          </w:tcPr>
          <w:p>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影响范围</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m</w:t>
            </w:r>
            <w:r>
              <w:rPr>
                <w:b/>
                <w:bCs/>
                <w:color w:val="000000" w:themeColor="text1"/>
                <w:szCs w:val="21"/>
                <w:vertAlign w:val="superscript"/>
                <w14:textFill>
                  <w14:solidFill>
                    <w14:schemeClr w14:val="tx1"/>
                  </w14:solidFill>
                </w14:textFill>
              </w:rPr>
              <w:t>2</w:t>
            </w:r>
            <w:r>
              <w:rPr>
                <w:rFonts w:hint="eastAsia"/>
                <w:b/>
                <w:bCs/>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9"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100d</w:t>
            </w:r>
          </w:p>
        </w:tc>
        <w:tc>
          <w:tcPr>
            <w:tcW w:w="1129" w:type="dxa"/>
            <w:vMerge w:val="restar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r>
              <w:rPr>
                <w:color w:val="000000" w:themeColor="text1"/>
                <w:szCs w:val="21"/>
                <w14:textFill>
                  <w14:solidFill>
                    <w14:schemeClr w14:val="tx1"/>
                  </w14:solidFill>
                </w14:textFill>
              </w:rPr>
              <w:t>OD</w:t>
            </w:r>
          </w:p>
        </w:tc>
        <w:tc>
          <w:tcPr>
            <w:tcW w:w="1418"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1.9</w:t>
            </w:r>
          </w:p>
        </w:tc>
        <w:tc>
          <w:tcPr>
            <w:tcW w:w="1608"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98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434"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1009"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9"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1000d</w:t>
            </w:r>
          </w:p>
        </w:tc>
        <w:tc>
          <w:tcPr>
            <w:tcW w:w="1129" w:type="dxa"/>
            <w:vMerge w:val="continue"/>
            <w:vAlign w:val="center"/>
          </w:tcPr>
          <w:p>
            <w:pPr>
              <w:widowControl/>
              <w:jc w:val="center"/>
              <w:rPr>
                <w:color w:val="000000" w:themeColor="text1"/>
                <w:szCs w:val="21"/>
                <w14:textFill>
                  <w14:solidFill>
                    <w14:schemeClr w14:val="tx1"/>
                  </w14:solidFill>
                </w14:textFill>
              </w:rPr>
            </w:pPr>
          </w:p>
        </w:tc>
        <w:tc>
          <w:tcPr>
            <w:tcW w:w="14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3.7</w:t>
            </w:r>
          </w:p>
        </w:tc>
        <w:tc>
          <w:tcPr>
            <w:tcW w:w="160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116</w:t>
            </w:r>
          </w:p>
        </w:tc>
        <w:tc>
          <w:tcPr>
            <w:tcW w:w="9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000</w:t>
            </w:r>
          </w:p>
        </w:tc>
        <w:tc>
          <w:tcPr>
            <w:tcW w:w="14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174</w:t>
            </w:r>
          </w:p>
        </w:tc>
        <w:tc>
          <w:tcPr>
            <w:tcW w:w="10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9"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650d</w:t>
            </w:r>
          </w:p>
        </w:tc>
        <w:tc>
          <w:tcPr>
            <w:tcW w:w="1129" w:type="dxa"/>
            <w:vMerge w:val="continue"/>
            <w:vAlign w:val="center"/>
          </w:tcPr>
          <w:p>
            <w:pPr>
              <w:widowControl/>
              <w:jc w:val="center"/>
              <w:rPr>
                <w:color w:val="000000" w:themeColor="text1"/>
                <w:szCs w:val="21"/>
                <w14:textFill>
                  <w14:solidFill>
                    <w14:schemeClr w14:val="tx1"/>
                  </w14:solidFill>
                </w14:textFill>
              </w:rPr>
            </w:pPr>
          </w:p>
        </w:tc>
        <w:tc>
          <w:tcPr>
            <w:tcW w:w="14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4.7</w:t>
            </w:r>
          </w:p>
        </w:tc>
        <w:tc>
          <w:tcPr>
            <w:tcW w:w="160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334</w:t>
            </w:r>
          </w:p>
        </w:tc>
        <w:tc>
          <w:tcPr>
            <w:tcW w:w="98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17800</w:t>
            </w:r>
          </w:p>
        </w:tc>
        <w:tc>
          <w:tcPr>
            <w:tcW w:w="14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460</w:t>
            </w:r>
          </w:p>
        </w:tc>
        <w:tc>
          <w:tcPr>
            <w:tcW w:w="10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9"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7300d</w:t>
            </w:r>
          </w:p>
        </w:tc>
        <w:tc>
          <w:tcPr>
            <w:tcW w:w="1129" w:type="dxa"/>
            <w:vMerge w:val="continue"/>
            <w:vAlign w:val="center"/>
          </w:tcPr>
          <w:p>
            <w:pPr>
              <w:widowControl/>
              <w:jc w:val="center"/>
              <w:rPr>
                <w:color w:val="000000" w:themeColor="text1"/>
                <w:szCs w:val="21"/>
                <w14:textFill>
                  <w14:solidFill>
                    <w14:schemeClr w14:val="tx1"/>
                  </w14:solidFill>
                </w14:textFill>
              </w:rPr>
            </w:pPr>
          </w:p>
        </w:tc>
        <w:tc>
          <w:tcPr>
            <w:tcW w:w="14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9.6</w:t>
            </w:r>
          </w:p>
        </w:tc>
        <w:tc>
          <w:tcPr>
            <w:tcW w:w="160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613</w:t>
            </w:r>
          </w:p>
        </w:tc>
        <w:tc>
          <w:tcPr>
            <w:tcW w:w="98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41100</w:t>
            </w:r>
          </w:p>
        </w:tc>
        <w:tc>
          <w:tcPr>
            <w:tcW w:w="14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811</w:t>
            </w:r>
          </w:p>
        </w:tc>
        <w:tc>
          <w:tcPr>
            <w:tcW w:w="10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9"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100d</w:t>
            </w:r>
          </w:p>
        </w:tc>
        <w:tc>
          <w:tcPr>
            <w:tcW w:w="1129" w:type="dxa"/>
            <w:vMerge w:val="restar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氨氮</w:t>
            </w:r>
          </w:p>
        </w:tc>
        <w:tc>
          <w:tcPr>
            <w:tcW w:w="14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w:t>
            </w:r>
          </w:p>
        </w:tc>
        <w:tc>
          <w:tcPr>
            <w:tcW w:w="160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w:t>
            </w:r>
          </w:p>
        </w:tc>
        <w:tc>
          <w:tcPr>
            <w:tcW w:w="9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w:t>
            </w:r>
          </w:p>
        </w:tc>
        <w:tc>
          <w:tcPr>
            <w:tcW w:w="14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0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9"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1000d</w:t>
            </w:r>
          </w:p>
        </w:tc>
        <w:tc>
          <w:tcPr>
            <w:tcW w:w="1129" w:type="dxa"/>
            <w:vMerge w:val="continue"/>
            <w:vAlign w:val="center"/>
          </w:tcPr>
          <w:p>
            <w:pPr>
              <w:widowControl/>
              <w:jc w:val="center"/>
              <w:rPr>
                <w:color w:val="000000" w:themeColor="text1"/>
                <w:szCs w:val="21"/>
                <w14:textFill>
                  <w14:solidFill>
                    <w14:schemeClr w14:val="tx1"/>
                  </w14:solidFill>
                </w14:textFill>
              </w:rPr>
            </w:pPr>
          </w:p>
        </w:tc>
        <w:tc>
          <w:tcPr>
            <w:tcW w:w="14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1.7</w:t>
            </w:r>
          </w:p>
        </w:tc>
        <w:tc>
          <w:tcPr>
            <w:tcW w:w="160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104</w:t>
            </w:r>
          </w:p>
        </w:tc>
        <w:tc>
          <w:tcPr>
            <w:tcW w:w="9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900</w:t>
            </w:r>
          </w:p>
        </w:tc>
        <w:tc>
          <w:tcPr>
            <w:tcW w:w="14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157</w:t>
            </w:r>
          </w:p>
        </w:tc>
        <w:tc>
          <w:tcPr>
            <w:tcW w:w="10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9"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650d</w:t>
            </w:r>
          </w:p>
        </w:tc>
        <w:tc>
          <w:tcPr>
            <w:tcW w:w="1129" w:type="dxa"/>
            <w:vMerge w:val="continue"/>
            <w:vAlign w:val="center"/>
          </w:tcPr>
          <w:p>
            <w:pPr>
              <w:widowControl/>
              <w:jc w:val="center"/>
              <w:rPr>
                <w:color w:val="000000" w:themeColor="text1"/>
                <w:szCs w:val="21"/>
                <w14:textFill>
                  <w14:solidFill>
                    <w14:schemeClr w14:val="tx1"/>
                  </w14:solidFill>
                </w14:textFill>
              </w:rPr>
            </w:pPr>
          </w:p>
        </w:tc>
        <w:tc>
          <w:tcPr>
            <w:tcW w:w="14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0.3</w:t>
            </w:r>
          </w:p>
        </w:tc>
        <w:tc>
          <w:tcPr>
            <w:tcW w:w="160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303</w:t>
            </w:r>
          </w:p>
        </w:tc>
        <w:tc>
          <w:tcPr>
            <w:tcW w:w="9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3600</w:t>
            </w:r>
          </w:p>
        </w:tc>
        <w:tc>
          <w:tcPr>
            <w:tcW w:w="14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424</w:t>
            </w:r>
          </w:p>
        </w:tc>
        <w:tc>
          <w:tcPr>
            <w:tcW w:w="100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8000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9"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7300d</w:t>
            </w:r>
          </w:p>
        </w:tc>
        <w:tc>
          <w:tcPr>
            <w:tcW w:w="1129" w:type="dxa"/>
            <w:vMerge w:val="continue"/>
            <w:vAlign w:val="center"/>
          </w:tcPr>
          <w:p>
            <w:pPr>
              <w:widowControl/>
              <w:jc w:val="center"/>
              <w:rPr>
                <w:color w:val="000000" w:themeColor="text1"/>
                <w:szCs w:val="21"/>
                <w14:textFill>
                  <w14:solidFill>
                    <w14:schemeClr w14:val="tx1"/>
                  </w14:solidFill>
                </w14:textFill>
              </w:rPr>
            </w:pPr>
          </w:p>
        </w:tc>
        <w:tc>
          <w:tcPr>
            <w:tcW w:w="14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.47</w:t>
            </w:r>
          </w:p>
        </w:tc>
        <w:tc>
          <w:tcPr>
            <w:tcW w:w="160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557</w:t>
            </w:r>
          </w:p>
        </w:tc>
        <w:tc>
          <w:tcPr>
            <w:tcW w:w="98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29600</w:t>
            </w:r>
          </w:p>
        </w:tc>
        <w:tc>
          <w:tcPr>
            <w:tcW w:w="14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757</w:t>
            </w:r>
          </w:p>
        </w:tc>
        <w:tc>
          <w:tcPr>
            <w:tcW w:w="10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89300</w:t>
            </w:r>
          </w:p>
        </w:tc>
      </w:tr>
    </w:tbl>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由</w:t>
      </w:r>
      <w:r>
        <w:rPr>
          <w:rFonts w:hint="eastAsia"/>
          <w:color w:val="000000" w:themeColor="text1"/>
          <w:kern w:val="0"/>
          <w:sz w:val="24"/>
          <w:szCs w:val="20"/>
          <w14:textFill>
            <w14:solidFill>
              <w14:schemeClr w14:val="tx1"/>
            </w14:solidFill>
          </w14:textFill>
        </w:rPr>
        <w:t>上表</w:t>
      </w:r>
      <w:r>
        <w:rPr>
          <w:color w:val="000000" w:themeColor="text1"/>
          <w:kern w:val="0"/>
          <w:sz w:val="24"/>
          <w:szCs w:val="20"/>
          <w14:textFill>
            <w14:solidFill>
              <w14:schemeClr w14:val="tx1"/>
            </w14:solidFill>
          </w14:textFill>
        </w:rPr>
        <w:t>可知，厂区</w:t>
      </w:r>
      <w:r>
        <w:rPr>
          <w:rFonts w:hint="eastAsia"/>
          <w:color w:val="000000" w:themeColor="text1"/>
          <w:kern w:val="0"/>
          <w:sz w:val="24"/>
          <w:szCs w:val="20"/>
          <w14:textFill>
            <w14:solidFill>
              <w14:schemeClr w14:val="tx1"/>
            </w14:solidFill>
          </w14:textFill>
        </w:rPr>
        <w:t>污水</w:t>
      </w:r>
      <w:r>
        <w:rPr>
          <w:color w:val="000000" w:themeColor="text1"/>
          <w:kern w:val="0"/>
          <w:sz w:val="24"/>
          <w:szCs w:val="20"/>
          <w14:textFill>
            <w14:solidFill>
              <w14:schemeClr w14:val="tx1"/>
            </w14:solidFill>
          </w14:textFill>
        </w:rPr>
        <w:t>处理站</w:t>
      </w:r>
      <w:r>
        <w:rPr>
          <w:rFonts w:hint="eastAsia"/>
          <w:color w:val="000000" w:themeColor="text1"/>
          <w:kern w:val="0"/>
          <w:sz w:val="24"/>
          <w:szCs w:val="20"/>
          <w14:textFill>
            <w14:solidFill>
              <w14:schemeClr w14:val="tx1"/>
            </w14:solidFill>
          </w14:textFill>
        </w:rPr>
        <w:t>集水</w:t>
      </w:r>
      <w:r>
        <w:rPr>
          <w:color w:val="000000" w:themeColor="text1"/>
          <w:kern w:val="0"/>
          <w:sz w:val="24"/>
          <w:szCs w:val="20"/>
          <w14:textFill>
            <w14:solidFill>
              <w14:schemeClr w14:val="tx1"/>
            </w14:solidFill>
          </w14:textFill>
        </w:rPr>
        <w:t>池非正常状况泄漏情景下</w:t>
      </w:r>
      <w:r>
        <w:rPr>
          <w:rFonts w:hint="eastAsia"/>
          <w:color w:val="000000" w:themeColor="text1"/>
          <w:kern w:val="0"/>
          <w:sz w:val="24"/>
          <w:szCs w:val="20"/>
          <w14:textFill>
            <w14:solidFill>
              <w14:schemeClr w14:val="tx1"/>
            </w14:solidFill>
          </w14:textFill>
        </w:rPr>
        <w:t>C</w:t>
      </w:r>
      <w:r>
        <w:rPr>
          <w:color w:val="000000" w:themeColor="text1"/>
          <w:kern w:val="0"/>
          <w:sz w:val="24"/>
          <w:szCs w:val="20"/>
          <w14:textFill>
            <w14:solidFill>
              <w14:schemeClr w14:val="tx1"/>
            </w14:solidFill>
          </w14:textFill>
        </w:rPr>
        <w:t>OD</w:t>
      </w:r>
      <w:r>
        <w:rPr>
          <w:rFonts w:hint="eastAsia"/>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氨氮会对地下水产生污染。建议企业做好防渗措施，并加大检修力度，减少污染物泄漏可能性。</w:t>
      </w:r>
    </w:p>
    <w:p>
      <w:pPr>
        <w:adjustRightInd w:val="0"/>
        <w:snapToGrid w:val="0"/>
        <w:spacing w:line="520" w:lineRule="exact"/>
        <w:ind w:firstLine="482" w:firstLineChars="200"/>
        <w:textAlignment w:val="baseline"/>
        <w:outlineLvl w:val="4"/>
        <w:rPr>
          <w:b/>
          <w:color w:val="000000" w:themeColor="text1"/>
          <w:kern w:val="0"/>
          <w:sz w:val="24"/>
          <w:szCs w:val="20"/>
          <w14:textFill>
            <w14:solidFill>
              <w14:schemeClr w14:val="tx1"/>
            </w14:solidFill>
          </w14:textFill>
        </w:rPr>
      </w:pPr>
      <w:r>
        <w:rPr>
          <w:rFonts w:hint="eastAsia"/>
          <w:b/>
          <w:color w:val="000000" w:themeColor="text1"/>
          <w:kern w:val="0"/>
          <w:sz w:val="24"/>
          <w:szCs w:val="20"/>
          <w14:textFill>
            <w14:solidFill>
              <w14:schemeClr w14:val="tx1"/>
            </w14:solidFill>
          </w14:textFill>
        </w:rPr>
        <w:t>（</w:t>
      </w:r>
      <w:r>
        <w:rPr>
          <w:b/>
          <w:color w:val="000000" w:themeColor="text1"/>
          <w:kern w:val="0"/>
          <w:sz w:val="24"/>
          <w:szCs w:val="20"/>
          <w14:textFill>
            <w14:solidFill>
              <w14:schemeClr w14:val="tx1"/>
            </w14:solidFill>
          </w14:textFill>
        </w:rPr>
        <w:t>3</w:t>
      </w:r>
      <w:r>
        <w:rPr>
          <w:rFonts w:hint="eastAsia"/>
          <w:b/>
          <w:color w:val="000000" w:themeColor="text1"/>
          <w:kern w:val="0"/>
          <w:sz w:val="24"/>
          <w:szCs w:val="20"/>
          <w14:textFill>
            <w14:solidFill>
              <w14:schemeClr w14:val="tx1"/>
            </w14:solidFill>
          </w14:textFill>
        </w:rPr>
        <w:t>）对下游厂界的影响</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bCs/>
          <w:color w:val="000000" w:themeColor="text1"/>
          <w:kern w:val="0"/>
          <w:sz w:val="24"/>
          <w:szCs w:val="20"/>
          <w14:textFill>
            <w14:solidFill>
              <w14:schemeClr w14:val="tx1"/>
            </w14:solidFill>
          </w14:textFill>
        </w:rPr>
        <w:t>项目</w:t>
      </w:r>
      <w:r>
        <w:rPr>
          <w:rFonts w:hint="eastAsia"/>
          <w:bCs/>
          <w:color w:val="000000" w:themeColor="text1"/>
          <w:kern w:val="0"/>
          <w:sz w:val="24"/>
          <w:szCs w:val="20"/>
          <w14:textFill>
            <w14:solidFill>
              <w14:schemeClr w14:val="tx1"/>
            </w14:solidFill>
          </w14:textFill>
        </w:rPr>
        <w:t>集水</w:t>
      </w:r>
      <w:r>
        <w:rPr>
          <w:bCs/>
          <w:color w:val="000000" w:themeColor="text1"/>
          <w:kern w:val="0"/>
          <w:sz w:val="24"/>
          <w:szCs w:val="20"/>
          <w14:textFill>
            <w14:solidFill>
              <w14:schemeClr w14:val="tx1"/>
            </w14:solidFill>
          </w14:textFill>
        </w:rPr>
        <w:t>池下游21m处为项目</w:t>
      </w:r>
      <w:r>
        <w:rPr>
          <w:rFonts w:hint="eastAsia"/>
          <w:bCs/>
          <w:color w:val="000000" w:themeColor="text1"/>
          <w:kern w:val="0"/>
          <w:sz w:val="24"/>
          <w:szCs w:val="20"/>
          <w14:textFill>
            <w14:solidFill>
              <w14:schemeClr w14:val="tx1"/>
            </w14:solidFill>
          </w14:textFill>
        </w:rPr>
        <w:t>东</w:t>
      </w:r>
      <w:r>
        <w:rPr>
          <w:bCs/>
          <w:color w:val="000000" w:themeColor="text1"/>
          <w:kern w:val="0"/>
          <w:sz w:val="24"/>
          <w:szCs w:val="20"/>
          <w14:textFill>
            <w14:solidFill>
              <w14:schemeClr w14:val="tx1"/>
            </w14:solidFill>
          </w14:textFill>
        </w:rPr>
        <w:t>厂界，</w:t>
      </w:r>
      <w:r>
        <w:rPr>
          <w:rFonts w:hint="eastAsia"/>
          <w:bCs/>
          <w:color w:val="000000" w:themeColor="text1"/>
          <w:kern w:val="0"/>
          <w:sz w:val="24"/>
          <w:szCs w:val="20"/>
          <w14:textFill>
            <w14:solidFill>
              <w14:schemeClr w14:val="tx1"/>
            </w14:solidFill>
          </w14:textFill>
        </w:rPr>
        <w:t>在下游厂墙处设置观测井用于后期自行监测。</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bCs/>
          <w:color w:val="000000" w:themeColor="text1"/>
          <w:kern w:val="0"/>
          <w:sz w:val="24"/>
          <w:szCs w:val="20"/>
          <w14:textFill>
            <w14:solidFill>
              <w14:schemeClr w14:val="tx1"/>
            </w14:solidFill>
          </w14:textFill>
        </w:rPr>
        <w:t>其他厂界均不属于其下游区域，因此评价仅对项目</w:t>
      </w:r>
      <w:r>
        <w:rPr>
          <w:rFonts w:hint="eastAsia"/>
          <w:bCs/>
          <w:color w:val="000000" w:themeColor="text1"/>
          <w:kern w:val="0"/>
          <w:sz w:val="24"/>
          <w:szCs w:val="20"/>
          <w14:textFill>
            <w14:solidFill>
              <w14:schemeClr w14:val="tx1"/>
            </w14:solidFill>
          </w14:textFill>
        </w:rPr>
        <w:t>东</w:t>
      </w:r>
      <w:r>
        <w:rPr>
          <w:bCs/>
          <w:color w:val="000000" w:themeColor="text1"/>
          <w:kern w:val="0"/>
          <w:sz w:val="24"/>
          <w:szCs w:val="20"/>
          <w14:textFill>
            <w14:solidFill>
              <w14:schemeClr w14:val="tx1"/>
            </w14:solidFill>
          </w14:textFill>
        </w:rPr>
        <w:t>厂界外地下水水质进行预测评价</w:t>
      </w:r>
      <w:r>
        <w:rPr>
          <w:rFonts w:hint="eastAsia"/>
          <w:bCs/>
          <w:color w:val="000000" w:themeColor="text1"/>
          <w:kern w:val="0"/>
          <w:sz w:val="24"/>
          <w:szCs w:val="20"/>
          <w14:textFill>
            <w14:solidFill>
              <w14:schemeClr w14:val="tx1"/>
            </w14:solidFill>
          </w14:textFill>
        </w:rPr>
        <w:t>。</w:t>
      </w:r>
      <w:r>
        <w:rPr>
          <w:bCs/>
          <w:color w:val="000000" w:themeColor="text1"/>
          <w:kern w:val="0"/>
          <w:sz w:val="24"/>
          <w:szCs w:val="20"/>
          <w14:textFill>
            <w14:solidFill>
              <w14:schemeClr w14:val="tx1"/>
            </w14:solidFill>
          </w14:textFill>
        </w:rPr>
        <w:t>下图显示了污染物泄漏后随时间推移的污染</w:t>
      </w:r>
      <w:r>
        <w:rPr>
          <w:rFonts w:hint="eastAsia"/>
          <w:bCs/>
          <w:color w:val="000000" w:themeColor="text1"/>
          <w:kern w:val="0"/>
          <w:sz w:val="24"/>
          <w:szCs w:val="20"/>
          <w14:textFill>
            <w14:solidFill>
              <w14:schemeClr w14:val="tx1"/>
            </w14:solidFill>
          </w14:textFill>
        </w:rPr>
        <w:t>物</w:t>
      </w:r>
      <w:r>
        <w:rPr>
          <w:bCs/>
          <w:color w:val="000000" w:themeColor="text1"/>
          <w:kern w:val="0"/>
          <w:sz w:val="24"/>
          <w:szCs w:val="20"/>
          <w14:textFill>
            <w14:solidFill>
              <w14:schemeClr w14:val="tx1"/>
            </w14:solidFill>
          </w14:textFill>
        </w:rPr>
        <w:t>变化趋势。详见下</w:t>
      </w:r>
      <w:r>
        <w:rPr>
          <w:rFonts w:hint="eastAsia"/>
          <w:bCs/>
          <w:color w:val="000000" w:themeColor="text1"/>
          <w:kern w:val="0"/>
          <w:sz w:val="24"/>
          <w:szCs w:val="20"/>
          <w14:textFill>
            <w14:solidFill>
              <w14:schemeClr w14:val="tx1"/>
            </w14:solidFill>
          </w14:textFill>
        </w:rPr>
        <w:t>图</w:t>
      </w:r>
      <w:r>
        <w:rPr>
          <w:bCs/>
          <w:color w:val="000000" w:themeColor="text1"/>
          <w:kern w:val="0"/>
          <w:sz w:val="24"/>
          <w:szCs w:val="20"/>
          <w14:textFill>
            <w14:solidFill>
              <w14:schemeClr w14:val="tx1"/>
            </w14:solidFill>
          </w14:textFill>
        </w:rPr>
        <w:t>。</w:t>
      </w:r>
    </w:p>
    <w:p>
      <w:pPr>
        <w:adjustRightInd w:val="0"/>
        <w:snapToGrid w:val="0"/>
        <w:spacing w:line="360" w:lineRule="auto"/>
        <w:jc w:val="center"/>
        <w:textAlignment w:val="baseline"/>
        <w:rPr>
          <w:bCs/>
          <w:color w:val="000000" w:themeColor="text1"/>
          <w:kern w:val="0"/>
          <w:sz w:val="24"/>
          <w:szCs w:val="20"/>
          <w14:textFill>
            <w14:solidFill>
              <w14:schemeClr w14:val="tx1"/>
            </w14:solidFill>
          </w14:textFill>
        </w:rPr>
      </w:pPr>
      <w:r>
        <w:drawing>
          <wp:inline distT="0" distB="0" distL="0" distR="0">
            <wp:extent cx="4572000" cy="2743200"/>
            <wp:effectExtent l="0" t="0" r="0" b="0"/>
            <wp:docPr id="1514355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pPr>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w:t>
      </w:r>
      <w:r>
        <w:rPr>
          <w:rFonts w:hint="eastAsia" w:eastAsia="黑体"/>
          <w:bCs/>
          <w:color w:val="000000" w:themeColor="text1"/>
          <w:sz w:val="24"/>
          <w:szCs w:val="24"/>
          <w14:textFill>
            <w14:solidFill>
              <w14:schemeClr w14:val="tx1"/>
            </w14:solidFill>
          </w14:textFill>
        </w:rPr>
        <w:t>-</w:t>
      </w:r>
      <w:r>
        <w:rPr>
          <w:rFonts w:eastAsia="黑体"/>
          <w:bCs/>
          <w:color w:val="000000" w:themeColor="text1"/>
          <w:sz w:val="24"/>
          <w:szCs w:val="24"/>
          <w14:textFill>
            <w14:solidFill>
              <w14:schemeClr w14:val="tx1"/>
            </w14:solidFill>
          </w14:textFill>
        </w:rPr>
        <w:t>28</w:t>
      </w:r>
      <w:r>
        <w:rPr>
          <w:rFonts w:hint="eastAsia" w:eastAsia="黑体"/>
          <w:bCs/>
          <w:color w:val="000000" w:themeColor="text1"/>
          <w:sz w:val="24"/>
          <w:szCs w:val="24"/>
          <w14:textFill>
            <w14:solidFill>
              <w14:schemeClr w14:val="tx1"/>
            </w14:solidFill>
          </w14:textFill>
        </w:rPr>
        <w:t>厂界处地下水耗氧量污染趋势图</w:t>
      </w:r>
    </w:p>
    <w:p>
      <w:pPr>
        <w:adjustRightInd w:val="0"/>
        <w:snapToGrid w:val="0"/>
        <w:spacing w:line="360" w:lineRule="auto"/>
        <w:jc w:val="center"/>
        <w:textAlignment w:val="baseline"/>
        <w:rPr>
          <w:bCs/>
          <w:color w:val="000000" w:themeColor="text1"/>
          <w:kern w:val="0"/>
          <w:sz w:val="24"/>
          <w:szCs w:val="20"/>
          <w14:textFill>
            <w14:solidFill>
              <w14:schemeClr w14:val="tx1"/>
            </w14:solidFill>
          </w14:textFill>
        </w:rPr>
      </w:pPr>
      <w:r>
        <w:drawing>
          <wp:inline distT="0" distB="0" distL="0" distR="0">
            <wp:extent cx="4572000" cy="2743200"/>
            <wp:effectExtent l="0" t="0" r="0" b="0"/>
            <wp:docPr id="8560252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pPr>
        <w:jc w:val="center"/>
        <w:rPr>
          <w:rFonts w:eastAsia="黑体"/>
          <w:bCs/>
          <w:color w:val="000000" w:themeColor="text1"/>
          <w:sz w:val="24"/>
          <w:szCs w:val="24"/>
          <w14:textFill>
            <w14:solidFill>
              <w14:schemeClr w14:val="tx1"/>
            </w14:solidFill>
          </w14:textFill>
        </w:rPr>
      </w:pPr>
      <w:r>
        <w:rPr>
          <w:rFonts w:eastAsia="黑体"/>
          <w:bCs/>
          <w:color w:val="000000" w:themeColor="text1"/>
          <w:sz w:val="24"/>
          <w:szCs w:val="24"/>
          <w14:textFill>
            <w14:solidFill>
              <w14:schemeClr w14:val="tx1"/>
            </w14:solidFill>
          </w14:textFill>
        </w:rPr>
        <w:t>图5.4</w:t>
      </w:r>
      <w:r>
        <w:rPr>
          <w:rFonts w:hint="eastAsia" w:eastAsia="黑体"/>
          <w:bCs/>
          <w:color w:val="000000" w:themeColor="text1"/>
          <w:sz w:val="24"/>
          <w:szCs w:val="24"/>
          <w14:textFill>
            <w14:solidFill>
              <w14:schemeClr w14:val="tx1"/>
            </w14:solidFill>
          </w14:textFill>
        </w:rPr>
        <w:t>-</w:t>
      </w:r>
      <w:r>
        <w:rPr>
          <w:rFonts w:eastAsia="黑体"/>
          <w:bCs/>
          <w:color w:val="000000" w:themeColor="text1"/>
          <w:sz w:val="24"/>
          <w:szCs w:val="24"/>
          <w14:textFill>
            <w14:solidFill>
              <w14:schemeClr w14:val="tx1"/>
            </w14:solidFill>
          </w14:textFill>
        </w:rPr>
        <w:t>29</w:t>
      </w:r>
      <w:r>
        <w:rPr>
          <w:rFonts w:hint="eastAsia" w:eastAsia="黑体"/>
          <w:bCs/>
          <w:color w:val="000000" w:themeColor="text1"/>
          <w:sz w:val="24"/>
          <w:szCs w:val="24"/>
          <w14:textFill>
            <w14:solidFill>
              <w14:schemeClr w14:val="tx1"/>
            </w14:solidFill>
          </w14:textFill>
        </w:rPr>
        <w:t>厂界处地下水氨氮污染趋势图</w:t>
      </w:r>
    </w:p>
    <w:p>
      <w:pPr>
        <w:adjustRightInd w:val="0"/>
        <w:snapToGrid w:val="0"/>
        <w:spacing w:line="520" w:lineRule="exact"/>
        <w:ind w:firstLine="520" w:firstLineChars="200"/>
        <w:rPr>
          <w:bCs/>
          <w:color w:val="000000" w:themeColor="text1"/>
          <w:kern w:val="0"/>
          <w:sz w:val="24"/>
          <w:szCs w:val="20"/>
          <w14:textFill>
            <w14:solidFill>
              <w14:schemeClr w14:val="tx1"/>
            </w14:solidFill>
          </w14:textFill>
        </w:rPr>
      </w:pPr>
      <w:r>
        <w:rPr>
          <w:bCs/>
          <w:color w:val="000000" w:themeColor="text1"/>
          <w:spacing w:val="10"/>
          <w:kern w:val="0"/>
          <w:sz w:val="24"/>
          <w:szCs w:val="20"/>
          <w14:textFill>
            <w14:solidFill>
              <w14:schemeClr w14:val="tx1"/>
            </w14:solidFill>
          </w14:textFill>
        </w:rPr>
        <w:t>从上面预测结果可以看出，在厂</w:t>
      </w:r>
      <w:r>
        <w:rPr>
          <w:bCs/>
          <w:color w:val="000000" w:themeColor="text1"/>
          <w:kern w:val="0"/>
          <w:sz w:val="24"/>
          <w:szCs w:val="20"/>
          <w14:textFill>
            <w14:solidFill>
              <w14:schemeClr w14:val="tx1"/>
            </w14:solidFill>
          </w14:textFill>
        </w:rPr>
        <w:t>区</w:t>
      </w:r>
      <w:r>
        <w:rPr>
          <w:rFonts w:hint="eastAsia"/>
          <w:bCs/>
          <w:color w:val="000000" w:themeColor="text1"/>
          <w:kern w:val="0"/>
          <w:sz w:val="24"/>
          <w:szCs w:val="20"/>
          <w14:textFill>
            <w14:solidFill>
              <w14:schemeClr w14:val="tx1"/>
            </w14:solidFill>
          </w14:textFill>
        </w:rPr>
        <w:t>集水池</w:t>
      </w:r>
      <w:r>
        <w:rPr>
          <w:bCs/>
          <w:color w:val="000000" w:themeColor="text1"/>
          <w:kern w:val="0"/>
          <w:sz w:val="24"/>
          <w:szCs w:val="20"/>
          <w14:textFill>
            <w14:solidFill>
              <w14:schemeClr w14:val="tx1"/>
            </w14:solidFill>
          </w14:textFill>
        </w:rPr>
        <w:t>非正常状况泄露情景</w:t>
      </w:r>
      <w:r>
        <w:rPr>
          <w:bCs/>
          <w:color w:val="000000" w:themeColor="text1"/>
          <w:spacing w:val="10"/>
          <w:kern w:val="0"/>
          <w:sz w:val="24"/>
          <w:szCs w:val="20"/>
          <w14:textFill>
            <w14:solidFill>
              <w14:schemeClr w14:val="tx1"/>
            </w14:solidFill>
          </w14:textFill>
        </w:rPr>
        <w:t>下，泄露的污染物</w:t>
      </w:r>
      <w:r>
        <w:rPr>
          <w:bCs/>
          <w:color w:val="000000" w:themeColor="text1"/>
          <w:kern w:val="0"/>
          <w:sz w:val="24"/>
          <w:szCs w:val="20"/>
          <w14:textFill>
            <w14:solidFill>
              <w14:schemeClr w14:val="tx1"/>
            </w14:solidFill>
          </w14:textFill>
        </w:rPr>
        <w:t>在水动力条件作用下向下游扩散，</w:t>
      </w:r>
      <w:r>
        <w:rPr>
          <w:bCs/>
          <w:color w:val="000000" w:themeColor="text1"/>
          <w:spacing w:val="10"/>
          <w:kern w:val="0"/>
          <w:sz w:val="24"/>
          <w:szCs w:val="20"/>
          <w14:textFill>
            <w14:solidFill>
              <w14:schemeClr w14:val="tx1"/>
            </w14:solidFill>
          </w14:textFill>
        </w:rPr>
        <w:t>随着水流动影响范围逐渐增大，</w:t>
      </w:r>
      <w:r>
        <w:rPr>
          <w:rFonts w:hint="eastAsia"/>
          <w:bCs/>
          <w:color w:val="000000" w:themeColor="text1"/>
          <w:spacing w:val="10"/>
          <w:kern w:val="0"/>
          <w:sz w:val="24"/>
          <w:szCs w:val="20"/>
          <w14:textFill>
            <w14:solidFill>
              <w14:schemeClr w14:val="tx1"/>
            </w14:solidFill>
          </w14:textFill>
        </w:rPr>
        <w:t>项目区下游厂界</w:t>
      </w:r>
      <w:r>
        <w:rPr>
          <w:bCs/>
          <w:color w:val="000000" w:themeColor="text1"/>
          <w:spacing w:val="10"/>
          <w:kern w:val="0"/>
          <w:sz w:val="24"/>
          <w:szCs w:val="20"/>
          <w14:textFill>
            <w14:solidFill>
              <w14:schemeClr w14:val="tx1"/>
            </w14:solidFill>
          </w14:textFill>
        </w:rPr>
        <w:t>浓度值</w:t>
      </w:r>
      <w:r>
        <w:rPr>
          <w:rFonts w:hint="eastAsia"/>
          <w:bCs/>
          <w:color w:val="000000" w:themeColor="text1"/>
          <w:spacing w:val="10"/>
          <w:kern w:val="0"/>
          <w:sz w:val="24"/>
          <w:szCs w:val="20"/>
          <w14:textFill>
            <w14:solidFill>
              <w14:schemeClr w14:val="tx1"/>
            </w14:solidFill>
          </w14:textFill>
        </w:rPr>
        <w:t>逐渐升高，在泄露发生</w:t>
      </w:r>
      <w:r>
        <w:rPr>
          <w:bCs/>
          <w:color w:val="000000" w:themeColor="text1"/>
          <w:spacing w:val="10"/>
          <w:kern w:val="0"/>
          <w:sz w:val="24"/>
          <w:szCs w:val="20"/>
          <w14:textFill>
            <w14:solidFill>
              <w14:schemeClr w14:val="tx1"/>
            </w14:solidFill>
          </w14:textFill>
        </w:rPr>
        <w:t>180d</w:t>
      </w:r>
      <w:r>
        <w:rPr>
          <w:rFonts w:hint="eastAsia"/>
          <w:bCs/>
          <w:color w:val="000000" w:themeColor="text1"/>
          <w:spacing w:val="10"/>
          <w:kern w:val="0"/>
          <w:sz w:val="24"/>
          <w:szCs w:val="20"/>
          <w14:textFill>
            <w14:solidFill>
              <w14:schemeClr w14:val="tx1"/>
            </w14:solidFill>
          </w14:textFill>
        </w:rPr>
        <w:t>时到达最高点，耗氧量预测最大值为</w:t>
      </w:r>
      <w:r>
        <w:rPr>
          <w:bCs/>
          <w:color w:val="000000" w:themeColor="text1"/>
          <w:spacing w:val="10"/>
          <w:kern w:val="0"/>
          <w:sz w:val="24"/>
          <w:szCs w:val="20"/>
          <w14:textFill>
            <w14:solidFill>
              <w14:schemeClr w14:val="tx1"/>
            </w14:solidFill>
          </w14:textFill>
        </w:rPr>
        <w:t>3.12</w:t>
      </w:r>
      <w:r>
        <w:rPr>
          <w:rFonts w:hint="eastAsia"/>
          <w:bCs/>
          <w:color w:val="000000" w:themeColor="text1"/>
          <w:spacing w:val="10"/>
          <w:kern w:val="0"/>
          <w:sz w:val="24"/>
          <w:szCs w:val="20"/>
          <w14:textFill>
            <w14:solidFill>
              <w14:schemeClr w14:val="tx1"/>
            </w14:solidFill>
          </w14:textFill>
        </w:rPr>
        <w:t>mg/L，氨氮预测最大值为</w:t>
      </w:r>
      <w:r>
        <w:rPr>
          <w:bCs/>
          <w:color w:val="000000" w:themeColor="text1"/>
          <w:spacing w:val="10"/>
          <w:kern w:val="0"/>
          <w:sz w:val="24"/>
          <w:szCs w:val="20"/>
          <w14:textFill>
            <w14:solidFill>
              <w14:schemeClr w14:val="tx1"/>
            </w14:solidFill>
          </w14:textFill>
        </w:rPr>
        <w:t>0.495</w:t>
      </w:r>
      <w:r>
        <w:rPr>
          <w:rFonts w:hint="eastAsia"/>
          <w:bCs/>
          <w:color w:val="000000" w:themeColor="text1"/>
          <w:spacing w:val="10"/>
          <w:kern w:val="0"/>
          <w:sz w:val="24"/>
          <w:szCs w:val="20"/>
          <w14:textFill>
            <w14:solidFill>
              <w14:schemeClr w14:val="tx1"/>
            </w14:solidFill>
          </w14:textFill>
        </w:rPr>
        <w:t>mg/L，考虑环境质量现状本底值，根据</w:t>
      </w:r>
      <w:r>
        <w:rPr>
          <w:bCs/>
          <w:color w:val="000000" w:themeColor="text1"/>
          <w:spacing w:val="10"/>
          <w:kern w:val="0"/>
          <w:sz w:val="24"/>
          <w:szCs w:val="20"/>
          <w14:textFill>
            <w14:solidFill>
              <w14:schemeClr w14:val="tx1"/>
            </w14:solidFill>
          </w14:textFill>
        </w:rPr>
        <w:t>河南永飞检测科技有限公司202</w:t>
      </w:r>
      <w:r>
        <w:rPr>
          <w:rFonts w:hint="eastAsia"/>
          <w:bCs/>
          <w:color w:val="000000" w:themeColor="text1"/>
          <w:spacing w:val="10"/>
          <w:kern w:val="0"/>
          <w:sz w:val="24"/>
          <w:szCs w:val="20"/>
          <w14:textFill>
            <w14:solidFill>
              <w14:schemeClr w14:val="tx1"/>
            </w14:solidFill>
          </w14:textFill>
        </w:rPr>
        <w:t>3</w:t>
      </w:r>
      <w:r>
        <w:rPr>
          <w:bCs/>
          <w:color w:val="000000" w:themeColor="text1"/>
          <w:spacing w:val="10"/>
          <w:kern w:val="0"/>
          <w:sz w:val="24"/>
          <w:szCs w:val="20"/>
          <w14:textFill>
            <w14:solidFill>
              <w14:schemeClr w14:val="tx1"/>
            </w14:solidFill>
          </w14:textFill>
        </w:rPr>
        <w:t>年4月7日~4月9日对地下水</w:t>
      </w:r>
      <w:r>
        <w:rPr>
          <w:rFonts w:hint="eastAsia"/>
          <w:bCs/>
          <w:color w:val="000000" w:themeColor="text1"/>
          <w:spacing w:val="10"/>
          <w:kern w:val="0"/>
          <w:sz w:val="24"/>
          <w:szCs w:val="20"/>
          <w14:textFill>
            <w14:solidFill>
              <w14:schemeClr w14:val="tx1"/>
            </w14:solidFill>
          </w14:textFill>
        </w:rPr>
        <w:t>的监测，地下水耗氧量、氨氮现状最大监测浓度分别为</w:t>
      </w:r>
      <w:r>
        <w:rPr>
          <w:bCs/>
          <w:color w:val="000000" w:themeColor="text1"/>
          <w:spacing w:val="10"/>
          <w:kern w:val="0"/>
          <w:sz w:val="24"/>
          <w:szCs w:val="20"/>
          <w14:textFill>
            <w14:solidFill>
              <w14:schemeClr w14:val="tx1"/>
            </w14:solidFill>
          </w14:textFill>
        </w:rPr>
        <w:t>1.72mg/L</w:t>
      </w:r>
      <w:r>
        <w:rPr>
          <w:rFonts w:hint="eastAsia"/>
          <w:bCs/>
          <w:color w:val="000000" w:themeColor="text1"/>
          <w:spacing w:val="10"/>
          <w:kern w:val="0"/>
          <w:sz w:val="24"/>
          <w:szCs w:val="20"/>
          <w14:textFill>
            <w14:solidFill>
              <w14:schemeClr w14:val="tx1"/>
            </w14:solidFill>
          </w14:textFill>
        </w:rPr>
        <w:t>、</w:t>
      </w:r>
      <w:r>
        <w:rPr>
          <w:bCs/>
          <w:color w:val="000000" w:themeColor="text1"/>
          <w:spacing w:val="10"/>
          <w:kern w:val="0"/>
          <w:sz w:val="24"/>
          <w:szCs w:val="20"/>
          <w14:textFill>
            <w14:solidFill>
              <w14:schemeClr w14:val="tx1"/>
            </w14:solidFill>
          </w14:textFill>
        </w:rPr>
        <w:t>0.175mg/L</w:t>
      </w:r>
      <w:r>
        <w:rPr>
          <w:rFonts w:hint="eastAsia"/>
          <w:bCs/>
          <w:color w:val="000000" w:themeColor="text1"/>
          <w:spacing w:val="10"/>
          <w:kern w:val="0"/>
          <w:sz w:val="24"/>
          <w:szCs w:val="20"/>
          <w14:textFill>
            <w14:solidFill>
              <w14:schemeClr w14:val="tx1"/>
            </w14:solidFill>
          </w14:textFill>
        </w:rPr>
        <w:t>，</w:t>
      </w:r>
      <w:r>
        <w:rPr>
          <w:bCs/>
          <w:color w:val="000000" w:themeColor="text1"/>
          <w:spacing w:val="10"/>
          <w:kern w:val="0"/>
          <w:sz w:val="24"/>
          <w:szCs w:val="20"/>
          <w14:textFill>
            <w14:solidFill>
              <w14:schemeClr w14:val="tx1"/>
            </w14:solidFill>
          </w14:textFill>
        </w:rPr>
        <w:t>故</w:t>
      </w:r>
      <w:r>
        <w:rPr>
          <w:rFonts w:hint="eastAsia"/>
          <w:bCs/>
          <w:color w:val="000000" w:themeColor="text1"/>
          <w:spacing w:val="10"/>
          <w:kern w:val="0"/>
          <w:sz w:val="24"/>
          <w:szCs w:val="20"/>
          <w14:textFill>
            <w14:solidFill>
              <w14:schemeClr w14:val="tx1"/>
            </w14:solidFill>
          </w14:textFill>
        </w:rPr>
        <w:t>叠加现状值后，耗氧量、氨氮</w:t>
      </w:r>
      <w:r>
        <w:rPr>
          <w:color w:val="000000" w:themeColor="text1"/>
          <w:spacing w:val="10"/>
          <w:kern w:val="0"/>
          <w:sz w:val="24"/>
          <w:szCs w:val="20"/>
          <w14:textFill>
            <w14:solidFill>
              <w14:schemeClr w14:val="tx1"/>
            </w14:solidFill>
          </w14:textFill>
        </w:rPr>
        <w:t>超过</w:t>
      </w:r>
      <w:r>
        <w:rPr>
          <w:rFonts w:hint="eastAsia"/>
          <w:color w:val="000000" w:themeColor="text1"/>
          <w:spacing w:val="10"/>
          <w:kern w:val="0"/>
          <w:sz w:val="24"/>
          <w:szCs w:val="20"/>
          <w14:textFill>
            <w14:solidFill>
              <w14:schemeClr w14:val="tx1"/>
            </w14:solidFill>
          </w14:textFill>
        </w:rPr>
        <w:t>《地下水质量标准》（GB/T14848—2017）III类标准（耗氧量≤3.0mg/L、氨氮≤</w:t>
      </w:r>
      <w:r>
        <w:rPr>
          <w:color w:val="000000" w:themeColor="text1"/>
          <w:spacing w:val="10"/>
          <w:kern w:val="0"/>
          <w:sz w:val="24"/>
          <w:szCs w:val="20"/>
          <w14:textFill>
            <w14:solidFill>
              <w14:schemeClr w14:val="tx1"/>
            </w14:solidFill>
          </w14:textFill>
        </w:rPr>
        <w:t>0.5</w:t>
      </w:r>
      <w:r>
        <w:rPr>
          <w:rFonts w:hint="eastAsia"/>
          <w:color w:val="000000" w:themeColor="text1"/>
          <w:spacing w:val="10"/>
          <w:kern w:val="0"/>
          <w:sz w:val="24"/>
          <w:szCs w:val="20"/>
          <w14:textFill>
            <w14:solidFill>
              <w14:schemeClr w14:val="tx1"/>
            </w14:solidFill>
          </w14:textFill>
        </w:rPr>
        <w:t>mg/L）</w:t>
      </w:r>
      <w:r>
        <w:rPr>
          <w:color w:val="000000" w:themeColor="text1"/>
          <w:spacing w:val="10"/>
          <w:kern w:val="0"/>
          <w:sz w:val="24"/>
          <w:szCs w:val="20"/>
          <w14:textFill>
            <w14:solidFill>
              <w14:schemeClr w14:val="tx1"/>
            </w14:solidFill>
          </w14:textFill>
        </w:rPr>
        <w:t>标准规定值</w:t>
      </w:r>
      <w:r>
        <w:rPr>
          <w:rFonts w:hint="eastAsia"/>
          <w:color w:val="000000" w:themeColor="text1"/>
          <w:spacing w:val="10"/>
          <w:kern w:val="0"/>
          <w:sz w:val="24"/>
          <w:szCs w:val="20"/>
          <w14:textFill>
            <w14:solidFill>
              <w14:schemeClr w14:val="tx1"/>
            </w14:solidFill>
          </w14:textFill>
        </w:rPr>
        <w:t>。</w:t>
      </w:r>
      <w:r>
        <w:rPr>
          <w:rFonts w:hint="eastAsia"/>
          <w:bCs/>
          <w:color w:val="000000" w:themeColor="text1"/>
          <w:spacing w:val="10"/>
          <w:kern w:val="0"/>
          <w:sz w:val="24"/>
          <w:szCs w:val="20"/>
          <w14:textFill>
            <w14:solidFill>
              <w14:schemeClr w14:val="tx1"/>
            </w14:solidFill>
          </w14:textFill>
        </w:rPr>
        <w:t>随后逐渐下降。</w:t>
      </w:r>
      <w:r>
        <w:rPr>
          <w:bCs/>
          <w:color w:val="000000" w:themeColor="text1"/>
          <w:spacing w:val="10"/>
          <w:kern w:val="0"/>
          <w:sz w:val="24"/>
          <w:szCs w:val="20"/>
          <w14:textFill>
            <w14:solidFill>
              <w14:schemeClr w14:val="tx1"/>
            </w14:solidFill>
          </w14:textFill>
        </w:rPr>
        <w:t>在1620天</w:t>
      </w:r>
      <w:r>
        <w:rPr>
          <w:rFonts w:hint="eastAsia"/>
          <w:bCs/>
          <w:color w:val="000000" w:themeColor="text1"/>
          <w:spacing w:val="10"/>
          <w:kern w:val="0"/>
          <w:sz w:val="24"/>
          <w:szCs w:val="20"/>
          <w14:textFill>
            <w14:solidFill>
              <w14:schemeClr w14:val="tx1"/>
            </w14:solidFill>
          </w14:textFill>
        </w:rPr>
        <w:t>后</w:t>
      </w:r>
      <w:r>
        <w:rPr>
          <w:bCs/>
          <w:color w:val="000000" w:themeColor="text1"/>
          <w:spacing w:val="10"/>
          <w:kern w:val="0"/>
          <w:sz w:val="24"/>
          <w:szCs w:val="20"/>
          <w14:textFill>
            <w14:solidFill>
              <w14:schemeClr w14:val="tx1"/>
            </w14:solidFill>
          </w14:textFill>
        </w:rPr>
        <w:t>，项目</w:t>
      </w:r>
      <w:r>
        <w:rPr>
          <w:rFonts w:hint="eastAsia"/>
          <w:bCs/>
          <w:color w:val="000000" w:themeColor="text1"/>
          <w:spacing w:val="10"/>
          <w:kern w:val="0"/>
          <w:sz w:val="24"/>
          <w:szCs w:val="20"/>
          <w14:textFill>
            <w14:solidFill>
              <w14:schemeClr w14:val="tx1"/>
            </w14:solidFill>
          </w14:textFill>
        </w:rPr>
        <w:t>区下游厂界</w:t>
      </w:r>
      <w:r>
        <w:rPr>
          <w:bCs/>
          <w:color w:val="000000" w:themeColor="text1"/>
          <w:spacing w:val="10"/>
          <w:kern w:val="0"/>
          <w:sz w:val="24"/>
          <w:szCs w:val="20"/>
          <w14:textFill>
            <w14:solidFill>
              <w14:schemeClr w14:val="tx1"/>
            </w14:solidFill>
          </w14:textFill>
        </w:rPr>
        <w:t>地下水</w:t>
      </w:r>
      <w:r>
        <w:rPr>
          <w:rFonts w:hint="eastAsia"/>
          <w:bCs/>
          <w:color w:val="000000" w:themeColor="text1"/>
          <w:spacing w:val="10"/>
          <w:kern w:val="0"/>
          <w:sz w:val="24"/>
          <w:szCs w:val="20"/>
          <w14:textFill>
            <w14:solidFill>
              <w14:schemeClr w14:val="tx1"/>
            </w14:solidFill>
          </w14:textFill>
        </w:rPr>
        <w:t>耗氧量</w:t>
      </w:r>
      <w:r>
        <w:rPr>
          <w:rFonts w:hint="eastAsia"/>
          <w:bCs/>
          <w:color w:val="000000" w:themeColor="text1"/>
          <w:kern w:val="0"/>
          <w:sz w:val="24"/>
          <w:szCs w:val="20"/>
          <w14:textFill>
            <w14:solidFill>
              <w14:schemeClr w14:val="tx1"/>
            </w14:solidFill>
          </w14:textFill>
        </w:rPr>
        <w:t>均未达到检出限，</w:t>
      </w:r>
      <w:r>
        <w:rPr>
          <w:bCs/>
          <w:color w:val="000000" w:themeColor="text1"/>
          <w:spacing w:val="10"/>
          <w:kern w:val="0"/>
          <w:sz w:val="24"/>
          <w:szCs w:val="20"/>
          <w14:textFill>
            <w14:solidFill>
              <w14:schemeClr w14:val="tx1"/>
            </w14:solidFill>
          </w14:textFill>
        </w:rPr>
        <w:t>基本为0</w:t>
      </w:r>
      <w:r>
        <w:rPr>
          <w:rFonts w:hint="eastAsia"/>
          <w:bCs/>
          <w:color w:val="000000" w:themeColor="text1"/>
          <w:spacing w:val="10"/>
          <w:kern w:val="0"/>
          <w:sz w:val="24"/>
          <w:szCs w:val="20"/>
          <w14:textFill>
            <w14:solidFill>
              <w14:schemeClr w14:val="tx1"/>
            </w14:solidFill>
          </w14:textFill>
        </w:rPr>
        <w:t>，在</w:t>
      </w:r>
      <w:r>
        <w:rPr>
          <w:bCs/>
          <w:color w:val="000000" w:themeColor="text1"/>
          <w:spacing w:val="10"/>
          <w:kern w:val="0"/>
          <w:sz w:val="24"/>
          <w:szCs w:val="20"/>
          <w14:textFill>
            <w14:solidFill>
              <w14:schemeClr w14:val="tx1"/>
            </w14:solidFill>
          </w14:textFill>
        </w:rPr>
        <w:t>1200</w:t>
      </w:r>
      <w:r>
        <w:rPr>
          <w:rFonts w:hint="eastAsia"/>
          <w:bCs/>
          <w:color w:val="000000" w:themeColor="text1"/>
          <w:spacing w:val="10"/>
          <w:kern w:val="0"/>
          <w:sz w:val="24"/>
          <w:szCs w:val="20"/>
          <w14:textFill>
            <w14:solidFill>
              <w14:schemeClr w14:val="tx1"/>
            </w14:solidFill>
          </w14:textFill>
        </w:rPr>
        <w:t>天后，项目区下游厂界地下水中氨氮</w:t>
      </w:r>
      <w:r>
        <w:rPr>
          <w:rFonts w:hint="eastAsia"/>
          <w:bCs/>
          <w:color w:val="000000" w:themeColor="text1"/>
          <w:kern w:val="0"/>
          <w:sz w:val="24"/>
          <w:szCs w:val="20"/>
          <w14:textFill>
            <w14:solidFill>
              <w14:schemeClr w14:val="tx1"/>
            </w14:solidFill>
          </w14:textFill>
        </w:rPr>
        <w:t>均未达到检出限，</w:t>
      </w:r>
      <w:r>
        <w:rPr>
          <w:bCs/>
          <w:color w:val="000000" w:themeColor="text1"/>
          <w:spacing w:val="10"/>
          <w:kern w:val="0"/>
          <w:sz w:val="24"/>
          <w:szCs w:val="20"/>
          <w14:textFill>
            <w14:solidFill>
              <w14:schemeClr w14:val="tx1"/>
            </w14:solidFill>
          </w14:textFill>
        </w:rPr>
        <w:t>基本为0</w:t>
      </w:r>
      <w:r>
        <w:rPr>
          <w:bCs/>
          <w:color w:val="000000" w:themeColor="text1"/>
          <w:kern w:val="0"/>
          <w:sz w:val="24"/>
          <w:szCs w:val="20"/>
          <w14:textFill>
            <w14:solidFill>
              <w14:schemeClr w14:val="tx1"/>
            </w14:solidFill>
          </w14:textFill>
        </w:rPr>
        <w:t>。</w:t>
      </w:r>
      <w:r>
        <w:rPr>
          <w:rFonts w:hint="eastAsia"/>
          <w:bCs/>
          <w:color w:val="000000" w:themeColor="text1"/>
          <w:kern w:val="0"/>
          <w:sz w:val="24"/>
          <w:szCs w:val="20"/>
          <w14:textFill>
            <w14:solidFill>
              <w14:schemeClr w14:val="tx1"/>
            </w14:solidFill>
          </w14:textFill>
        </w:rPr>
        <w:t>即通过模拟发现污染物在此情景下产生泄露，经采取环保措施后得到控制，对厂区内地下水水质产生的影响可以接受，对下游侧向的饮用水水源地保护敏感点未产生影响。</w:t>
      </w:r>
    </w:p>
    <w:p>
      <w:pPr>
        <w:adjustRightInd w:val="0"/>
        <w:snapToGrid w:val="0"/>
        <w:spacing w:line="520" w:lineRule="exact"/>
        <w:ind w:firstLine="482" w:firstLineChars="200"/>
        <w:textAlignment w:val="baseline"/>
        <w:outlineLvl w:val="4"/>
        <w:rPr>
          <w:b/>
          <w:color w:val="000000" w:themeColor="text1"/>
          <w:kern w:val="0"/>
          <w:sz w:val="24"/>
          <w:szCs w:val="20"/>
          <w14:textFill>
            <w14:solidFill>
              <w14:schemeClr w14:val="tx1"/>
            </w14:solidFill>
          </w14:textFill>
        </w:rPr>
      </w:pPr>
      <w:r>
        <w:rPr>
          <w:rFonts w:hint="eastAsia"/>
          <w:b/>
          <w:color w:val="000000" w:themeColor="text1"/>
          <w:kern w:val="0"/>
          <w:sz w:val="24"/>
          <w:szCs w:val="20"/>
          <w14:textFill>
            <w14:solidFill>
              <w14:schemeClr w14:val="tx1"/>
            </w14:solidFill>
          </w14:textFill>
        </w:rPr>
        <w:t>（4）</w:t>
      </w:r>
      <w:r>
        <w:rPr>
          <w:b/>
          <w:color w:val="000000" w:themeColor="text1"/>
          <w:kern w:val="0"/>
          <w:sz w:val="24"/>
          <w:szCs w:val="20"/>
          <w14:textFill>
            <w14:solidFill>
              <w14:schemeClr w14:val="tx1"/>
            </w14:solidFill>
          </w14:textFill>
        </w:rPr>
        <w:t>对敏感点的影响</w:t>
      </w:r>
    </w:p>
    <w:p>
      <w:pPr>
        <w:adjustRightInd w:val="0"/>
        <w:snapToGrid w:val="0"/>
        <w:spacing w:line="520" w:lineRule="exact"/>
        <w:ind w:firstLine="480" w:firstLineChars="200"/>
        <w:textAlignment w:val="baseline"/>
        <w:rPr>
          <w:bCs/>
          <w:color w:val="000000" w:themeColor="text1"/>
          <w:kern w:val="0"/>
          <w:sz w:val="24"/>
          <w:szCs w:val="20"/>
          <w14:textFill>
            <w14:solidFill>
              <w14:schemeClr w14:val="tx1"/>
            </w14:solidFill>
          </w14:textFill>
        </w:rPr>
      </w:pPr>
      <w:r>
        <w:rPr>
          <w:bCs/>
          <w:color w:val="000000" w:themeColor="text1"/>
          <w:kern w:val="0"/>
          <w:sz w:val="24"/>
          <w:szCs w:val="20"/>
          <w14:textFill>
            <w14:solidFill>
              <w14:schemeClr w14:val="tx1"/>
            </w14:solidFill>
          </w14:textFill>
        </w:rPr>
        <w:t>项目最近敏感点为</w:t>
      </w:r>
      <w:r>
        <w:rPr>
          <w:rFonts w:hint="eastAsia"/>
          <w:bCs/>
          <w:color w:val="000000" w:themeColor="text1"/>
          <w:kern w:val="0"/>
          <w:sz w:val="24"/>
          <w:szCs w:val="20"/>
          <w14:textFill>
            <w14:solidFill>
              <w14:schemeClr w14:val="tx1"/>
            </w14:solidFill>
          </w14:textFill>
        </w:rPr>
        <w:t>厂区上游</w:t>
      </w:r>
      <w:r>
        <w:rPr>
          <w:bCs/>
          <w:color w:val="000000" w:themeColor="text1"/>
          <w:kern w:val="0"/>
          <w:sz w:val="24"/>
          <w:szCs w:val="20"/>
          <w14:textFill>
            <w14:solidFill>
              <w14:schemeClr w14:val="tx1"/>
            </w14:solidFill>
          </w14:textFill>
        </w:rPr>
        <w:t>1010m</w:t>
      </w:r>
      <w:r>
        <w:rPr>
          <w:rFonts w:hint="eastAsia"/>
          <w:bCs/>
          <w:color w:val="000000" w:themeColor="text1"/>
          <w:kern w:val="0"/>
          <w:sz w:val="24"/>
          <w:szCs w:val="20"/>
          <w14:textFill>
            <w14:solidFill>
              <w14:schemeClr w14:val="tx1"/>
            </w14:solidFill>
          </w14:textFill>
        </w:rPr>
        <w:t>和</w:t>
      </w:r>
      <w:r>
        <w:rPr>
          <w:bCs/>
          <w:color w:val="000000" w:themeColor="text1"/>
          <w:kern w:val="0"/>
          <w:sz w:val="24"/>
          <w:szCs w:val="20"/>
          <w14:textFill>
            <w14:solidFill>
              <w14:schemeClr w14:val="tx1"/>
            </w14:solidFill>
          </w14:textFill>
        </w:rPr>
        <w:t>下游</w:t>
      </w:r>
      <w:r>
        <w:rPr>
          <w:rFonts w:hint="eastAsia"/>
          <w:bCs/>
          <w:color w:val="000000" w:themeColor="text1"/>
          <w:kern w:val="0"/>
          <w:sz w:val="24"/>
          <w:szCs w:val="20"/>
          <w14:textFill>
            <w14:solidFill>
              <w14:schemeClr w14:val="tx1"/>
            </w14:solidFill>
          </w14:textFill>
        </w:rPr>
        <w:t>侧向</w:t>
      </w:r>
      <w:r>
        <w:rPr>
          <w:bCs/>
          <w:color w:val="000000" w:themeColor="text1"/>
          <w:kern w:val="0"/>
          <w:sz w:val="24"/>
          <w:szCs w:val="20"/>
          <w14:textFill>
            <w14:solidFill>
              <w14:schemeClr w14:val="tx1"/>
            </w14:solidFill>
          </w14:textFill>
        </w:rPr>
        <w:t>2090m处为</w:t>
      </w:r>
      <w:r>
        <w:rPr>
          <w:rFonts w:hint="eastAsia"/>
          <w:bCs/>
          <w:color w:val="000000" w:themeColor="text1"/>
          <w:kern w:val="0"/>
          <w:sz w:val="24"/>
          <w:szCs w:val="20"/>
          <w14:textFill>
            <w14:solidFill>
              <w14:schemeClr w14:val="tx1"/>
            </w14:solidFill>
          </w14:textFill>
        </w:rPr>
        <w:t>原阳县水厂地下水井群</w:t>
      </w:r>
      <w:r>
        <w:rPr>
          <w:bCs/>
          <w:color w:val="000000" w:themeColor="text1"/>
          <w:kern w:val="0"/>
          <w:sz w:val="24"/>
          <w:szCs w:val="20"/>
          <w14:textFill>
            <w14:solidFill>
              <w14:schemeClr w14:val="tx1"/>
            </w14:solidFill>
          </w14:textFill>
        </w:rPr>
        <w:t>，</w:t>
      </w:r>
      <w:r>
        <w:rPr>
          <w:rFonts w:hint="eastAsia"/>
          <w:bCs/>
          <w:color w:val="000000" w:themeColor="text1"/>
          <w:kern w:val="0"/>
          <w:sz w:val="24"/>
          <w:szCs w:val="20"/>
          <w14:textFill>
            <w14:solidFill>
              <w14:schemeClr w14:val="tx1"/>
            </w14:solidFill>
          </w14:textFill>
        </w:rPr>
        <w:t>经预测，集水池在非正常工况下发生泄露后，废水污染物C</w:t>
      </w:r>
      <w:r>
        <w:rPr>
          <w:bCs/>
          <w:color w:val="000000" w:themeColor="text1"/>
          <w:kern w:val="0"/>
          <w:sz w:val="24"/>
          <w:szCs w:val="20"/>
          <w14:textFill>
            <w14:solidFill>
              <w14:schemeClr w14:val="tx1"/>
            </w14:solidFill>
          </w14:textFill>
        </w:rPr>
        <w:t>OD</w:t>
      </w:r>
      <w:r>
        <w:rPr>
          <w:rFonts w:hint="eastAsia"/>
          <w:bCs/>
          <w:color w:val="000000" w:themeColor="text1"/>
          <w:kern w:val="0"/>
          <w:sz w:val="24"/>
          <w:szCs w:val="20"/>
          <w14:textFill>
            <w14:solidFill>
              <w14:schemeClr w14:val="tx1"/>
            </w14:solidFill>
          </w14:textFill>
        </w:rPr>
        <w:t>、氨氮不会对敏感点产生影响。</w:t>
      </w:r>
    </w:p>
    <w:p>
      <w:pPr>
        <w:pStyle w:val="727"/>
        <w:rPr>
          <w:color w:val="000000" w:themeColor="text1"/>
          <w14:textFill>
            <w14:solidFill>
              <w14:schemeClr w14:val="tx1"/>
            </w14:solidFill>
          </w14:textFill>
        </w:rPr>
      </w:pPr>
      <w:r>
        <w:rPr>
          <w:color w:val="000000" w:themeColor="text1"/>
          <w14:textFill>
            <w14:solidFill>
              <w14:schemeClr w14:val="tx1"/>
            </w14:solidFill>
          </w14:textFill>
        </w:rPr>
        <w:t xml:space="preserve">5.4.9 </w:t>
      </w:r>
      <w:r>
        <w:rPr>
          <w:rFonts w:hint="eastAsia"/>
          <w:color w:val="000000" w:themeColor="text1"/>
          <w14:textFill>
            <w14:solidFill>
              <w14:schemeClr w14:val="tx1"/>
            </w14:solidFill>
          </w14:textFill>
        </w:rPr>
        <w:t>环境保护措施和对策</w:t>
      </w:r>
    </w:p>
    <w:p>
      <w:pPr>
        <w:adjustRightInd w:val="0"/>
        <w:snapToGrid w:val="0"/>
        <w:spacing w:line="520" w:lineRule="exact"/>
        <w:ind w:firstLine="520" w:firstLineChars="200"/>
        <w:textAlignment w:val="baseline"/>
        <w:rPr>
          <w:color w:val="000000" w:themeColor="text1"/>
          <w:spacing w:val="10"/>
          <w:sz w:val="24"/>
          <w:szCs w:val="24"/>
          <w:lang w:val="zh-CN"/>
          <w14:textFill>
            <w14:solidFill>
              <w14:schemeClr w14:val="tx1"/>
            </w14:solidFill>
          </w14:textFill>
        </w:rPr>
      </w:pPr>
      <w:r>
        <w:rPr>
          <w:rFonts w:hint="eastAsia"/>
          <w:color w:val="000000" w:themeColor="text1"/>
          <w:spacing w:val="10"/>
          <w:sz w:val="24"/>
          <w:szCs w:val="24"/>
          <w:lang w:val="zh-CN"/>
          <w14:textFill>
            <w14:solidFill>
              <w14:schemeClr w14:val="tx1"/>
            </w14:solidFill>
          </w14:textFill>
        </w:rPr>
        <w:t>本项目污水处理设施</w:t>
      </w:r>
      <w:r>
        <w:rPr>
          <w:rFonts w:hint="eastAsia"/>
          <w:color w:val="000000" w:themeColor="text1"/>
          <w:spacing w:val="10"/>
          <w:sz w:val="24"/>
          <w:szCs w:val="24"/>
          <w14:textFill>
            <w14:solidFill>
              <w14:schemeClr w14:val="tx1"/>
            </w14:solidFill>
          </w14:textFill>
        </w:rPr>
        <w:t>泄露有可能造成地下水污染，从而影响地下水环境。因此，必须按照“源头控制、分区防治、污染监控、应急响应”相结合的原则，提高防渗能力；根据地下水污染的可能途径，从污染物的产生、入渗、扩散各个阶段进行控制，制定建设项目地下水污染防治措施，并建立应急响应机制。</w:t>
      </w:r>
    </w:p>
    <w:p>
      <w:pPr>
        <w:pStyle w:val="460"/>
      </w:pPr>
      <w:r>
        <w:t xml:space="preserve">5.4.9.1 </w:t>
      </w:r>
      <w:r>
        <w:rPr>
          <w:rFonts w:hint="eastAsia"/>
        </w:rPr>
        <w:t>源头控制措施</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源头控制主要包括在工艺、设备、污水处理构筑物采取相应措施，防止和降低污染物跑、冒、滴、漏，将污染物泄漏的环境风险事故降到最低限度。</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对拟建项目，严格按照国家相关规范要求，对工艺、设备、污废水处理构筑物采取相应的措施，以防止和降低可能污染物的跑、冒、滴、漏，将废水泄漏的环境风险事故降低到最低程度；优化排渗系统设计；做到污染物“早发现、早处理”，以减少由于防渗层泄漏而可能造成的地下水污染。</w:t>
      </w:r>
    </w:p>
    <w:p>
      <w:pPr>
        <w:pStyle w:val="460"/>
      </w:pPr>
      <w:r>
        <w:t xml:space="preserve">5.4.9.2 </w:t>
      </w:r>
      <w:r>
        <w:rPr>
          <w:rFonts w:hint="eastAsia"/>
        </w:rPr>
        <w:t>分区防渗措施</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对项目区内可能泄漏污染物的地面进行防渗处理，可有效防治污染物渗入地下，并及时地将渗漏的污染物收集并进行集中处理。加强项目工程中的防渗等级，避免污染物入渗，采取分区防渗措施。参照《环境影响评价技术导则地下水环境》（HJ610-2016），将项目工程各功能单元可能产生污染的地区，划分为重点防渗区、一般防渗区和简单防渗区。</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根据拟建项目的具体情况，分级防渗的总体要求为：位于地下或半地下的生产功能单元，污染地下水环境的物料或污染物泄漏后，不易及时发现和处理的区域或部位，污染物泄露可能对地下水造成污染影响，为重点防渗区；裸露于地面的生产功能单元，污染地下水环境的物料或污染物泄漏后，可及时发现和处理的区域或部位，属于一般防渗区；其它区域属于简单防渗区。重点防渗区的防渗性能应与6.0m厚粘土层(渗透系数1.0×10</w:t>
      </w:r>
      <w:r>
        <w:rPr>
          <w:rFonts w:hint="eastAsia"/>
          <w:color w:val="000000" w:themeColor="text1"/>
          <w:spacing w:val="10"/>
          <w:sz w:val="24"/>
          <w:szCs w:val="24"/>
          <w:vertAlign w:val="superscript"/>
          <w14:textFill>
            <w14:solidFill>
              <w14:schemeClr w14:val="tx1"/>
            </w14:solidFill>
          </w14:textFill>
        </w:rPr>
        <w:t>-10</w:t>
      </w:r>
      <w:r>
        <w:rPr>
          <w:rFonts w:hint="eastAsia"/>
          <w:color w:val="000000" w:themeColor="text1"/>
          <w:spacing w:val="10"/>
          <w:sz w:val="24"/>
          <w:szCs w:val="24"/>
          <w14:textFill>
            <w14:solidFill>
              <w14:schemeClr w14:val="tx1"/>
            </w14:solidFill>
          </w14:textFill>
        </w:rPr>
        <w:t>cm/s)等效。一般防渗区的防渗性能应与1.5m厚粘土层(渗透系数1.0×10</w:t>
      </w:r>
      <w:r>
        <w:rPr>
          <w:rFonts w:hint="eastAsia"/>
          <w:color w:val="000000" w:themeColor="text1"/>
          <w:spacing w:val="10"/>
          <w:sz w:val="24"/>
          <w:szCs w:val="24"/>
          <w:vertAlign w:val="superscript"/>
          <w14:textFill>
            <w14:solidFill>
              <w14:schemeClr w14:val="tx1"/>
            </w14:solidFill>
          </w14:textFill>
        </w:rPr>
        <w:t>-7</w:t>
      </w:r>
      <w:r>
        <w:rPr>
          <w:rFonts w:hint="eastAsia"/>
          <w:color w:val="000000" w:themeColor="text1"/>
          <w:spacing w:val="10"/>
          <w:sz w:val="24"/>
          <w:szCs w:val="24"/>
          <w14:textFill>
            <w14:solidFill>
              <w14:schemeClr w14:val="tx1"/>
            </w14:solidFill>
          </w14:textFill>
        </w:rPr>
        <w:t>cm/s)等效；简单防渗区进行地面硬化或绿化，不要求防渗系数。经硬化的地面渗透系数≤1×10</w:t>
      </w:r>
      <w:r>
        <w:rPr>
          <w:rFonts w:hint="eastAsia"/>
          <w:color w:val="000000" w:themeColor="text1"/>
          <w:spacing w:val="10"/>
          <w:sz w:val="24"/>
          <w:szCs w:val="24"/>
          <w:vertAlign w:val="superscript"/>
          <w14:textFill>
            <w14:solidFill>
              <w14:schemeClr w14:val="tx1"/>
            </w14:solidFill>
          </w14:textFill>
        </w:rPr>
        <w:t>-7</w:t>
      </w:r>
      <w:r>
        <w:rPr>
          <w:rFonts w:hint="eastAsia"/>
          <w:color w:val="000000" w:themeColor="text1"/>
          <w:spacing w:val="10"/>
          <w:sz w:val="24"/>
          <w:szCs w:val="24"/>
          <w14:textFill>
            <w14:solidFill>
              <w14:schemeClr w14:val="tx1"/>
            </w14:solidFill>
          </w14:textFill>
        </w:rPr>
        <w:t>cm/s，可有效防止污染物渗入到潜水系统中。在有完善防渗措施的情况下，规划实施对地下水系统的影响较小。</w:t>
      </w:r>
    </w:p>
    <w:p>
      <w:pPr>
        <w:adjustRightInd w:val="0"/>
        <w:snapToGrid w:val="0"/>
        <w:spacing w:line="520" w:lineRule="exact"/>
        <w:ind w:firstLine="480" w:firstLineChars="200"/>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表</w:t>
      </w:r>
      <w:r>
        <w:rPr>
          <w:rFonts w:eastAsia="黑体"/>
          <w:color w:val="000000" w:themeColor="text1"/>
          <w:sz w:val="24"/>
          <w14:textFill>
            <w14:solidFill>
              <w14:schemeClr w14:val="tx1"/>
            </w14:solidFill>
          </w14:textFill>
        </w:rPr>
        <w:fldChar w:fldCharType="begin"/>
      </w:r>
      <w:r>
        <w:rPr>
          <w:rFonts w:eastAsia="黑体"/>
          <w:color w:val="000000" w:themeColor="text1"/>
          <w:sz w:val="24"/>
          <w14:textFill>
            <w14:solidFill>
              <w14:schemeClr w14:val="tx1"/>
            </w14:solidFill>
          </w14:textFill>
        </w:rPr>
        <w:instrText xml:space="preserve"> </w:instrText>
      </w:r>
      <w:r>
        <w:rPr>
          <w:rFonts w:hint="eastAsia" w:eastAsia="黑体"/>
          <w:color w:val="000000" w:themeColor="text1"/>
          <w:sz w:val="24"/>
          <w14:textFill>
            <w14:solidFill>
              <w14:schemeClr w14:val="tx1"/>
            </w14:solidFill>
          </w14:textFill>
        </w:rPr>
        <w:instrText xml:space="preserve">STYLEREF 1 \s</w:instrText>
      </w:r>
      <w:r>
        <w:rPr>
          <w:rFonts w:eastAsia="黑体"/>
          <w:color w:val="000000" w:themeColor="text1"/>
          <w:sz w:val="24"/>
          <w14:textFill>
            <w14:solidFill>
              <w14:schemeClr w14:val="tx1"/>
            </w14:solidFill>
          </w14:textFill>
        </w:rPr>
        <w:instrText xml:space="preserve"> </w:instrText>
      </w:r>
      <w:r>
        <w:rPr>
          <w:rFonts w:eastAsia="黑体"/>
          <w:color w:val="000000" w:themeColor="text1"/>
          <w:sz w:val="24"/>
          <w14:textFill>
            <w14:solidFill>
              <w14:schemeClr w14:val="tx1"/>
            </w14:solidFill>
          </w14:textFill>
        </w:rPr>
        <w:fldChar w:fldCharType="separate"/>
      </w:r>
      <w:r>
        <w:rPr>
          <w:rFonts w:eastAsia="黑体"/>
          <w:color w:val="000000" w:themeColor="text1"/>
          <w:sz w:val="24"/>
          <w14:textFill>
            <w14:solidFill>
              <w14:schemeClr w14:val="tx1"/>
            </w14:solidFill>
          </w14:textFill>
        </w:rPr>
        <w:t>5</w:t>
      </w:r>
      <w:r>
        <w:rPr>
          <w:rFonts w:eastAsia="黑体"/>
          <w:color w:val="000000" w:themeColor="text1"/>
          <w:sz w:val="24"/>
          <w14:textFill>
            <w14:solidFill>
              <w14:schemeClr w14:val="tx1"/>
            </w14:solidFill>
          </w14:textFill>
        </w:rPr>
        <w:fldChar w:fldCharType="end"/>
      </w:r>
      <w:r>
        <w:rPr>
          <w:rFonts w:eastAsia="黑体"/>
          <w:color w:val="000000" w:themeColor="text1"/>
          <w:sz w:val="24"/>
          <w14:textFill>
            <w14:solidFill>
              <w14:schemeClr w14:val="tx1"/>
            </w14:solidFill>
          </w14:textFill>
        </w:rPr>
        <w:t>.4</w:t>
      </w:r>
      <w:r>
        <w:rPr>
          <w:rFonts w:eastAsia="黑体"/>
          <w:color w:val="000000" w:themeColor="text1"/>
          <w:sz w:val="24"/>
          <w14:textFill>
            <w14:solidFill>
              <w14:schemeClr w14:val="tx1"/>
            </w14:solidFill>
          </w14:textFill>
        </w:rPr>
        <w:noBreakHyphen/>
      </w:r>
      <w:r>
        <w:rPr>
          <w:rFonts w:eastAsia="黑体"/>
          <w:color w:val="000000" w:themeColor="text1"/>
          <w:sz w:val="24"/>
          <w14:textFill>
            <w14:solidFill>
              <w14:schemeClr w14:val="tx1"/>
            </w14:solidFill>
          </w14:textFill>
        </w:rPr>
        <w:t xml:space="preserve">34              </w:t>
      </w:r>
      <w:r>
        <w:rPr>
          <w:rFonts w:hint="eastAsia" w:eastAsia="黑体"/>
          <w:color w:val="000000" w:themeColor="text1"/>
          <w:sz w:val="24"/>
          <w14:textFill>
            <w14:solidFill>
              <w14:schemeClr w14:val="tx1"/>
            </w14:solidFill>
          </w14:textFill>
        </w:rPr>
        <w:t>地下水污染防渗分区表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420"/>
        <w:gridCol w:w="2288"/>
        <w:gridCol w:w="2001"/>
        <w:gridCol w:w="30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tblHeader/>
          <w:jc w:val="center"/>
        </w:trPr>
        <w:tc>
          <w:tcPr>
            <w:tcW w:w="808" w:type="pct"/>
            <w:vAlign w:val="center"/>
          </w:tcPr>
          <w:p>
            <w:pPr>
              <w:pStyle w:val="94"/>
              <w:rPr>
                <w:color w:val="auto"/>
              </w:rPr>
            </w:pPr>
            <w:r>
              <w:rPr>
                <w:rFonts w:hint="eastAsia"/>
                <w:color w:val="auto"/>
              </w:rPr>
              <w:t>防渗分区</w:t>
            </w:r>
          </w:p>
        </w:tc>
        <w:tc>
          <w:tcPr>
            <w:tcW w:w="1302" w:type="pct"/>
            <w:vAlign w:val="center"/>
          </w:tcPr>
          <w:p>
            <w:pPr>
              <w:pStyle w:val="94"/>
              <w:rPr>
                <w:color w:val="auto"/>
              </w:rPr>
            </w:pPr>
            <w:r>
              <w:rPr>
                <w:rFonts w:hint="eastAsia"/>
                <w:color w:val="auto"/>
              </w:rPr>
              <w:t>天然包气带防污性能</w:t>
            </w:r>
          </w:p>
        </w:tc>
        <w:tc>
          <w:tcPr>
            <w:tcW w:w="1139" w:type="pct"/>
            <w:vAlign w:val="center"/>
          </w:tcPr>
          <w:p>
            <w:pPr>
              <w:pStyle w:val="94"/>
              <w:rPr>
                <w:color w:val="auto"/>
              </w:rPr>
            </w:pPr>
            <w:r>
              <w:rPr>
                <w:rFonts w:hint="eastAsia"/>
                <w:color w:val="auto"/>
              </w:rPr>
              <w:t>污染控制难以程度</w:t>
            </w:r>
          </w:p>
        </w:tc>
        <w:tc>
          <w:tcPr>
            <w:tcW w:w="1751" w:type="pct"/>
            <w:vAlign w:val="center"/>
          </w:tcPr>
          <w:p>
            <w:pPr>
              <w:pStyle w:val="94"/>
              <w:rPr>
                <w:color w:val="auto"/>
              </w:rPr>
            </w:pPr>
            <w:r>
              <w:rPr>
                <w:rFonts w:hint="eastAsia"/>
                <w:color w:val="auto"/>
              </w:rPr>
              <w:t>防渗技术要求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8" w:type="pct"/>
            <w:vMerge w:val="restart"/>
            <w:vAlign w:val="center"/>
          </w:tcPr>
          <w:p>
            <w:pPr>
              <w:pStyle w:val="90"/>
            </w:pPr>
            <w:r>
              <w:rPr>
                <w:rFonts w:hint="eastAsia"/>
              </w:rPr>
              <w:t>重点防渗区</w:t>
            </w:r>
          </w:p>
        </w:tc>
        <w:tc>
          <w:tcPr>
            <w:tcW w:w="1302" w:type="pct"/>
            <w:vAlign w:val="center"/>
          </w:tcPr>
          <w:p>
            <w:pPr>
              <w:pStyle w:val="90"/>
            </w:pPr>
            <w:r>
              <w:rPr>
                <w:rFonts w:hint="eastAsia"/>
              </w:rPr>
              <w:t>弱</w:t>
            </w:r>
          </w:p>
        </w:tc>
        <w:tc>
          <w:tcPr>
            <w:tcW w:w="1139" w:type="pct"/>
            <w:vAlign w:val="center"/>
          </w:tcPr>
          <w:p>
            <w:pPr>
              <w:pStyle w:val="90"/>
            </w:pPr>
            <w:r>
              <w:rPr>
                <w:rFonts w:hint="eastAsia"/>
              </w:rPr>
              <w:t>难</w:t>
            </w:r>
          </w:p>
        </w:tc>
        <w:tc>
          <w:tcPr>
            <w:tcW w:w="1751" w:type="pct"/>
            <w:vMerge w:val="restart"/>
            <w:vAlign w:val="center"/>
          </w:tcPr>
          <w:p>
            <w:pPr>
              <w:pStyle w:val="90"/>
            </w:pPr>
            <w:r>
              <w:rPr>
                <w:rFonts w:hint="eastAsia"/>
              </w:rPr>
              <w:t>等效粘土防渗层</w:t>
            </w:r>
            <w:r>
              <w:t>Mb≥6.0m</w:t>
            </w:r>
            <w:r>
              <w:rPr>
                <w:rFonts w:hint="eastAsia"/>
              </w:rPr>
              <w:t>，</w:t>
            </w:r>
            <w:r>
              <w:t>K≤1.55×10</w:t>
            </w:r>
            <w:r>
              <w:rPr>
                <w:vertAlign w:val="superscript"/>
              </w:rPr>
              <w:t>-7</w:t>
            </w:r>
            <w:r>
              <w:t>cm/s</w:t>
            </w:r>
            <w:r>
              <w:rPr>
                <w:rFonts w:hint="eastAsia"/>
              </w:rPr>
              <w:t>；或参照</w:t>
            </w:r>
            <w:r>
              <w:t>GB18598</w:t>
            </w:r>
            <w:r>
              <w:rPr>
                <w:rFonts w:hint="eastAsia"/>
              </w:rPr>
              <w:t>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8" w:type="pct"/>
            <w:vMerge w:val="continue"/>
            <w:vAlign w:val="center"/>
          </w:tcPr>
          <w:p>
            <w:pPr>
              <w:pStyle w:val="90"/>
            </w:pPr>
          </w:p>
        </w:tc>
        <w:tc>
          <w:tcPr>
            <w:tcW w:w="1302" w:type="pct"/>
            <w:vAlign w:val="center"/>
          </w:tcPr>
          <w:p>
            <w:pPr>
              <w:pStyle w:val="90"/>
            </w:pPr>
            <w:r>
              <w:rPr>
                <w:rFonts w:hint="eastAsia"/>
              </w:rPr>
              <w:t>中</w:t>
            </w:r>
            <w:r>
              <w:t>-</w:t>
            </w:r>
            <w:r>
              <w:rPr>
                <w:rFonts w:hint="eastAsia"/>
              </w:rPr>
              <w:t>强</w:t>
            </w:r>
          </w:p>
        </w:tc>
        <w:tc>
          <w:tcPr>
            <w:tcW w:w="1139" w:type="pct"/>
            <w:vAlign w:val="center"/>
          </w:tcPr>
          <w:p>
            <w:pPr>
              <w:pStyle w:val="90"/>
            </w:pPr>
            <w:r>
              <w:rPr>
                <w:rFonts w:hint="eastAsia"/>
              </w:rPr>
              <w:t>难</w:t>
            </w:r>
          </w:p>
        </w:tc>
        <w:tc>
          <w:tcPr>
            <w:tcW w:w="1751" w:type="pct"/>
            <w:vMerge w:val="continue"/>
            <w:vAlign w:val="center"/>
          </w:tcPr>
          <w:p>
            <w:pPr>
              <w:pStyle w:val="9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8" w:type="pct"/>
            <w:vMerge w:val="continue"/>
            <w:vAlign w:val="center"/>
          </w:tcPr>
          <w:p>
            <w:pPr>
              <w:pStyle w:val="90"/>
            </w:pPr>
          </w:p>
        </w:tc>
        <w:tc>
          <w:tcPr>
            <w:tcW w:w="1302" w:type="pct"/>
            <w:vAlign w:val="center"/>
          </w:tcPr>
          <w:p>
            <w:pPr>
              <w:pStyle w:val="90"/>
            </w:pPr>
            <w:r>
              <w:rPr>
                <w:rFonts w:hint="eastAsia"/>
              </w:rPr>
              <w:t>弱</w:t>
            </w:r>
          </w:p>
        </w:tc>
        <w:tc>
          <w:tcPr>
            <w:tcW w:w="1139" w:type="pct"/>
            <w:vAlign w:val="center"/>
          </w:tcPr>
          <w:p>
            <w:pPr>
              <w:pStyle w:val="90"/>
            </w:pPr>
            <w:r>
              <w:rPr>
                <w:rFonts w:hint="eastAsia"/>
              </w:rPr>
              <w:t>易</w:t>
            </w:r>
          </w:p>
        </w:tc>
        <w:tc>
          <w:tcPr>
            <w:tcW w:w="1751" w:type="pct"/>
            <w:vMerge w:val="continue"/>
            <w:vAlign w:val="center"/>
          </w:tcPr>
          <w:p>
            <w:pPr>
              <w:pStyle w:val="9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8" w:type="pct"/>
            <w:vMerge w:val="restart"/>
            <w:vAlign w:val="center"/>
          </w:tcPr>
          <w:p>
            <w:pPr>
              <w:pStyle w:val="90"/>
            </w:pPr>
            <w:r>
              <w:rPr>
                <w:rFonts w:hint="eastAsia"/>
              </w:rPr>
              <w:t>一般防渗区</w:t>
            </w:r>
          </w:p>
        </w:tc>
        <w:tc>
          <w:tcPr>
            <w:tcW w:w="1302" w:type="pct"/>
            <w:vAlign w:val="center"/>
          </w:tcPr>
          <w:p>
            <w:pPr>
              <w:pStyle w:val="90"/>
            </w:pPr>
            <w:r>
              <w:rPr>
                <w:rFonts w:hint="eastAsia"/>
              </w:rPr>
              <w:t>弱</w:t>
            </w:r>
          </w:p>
        </w:tc>
        <w:tc>
          <w:tcPr>
            <w:tcW w:w="1139" w:type="pct"/>
            <w:vAlign w:val="center"/>
          </w:tcPr>
          <w:p>
            <w:pPr>
              <w:pStyle w:val="90"/>
            </w:pPr>
            <w:r>
              <w:rPr>
                <w:rFonts w:hint="eastAsia"/>
              </w:rPr>
              <w:t>易</w:t>
            </w:r>
            <w:r>
              <w:t>-</w:t>
            </w:r>
            <w:r>
              <w:rPr>
                <w:rFonts w:hint="eastAsia"/>
              </w:rPr>
              <w:t>难</w:t>
            </w:r>
          </w:p>
        </w:tc>
        <w:tc>
          <w:tcPr>
            <w:tcW w:w="1751" w:type="pct"/>
            <w:vMerge w:val="restart"/>
            <w:vAlign w:val="center"/>
          </w:tcPr>
          <w:p>
            <w:pPr>
              <w:pStyle w:val="90"/>
            </w:pPr>
            <w:r>
              <w:rPr>
                <w:rFonts w:hint="eastAsia"/>
              </w:rPr>
              <w:t>等效粘土防渗层</w:t>
            </w:r>
            <w:r>
              <w:t>Mb≥1.5m</w:t>
            </w:r>
            <w:r>
              <w:rPr>
                <w:rFonts w:hint="eastAsia"/>
              </w:rPr>
              <w:t>，</w:t>
            </w:r>
            <w:r>
              <w:t>K≤1.0×10</w:t>
            </w:r>
            <w:r>
              <w:rPr>
                <w:vertAlign w:val="superscript"/>
              </w:rPr>
              <w:t>-7</w:t>
            </w:r>
            <w:r>
              <w:t>cm/s</w:t>
            </w:r>
            <w:r>
              <w:rPr>
                <w:rFonts w:hint="eastAsia"/>
              </w:rPr>
              <w:t>；或参照</w:t>
            </w:r>
            <w:r>
              <w:t>GB18598</w:t>
            </w:r>
            <w:r>
              <w:rPr>
                <w:rFonts w:hint="eastAsia"/>
              </w:rPr>
              <w:t>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8" w:type="pct"/>
            <w:vMerge w:val="continue"/>
            <w:vAlign w:val="center"/>
          </w:tcPr>
          <w:p>
            <w:pPr>
              <w:pStyle w:val="90"/>
            </w:pPr>
          </w:p>
        </w:tc>
        <w:tc>
          <w:tcPr>
            <w:tcW w:w="1302" w:type="pct"/>
            <w:vAlign w:val="center"/>
          </w:tcPr>
          <w:p>
            <w:pPr>
              <w:pStyle w:val="90"/>
            </w:pPr>
            <w:r>
              <w:rPr>
                <w:rFonts w:hint="eastAsia"/>
              </w:rPr>
              <w:t>中</w:t>
            </w:r>
            <w:r>
              <w:t>-</w:t>
            </w:r>
            <w:r>
              <w:rPr>
                <w:rFonts w:hint="eastAsia"/>
              </w:rPr>
              <w:t>强</w:t>
            </w:r>
          </w:p>
        </w:tc>
        <w:tc>
          <w:tcPr>
            <w:tcW w:w="1139" w:type="pct"/>
            <w:vAlign w:val="center"/>
          </w:tcPr>
          <w:p>
            <w:pPr>
              <w:pStyle w:val="90"/>
            </w:pPr>
            <w:r>
              <w:rPr>
                <w:rFonts w:hint="eastAsia"/>
              </w:rPr>
              <w:t>难</w:t>
            </w:r>
          </w:p>
        </w:tc>
        <w:tc>
          <w:tcPr>
            <w:tcW w:w="1751" w:type="pct"/>
            <w:vMerge w:val="continue"/>
            <w:vAlign w:val="center"/>
          </w:tcPr>
          <w:p>
            <w:pPr>
              <w:pStyle w:val="9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8" w:type="pct"/>
            <w:vMerge w:val="continue"/>
            <w:vAlign w:val="center"/>
          </w:tcPr>
          <w:p>
            <w:pPr>
              <w:pStyle w:val="90"/>
            </w:pPr>
          </w:p>
        </w:tc>
        <w:tc>
          <w:tcPr>
            <w:tcW w:w="1302" w:type="pct"/>
            <w:vAlign w:val="center"/>
          </w:tcPr>
          <w:p>
            <w:pPr>
              <w:pStyle w:val="90"/>
            </w:pPr>
            <w:r>
              <w:rPr>
                <w:rFonts w:hint="eastAsia"/>
              </w:rPr>
              <w:t>中</w:t>
            </w:r>
          </w:p>
        </w:tc>
        <w:tc>
          <w:tcPr>
            <w:tcW w:w="1139" w:type="pct"/>
            <w:vAlign w:val="center"/>
          </w:tcPr>
          <w:p>
            <w:pPr>
              <w:pStyle w:val="90"/>
            </w:pPr>
            <w:r>
              <w:rPr>
                <w:rFonts w:hint="eastAsia"/>
              </w:rPr>
              <w:t>易</w:t>
            </w:r>
          </w:p>
        </w:tc>
        <w:tc>
          <w:tcPr>
            <w:tcW w:w="1751" w:type="pct"/>
            <w:vMerge w:val="continue"/>
            <w:vAlign w:val="center"/>
          </w:tcPr>
          <w:p>
            <w:pPr>
              <w:pStyle w:val="9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8" w:type="pct"/>
            <w:vMerge w:val="restart"/>
            <w:vAlign w:val="center"/>
          </w:tcPr>
          <w:p>
            <w:pPr>
              <w:pStyle w:val="90"/>
            </w:pPr>
            <w:r>
              <w:rPr>
                <w:rFonts w:hint="eastAsia"/>
              </w:rPr>
              <w:t>单防渗区</w:t>
            </w:r>
          </w:p>
        </w:tc>
        <w:tc>
          <w:tcPr>
            <w:tcW w:w="1302" w:type="pct"/>
            <w:vAlign w:val="center"/>
          </w:tcPr>
          <w:p>
            <w:pPr>
              <w:pStyle w:val="90"/>
            </w:pPr>
            <w:r>
              <w:rPr>
                <w:rFonts w:hint="eastAsia"/>
              </w:rPr>
              <w:t>强</w:t>
            </w:r>
          </w:p>
        </w:tc>
        <w:tc>
          <w:tcPr>
            <w:tcW w:w="1139" w:type="pct"/>
            <w:vAlign w:val="center"/>
          </w:tcPr>
          <w:p>
            <w:pPr>
              <w:pStyle w:val="90"/>
            </w:pPr>
            <w:r>
              <w:rPr>
                <w:rFonts w:hint="eastAsia"/>
              </w:rPr>
              <w:t>易</w:t>
            </w:r>
          </w:p>
        </w:tc>
        <w:tc>
          <w:tcPr>
            <w:tcW w:w="1751" w:type="pct"/>
            <w:vMerge w:val="restart"/>
            <w:vAlign w:val="center"/>
          </w:tcPr>
          <w:p>
            <w:pPr>
              <w:pStyle w:val="90"/>
            </w:pPr>
            <w:r>
              <w:rPr>
                <w:rFonts w:hint="eastAsia"/>
              </w:rPr>
              <w:t>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8" w:type="pct"/>
            <w:vMerge w:val="continue"/>
            <w:vAlign w:val="center"/>
          </w:tcPr>
          <w:p>
            <w:pPr>
              <w:pStyle w:val="90"/>
            </w:pPr>
          </w:p>
        </w:tc>
        <w:tc>
          <w:tcPr>
            <w:tcW w:w="1302" w:type="pct"/>
            <w:vAlign w:val="center"/>
          </w:tcPr>
          <w:p>
            <w:pPr>
              <w:pStyle w:val="90"/>
            </w:pPr>
            <w:r>
              <w:rPr>
                <w:rFonts w:hint="eastAsia"/>
              </w:rPr>
              <w:t>中</w:t>
            </w:r>
            <w:r>
              <w:t>-</w:t>
            </w:r>
            <w:r>
              <w:rPr>
                <w:rFonts w:hint="eastAsia"/>
              </w:rPr>
              <w:t>强</w:t>
            </w:r>
          </w:p>
        </w:tc>
        <w:tc>
          <w:tcPr>
            <w:tcW w:w="1139" w:type="pct"/>
            <w:vAlign w:val="center"/>
          </w:tcPr>
          <w:p>
            <w:pPr>
              <w:pStyle w:val="90"/>
            </w:pPr>
            <w:r>
              <w:rPr>
                <w:rFonts w:hint="eastAsia"/>
              </w:rPr>
              <w:t>易</w:t>
            </w:r>
          </w:p>
        </w:tc>
        <w:tc>
          <w:tcPr>
            <w:tcW w:w="1751" w:type="pct"/>
            <w:vMerge w:val="continue"/>
            <w:vAlign w:val="center"/>
          </w:tcPr>
          <w:p>
            <w:pPr>
              <w:pStyle w:val="90"/>
            </w:pPr>
          </w:p>
        </w:tc>
      </w:tr>
    </w:tbl>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p>
    <w:p>
      <w:pPr>
        <w:pStyle w:val="460"/>
      </w:pPr>
      <w:r>
        <w:t xml:space="preserve">5.4.9.3 </w:t>
      </w:r>
      <w:r>
        <w:rPr>
          <w:rFonts w:hint="eastAsia"/>
        </w:rPr>
        <w:t>地下水环境监测与管理</w:t>
      </w:r>
    </w:p>
    <w:p>
      <w:pPr>
        <w:adjustRightInd w:val="0"/>
        <w:snapToGrid w:val="0"/>
        <w:spacing w:line="520" w:lineRule="exact"/>
        <w:ind w:firstLine="520" w:firstLineChars="200"/>
        <w:textAlignment w:val="baseline"/>
        <w:outlineLvl w:val="4"/>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（1）监测</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为了及时准确地掌握项目区及其周边地区地下水环境质量状况的动态变化，应建立地下水长期监控系统，包括科学、合理地设置地下水污染监控井，建立完善的监测制度，配备先进的检测仪器和设备，以便及时发现并及时控制。</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本项目地下水环境监测依据《地下水环境监测技术规范》（HJ/T164-20</w:t>
      </w:r>
      <w:r>
        <w:rPr>
          <w:color w:val="000000" w:themeColor="text1"/>
          <w:spacing w:val="10"/>
          <w:sz w:val="24"/>
          <w:szCs w:val="24"/>
          <w14:textFill>
            <w14:solidFill>
              <w14:schemeClr w14:val="tx1"/>
            </w14:solidFill>
          </w14:textFill>
        </w:rPr>
        <w:t>20</w:t>
      </w:r>
      <w:r>
        <w:rPr>
          <w:rFonts w:hint="eastAsia"/>
          <w:color w:val="000000" w:themeColor="text1"/>
          <w:spacing w:val="10"/>
          <w:sz w:val="24"/>
          <w:szCs w:val="24"/>
          <w14:textFill>
            <w14:solidFill>
              <w14:schemeClr w14:val="tx1"/>
            </w14:solidFill>
          </w14:textFill>
        </w:rPr>
        <w:t>）和《工业企业土壤和地下水自行监测技术指南（试行）》（H</w:t>
      </w:r>
      <w:r>
        <w:rPr>
          <w:color w:val="000000" w:themeColor="text1"/>
          <w:spacing w:val="10"/>
          <w:sz w:val="24"/>
          <w:szCs w:val="24"/>
          <w14:textFill>
            <w14:solidFill>
              <w14:schemeClr w14:val="tx1"/>
            </w14:solidFill>
          </w14:textFill>
        </w:rPr>
        <w:t>J 1209-2021</w:t>
      </w:r>
      <w:r>
        <w:rPr>
          <w:rFonts w:hint="eastAsia"/>
          <w:color w:val="000000" w:themeColor="text1"/>
          <w:spacing w:val="10"/>
          <w:sz w:val="24"/>
          <w:szCs w:val="24"/>
          <w14:textFill>
            <w14:solidFill>
              <w14:schemeClr w14:val="tx1"/>
            </w14:solidFill>
          </w14:textFill>
        </w:rPr>
        <w:t>），结合项目区含水层系统和地下水径流系统特征，考虑潜在污染源、环境保护目标等因素，并结合模型预测的结果来布置地下水监测点。</w:t>
      </w:r>
    </w:p>
    <w:p>
      <w:pPr>
        <w:adjustRightInd w:val="0"/>
        <w:snapToGrid w:val="0"/>
        <w:spacing w:line="520" w:lineRule="exact"/>
        <w:ind w:firstLine="520" w:firstLineChars="200"/>
        <w:textAlignment w:val="baseline"/>
        <w:outlineLvl w:val="5"/>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①监测点布设</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依据地下水导则，在本项目区的上游、下游及预测结果污染物运移范围布设</w:t>
      </w:r>
      <w:r>
        <w:rPr>
          <w:color w:val="000000" w:themeColor="text1"/>
          <w:spacing w:val="10"/>
          <w:sz w:val="24"/>
          <w:szCs w:val="24"/>
          <w14:textFill>
            <w14:solidFill>
              <w14:schemeClr w14:val="tx1"/>
            </w14:solidFill>
          </w14:textFill>
        </w:rPr>
        <w:t>4</w:t>
      </w:r>
      <w:r>
        <w:rPr>
          <w:rFonts w:hint="eastAsia"/>
          <w:color w:val="000000" w:themeColor="text1"/>
          <w:spacing w:val="10"/>
          <w:sz w:val="24"/>
          <w:szCs w:val="24"/>
          <w14:textFill>
            <w14:solidFill>
              <w14:schemeClr w14:val="tx1"/>
            </w14:solidFill>
          </w14:textFill>
        </w:rPr>
        <w:t>个监测点，建立完善的地下水长期监控系统，并建立合理的监测制度、配备先进的检测仪器和设备，以便及时发现并有效的控制可能产生的地下水环境风险。</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考虑到污染物可能的污染路径以及下游的地下水含水层、污染物预测污染范围等，在项目区地下水两侧各设置地下水监测井1个，作为地下水环境影响跟踪监测点，监测层位为浅层地下水；在项目区的下游设置地下水监测井1个，作为污染扩散监测点；在上游布置地下水监测井1个，作为背景值监测点。</w:t>
      </w:r>
    </w:p>
    <w:p>
      <w:pPr>
        <w:adjustRightInd w:val="0"/>
        <w:snapToGrid w:val="0"/>
        <w:spacing w:line="520" w:lineRule="exact"/>
        <w:ind w:firstLine="520" w:firstLineChars="200"/>
        <w:textAlignment w:val="baseline"/>
        <w:outlineLvl w:val="5"/>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②监测点位</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监测点位、层位、相对项目方位、监测功能等详见下表。</w:t>
      </w:r>
    </w:p>
    <w:p>
      <w:pPr>
        <w:adjustRightInd w:val="0"/>
        <w:snapToGrid w:val="0"/>
        <w:spacing w:line="520" w:lineRule="exact"/>
        <w:ind w:firstLine="480" w:firstLineChars="200"/>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表</w:t>
      </w:r>
      <w:r>
        <w:rPr>
          <w:rFonts w:eastAsia="黑体"/>
          <w:color w:val="000000" w:themeColor="text1"/>
          <w:sz w:val="24"/>
          <w14:textFill>
            <w14:solidFill>
              <w14:schemeClr w14:val="tx1"/>
            </w14:solidFill>
          </w14:textFill>
        </w:rPr>
        <w:fldChar w:fldCharType="begin"/>
      </w:r>
      <w:r>
        <w:rPr>
          <w:rFonts w:eastAsia="黑体"/>
          <w:color w:val="000000" w:themeColor="text1"/>
          <w:sz w:val="24"/>
          <w14:textFill>
            <w14:solidFill>
              <w14:schemeClr w14:val="tx1"/>
            </w14:solidFill>
          </w14:textFill>
        </w:rPr>
        <w:instrText xml:space="preserve"> </w:instrText>
      </w:r>
      <w:r>
        <w:rPr>
          <w:rFonts w:hint="eastAsia" w:eastAsia="黑体"/>
          <w:color w:val="000000" w:themeColor="text1"/>
          <w:sz w:val="24"/>
          <w14:textFill>
            <w14:solidFill>
              <w14:schemeClr w14:val="tx1"/>
            </w14:solidFill>
          </w14:textFill>
        </w:rPr>
        <w:instrText xml:space="preserve">STYLEREF 1 \s</w:instrText>
      </w:r>
      <w:r>
        <w:rPr>
          <w:rFonts w:eastAsia="黑体"/>
          <w:color w:val="000000" w:themeColor="text1"/>
          <w:sz w:val="24"/>
          <w14:textFill>
            <w14:solidFill>
              <w14:schemeClr w14:val="tx1"/>
            </w14:solidFill>
          </w14:textFill>
        </w:rPr>
        <w:instrText xml:space="preserve"> </w:instrText>
      </w:r>
      <w:r>
        <w:rPr>
          <w:rFonts w:eastAsia="黑体"/>
          <w:color w:val="000000" w:themeColor="text1"/>
          <w:sz w:val="24"/>
          <w14:textFill>
            <w14:solidFill>
              <w14:schemeClr w14:val="tx1"/>
            </w14:solidFill>
          </w14:textFill>
        </w:rPr>
        <w:fldChar w:fldCharType="separate"/>
      </w:r>
      <w:r>
        <w:rPr>
          <w:rFonts w:eastAsia="黑体"/>
          <w:color w:val="000000" w:themeColor="text1"/>
          <w:sz w:val="24"/>
          <w14:textFill>
            <w14:solidFill>
              <w14:schemeClr w14:val="tx1"/>
            </w14:solidFill>
          </w14:textFill>
        </w:rPr>
        <w:t>5</w:t>
      </w:r>
      <w:r>
        <w:rPr>
          <w:rFonts w:eastAsia="黑体"/>
          <w:color w:val="000000" w:themeColor="text1"/>
          <w:sz w:val="24"/>
          <w14:textFill>
            <w14:solidFill>
              <w14:schemeClr w14:val="tx1"/>
            </w14:solidFill>
          </w14:textFill>
        </w:rPr>
        <w:fldChar w:fldCharType="end"/>
      </w:r>
      <w:r>
        <w:rPr>
          <w:rFonts w:eastAsia="黑体"/>
          <w:color w:val="000000" w:themeColor="text1"/>
          <w:sz w:val="24"/>
          <w14:textFill>
            <w14:solidFill>
              <w14:schemeClr w14:val="tx1"/>
            </w14:solidFill>
          </w14:textFill>
        </w:rPr>
        <w:t>.4</w:t>
      </w:r>
      <w:r>
        <w:rPr>
          <w:rFonts w:eastAsia="黑体"/>
          <w:color w:val="000000" w:themeColor="text1"/>
          <w:sz w:val="24"/>
          <w14:textFill>
            <w14:solidFill>
              <w14:schemeClr w14:val="tx1"/>
            </w14:solidFill>
          </w14:textFill>
        </w:rPr>
        <w:noBreakHyphen/>
      </w:r>
      <w:r>
        <w:rPr>
          <w:rFonts w:eastAsia="黑体"/>
          <w:color w:val="000000" w:themeColor="text1"/>
          <w:sz w:val="24"/>
          <w14:textFill>
            <w14:solidFill>
              <w14:schemeClr w14:val="tx1"/>
            </w14:solidFill>
          </w14:textFill>
        </w:rPr>
        <w:t xml:space="preserve">35              </w:t>
      </w:r>
      <w:r>
        <w:rPr>
          <w:rFonts w:hint="eastAsia" w:eastAsia="黑体"/>
          <w:color w:val="000000" w:themeColor="text1"/>
          <w:sz w:val="24"/>
          <w14:textFill>
            <w14:solidFill>
              <w14:schemeClr w14:val="tx1"/>
            </w14:solidFill>
          </w14:textFill>
        </w:rPr>
        <w:t>地下水监测孔设计表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848"/>
        <w:gridCol w:w="2144"/>
        <w:gridCol w:w="2432"/>
        <w:gridCol w:w="2109"/>
        <w:gridCol w:w="125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83" w:type="pct"/>
            <w:vAlign w:val="center"/>
          </w:tcPr>
          <w:p>
            <w:pPr>
              <w:pStyle w:val="94"/>
              <w:rPr>
                <w:color w:val="auto"/>
              </w:rPr>
            </w:pPr>
            <w:r>
              <w:rPr>
                <w:rFonts w:hint="eastAsia"/>
                <w:color w:val="auto"/>
              </w:rPr>
              <w:t>序号</w:t>
            </w:r>
          </w:p>
        </w:tc>
        <w:tc>
          <w:tcPr>
            <w:tcW w:w="1220" w:type="pct"/>
            <w:vAlign w:val="center"/>
          </w:tcPr>
          <w:p>
            <w:pPr>
              <w:pStyle w:val="94"/>
              <w:rPr>
                <w:color w:val="auto"/>
              </w:rPr>
            </w:pPr>
            <w:r>
              <w:rPr>
                <w:rFonts w:hint="eastAsia"/>
                <w:color w:val="auto"/>
              </w:rPr>
              <w:t>点位</w:t>
            </w:r>
          </w:p>
        </w:tc>
        <w:tc>
          <w:tcPr>
            <w:tcW w:w="1384" w:type="pct"/>
            <w:vAlign w:val="center"/>
          </w:tcPr>
          <w:p>
            <w:pPr>
              <w:pStyle w:val="94"/>
              <w:rPr>
                <w:color w:val="auto"/>
              </w:rPr>
            </w:pPr>
            <w:r>
              <w:rPr>
                <w:rFonts w:hint="eastAsia"/>
                <w:color w:val="auto"/>
              </w:rPr>
              <w:t>相对项目区方位</w:t>
            </w:r>
          </w:p>
        </w:tc>
        <w:tc>
          <w:tcPr>
            <w:tcW w:w="1200" w:type="pct"/>
            <w:vAlign w:val="center"/>
          </w:tcPr>
          <w:p>
            <w:pPr>
              <w:pStyle w:val="94"/>
              <w:rPr>
                <w:color w:val="auto"/>
              </w:rPr>
            </w:pPr>
            <w:r>
              <w:rPr>
                <w:rFonts w:hint="eastAsia"/>
                <w:color w:val="auto"/>
              </w:rPr>
              <w:t>监测功能</w:t>
            </w:r>
          </w:p>
        </w:tc>
        <w:tc>
          <w:tcPr>
            <w:tcW w:w="713" w:type="pct"/>
            <w:vAlign w:val="center"/>
          </w:tcPr>
          <w:p>
            <w:pPr>
              <w:pStyle w:val="94"/>
              <w:rPr>
                <w:color w:val="auto"/>
              </w:rPr>
            </w:pPr>
            <w:r>
              <w:rPr>
                <w:rFonts w:hint="eastAsia"/>
                <w:color w:val="auto"/>
              </w:rPr>
              <w:t>监测层位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83" w:type="pct"/>
            <w:vAlign w:val="center"/>
          </w:tcPr>
          <w:p>
            <w:pPr>
              <w:pStyle w:val="90"/>
            </w:pPr>
            <w:r>
              <w:rPr>
                <w:rFonts w:hint="eastAsia"/>
              </w:rPr>
              <w:t>1</w:t>
            </w:r>
          </w:p>
        </w:tc>
        <w:tc>
          <w:tcPr>
            <w:tcW w:w="1220" w:type="pct"/>
            <w:vAlign w:val="center"/>
          </w:tcPr>
          <w:p>
            <w:pPr>
              <w:pStyle w:val="90"/>
            </w:pPr>
            <w:r>
              <w:rPr>
                <w:rFonts w:hint="eastAsia"/>
              </w:rPr>
              <w:t>下游侧向</w:t>
            </w:r>
          </w:p>
        </w:tc>
        <w:tc>
          <w:tcPr>
            <w:tcW w:w="1384" w:type="pct"/>
            <w:vAlign w:val="center"/>
          </w:tcPr>
          <w:p>
            <w:pPr>
              <w:pStyle w:val="90"/>
            </w:pPr>
            <w:r>
              <w:rPr>
                <w:rFonts w:hint="eastAsia"/>
              </w:rPr>
              <w:t>西北</w:t>
            </w:r>
          </w:p>
        </w:tc>
        <w:tc>
          <w:tcPr>
            <w:tcW w:w="1200" w:type="pct"/>
            <w:vMerge w:val="restart"/>
            <w:vAlign w:val="center"/>
          </w:tcPr>
          <w:p>
            <w:pPr>
              <w:pStyle w:val="90"/>
            </w:pPr>
            <w:r>
              <w:rPr>
                <w:rFonts w:hint="eastAsia"/>
              </w:rPr>
              <w:t>跟踪监测</w:t>
            </w:r>
          </w:p>
        </w:tc>
        <w:tc>
          <w:tcPr>
            <w:tcW w:w="713" w:type="pct"/>
            <w:vMerge w:val="restart"/>
            <w:vAlign w:val="center"/>
          </w:tcPr>
          <w:p>
            <w:pPr>
              <w:pStyle w:val="90"/>
            </w:pPr>
            <w:r>
              <w:rPr>
                <w:rFonts w:hint="eastAsia"/>
              </w:rPr>
              <w:t>浅层孔隙含水层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83" w:type="pct"/>
            <w:vAlign w:val="center"/>
          </w:tcPr>
          <w:p>
            <w:pPr>
              <w:pStyle w:val="90"/>
            </w:pPr>
            <w:r>
              <w:rPr>
                <w:rFonts w:hint="eastAsia"/>
              </w:rPr>
              <w:t>2</w:t>
            </w:r>
          </w:p>
        </w:tc>
        <w:tc>
          <w:tcPr>
            <w:tcW w:w="1220" w:type="pct"/>
            <w:vAlign w:val="center"/>
          </w:tcPr>
          <w:p>
            <w:pPr>
              <w:pStyle w:val="90"/>
            </w:pPr>
            <w:r>
              <w:rPr>
                <w:rFonts w:hint="eastAsia"/>
              </w:rPr>
              <w:t>下游侧向</w:t>
            </w:r>
          </w:p>
        </w:tc>
        <w:tc>
          <w:tcPr>
            <w:tcW w:w="1384" w:type="pct"/>
            <w:vAlign w:val="center"/>
          </w:tcPr>
          <w:p>
            <w:pPr>
              <w:pStyle w:val="90"/>
            </w:pPr>
            <w:r>
              <w:rPr>
                <w:rFonts w:hint="eastAsia"/>
              </w:rPr>
              <w:t>东南</w:t>
            </w:r>
          </w:p>
        </w:tc>
        <w:tc>
          <w:tcPr>
            <w:tcW w:w="1200" w:type="pct"/>
            <w:vMerge w:val="continue"/>
            <w:vAlign w:val="center"/>
          </w:tcPr>
          <w:p>
            <w:pPr>
              <w:pStyle w:val="90"/>
            </w:pPr>
          </w:p>
        </w:tc>
        <w:tc>
          <w:tcPr>
            <w:tcW w:w="713" w:type="pct"/>
            <w:vMerge w:val="continue"/>
            <w:vAlign w:val="center"/>
          </w:tcPr>
          <w:p>
            <w:pPr>
              <w:pStyle w:val="90"/>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83" w:type="pct"/>
            <w:vAlign w:val="center"/>
          </w:tcPr>
          <w:p>
            <w:pPr>
              <w:pStyle w:val="90"/>
            </w:pPr>
            <w:r>
              <w:rPr>
                <w:rFonts w:hint="eastAsia"/>
              </w:rPr>
              <w:t>3</w:t>
            </w:r>
          </w:p>
        </w:tc>
        <w:tc>
          <w:tcPr>
            <w:tcW w:w="1220" w:type="pct"/>
            <w:vAlign w:val="center"/>
          </w:tcPr>
          <w:p>
            <w:pPr>
              <w:pStyle w:val="90"/>
            </w:pPr>
            <w:r>
              <w:rPr>
                <w:rFonts w:hint="eastAsia"/>
              </w:rPr>
              <w:t>下游</w:t>
            </w:r>
          </w:p>
        </w:tc>
        <w:tc>
          <w:tcPr>
            <w:tcW w:w="1384" w:type="pct"/>
            <w:vAlign w:val="center"/>
          </w:tcPr>
          <w:p>
            <w:pPr>
              <w:pStyle w:val="90"/>
            </w:pPr>
            <w:r>
              <w:rPr>
                <w:rFonts w:hint="eastAsia"/>
              </w:rPr>
              <w:t>东北</w:t>
            </w:r>
          </w:p>
        </w:tc>
        <w:tc>
          <w:tcPr>
            <w:tcW w:w="1200" w:type="pct"/>
            <w:vAlign w:val="center"/>
          </w:tcPr>
          <w:p>
            <w:pPr>
              <w:pStyle w:val="90"/>
            </w:pPr>
            <w:r>
              <w:rPr>
                <w:rFonts w:hint="eastAsia"/>
              </w:rPr>
              <w:t>污染扩散监测</w:t>
            </w:r>
          </w:p>
        </w:tc>
        <w:tc>
          <w:tcPr>
            <w:tcW w:w="713" w:type="pct"/>
            <w:vMerge w:val="continue"/>
            <w:vAlign w:val="center"/>
          </w:tcPr>
          <w:p>
            <w:pPr>
              <w:pStyle w:val="90"/>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83" w:type="pct"/>
            <w:vAlign w:val="center"/>
          </w:tcPr>
          <w:p>
            <w:pPr>
              <w:pStyle w:val="90"/>
            </w:pPr>
            <w:r>
              <w:rPr>
                <w:rFonts w:hint="eastAsia"/>
              </w:rPr>
              <w:t>4</w:t>
            </w:r>
          </w:p>
        </w:tc>
        <w:tc>
          <w:tcPr>
            <w:tcW w:w="1220" w:type="pct"/>
            <w:vAlign w:val="center"/>
          </w:tcPr>
          <w:p>
            <w:pPr>
              <w:pStyle w:val="90"/>
            </w:pPr>
            <w:r>
              <w:rPr>
                <w:rFonts w:hint="eastAsia"/>
              </w:rPr>
              <w:t>上游</w:t>
            </w:r>
          </w:p>
        </w:tc>
        <w:tc>
          <w:tcPr>
            <w:tcW w:w="1384" w:type="pct"/>
            <w:vAlign w:val="center"/>
          </w:tcPr>
          <w:p>
            <w:pPr>
              <w:pStyle w:val="90"/>
            </w:pPr>
            <w:r>
              <w:rPr>
                <w:rFonts w:hint="eastAsia"/>
              </w:rPr>
              <w:t>西南</w:t>
            </w:r>
          </w:p>
        </w:tc>
        <w:tc>
          <w:tcPr>
            <w:tcW w:w="1200" w:type="pct"/>
            <w:vAlign w:val="center"/>
          </w:tcPr>
          <w:p>
            <w:pPr>
              <w:pStyle w:val="90"/>
            </w:pPr>
            <w:r>
              <w:rPr>
                <w:rFonts w:hint="eastAsia"/>
              </w:rPr>
              <w:t>背景监测</w:t>
            </w:r>
          </w:p>
        </w:tc>
        <w:tc>
          <w:tcPr>
            <w:tcW w:w="713" w:type="pct"/>
            <w:vMerge w:val="continue"/>
            <w:vAlign w:val="center"/>
          </w:tcPr>
          <w:p>
            <w:pPr>
              <w:pStyle w:val="90"/>
            </w:pPr>
          </w:p>
        </w:tc>
      </w:tr>
    </w:tbl>
    <w:p>
      <w:pPr>
        <w:pStyle w:val="95"/>
      </w:pPr>
      <w:r>
        <w:drawing>
          <wp:inline distT="0" distB="0" distL="0" distR="0">
            <wp:extent cx="2966085" cy="3905250"/>
            <wp:effectExtent l="0" t="0" r="5715" b="0"/>
            <wp:docPr id="225" name="图片 225" descr="C:\Users\Yaki\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C:\Users\Yaki\Desktop\捕获.PNG"/>
                    <pic:cNvPicPr>
                      <a:picLocks noChangeAspect="1" noChangeArrowheads="1"/>
                    </pic:cNvPicPr>
                  </pic:nvPicPr>
                  <pic:blipFill>
                    <a:blip r:embed="rId188"/>
                    <a:srcRect/>
                    <a:stretch>
                      <a:fillRect/>
                    </a:stretch>
                  </pic:blipFill>
                  <pic:spPr>
                    <a:xfrm>
                      <a:off x="0" y="0"/>
                      <a:ext cx="2966085" cy="3905250"/>
                    </a:xfrm>
                    <a:prstGeom prst="rect">
                      <a:avLst/>
                    </a:prstGeom>
                    <a:noFill/>
                    <a:ln>
                      <a:noFill/>
                    </a:ln>
                  </pic:spPr>
                </pic:pic>
              </a:graphicData>
            </a:graphic>
          </wp:inline>
        </w:drawing>
      </w:r>
    </w:p>
    <w:p>
      <w:pPr>
        <w:jc w:val="center"/>
        <w:rPr>
          <w:rFonts w:eastAsia="黑体"/>
          <w:bCs/>
          <w:color w:val="000000" w:themeColor="text1"/>
          <w:sz w:val="24"/>
          <w:szCs w:val="24"/>
          <w14:textFill>
            <w14:solidFill>
              <w14:schemeClr w14:val="tx1"/>
            </w14:solidFill>
          </w14:textFill>
        </w:rPr>
      </w:pPr>
      <w:r>
        <w:rPr>
          <w:rFonts w:hint="eastAsia" w:eastAsia="黑体"/>
          <w:bCs/>
          <w:color w:val="000000" w:themeColor="text1"/>
          <w:sz w:val="24"/>
          <w:szCs w:val="24"/>
          <w14:textFill>
            <w14:solidFill>
              <w14:schemeClr w14:val="tx1"/>
            </w14:solidFill>
          </w14:textFill>
        </w:rPr>
        <w:t>图</w:t>
      </w:r>
      <w:r>
        <w:rPr>
          <w:rFonts w:eastAsia="黑体"/>
          <w:bCs/>
          <w:color w:val="000000" w:themeColor="text1"/>
          <w:sz w:val="24"/>
          <w:szCs w:val="24"/>
          <w14:textFill>
            <w14:solidFill>
              <w14:schemeClr w14:val="tx1"/>
            </w14:solidFill>
          </w14:textFill>
        </w:rPr>
        <w:fldChar w:fldCharType="begin"/>
      </w:r>
      <w:r>
        <w:rPr>
          <w:rFonts w:eastAsia="黑体"/>
          <w:bCs/>
          <w:color w:val="000000" w:themeColor="text1"/>
          <w:sz w:val="24"/>
          <w:szCs w:val="24"/>
          <w14:textFill>
            <w14:solidFill>
              <w14:schemeClr w14:val="tx1"/>
            </w14:solidFill>
          </w14:textFill>
        </w:rPr>
        <w:instrText xml:space="preserve"> </w:instrText>
      </w:r>
      <w:r>
        <w:rPr>
          <w:rFonts w:hint="eastAsia" w:eastAsia="黑体"/>
          <w:bCs/>
          <w:color w:val="000000" w:themeColor="text1"/>
          <w:sz w:val="24"/>
          <w:szCs w:val="24"/>
          <w14:textFill>
            <w14:solidFill>
              <w14:schemeClr w14:val="tx1"/>
            </w14:solidFill>
          </w14:textFill>
        </w:rPr>
        <w:instrText xml:space="preserve">STYLEREF 1 \s</w:instrText>
      </w:r>
      <w:r>
        <w:rPr>
          <w:rFonts w:eastAsia="黑体"/>
          <w:bCs/>
          <w:color w:val="000000" w:themeColor="text1"/>
          <w:sz w:val="24"/>
          <w:szCs w:val="24"/>
          <w14:textFill>
            <w14:solidFill>
              <w14:schemeClr w14:val="tx1"/>
            </w14:solidFill>
          </w14:textFill>
        </w:rPr>
        <w:instrText xml:space="preserve"> </w:instrText>
      </w:r>
      <w:r>
        <w:rPr>
          <w:rFonts w:eastAsia="黑体"/>
          <w:bCs/>
          <w:color w:val="000000" w:themeColor="text1"/>
          <w:sz w:val="24"/>
          <w:szCs w:val="24"/>
          <w14:textFill>
            <w14:solidFill>
              <w14:schemeClr w14:val="tx1"/>
            </w14:solidFill>
          </w14:textFill>
        </w:rPr>
        <w:fldChar w:fldCharType="separate"/>
      </w:r>
      <w:r>
        <w:rPr>
          <w:rFonts w:eastAsia="黑体"/>
          <w:bCs/>
          <w:color w:val="000000" w:themeColor="text1"/>
          <w:sz w:val="24"/>
          <w:szCs w:val="24"/>
          <w14:textFill>
            <w14:solidFill>
              <w14:schemeClr w14:val="tx1"/>
            </w14:solidFill>
          </w14:textFill>
        </w:rPr>
        <w:t>5</w:t>
      </w:r>
      <w:r>
        <w:rPr>
          <w:rFonts w:eastAsia="黑体"/>
          <w:bCs/>
          <w:color w:val="000000" w:themeColor="text1"/>
          <w:sz w:val="24"/>
          <w:szCs w:val="24"/>
          <w14:textFill>
            <w14:solidFill>
              <w14:schemeClr w14:val="tx1"/>
            </w14:solidFill>
          </w14:textFill>
        </w:rPr>
        <w:fldChar w:fldCharType="end"/>
      </w:r>
      <w:r>
        <w:rPr>
          <w:rFonts w:eastAsia="黑体"/>
          <w:bCs/>
          <w:color w:val="000000" w:themeColor="text1"/>
          <w:sz w:val="24"/>
          <w:szCs w:val="24"/>
          <w14:textFill>
            <w14:solidFill>
              <w14:schemeClr w14:val="tx1"/>
            </w14:solidFill>
          </w14:textFill>
        </w:rPr>
        <w:t>.4</w:t>
      </w:r>
      <w:r>
        <w:rPr>
          <w:rFonts w:eastAsia="黑体"/>
          <w:bCs/>
          <w:color w:val="000000" w:themeColor="text1"/>
          <w:sz w:val="24"/>
          <w:szCs w:val="24"/>
          <w14:textFill>
            <w14:solidFill>
              <w14:schemeClr w14:val="tx1"/>
            </w14:solidFill>
          </w14:textFill>
        </w:rPr>
        <w:noBreakHyphen/>
      </w:r>
      <w:r>
        <w:rPr>
          <w:rFonts w:eastAsia="黑体"/>
          <w:bCs/>
          <w:color w:val="000000" w:themeColor="text1"/>
          <w:sz w:val="24"/>
          <w:szCs w:val="24"/>
          <w14:textFill>
            <w14:solidFill>
              <w14:schemeClr w14:val="tx1"/>
            </w14:solidFill>
          </w14:textFill>
        </w:rPr>
        <w:t xml:space="preserve">30  </w:t>
      </w:r>
      <w:r>
        <w:rPr>
          <w:rFonts w:hint="eastAsia" w:eastAsia="黑体"/>
          <w:bCs/>
          <w:color w:val="000000" w:themeColor="text1"/>
          <w:sz w:val="24"/>
          <w:szCs w:val="24"/>
          <w14:textFill>
            <w14:solidFill>
              <w14:schemeClr w14:val="tx1"/>
            </w14:solidFill>
          </w14:textFill>
        </w:rPr>
        <w:t>监测井井结构示意图</w:t>
      </w:r>
    </w:p>
    <w:p>
      <w:pPr>
        <w:adjustRightInd w:val="0"/>
        <w:snapToGrid w:val="0"/>
        <w:spacing w:line="520" w:lineRule="exact"/>
        <w:ind w:firstLine="520" w:firstLineChars="200"/>
        <w:textAlignment w:val="baseline"/>
        <w:outlineLvl w:val="5"/>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③监测频率</w:t>
      </w:r>
    </w:p>
    <w:p>
      <w:pPr>
        <w:adjustRightInd w:val="0"/>
        <w:snapToGrid w:val="0"/>
        <w:spacing w:line="520" w:lineRule="exact"/>
        <w:ind w:firstLine="520" w:firstLineChars="200"/>
        <w:textAlignment w:val="baseline"/>
        <w:rPr>
          <w:bCs/>
          <w:color w:val="000000" w:themeColor="text1"/>
          <w:kern w:val="0"/>
          <w:sz w:val="24"/>
          <w:szCs w:val="20"/>
          <w14:textFill>
            <w14:solidFill>
              <w14:schemeClr w14:val="tx1"/>
            </w14:solidFill>
          </w14:textFill>
        </w:rPr>
      </w:pPr>
      <w:r>
        <w:rPr>
          <w:rFonts w:hint="eastAsia"/>
          <w:bCs/>
          <w:color w:val="000000" w:themeColor="text1"/>
          <w:spacing w:val="10"/>
          <w:sz w:val="24"/>
          <w:szCs w:val="24"/>
          <w14:textFill>
            <w14:solidFill>
              <w14:schemeClr w14:val="tx1"/>
            </w14:solidFill>
          </w14:textFill>
        </w:rPr>
        <w:t>根据《工业企业土壤和地下水自行监测技术指南（试行）》（H</w:t>
      </w:r>
      <w:r>
        <w:rPr>
          <w:bCs/>
          <w:color w:val="000000" w:themeColor="text1"/>
          <w:spacing w:val="10"/>
          <w:sz w:val="24"/>
          <w:szCs w:val="24"/>
          <w14:textFill>
            <w14:solidFill>
              <w14:schemeClr w14:val="tx1"/>
            </w14:solidFill>
          </w14:textFill>
        </w:rPr>
        <w:t>J1209-2021</w:t>
      </w:r>
      <w:r>
        <w:rPr>
          <w:rFonts w:hint="eastAsia"/>
          <w:bCs/>
          <w:color w:val="000000" w:themeColor="text1"/>
          <w:spacing w:val="10"/>
          <w:sz w:val="24"/>
          <w:szCs w:val="24"/>
          <w14:textFill>
            <w14:solidFill>
              <w14:schemeClr w14:val="tx1"/>
            </w14:solidFill>
          </w14:textFill>
        </w:rPr>
        <w:t>）中表1和表2，本项目污水处理单元属于一类单元，且周边1km范围内存在地下环境敏感区，故地下水监测点</w:t>
      </w:r>
      <w:r>
        <w:rPr>
          <w:rFonts w:hint="eastAsia"/>
          <w:bCs/>
          <w:color w:val="000000" w:themeColor="text1"/>
          <w:kern w:val="0"/>
          <w:sz w:val="24"/>
          <w:szCs w:val="20"/>
          <w14:textFill>
            <w14:solidFill>
              <w14:schemeClr w14:val="tx1"/>
            </w14:solidFill>
          </w14:textFill>
        </w:rPr>
        <w:t>的监测频次为每季度1次。</w:t>
      </w:r>
    </w:p>
    <w:p>
      <w:pPr>
        <w:adjustRightInd w:val="0"/>
        <w:snapToGrid w:val="0"/>
        <w:spacing w:line="520" w:lineRule="exact"/>
        <w:ind w:firstLine="480" w:firstLineChars="200"/>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表1</w:t>
      </w:r>
      <w:r>
        <w:rPr>
          <w:rFonts w:eastAsia="黑体"/>
          <w:color w:val="000000" w:themeColor="text1"/>
          <w:sz w:val="24"/>
          <w14:textFill>
            <w14:solidFill>
              <w14:schemeClr w14:val="tx1"/>
            </w14:solidFill>
          </w14:textFill>
        </w:rPr>
        <w:t xml:space="preserve">                  </w:t>
      </w:r>
      <w:r>
        <w:rPr>
          <w:rFonts w:hint="eastAsia" w:eastAsia="黑体"/>
          <w:color w:val="000000" w:themeColor="text1"/>
          <w:sz w:val="24"/>
          <w14:textFill>
            <w14:solidFill>
              <w14:schemeClr w14:val="tx1"/>
            </w14:solidFill>
          </w14:textFill>
        </w:rPr>
        <w:t>重点监测单元分类表</w:t>
      </w:r>
    </w:p>
    <w:tbl>
      <w:tblPr>
        <w:tblStyle w:val="5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73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0" w:type="dxa"/>
            <w:vAlign w:val="center"/>
          </w:tcPr>
          <w:p>
            <w:pPr>
              <w:adjustRightInd w:val="0"/>
              <w:snapToGrid w:val="0"/>
              <w:jc w:val="center"/>
              <w:textAlignment w:val="baseline"/>
              <w:rPr>
                <w:rFonts w:ascii="宋体" w:hAnsi="宋体"/>
                <w:b/>
                <w:bCs/>
                <w:color w:val="000000" w:themeColor="text1"/>
                <w:spacing w:val="10"/>
                <w:szCs w:val="21"/>
                <w14:textFill>
                  <w14:solidFill>
                    <w14:schemeClr w14:val="tx1"/>
                  </w14:solidFill>
                </w14:textFill>
              </w:rPr>
            </w:pPr>
            <w:r>
              <w:rPr>
                <w:rFonts w:hint="eastAsia" w:ascii="宋体" w:hAnsi="宋体"/>
                <w:b/>
                <w:bCs/>
                <w:color w:val="000000" w:themeColor="text1"/>
                <w:spacing w:val="10"/>
                <w:szCs w:val="21"/>
                <w14:textFill>
                  <w14:solidFill>
                    <w14:schemeClr w14:val="tx1"/>
                  </w14:solidFill>
                </w14:textFill>
              </w:rPr>
              <w:t>单元类别</w:t>
            </w:r>
          </w:p>
        </w:tc>
        <w:tc>
          <w:tcPr>
            <w:tcW w:w="7160" w:type="dxa"/>
            <w:vAlign w:val="center"/>
          </w:tcPr>
          <w:p>
            <w:pPr>
              <w:adjustRightInd w:val="0"/>
              <w:snapToGrid w:val="0"/>
              <w:jc w:val="center"/>
              <w:textAlignment w:val="baseline"/>
              <w:rPr>
                <w:rFonts w:ascii="宋体" w:hAnsi="宋体"/>
                <w:b/>
                <w:bCs/>
                <w:color w:val="000000" w:themeColor="text1"/>
                <w:spacing w:val="10"/>
                <w:szCs w:val="21"/>
                <w14:textFill>
                  <w14:solidFill>
                    <w14:schemeClr w14:val="tx1"/>
                  </w14:solidFill>
                </w14:textFill>
              </w:rPr>
            </w:pPr>
            <w:r>
              <w:rPr>
                <w:rFonts w:hint="eastAsia" w:ascii="宋体" w:hAnsi="宋体"/>
                <w:b/>
                <w:bCs/>
                <w:color w:val="000000" w:themeColor="text1"/>
                <w:spacing w:val="10"/>
                <w:szCs w:val="21"/>
                <w14:textFill>
                  <w14:solidFill>
                    <w14:schemeClr w14:val="tx1"/>
                  </w14:solidFill>
                </w14:textFill>
              </w:rPr>
              <w:t>划分依据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0" w:type="dxa"/>
            <w:vAlign w:val="center"/>
          </w:tcPr>
          <w:p>
            <w:pPr>
              <w:adjustRightInd w:val="0"/>
              <w:snapToGrid w:val="0"/>
              <w:jc w:val="center"/>
              <w:textAlignment w:val="baseline"/>
              <w:rPr>
                <w:rFonts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一类单元</w:t>
            </w:r>
          </w:p>
        </w:tc>
        <w:tc>
          <w:tcPr>
            <w:tcW w:w="7160" w:type="dxa"/>
            <w:vAlign w:val="center"/>
          </w:tcPr>
          <w:p>
            <w:pPr>
              <w:adjustRightInd w:val="0"/>
              <w:snapToGrid w:val="0"/>
              <w:jc w:val="center"/>
              <w:textAlignment w:val="baseline"/>
              <w:rPr>
                <w:rFonts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内部存在隐蔽性重点设施设备的重点监测单元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0" w:type="dxa"/>
            <w:vAlign w:val="center"/>
          </w:tcPr>
          <w:p>
            <w:pPr>
              <w:adjustRightInd w:val="0"/>
              <w:snapToGrid w:val="0"/>
              <w:jc w:val="center"/>
              <w:textAlignment w:val="baseline"/>
              <w:rPr>
                <w:rFonts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二类单元</w:t>
            </w:r>
          </w:p>
        </w:tc>
        <w:tc>
          <w:tcPr>
            <w:tcW w:w="7160" w:type="dxa"/>
            <w:vAlign w:val="center"/>
          </w:tcPr>
          <w:p>
            <w:pPr>
              <w:adjustRightInd w:val="0"/>
              <w:snapToGrid w:val="0"/>
              <w:jc w:val="center"/>
              <w:textAlignment w:val="baseline"/>
              <w:rPr>
                <w:rFonts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除一类单元外其他重点监测单元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0" w:type="dxa"/>
            <w:gridSpan w:val="2"/>
            <w:vAlign w:val="center"/>
          </w:tcPr>
          <w:p>
            <w:pPr>
              <w:adjustRightInd w:val="0"/>
              <w:snapToGrid w:val="0"/>
              <w:textAlignment w:val="baseline"/>
              <w:rPr>
                <w:rFonts w:ascii="宋体" w:hAnsi="宋体"/>
                <w:color w:val="000000" w:themeColor="text1"/>
                <w:spacing w:val="10"/>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注：隐蔽性重点设施设备，指污染发生后不能及时发现或处理的重点设施设，如地下、半地下或接地的储罐、池体、管道等。</w:t>
            </w:r>
          </w:p>
        </w:tc>
      </w:tr>
    </w:tbl>
    <w:p>
      <w:pPr>
        <w:adjustRightInd w:val="0"/>
        <w:snapToGrid w:val="0"/>
        <w:spacing w:line="520" w:lineRule="exact"/>
        <w:ind w:firstLine="480" w:firstLineChars="200"/>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表</w:t>
      </w:r>
      <w:r>
        <w:rPr>
          <w:rFonts w:eastAsia="黑体"/>
          <w:color w:val="000000" w:themeColor="text1"/>
          <w:sz w:val="24"/>
          <w14:textFill>
            <w14:solidFill>
              <w14:schemeClr w14:val="tx1"/>
            </w14:solidFill>
          </w14:textFill>
        </w:rPr>
        <w:t xml:space="preserve">2                </w:t>
      </w:r>
      <w:r>
        <w:rPr>
          <w:rFonts w:hint="eastAsia" w:eastAsia="黑体"/>
          <w:color w:val="000000" w:themeColor="text1"/>
          <w:sz w:val="24"/>
          <w14:textFill>
            <w14:solidFill>
              <w14:schemeClr w14:val="tx1"/>
            </w14:solidFill>
          </w14:textFill>
        </w:rPr>
        <w:t>自行监测的最低频次</w:t>
      </w:r>
    </w:p>
    <w:tbl>
      <w:tblPr>
        <w:tblStyle w:val="50"/>
        <w:tblW w:w="5000"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autofit"/>
        <w:tblCellMar>
          <w:top w:w="0" w:type="dxa"/>
          <w:left w:w="108" w:type="dxa"/>
          <w:bottom w:w="0" w:type="dxa"/>
          <w:right w:w="108" w:type="dxa"/>
        </w:tblCellMar>
      </w:tblPr>
      <w:tblGrid>
        <w:gridCol w:w="2319"/>
        <w:gridCol w:w="3204"/>
        <w:gridCol w:w="3423"/>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77" w:type="dxa"/>
            <w:gridSpan w:val="2"/>
            <w:vAlign w:val="center"/>
          </w:tcPr>
          <w:p>
            <w:pPr>
              <w:adjustRightInd w:val="0"/>
              <w:snapToGrid w:val="0"/>
              <w:jc w:val="center"/>
              <w:textAlignment w:val="baseline"/>
              <w:rPr>
                <w:rFonts w:ascii="Calibri" w:hAnsi="Calibri"/>
                <w:b/>
                <w:bCs/>
                <w:color w:val="000000" w:themeColor="text1"/>
                <w:spacing w:val="10"/>
                <w:szCs w:val="21"/>
                <w14:textFill>
                  <w14:solidFill>
                    <w14:schemeClr w14:val="tx1"/>
                  </w14:solidFill>
                </w14:textFill>
              </w:rPr>
            </w:pPr>
            <w:r>
              <w:rPr>
                <w:rFonts w:hint="eastAsia" w:ascii="Calibri" w:hAnsi="Calibri"/>
                <w:b/>
                <w:bCs/>
                <w:color w:val="000000" w:themeColor="text1"/>
                <w:spacing w:val="10"/>
                <w:szCs w:val="21"/>
                <w14:textFill>
                  <w14:solidFill>
                    <w14:schemeClr w14:val="tx1"/>
                  </w14:solidFill>
                </w14:textFill>
              </w:rPr>
              <w:t>监测对象</w:t>
            </w:r>
          </w:p>
        </w:tc>
        <w:tc>
          <w:tcPr>
            <w:tcW w:w="3333" w:type="dxa"/>
            <w:vAlign w:val="center"/>
          </w:tcPr>
          <w:p>
            <w:pPr>
              <w:adjustRightInd w:val="0"/>
              <w:snapToGrid w:val="0"/>
              <w:jc w:val="center"/>
              <w:textAlignment w:val="baseline"/>
              <w:rPr>
                <w:rFonts w:ascii="Calibri" w:hAnsi="Calibri"/>
                <w:b/>
                <w:bCs/>
                <w:color w:val="000000" w:themeColor="text1"/>
                <w:spacing w:val="10"/>
                <w:szCs w:val="21"/>
                <w14:textFill>
                  <w14:solidFill>
                    <w14:schemeClr w14:val="tx1"/>
                  </w14:solidFill>
                </w14:textFill>
              </w:rPr>
            </w:pPr>
            <w:r>
              <w:rPr>
                <w:rFonts w:hint="eastAsia" w:ascii="Calibri" w:hAnsi="Calibri"/>
                <w:b/>
                <w:bCs/>
                <w:color w:val="000000" w:themeColor="text1"/>
                <w:spacing w:val="10"/>
                <w:szCs w:val="21"/>
                <w14:textFill>
                  <w14:solidFill>
                    <w14:schemeClr w14:val="tx1"/>
                  </w14:solidFill>
                </w14:textFill>
              </w:rPr>
              <w:t>监测频次</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58" w:type="dxa"/>
            <w:vMerge w:val="restart"/>
            <w:vAlign w:val="center"/>
          </w:tcPr>
          <w:p>
            <w:pPr>
              <w:adjustRightInd w:val="0"/>
              <w:snapToGrid w:val="0"/>
              <w:jc w:val="center"/>
              <w:textAlignment w:val="baseline"/>
              <w:rPr>
                <w:rFonts w:ascii="Calibri" w:hAnsi="Calibri"/>
                <w:color w:val="000000" w:themeColor="text1"/>
                <w:spacing w:val="10"/>
                <w:szCs w:val="21"/>
                <w14:textFill>
                  <w14:solidFill>
                    <w14:schemeClr w14:val="tx1"/>
                  </w14:solidFill>
                </w14:textFill>
              </w:rPr>
            </w:pPr>
            <w:r>
              <w:rPr>
                <w:rFonts w:hint="eastAsia" w:ascii="Calibri" w:hAnsi="Calibri"/>
                <w:color w:val="000000" w:themeColor="text1"/>
                <w:spacing w:val="10"/>
                <w:szCs w:val="21"/>
                <w14:textFill>
                  <w14:solidFill>
                    <w14:schemeClr w14:val="tx1"/>
                  </w14:solidFill>
                </w14:textFill>
              </w:rPr>
              <w:t>地下水</w:t>
            </w:r>
          </w:p>
        </w:tc>
        <w:tc>
          <w:tcPr>
            <w:tcW w:w="3119" w:type="dxa"/>
            <w:vAlign w:val="center"/>
          </w:tcPr>
          <w:p>
            <w:pPr>
              <w:adjustRightInd w:val="0"/>
              <w:snapToGrid w:val="0"/>
              <w:jc w:val="center"/>
              <w:textAlignment w:val="baseline"/>
              <w:rPr>
                <w:rFonts w:ascii="Calibri" w:hAnsi="Calibri"/>
                <w:color w:val="000000" w:themeColor="text1"/>
                <w:spacing w:val="10"/>
                <w:szCs w:val="21"/>
                <w14:textFill>
                  <w14:solidFill>
                    <w14:schemeClr w14:val="tx1"/>
                  </w14:solidFill>
                </w14:textFill>
              </w:rPr>
            </w:pPr>
            <w:r>
              <w:rPr>
                <w:rFonts w:hint="eastAsia" w:ascii="Calibri" w:hAnsi="Calibri"/>
                <w:color w:val="000000" w:themeColor="text1"/>
                <w:spacing w:val="10"/>
                <w:szCs w:val="21"/>
                <w14:textFill>
                  <w14:solidFill>
                    <w14:schemeClr w14:val="tx1"/>
                  </w14:solidFill>
                </w14:textFill>
              </w:rPr>
              <w:t>一类单元</w:t>
            </w:r>
          </w:p>
        </w:tc>
        <w:tc>
          <w:tcPr>
            <w:tcW w:w="3333" w:type="dxa"/>
            <w:vAlign w:val="center"/>
          </w:tcPr>
          <w:p>
            <w:pPr>
              <w:adjustRightInd w:val="0"/>
              <w:snapToGrid w:val="0"/>
              <w:jc w:val="center"/>
              <w:textAlignment w:val="baseline"/>
              <w:rPr>
                <w:rFonts w:ascii="Calibri" w:hAnsi="Calibri"/>
                <w:color w:val="000000" w:themeColor="text1"/>
                <w:spacing w:val="10"/>
                <w:szCs w:val="21"/>
                <w14:textFill>
                  <w14:solidFill>
                    <w14:schemeClr w14:val="tx1"/>
                  </w14:solidFill>
                </w14:textFill>
              </w:rPr>
            </w:pPr>
            <w:r>
              <w:rPr>
                <w:rFonts w:hint="eastAsia" w:ascii="Calibri" w:hAnsi="Calibri"/>
                <w:color w:val="000000" w:themeColor="text1"/>
                <w:spacing w:val="10"/>
                <w:szCs w:val="21"/>
                <w14:textFill>
                  <w14:solidFill>
                    <w14:schemeClr w14:val="tx1"/>
                  </w14:solidFill>
                </w14:textFill>
              </w:rPr>
              <w:t>半年（季度</w:t>
            </w:r>
            <w:r>
              <w:rPr>
                <w:rFonts w:hint="eastAsia" w:ascii="Calibri" w:hAnsi="Calibri"/>
                <w:color w:val="000000" w:themeColor="text1"/>
                <w:spacing w:val="10"/>
                <w:szCs w:val="21"/>
                <w:vertAlign w:val="superscript"/>
                <w14:textFill>
                  <w14:solidFill>
                    <w14:schemeClr w14:val="tx1"/>
                  </w14:solidFill>
                </w14:textFill>
              </w:rPr>
              <w:t>a</w:t>
            </w:r>
            <w:r>
              <w:rPr>
                <w:rFonts w:hint="eastAsia" w:ascii="Calibri" w:hAnsi="Calibri"/>
                <w:color w:val="000000" w:themeColor="text1"/>
                <w:spacing w:val="10"/>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58" w:type="dxa"/>
            <w:vMerge w:val="continue"/>
            <w:vAlign w:val="center"/>
          </w:tcPr>
          <w:p>
            <w:pPr>
              <w:adjustRightInd w:val="0"/>
              <w:snapToGrid w:val="0"/>
              <w:jc w:val="center"/>
              <w:textAlignment w:val="baseline"/>
              <w:rPr>
                <w:rFonts w:ascii="Calibri" w:hAnsi="Calibri"/>
                <w:color w:val="000000" w:themeColor="text1"/>
                <w:spacing w:val="10"/>
                <w:szCs w:val="21"/>
                <w14:textFill>
                  <w14:solidFill>
                    <w14:schemeClr w14:val="tx1"/>
                  </w14:solidFill>
                </w14:textFill>
              </w:rPr>
            </w:pPr>
          </w:p>
        </w:tc>
        <w:tc>
          <w:tcPr>
            <w:tcW w:w="3119" w:type="dxa"/>
            <w:vAlign w:val="center"/>
          </w:tcPr>
          <w:p>
            <w:pPr>
              <w:adjustRightInd w:val="0"/>
              <w:snapToGrid w:val="0"/>
              <w:jc w:val="center"/>
              <w:textAlignment w:val="baseline"/>
              <w:rPr>
                <w:rFonts w:ascii="Calibri" w:hAnsi="Calibri"/>
                <w:color w:val="000000" w:themeColor="text1"/>
                <w:spacing w:val="10"/>
                <w:szCs w:val="21"/>
                <w14:textFill>
                  <w14:solidFill>
                    <w14:schemeClr w14:val="tx1"/>
                  </w14:solidFill>
                </w14:textFill>
              </w:rPr>
            </w:pPr>
            <w:r>
              <w:rPr>
                <w:rFonts w:hint="eastAsia" w:ascii="Calibri" w:hAnsi="Calibri"/>
                <w:color w:val="000000" w:themeColor="text1"/>
                <w:spacing w:val="10"/>
                <w:szCs w:val="21"/>
                <w14:textFill>
                  <w14:solidFill>
                    <w14:schemeClr w14:val="tx1"/>
                  </w14:solidFill>
                </w14:textFill>
              </w:rPr>
              <w:t>二类单元</w:t>
            </w:r>
          </w:p>
        </w:tc>
        <w:tc>
          <w:tcPr>
            <w:tcW w:w="3333" w:type="dxa"/>
            <w:vAlign w:val="center"/>
          </w:tcPr>
          <w:p>
            <w:pPr>
              <w:adjustRightInd w:val="0"/>
              <w:snapToGrid w:val="0"/>
              <w:jc w:val="center"/>
              <w:textAlignment w:val="baseline"/>
              <w:rPr>
                <w:rFonts w:ascii="Calibri" w:hAnsi="Calibri"/>
                <w:color w:val="000000" w:themeColor="text1"/>
                <w:spacing w:val="10"/>
                <w:szCs w:val="21"/>
                <w14:textFill>
                  <w14:solidFill>
                    <w14:schemeClr w14:val="tx1"/>
                  </w14:solidFill>
                </w14:textFill>
              </w:rPr>
            </w:pPr>
            <w:r>
              <w:rPr>
                <w:rFonts w:hint="eastAsia" w:ascii="Calibri" w:hAnsi="Calibri"/>
                <w:color w:val="000000" w:themeColor="text1"/>
                <w:spacing w:val="10"/>
                <w:szCs w:val="21"/>
                <w14:textFill>
                  <w14:solidFill>
                    <w14:schemeClr w14:val="tx1"/>
                  </w14:solidFill>
                </w14:textFill>
              </w:rPr>
              <w:t>年（半年</w:t>
            </w:r>
            <w:r>
              <w:rPr>
                <w:rFonts w:hint="eastAsia" w:ascii="Calibri" w:hAnsi="Calibri"/>
                <w:color w:val="000000" w:themeColor="text1"/>
                <w:spacing w:val="10"/>
                <w:szCs w:val="21"/>
                <w:vertAlign w:val="superscript"/>
                <w14:textFill>
                  <w14:solidFill>
                    <w14:schemeClr w14:val="tx1"/>
                  </w14:solidFill>
                </w14:textFill>
              </w:rPr>
              <w:t>a</w:t>
            </w:r>
            <w:r>
              <w:rPr>
                <w:rFonts w:hint="eastAsia" w:ascii="Calibri" w:hAnsi="Calibri"/>
                <w:color w:val="000000" w:themeColor="text1"/>
                <w:spacing w:val="10"/>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10" w:type="dxa"/>
            <w:gridSpan w:val="3"/>
            <w:vAlign w:val="center"/>
          </w:tcPr>
          <w:p>
            <w:pPr>
              <w:adjustRightInd w:val="0"/>
              <w:snapToGrid w:val="0"/>
              <w:textAlignment w:val="baseline"/>
              <w:rPr>
                <w:rFonts w:ascii="Calibri" w:hAnsi="Calibri"/>
                <w:color w:val="000000" w:themeColor="text1"/>
                <w:spacing w:val="10"/>
                <w:szCs w:val="21"/>
                <w14:textFill>
                  <w14:solidFill>
                    <w14:schemeClr w14:val="tx1"/>
                  </w14:solidFill>
                </w14:textFill>
              </w:rPr>
            </w:pPr>
            <w:r>
              <w:rPr>
                <w:rFonts w:hint="eastAsia" w:ascii="Calibri" w:hAnsi="Calibri"/>
                <w:color w:val="000000" w:themeColor="text1"/>
                <w:spacing w:val="10"/>
                <w:szCs w:val="21"/>
                <w14:textFill>
                  <w14:solidFill>
                    <w14:schemeClr w14:val="tx1"/>
                  </w14:solidFill>
                </w14:textFill>
              </w:rPr>
              <w:t>注1：初次监测应包括所有监测对象。</w:t>
            </w:r>
          </w:p>
          <w:p>
            <w:pPr>
              <w:adjustRightInd w:val="0"/>
              <w:snapToGrid w:val="0"/>
              <w:textAlignment w:val="baseline"/>
              <w:rPr>
                <w:rFonts w:ascii="Calibri" w:hAnsi="Calibri"/>
                <w:color w:val="000000" w:themeColor="text1"/>
                <w:spacing w:val="10"/>
                <w:szCs w:val="21"/>
                <w14:textFill>
                  <w14:solidFill>
                    <w14:schemeClr w14:val="tx1"/>
                  </w14:solidFill>
                </w14:textFill>
              </w:rPr>
            </w:pPr>
            <w:r>
              <w:rPr>
                <w:rFonts w:hint="eastAsia" w:ascii="Calibri" w:hAnsi="Calibri"/>
                <w:color w:val="000000" w:themeColor="text1"/>
                <w:spacing w:val="10"/>
                <w:szCs w:val="21"/>
                <w14:textFill>
                  <w14:solidFill>
                    <w14:schemeClr w14:val="tx1"/>
                  </w14:solidFill>
                </w14:textFill>
              </w:rPr>
              <w:t>注2：应选取每年中相对固定的时间段采样。地下水流向可能发生季节性变化的区域应选取每年中地下水流向不同的时间段分别采样。</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710" w:type="dxa"/>
            <w:gridSpan w:val="3"/>
            <w:vAlign w:val="center"/>
          </w:tcPr>
          <w:p>
            <w:pPr>
              <w:adjustRightInd w:val="0"/>
              <w:snapToGrid w:val="0"/>
              <w:textAlignment w:val="baseline"/>
              <w:rPr>
                <w:rFonts w:ascii="Calibri" w:hAnsi="Calibri"/>
                <w:color w:val="000000" w:themeColor="text1"/>
                <w:spacing w:val="10"/>
                <w:szCs w:val="21"/>
                <w14:textFill>
                  <w14:solidFill>
                    <w14:schemeClr w14:val="tx1"/>
                  </w14:solidFill>
                </w14:textFill>
              </w:rPr>
            </w:pPr>
            <w:r>
              <w:rPr>
                <w:rFonts w:hint="eastAsia" w:ascii="Calibri" w:hAnsi="Calibri"/>
                <w:color w:val="000000" w:themeColor="text1"/>
                <w:spacing w:val="10"/>
                <w:szCs w:val="21"/>
                <w14:textFill>
                  <w14:solidFill>
                    <w14:schemeClr w14:val="tx1"/>
                  </w14:solidFill>
                </w14:textFill>
              </w:rPr>
              <w:t>a适用于周边1km范围内存在地下水环境敏感区的企业。</w:t>
            </w:r>
          </w:p>
        </w:tc>
      </w:tr>
    </w:tbl>
    <w:p>
      <w:pPr>
        <w:adjustRightInd w:val="0"/>
        <w:snapToGrid w:val="0"/>
        <w:spacing w:line="520" w:lineRule="exact"/>
        <w:ind w:firstLine="520" w:firstLineChars="200"/>
        <w:textAlignment w:val="baseline"/>
        <w:outlineLvl w:val="5"/>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④监测因子</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地下水监测因子</w:t>
      </w:r>
      <w:r>
        <w:rPr>
          <w:rFonts w:hint="eastAsia"/>
          <w:color w:val="000000" w:themeColor="text1"/>
          <w:spacing w:val="10"/>
          <w:sz w:val="24"/>
          <w:szCs w:val="24"/>
          <w14:textFill>
            <w14:solidFill>
              <w14:schemeClr w14:val="tx1"/>
            </w14:solidFill>
          </w14:textFill>
        </w:rPr>
        <w:t>与现状调查时的地下水监测因子一致。</w:t>
      </w:r>
      <w:r>
        <w:rPr>
          <w:color w:val="000000" w:themeColor="text1"/>
          <w:spacing w:val="10"/>
          <w:sz w:val="24"/>
          <w:szCs w:val="24"/>
          <w14:textFill>
            <w14:solidFill>
              <w14:schemeClr w14:val="tx1"/>
            </w14:solidFill>
          </w14:textFill>
        </w:rPr>
        <w:t>同时记录井深和水深。</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监测因子包括：</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pH值、K</w:t>
      </w:r>
      <w:r>
        <w:rPr>
          <w:color w:val="000000" w:themeColor="text1"/>
          <w:spacing w:val="10"/>
          <w:sz w:val="24"/>
          <w:szCs w:val="24"/>
          <w:vertAlign w:val="superscript"/>
          <w14:textFill>
            <w14:solidFill>
              <w14:schemeClr w14:val="tx1"/>
            </w14:solidFill>
          </w14:textFill>
        </w:rPr>
        <w:t>+</w:t>
      </w:r>
      <w:r>
        <w:rPr>
          <w:color w:val="000000" w:themeColor="text1"/>
          <w:spacing w:val="10"/>
          <w:sz w:val="24"/>
          <w:szCs w:val="24"/>
          <w14:textFill>
            <w14:solidFill>
              <w14:schemeClr w14:val="tx1"/>
            </w14:solidFill>
          </w14:textFill>
        </w:rPr>
        <w:t>、Na</w:t>
      </w:r>
      <w:r>
        <w:rPr>
          <w:color w:val="000000" w:themeColor="text1"/>
          <w:spacing w:val="10"/>
          <w:sz w:val="24"/>
          <w:szCs w:val="24"/>
          <w:vertAlign w:val="superscript"/>
          <w14:textFill>
            <w14:solidFill>
              <w14:schemeClr w14:val="tx1"/>
            </w14:solidFill>
          </w14:textFill>
        </w:rPr>
        <w:t>+</w:t>
      </w:r>
      <w:r>
        <w:rPr>
          <w:color w:val="000000" w:themeColor="text1"/>
          <w:spacing w:val="10"/>
          <w:sz w:val="24"/>
          <w:szCs w:val="24"/>
          <w14:textFill>
            <w14:solidFill>
              <w14:schemeClr w14:val="tx1"/>
            </w14:solidFill>
          </w14:textFill>
        </w:rPr>
        <w:t>、Ca</w:t>
      </w:r>
      <w:r>
        <w:rPr>
          <w:color w:val="000000" w:themeColor="text1"/>
          <w:spacing w:val="10"/>
          <w:sz w:val="24"/>
          <w:szCs w:val="24"/>
          <w:vertAlign w:val="superscript"/>
          <w14:textFill>
            <w14:solidFill>
              <w14:schemeClr w14:val="tx1"/>
            </w14:solidFill>
          </w14:textFill>
        </w:rPr>
        <w:t>2+</w:t>
      </w:r>
      <w:r>
        <w:rPr>
          <w:color w:val="000000" w:themeColor="text1"/>
          <w:spacing w:val="10"/>
          <w:sz w:val="24"/>
          <w:szCs w:val="24"/>
          <w14:textFill>
            <w14:solidFill>
              <w14:schemeClr w14:val="tx1"/>
            </w14:solidFill>
          </w14:textFill>
        </w:rPr>
        <w:t>、Mg</w:t>
      </w:r>
      <w:r>
        <w:rPr>
          <w:color w:val="000000" w:themeColor="text1"/>
          <w:spacing w:val="10"/>
          <w:sz w:val="24"/>
          <w:szCs w:val="24"/>
          <w:vertAlign w:val="superscript"/>
          <w14:textFill>
            <w14:solidFill>
              <w14:schemeClr w14:val="tx1"/>
            </w14:solidFill>
          </w14:textFill>
        </w:rPr>
        <w:t>2+</w:t>
      </w:r>
      <w:r>
        <w:rPr>
          <w:color w:val="000000" w:themeColor="text1"/>
          <w:spacing w:val="10"/>
          <w:sz w:val="24"/>
          <w:szCs w:val="24"/>
          <w14:textFill>
            <w14:solidFill>
              <w14:schemeClr w14:val="tx1"/>
            </w14:solidFill>
          </w14:textFill>
        </w:rPr>
        <w:t>、CO</w:t>
      </w:r>
      <w:r>
        <w:rPr>
          <w:color w:val="000000" w:themeColor="text1"/>
          <w:spacing w:val="10"/>
          <w:sz w:val="24"/>
          <w:szCs w:val="24"/>
          <w:vertAlign w:val="subscript"/>
          <w14:textFill>
            <w14:solidFill>
              <w14:schemeClr w14:val="tx1"/>
            </w14:solidFill>
          </w14:textFill>
        </w:rPr>
        <w:t>3</w:t>
      </w:r>
      <w:r>
        <w:rPr>
          <w:color w:val="000000" w:themeColor="text1"/>
          <w:spacing w:val="10"/>
          <w:sz w:val="24"/>
          <w:szCs w:val="24"/>
          <w:vertAlign w:val="superscript"/>
          <w14:textFill>
            <w14:solidFill>
              <w14:schemeClr w14:val="tx1"/>
            </w14:solidFill>
          </w14:textFill>
        </w:rPr>
        <w:t>2-</w:t>
      </w:r>
      <w:r>
        <w:rPr>
          <w:color w:val="000000" w:themeColor="text1"/>
          <w:spacing w:val="10"/>
          <w:sz w:val="24"/>
          <w:szCs w:val="24"/>
          <w14:textFill>
            <w14:solidFill>
              <w14:schemeClr w14:val="tx1"/>
            </w14:solidFill>
          </w14:textFill>
        </w:rPr>
        <w:t>、HCO</w:t>
      </w:r>
      <w:r>
        <w:rPr>
          <w:color w:val="000000" w:themeColor="text1"/>
          <w:spacing w:val="10"/>
          <w:sz w:val="24"/>
          <w:szCs w:val="24"/>
          <w:vertAlign w:val="subscript"/>
          <w14:textFill>
            <w14:solidFill>
              <w14:schemeClr w14:val="tx1"/>
            </w14:solidFill>
          </w14:textFill>
        </w:rPr>
        <w:t>3</w:t>
      </w:r>
      <w:r>
        <w:rPr>
          <w:color w:val="000000" w:themeColor="text1"/>
          <w:spacing w:val="10"/>
          <w:sz w:val="24"/>
          <w:szCs w:val="24"/>
          <w:vertAlign w:val="superscript"/>
          <w14:textFill>
            <w14:solidFill>
              <w14:schemeClr w14:val="tx1"/>
            </w14:solidFill>
          </w14:textFill>
        </w:rPr>
        <w:t>-</w:t>
      </w:r>
      <w:r>
        <w:rPr>
          <w:color w:val="000000" w:themeColor="text1"/>
          <w:spacing w:val="10"/>
          <w:sz w:val="24"/>
          <w:szCs w:val="24"/>
          <w14:textFill>
            <w14:solidFill>
              <w14:schemeClr w14:val="tx1"/>
            </w14:solidFill>
          </w14:textFill>
        </w:rPr>
        <w:t>、Cl</w:t>
      </w:r>
      <w:r>
        <w:rPr>
          <w:color w:val="000000" w:themeColor="text1"/>
          <w:spacing w:val="10"/>
          <w:sz w:val="24"/>
          <w:szCs w:val="24"/>
          <w:vertAlign w:val="superscript"/>
          <w14:textFill>
            <w14:solidFill>
              <w14:schemeClr w14:val="tx1"/>
            </w14:solidFill>
          </w14:textFill>
        </w:rPr>
        <w:t>-</w:t>
      </w:r>
      <w:r>
        <w:rPr>
          <w:color w:val="000000" w:themeColor="text1"/>
          <w:spacing w:val="10"/>
          <w:sz w:val="24"/>
          <w:szCs w:val="24"/>
          <w14:textFill>
            <w14:solidFill>
              <w14:schemeClr w14:val="tx1"/>
            </w14:solidFill>
          </w14:textFill>
        </w:rPr>
        <w:t>、SO</w:t>
      </w:r>
      <w:r>
        <w:rPr>
          <w:color w:val="000000" w:themeColor="text1"/>
          <w:spacing w:val="10"/>
          <w:sz w:val="24"/>
          <w:szCs w:val="24"/>
          <w:vertAlign w:val="subscript"/>
          <w14:textFill>
            <w14:solidFill>
              <w14:schemeClr w14:val="tx1"/>
            </w14:solidFill>
          </w14:textFill>
        </w:rPr>
        <w:t>4</w:t>
      </w:r>
      <w:r>
        <w:rPr>
          <w:color w:val="000000" w:themeColor="text1"/>
          <w:spacing w:val="10"/>
          <w:sz w:val="24"/>
          <w:szCs w:val="24"/>
          <w:vertAlign w:val="superscript"/>
          <w14:textFill>
            <w14:solidFill>
              <w14:schemeClr w14:val="tx1"/>
            </w14:solidFill>
          </w14:textFill>
        </w:rPr>
        <w:t>2-</w:t>
      </w:r>
      <w:r>
        <w:rPr>
          <w:color w:val="000000" w:themeColor="text1"/>
          <w:spacing w:val="10"/>
          <w:sz w:val="24"/>
          <w:szCs w:val="24"/>
          <w14:textFill>
            <w14:solidFill>
              <w14:schemeClr w14:val="tx1"/>
            </w14:solidFill>
          </w14:textFill>
        </w:rPr>
        <w:t>、氨氮、硝酸盐、亚硝酸盐、挥发性酚类、</w:t>
      </w:r>
      <w:r>
        <w:rPr>
          <w:bCs/>
          <w:color w:val="000000" w:themeColor="text1"/>
          <w:spacing w:val="10"/>
          <w:sz w:val="24"/>
          <w:szCs w:val="24"/>
          <w14:textFill>
            <w14:solidFill>
              <w14:schemeClr w14:val="tx1"/>
            </w14:solidFill>
          </w14:textFill>
        </w:rPr>
        <w:t>氰化物、砷、汞、六价铬、总硬度、铅、氟</w:t>
      </w:r>
      <w:r>
        <w:rPr>
          <w:rFonts w:hint="eastAsia"/>
          <w:bCs/>
          <w:color w:val="000000" w:themeColor="text1"/>
          <w:spacing w:val="10"/>
          <w:sz w:val="24"/>
          <w:szCs w:val="24"/>
          <w14:textFill>
            <w14:solidFill>
              <w14:schemeClr w14:val="tx1"/>
            </w14:solidFill>
          </w14:textFill>
        </w:rPr>
        <w:t>化物</w:t>
      </w:r>
      <w:r>
        <w:rPr>
          <w:bCs/>
          <w:color w:val="000000" w:themeColor="text1"/>
          <w:spacing w:val="10"/>
          <w:sz w:val="24"/>
          <w:szCs w:val="24"/>
          <w14:textFill>
            <w14:solidFill>
              <w14:schemeClr w14:val="tx1"/>
            </w14:solidFill>
          </w14:textFill>
        </w:rPr>
        <w:t>、镉、铁、锰、溶解性总固体、耗氧量、总大肠菌群、菌落总数、</w:t>
      </w:r>
      <w:r>
        <w:rPr>
          <w:rFonts w:hint="eastAsia"/>
          <w:bCs/>
          <w:color w:val="000000" w:themeColor="text1"/>
          <w:spacing w:val="10"/>
          <w:sz w:val="24"/>
          <w:szCs w:val="24"/>
          <w14:textFill>
            <w14:solidFill>
              <w14:schemeClr w14:val="tx1"/>
            </w14:solidFill>
          </w14:textFill>
        </w:rPr>
        <w:t>硫化物、可萃取石油烃</w:t>
      </w:r>
      <w:r>
        <w:rPr>
          <w:color w:val="000000" w:themeColor="text1"/>
          <w:spacing w:val="10"/>
          <w:sz w:val="24"/>
          <w:szCs w:val="24"/>
          <w14:textFill>
            <w14:solidFill>
              <w14:schemeClr w14:val="tx1"/>
            </w14:solidFill>
          </w14:textFill>
        </w:rPr>
        <w:t>。</w:t>
      </w:r>
    </w:p>
    <w:p>
      <w:pPr>
        <w:adjustRightInd w:val="0"/>
        <w:snapToGrid w:val="0"/>
        <w:spacing w:line="520" w:lineRule="exact"/>
        <w:ind w:firstLine="520" w:firstLineChars="200"/>
        <w:textAlignment w:val="baseline"/>
        <w:outlineLvl w:val="5"/>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⑤监测点的基本功能划分</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监测井设置可分为2类：</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第一类监测点，布设在</w:t>
      </w:r>
      <w:r>
        <w:rPr>
          <w:rFonts w:hint="eastAsia"/>
          <w:color w:val="000000" w:themeColor="text1"/>
          <w:spacing w:val="10"/>
          <w:sz w:val="24"/>
          <w:szCs w:val="24"/>
          <w14:textFill>
            <w14:solidFill>
              <w14:schemeClr w14:val="tx1"/>
            </w14:solidFill>
          </w14:textFill>
        </w:rPr>
        <w:t>项目区内和</w:t>
      </w:r>
      <w:r>
        <w:rPr>
          <w:color w:val="000000" w:themeColor="text1"/>
          <w:spacing w:val="10"/>
          <w:sz w:val="24"/>
          <w:szCs w:val="24"/>
          <w14:textFill>
            <w14:solidFill>
              <w14:schemeClr w14:val="tx1"/>
            </w14:solidFill>
          </w14:textFill>
        </w:rPr>
        <w:t>项目地下水流向下游，作为长期监测井和事故应急处置井。</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第</w:t>
      </w:r>
      <w:r>
        <w:rPr>
          <w:rFonts w:hint="eastAsia"/>
          <w:color w:val="000000" w:themeColor="text1"/>
          <w:spacing w:val="10"/>
          <w:sz w:val="24"/>
          <w:szCs w:val="24"/>
          <w14:textFill>
            <w14:solidFill>
              <w14:schemeClr w14:val="tx1"/>
            </w14:solidFill>
          </w14:textFill>
        </w:rPr>
        <w:t>二</w:t>
      </w:r>
      <w:r>
        <w:rPr>
          <w:color w:val="000000" w:themeColor="text1"/>
          <w:spacing w:val="10"/>
          <w:sz w:val="24"/>
          <w:szCs w:val="24"/>
          <w14:textFill>
            <w14:solidFill>
              <w14:schemeClr w14:val="tx1"/>
            </w14:solidFill>
          </w14:textFill>
        </w:rPr>
        <w:t>类监测点，布设在项目外围地下水上游，用于背景值监测。</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监测结果应按项目有关规定及时建立档案，并定期向场安全环保部门汇报，对于常规监测数据应该进行公开。如发现异常或发生事故，加密监测频次，改为每天监测一次，并分析污染原因，确定泄漏污染源，及时采取应急措施。</w:t>
      </w:r>
    </w:p>
    <w:p>
      <w:pPr>
        <w:adjustRightInd w:val="0"/>
        <w:snapToGrid w:val="0"/>
        <w:spacing w:line="520" w:lineRule="exact"/>
        <w:ind w:firstLine="520" w:firstLineChars="200"/>
        <w:textAlignment w:val="baseline"/>
        <w:outlineLvl w:val="4"/>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（2）管理</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为保证地下水跟踪监测有效、有序管理，必须落实跟踪监测报告编制的责任主体，明确地下水环境跟踪监测报告的内容：建设项目所在场地及其影响区地下水环境跟踪监测数据，排放污染物的种类、数量、浓度；生产设备、管廊或管线、贮存与运输装置、污染物贮存与处理装置、事故应急装置等设施的运行状况、跑冒滴漏记录、维护记录；信息公开计划应至少包括建设项目特征因子的地下水环境监测值。</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须制定相关规定明确职责，采取以下管理措施和技术措施：</w:t>
      </w:r>
    </w:p>
    <w:p>
      <w:pPr>
        <w:adjustRightInd w:val="0"/>
        <w:snapToGrid w:val="0"/>
        <w:spacing w:line="520" w:lineRule="exact"/>
        <w:ind w:firstLine="520" w:firstLineChars="200"/>
        <w:textAlignment w:val="baseline"/>
        <w:outlineLvl w:val="5"/>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①管理措施</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Ⅰ）防止地下水污染管理的职责属于环境保护管理部门的职责之一。项目区环境保护管理部门指派专人负责防治地下水污染管理工作。</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Ⅱ）项目区环境保护管理部门负责地下水监测工作，按要求及时分析整理原始资料、监测报告的编写工作。</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Ⅲ）建立地下水监测数据信息管理系统，与项目区环境管理系统相联系。</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Ⅳ）</w:t>
      </w:r>
      <w:r>
        <w:rPr>
          <w:rFonts w:hint="eastAsia"/>
          <w:color w:val="000000" w:themeColor="text1"/>
          <w:spacing w:val="10"/>
          <w:sz w:val="24"/>
          <w:szCs w:val="24"/>
          <w14:textFill>
            <w14:solidFill>
              <w14:schemeClr w14:val="tx1"/>
            </w14:solidFill>
          </w14:textFill>
        </w:rPr>
        <w:t>根据实际情况，按事故的性质、类型、影响范围、严重后果分等级地制订相应的预案。在制定预案时要根据本项目区环境污染事故潜在威胁的情况，认真细致地考虑各项影响因素，适当的时候组织有关部门、人员进行演练，不断补充完善。</w:t>
      </w:r>
    </w:p>
    <w:p>
      <w:pPr>
        <w:adjustRightInd w:val="0"/>
        <w:snapToGrid w:val="0"/>
        <w:spacing w:line="520" w:lineRule="exact"/>
        <w:ind w:firstLine="520" w:firstLineChars="200"/>
        <w:textAlignment w:val="baseline"/>
        <w:outlineLvl w:val="5"/>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②技术措施</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Ⅰ）按照《地下水导则》要求，及时上报地下水环境根据检测报告。</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Ⅱ）在日常例行监测中，一旦发现地下水水质监测数据异常，应尽快核查数据，确保数据的正确性。并将核查过的监测数据通告项目区安全环保部门，由专人负责对数据进行分析、核实，并密切关注生产设施的运行情况，为防止地下水污染采取措施提供正确的依据。应采取的基本措施如下：</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ⅰ）了解项目区是否出现异常情况，加大监测密度，如监测频率由每月一次临时加密为每天一次或更多，连续多天，分析变化动向。</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ⅱ）周期性地编写地下水动态监测报告。</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ⅲ）</w:t>
      </w:r>
      <w:r>
        <w:rPr>
          <w:rFonts w:hint="eastAsia"/>
          <w:color w:val="000000" w:themeColor="text1"/>
          <w:spacing w:val="10"/>
          <w:sz w:val="24"/>
          <w:szCs w:val="24"/>
          <w14:textFill>
            <w14:solidFill>
              <w14:schemeClr w14:val="tx1"/>
            </w14:solidFill>
          </w14:textFill>
        </w:rPr>
        <w:t>定期对产污装置进行检查。</w:t>
      </w:r>
    </w:p>
    <w:p>
      <w:pPr>
        <w:adjustRightInd w:val="0"/>
        <w:snapToGrid w:val="0"/>
        <w:spacing w:line="520" w:lineRule="exact"/>
        <w:ind w:firstLine="520" w:firstLineChars="200"/>
        <w:textAlignment w:val="baseline"/>
        <w:outlineLvl w:val="5"/>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③监测信息公开计划</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为维护公民、法人和其他组织依法享有获取环境信息的权利，推动公众参与环境保护工作，促进和谐社会建设。根据《企业事业单位环境信息公开办法》和环保部关于环境信息公开的一系列文件通知精神，制定项目区内入驻企业项目地下水环境监测信息的公开计划。项目运营过程中，应依据下列内容，遵照环保主管部门的相关要求，结合入驻企业实际情况，细化完善计划内容，并认真落实。</w:t>
      </w:r>
    </w:p>
    <w:p>
      <w:pPr>
        <w:adjustRightInd w:val="0"/>
        <w:snapToGrid w:val="0"/>
        <w:spacing w:line="520" w:lineRule="exact"/>
        <w:ind w:firstLine="520" w:firstLineChars="200"/>
        <w:textAlignment w:val="baseline"/>
        <w:outlineLvl w:val="6"/>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Ⅰ）公开主体</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本着“谁获取谁公开、谁制作谁公开”的原则，确定信息公开主体。</w:t>
      </w:r>
    </w:p>
    <w:p>
      <w:pPr>
        <w:adjustRightInd w:val="0"/>
        <w:snapToGrid w:val="0"/>
        <w:spacing w:line="520" w:lineRule="exact"/>
        <w:ind w:firstLine="520" w:firstLineChars="200"/>
        <w:textAlignment w:val="baseline"/>
        <w:outlineLvl w:val="6"/>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Ⅱ）公开内容</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ⅰ）基础信息：企业名称、法人代表、所属行业、地理位置、生产周期、联系方式、监测机构名称等；</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ⅱ）跟踪监测方案；</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ⅲ）跟踪监测结果：监测点位、监测时间、污染物种类及浓度、标准限制、达标情况、超标倍数、污染物排放方式及排放去向；</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ⅳ）未开展自行监测的原因；</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ⅴ）跟踪监测年度报告。</w:t>
      </w:r>
    </w:p>
    <w:p>
      <w:pPr>
        <w:adjustRightInd w:val="0"/>
        <w:snapToGrid w:val="0"/>
        <w:spacing w:line="520" w:lineRule="exact"/>
        <w:ind w:firstLine="520" w:firstLineChars="200"/>
        <w:textAlignment w:val="baseline"/>
        <w:outlineLvl w:val="6"/>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Ⅲ）公开时限</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ⅰ）基础信息应随监测结果一并公布，基础信息、监测方案等如有调整变化时，应于变更后的五日内公布最新内容；</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ⅱ）每期跟踪监测结果应在三十天内予以公开；</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ⅲ）每年一月底前公布上年度跟踪监测年度报告。</w:t>
      </w:r>
    </w:p>
    <w:p>
      <w:pPr>
        <w:adjustRightInd w:val="0"/>
        <w:snapToGrid w:val="0"/>
        <w:spacing w:line="520" w:lineRule="exact"/>
        <w:ind w:firstLine="520" w:firstLineChars="200"/>
        <w:textAlignment w:val="baseline"/>
        <w:outlineLvl w:val="6"/>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Ⅳ）公开方式</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项目区内入驻企业可通过对外网站、报纸、广播、电视等便于公众知晓的方式公开监测信息。同时，应当在省级或地市级环境保护主管部门统一组织建立的公布平台上公开监测信息，并至少保持一年。</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常用信息公开方式如下：</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ⅰ）公告或公开发行的信息专刊；</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ⅱ）广播、电视等新闻媒体；</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ⅲ）信息公开服务、监督热线电话；</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color w:val="000000" w:themeColor="text1"/>
          <w:spacing w:val="10"/>
          <w:sz w:val="24"/>
          <w:szCs w:val="24"/>
          <w14:textFill>
            <w14:solidFill>
              <w14:schemeClr w14:val="tx1"/>
            </w14:solidFill>
          </w14:textFill>
        </w:rPr>
        <w:t>ⅳ）</w:t>
      </w:r>
      <w:r>
        <w:rPr>
          <w:rFonts w:hint="eastAsia"/>
          <w:color w:val="000000" w:themeColor="text1"/>
          <w:spacing w:val="10"/>
          <w:sz w:val="24"/>
          <w:szCs w:val="24"/>
          <w14:textFill>
            <w14:solidFill>
              <w14:schemeClr w14:val="tx1"/>
            </w14:solidFill>
          </w14:textFill>
        </w:rPr>
        <w:t>本单位的资料索取点、信息公开栏、电子屏幕等场所或设施。</w:t>
      </w:r>
    </w:p>
    <w:p>
      <w:pPr>
        <w:adjustRightInd w:val="0"/>
        <w:snapToGrid w:val="0"/>
        <w:spacing w:line="520" w:lineRule="exact"/>
        <w:ind w:firstLine="520" w:firstLineChars="200"/>
        <w:textAlignment w:val="baseline"/>
        <w:rPr>
          <w:color w:val="000000" w:themeColor="text1"/>
          <w:spacing w:val="10"/>
          <w:sz w:val="24"/>
          <w:szCs w:val="24"/>
          <w14:textFill>
            <w14:solidFill>
              <w14:schemeClr w14:val="tx1"/>
            </w14:solidFill>
          </w14:textFill>
        </w:rPr>
      </w:pPr>
      <w:r>
        <w:rPr>
          <w:rFonts w:hint="eastAsia"/>
          <w:color w:val="000000" w:themeColor="text1"/>
          <w:spacing w:val="10"/>
          <w:sz w:val="24"/>
          <w:szCs w:val="24"/>
          <w14:textFill>
            <w14:solidFill>
              <w14:schemeClr w14:val="tx1"/>
            </w14:solidFill>
          </w14:textFill>
        </w:rPr>
        <w:t>企业拟采用的方式为：设立信息公开资料索取点，网站公布资料索取点所在位置，上班时间，负责人联系方式等内容，由资料索取点负责发放相关资料。</w:t>
      </w:r>
    </w:p>
    <w:p>
      <w:pPr>
        <w:pStyle w:val="727"/>
        <w:rPr>
          <w:color w:val="000000" w:themeColor="text1"/>
          <w14:textFill>
            <w14:solidFill>
              <w14:schemeClr w14:val="tx1"/>
            </w14:solidFill>
          </w14:textFill>
        </w:rPr>
      </w:pPr>
      <w:r>
        <w:rPr>
          <w:color w:val="000000" w:themeColor="text1"/>
          <w14:textFill>
            <w14:solidFill>
              <w14:schemeClr w14:val="tx1"/>
            </w14:solidFill>
          </w14:textFill>
        </w:rPr>
        <w:t>5.4.</w:t>
      </w:r>
      <w:bookmarkStart w:id="133" w:name="_Toc20525"/>
      <w:r>
        <w:rPr>
          <w:color w:val="000000" w:themeColor="text1"/>
          <w14:textFill>
            <w14:solidFill>
              <w14:schemeClr w14:val="tx1"/>
            </w14:solidFill>
          </w14:textFill>
        </w:rPr>
        <w:t>10 地下水环境影响评价结论</w:t>
      </w:r>
      <w:bookmarkEnd w:id="133"/>
      <w:r>
        <w:rPr>
          <w:color w:val="000000" w:themeColor="text1"/>
          <w14:textFill>
            <w14:solidFill>
              <w14:schemeClr w14:val="tx1"/>
            </w14:solidFill>
          </w14:textFill>
        </w:rPr>
        <w:t>与建议</w:t>
      </w:r>
    </w:p>
    <w:p>
      <w:pPr>
        <w:pStyle w:val="460"/>
      </w:pPr>
      <w:bookmarkStart w:id="134" w:name="_Toc503621952"/>
      <w:bookmarkStart w:id="135" w:name="_Toc6028"/>
      <w:r>
        <w:t>5.4.10.1 项目类别与评价工作等级</w:t>
      </w:r>
      <w:bookmarkEnd w:id="134"/>
      <w:bookmarkEnd w:id="135"/>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根据《环境影响评价技术导则—地下水环境》（HJ610-2016），</w:t>
      </w:r>
      <w:r>
        <w:rPr>
          <w:color w:val="000000" w:themeColor="text1"/>
          <w:sz w:val="24"/>
          <w:szCs w:val="24"/>
          <w14:textFill>
            <w14:solidFill>
              <w14:schemeClr w14:val="tx1"/>
            </w14:solidFill>
          </w14:textFill>
        </w:rPr>
        <w:t>本项目属于Ⅰ类建设项目</w:t>
      </w:r>
      <w:r>
        <w:rPr>
          <w:rFonts w:hint="eastAsia"/>
          <w:color w:val="000000" w:themeColor="text1"/>
          <w:sz w:val="24"/>
          <w:szCs w:val="24"/>
          <w14:textFill>
            <w14:solidFill>
              <w14:schemeClr w14:val="tx1"/>
            </w14:solidFill>
          </w14:textFill>
        </w:rPr>
        <w:t>。建设项目场地的地下水环境敏感程度分级确定为“敏感”，综合上述建设项目类别和场地地下水环境敏感程度，该项目评价级别为一级。</w:t>
      </w:r>
    </w:p>
    <w:p>
      <w:pPr>
        <w:pStyle w:val="460"/>
      </w:pPr>
      <w:bookmarkStart w:id="136" w:name="_Toc26063"/>
      <w:bookmarkStart w:id="137" w:name="_Toc503621953"/>
      <w:r>
        <w:t xml:space="preserve">5.4.10.2 </w:t>
      </w:r>
      <w:bookmarkEnd w:id="136"/>
      <w:bookmarkEnd w:id="137"/>
      <w:r>
        <w:rPr>
          <w:rFonts w:hint="eastAsia"/>
        </w:rPr>
        <w:t>环境水文地质现状</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区及其周边地下水类型主要为第四系松散岩类孔隙水。上层地下水主要接受大气降水侧向补给，其次为河渠水库入渗、灌溉回渗补给及侧向径流补给，顺势向下游排泄。从地下水调查结果可以看出，项目区附近地下水主要从西南向东北方向流动，通过地下水水质监测可以看出，项目区附近地下水总体符合地下水质量标准的Ⅲ类水质，按照标准指数法计算，本项目调查区地下水各水质因子均没有超标。</w:t>
      </w:r>
    </w:p>
    <w:p>
      <w:pPr>
        <w:pStyle w:val="460"/>
      </w:pPr>
      <w:r>
        <w:rPr>
          <w:rFonts w:hint="eastAsia"/>
        </w:rPr>
        <w:t>5</w:t>
      </w:r>
      <w:r>
        <w:t>.4.10.3 调查评价范围及保护目标</w:t>
      </w:r>
    </w:p>
    <w:p>
      <w:pPr>
        <w:spacing w:line="520" w:lineRule="exact"/>
        <w:ind w:firstLine="480"/>
        <w:rPr>
          <w:color w:val="000000" w:themeColor="text1"/>
          <w:sz w:val="24"/>
          <w:szCs w:val="24"/>
          <w14:textFill>
            <w14:solidFill>
              <w14:schemeClr w14:val="tx1"/>
            </w14:solidFill>
          </w14:textFill>
        </w:rPr>
      </w:pPr>
      <w:r>
        <w:rPr>
          <w:color w:val="000000" w:themeColor="text1"/>
          <w:spacing w:val="10"/>
          <w:sz w:val="24"/>
          <w:szCs w:val="24"/>
          <w14:textFill>
            <w14:solidFill>
              <w14:schemeClr w14:val="tx1"/>
            </w14:solidFill>
          </w14:textFill>
        </w:rPr>
        <w:t>根据查表法确定的调查评价范围，并结合产业调查区规划范围、地形地貌特征、区域水文地质条件、地下水流场特征和地下水保护目标等，为了说明地下水环境的基本状况，调查</w:t>
      </w:r>
      <w:r>
        <w:rPr>
          <w:rFonts w:hint="eastAsia"/>
          <w:color w:val="000000" w:themeColor="text1"/>
          <w:spacing w:val="10"/>
          <w:sz w:val="24"/>
          <w:szCs w:val="24"/>
          <w14:textFill>
            <w14:solidFill>
              <w14:schemeClr w14:val="tx1"/>
            </w14:solidFill>
          </w14:textFill>
        </w:rPr>
        <w:t>范围：</w:t>
      </w:r>
      <w:r>
        <w:rPr>
          <w:color w:val="000000" w:themeColor="text1"/>
          <w:sz w:val="24"/>
          <w:szCs w:val="24"/>
          <w14:textFill>
            <w14:solidFill>
              <w14:schemeClr w14:val="tx1"/>
            </w14:solidFill>
          </w14:textFill>
        </w:rPr>
        <w:t>即</w:t>
      </w:r>
      <w:r>
        <w:rPr>
          <w:rFonts w:hint="eastAsia"/>
          <w:color w:val="000000" w:themeColor="text1"/>
          <w:sz w:val="24"/>
          <w:szCs w:val="24"/>
          <w14:textFill>
            <w14:solidFill>
              <w14:schemeClr w14:val="tx1"/>
            </w14:solidFill>
          </w14:textFill>
        </w:rPr>
        <w:t>东北侧</w:t>
      </w:r>
      <w:r>
        <w:rPr>
          <w:color w:val="000000" w:themeColor="text1"/>
          <w:sz w:val="24"/>
          <w:szCs w:val="24"/>
          <w14:textFill>
            <w14:solidFill>
              <w14:schemeClr w14:val="tx1"/>
            </w14:solidFill>
          </w14:textFill>
        </w:rPr>
        <w:t>2.73</w:t>
      </w:r>
      <w:r>
        <w:rPr>
          <w:rFonts w:hint="eastAsia"/>
          <w:color w:val="000000" w:themeColor="text1"/>
          <w:sz w:val="24"/>
          <w:szCs w:val="24"/>
          <w14:textFill>
            <w14:solidFill>
              <w14:schemeClr w14:val="tx1"/>
            </w14:solidFill>
          </w14:textFill>
        </w:rPr>
        <w:t>km西南文岩渠至刘秀王庄村西关排一线</w:t>
      </w:r>
      <w:r>
        <w:rPr>
          <w:color w:val="000000" w:themeColor="text1"/>
          <w:sz w:val="24"/>
          <w:szCs w:val="24"/>
          <w14:textFill>
            <w14:solidFill>
              <w14:schemeClr w14:val="tx1"/>
            </w14:solidFill>
          </w14:textFill>
        </w:rPr>
        <w:t>，厂界</w:t>
      </w:r>
      <w:r>
        <w:rPr>
          <w:rFonts w:hint="eastAsia"/>
          <w:color w:val="000000" w:themeColor="text1"/>
          <w:sz w:val="24"/>
          <w:szCs w:val="24"/>
          <w14:textFill>
            <w14:solidFill>
              <w14:schemeClr w14:val="tx1"/>
            </w14:solidFill>
          </w14:textFill>
        </w:rPr>
        <w:t>上游</w:t>
      </w:r>
      <w:r>
        <w:rPr>
          <w:color w:val="000000" w:themeColor="text1"/>
          <w:sz w:val="24"/>
          <w:szCs w:val="24"/>
          <w14:textFill>
            <w14:solidFill>
              <w14:schemeClr w14:val="tx1"/>
            </w14:solidFill>
          </w14:textFill>
        </w:rPr>
        <w:t>西南侧</w:t>
      </w:r>
      <w:r>
        <w:rPr>
          <w:rFonts w:hint="eastAsia"/>
          <w:color w:val="000000" w:themeColor="text1"/>
          <w:sz w:val="24"/>
          <w:szCs w:val="24"/>
          <w14:textFill>
            <w14:solidFill>
              <w14:schemeClr w14:val="tx1"/>
            </w14:solidFill>
          </w14:textFill>
        </w:rPr>
        <w:t>的天然二支渠一线</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厂界西侧新一干灌渠和西北侧文岩渠一线</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厂界东南侧西关排一线，</w:t>
      </w:r>
      <w:r>
        <w:rPr>
          <w:color w:val="000000" w:themeColor="text1"/>
          <w:sz w:val="24"/>
          <w:szCs w:val="24"/>
          <w14:textFill>
            <w14:solidFill>
              <w14:schemeClr w14:val="tx1"/>
            </w14:solidFill>
          </w14:textFill>
        </w:rPr>
        <w:t>总</w:t>
      </w:r>
      <w:r>
        <w:rPr>
          <w:rFonts w:hint="eastAsia"/>
          <w:color w:val="000000" w:themeColor="text1"/>
          <w:sz w:val="24"/>
          <w:szCs w:val="24"/>
          <w14:textFill>
            <w14:solidFill>
              <w14:schemeClr w14:val="tx1"/>
            </w14:solidFill>
          </w14:textFill>
        </w:rPr>
        <w:t>调查</w:t>
      </w:r>
      <w:r>
        <w:rPr>
          <w:color w:val="000000" w:themeColor="text1"/>
          <w:sz w:val="24"/>
          <w:szCs w:val="24"/>
          <w14:textFill>
            <w14:solidFill>
              <w14:schemeClr w14:val="tx1"/>
            </w14:solidFill>
          </w14:textFill>
        </w:rPr>
        <w:t>面积</w:t>
      </w:r>
      <w:r>
        <w:rPr>
          <w:rFonts w:hint="eastAsia"/>
          <w:color w:val="000000" w:themeColor="text1"/>
          <w:sz w:val="24"/>
          <w:szCs w:val="24"/>
          <w14:textFill>
            <w14:solidFill>
              <w14:schemeClr w14:val="tx1"/>
            </w14:solidFill>
          </w14:textFill>
        </w:rPr>
        <w:t>为</w:t>
      </w:r>
      <w:r>
        <w:rPr>
          <w:color w:val="000000" w:themeColor="text1"/>
          <w:spacing w:val="10"/>
          <w:sz w:val="24"/>
          <w:szCs w:val="24"/>
          <w14:textFill>
            <w14:solidFill>
              <w14:schemeClr w14:val="tx1"/>
            </w14:solidFill>
          </w14:textFill>
        </w:rPr>
        <w:t>34.2km</w:t>
      </w:r>
      <w:r>
        <w:rPr>
          <w:color w:val="000000" w:themeColor="text1"/>
          <w:spacing w:val="10"/>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本项目的保护目标为调查评价范围内厂址、厂址两侧及地下水径流方向下游的浅层松散岩类孔隙水含水层</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饮用水水源含水层</w:t>
      </w:r>
      <w:r>
        <w:rPr>
          <w:rFonts w:hint="eastAsia"/>
          <w:color w:val="000000" w:themeColor="text1"/>
          <w:sz w:val="24"/>
          <w:szCs w:val="24"/>
          <w14:textFill>
            <w14:solidFill>
              <w14:schemeClr w14:val="tx1"/>
            </w14:solidFill>
          </w14:textFill>
        </w:rPr>
        <w:t>以及厂区西南和东南的原阳县水厂地下水井群</w:t>
      </w:r>
      <w:r>
        <w:rPr>
          <w:color w:val="000000" w:themeColor="text1"/>
          <w:sz w:val="24"/>
          <w:szCs w:val="24"/>
          <w14:textFill>
            <w14:solidFill>
              <w14:schemeClr w14:val="tx1"/>
            </w14:solidFill>
          </w14:textFill>
        </w:rPr>
        <w:t>。</w:t>
      </w:r>
    </w:p>
    <w:p>
      <w:pPr>
        <w:pStyle w:val="460"/>
      </w:pPr>
      <w:bookmarkStart w:id="138" w:name="_Toc503621956"/>
      <w:bookmarkStart w:id="139" w:name="_Toc24979"/>
      <w:r>
        <w:t>5.4.10.3 地下水环境影响预测评价</w:t>
      </w:r>
      <w:bookmarkEnd w:id="138"/>
      <w:bookmarkEnd w:id="139"/>
    </w:p>
    <w:p>
      <w:pPr>
        <w:spacing w:line="520" w:lineRule="exact"/>
        <w:ind w:firstLine="480" w:firstLineChars="200"/>
        <w:rPr>
          <w:color w:val="000000" w:themeColor="text1"/>
          <w:sz w:val="24"/>
          <w:szCs w:val="24"/>
          <w14:textFill>
            <w14:solidFill>
              <w14:schemeClr w14:val="tx1"/>
            </w14:solidFill>
          </w14:textFill>
        </w:rPr>
      </w:pPr>
      <w:bookmarkStart w:id="140" w:name="_Toc32658"/>
      <w:bookmarkStart w:id="141" w:name="_Toc503621957"/>
      <w:r>
        <w:rPr>
          <w:color w:val="000000" w:themeColor="text1"/>
          <w:sz w:val="24"/>
          <w:szCs w:val="24"/>
          <w14:textFill>
            <w14:solidFill>
              <w14:schemeClr w14:val="tx1"/>
            </w14:solidFill>
          </w14:textFill>
        </w:rPr>
        <w:t>由预测结果可知：在厂区污水处理站</w:t>
      </w:r>
      <w:r>
        <w:rPr>
          <w:rFonts w:hint="eastAsia"/>
          <w:color w:val="000000" w:themeColor="text1"/>
          <w:sz w:val="24"/>
          <w:szCs w:val="24"/>
          <w14:textFill>
            <w14:solidFill>
              <w14:schemeClr w14:val="tx1"/>
            </w14:solidFill>
          </w14:textFill>
        </w:rPr>
        <w:t>集水池</w:t>
      </w:r>
      <w:r>
        <w:rPr>
          <w:color w:val="000000" w:themeColor="text1"/>
          <w:sz w:val="24"/>
          <w:szCs w:val="24"/>
          <w14:textFill>
            <w14:solidFill>
              <w14:schemeClr w14:val="tx1"/>
            </w14:solidFill>
          </w14:textFill>
        </w:rPr>
        <w:t>非正常状况</w:t>
      </w:r>
      <w:r>
        <w:rPr>
          <w:rFonts w:hint="eastAsia"/>
          <w:color w:val="000000" w:themeColor="text1"/>
          <w:sz w:val="24"/>
          <w:szCs w:val="24"/>
          <w14:textFill>
            <w14:solidFill>
              <w14:schemeClr w14:val="tx1"/>
            </w14:solidFill>
          </w14:textFill>
        </w:rPr>
        <w:t>泄漏</w:t>
      </w:r>
      <w:r>
        <w:rPr>
          <w:color w:val="000000" w:themeColor="text1"/>
          <w:sz w:val="24"/>
          <w:szCs w:val="24"/>
          <w14:textFill>
            <w14:solidFill>
              <w14:schemeClr w14:val="tx1"/>
            </w14:solidFill>
          </w14:textFill>
        </w:rPr>
        <w:t>情景下，</w:t>
      </w:r>
      <w:r>
        <w:rPr>
          <w:rFonts w:hint="eastAsia"/>
          <w:color w:val="000000" w:themeColor="text1"/>
          <w:sz w:val="24"/>
          <w:szCs w:val="24"/>
          <w14:textFill>
            <w14:solidFill>
              <w14:schemeClr w14:val="tx1"/>
            </w14:solidFill>
          </w14:textFill>
        </w:rPr>
        <w:t>泄漏</w:t>
      </w:r>
      <w:r>
        <w:rPr>
          <w:color w:val="000000" w:themeColor="text1"/>
          <w:sz w:val="24"/>
          <w:szCs w:val="24"/>
          <w14:textFill>
            <w14:solidFill>
              <w14:schemeClr w14:val="tx1"/>
            </w14:solidFill>
          </w14:textFill>
        </w:rPr>
        <w:t>的污染物在水动力条件作用下向下游扩散</w:t>
      </w:r>
      <w:r>
        <w:rPr>
          <w:rFonts w:hint="eastAsia"/>
          <w:color w:val="000000" w:themeColor="text1"/>
          <w:sz w:val="24"/>
          <w:szCs w:val="24"/>
          <w14:textFill>
            <w14:solidFill>
              <w14:schemeClr w14:val="tx1"/>
            </w14:solidFill>
          </w14:textFill>
        </w:rPr>
        <w:t>运移，污染物由于水动力作用会对浅层地下水造成一定程度的污染。C</w:t>
      </w:r>
      <w:r>
        <w:rPr>
          <w:color w:val="000000" w:themeColor="text1"/>
          <w:sz w:val="24"/>
          <w:szCs w:val="24"/>
          <w14:textFill>
            <w14:solidFill>
              <w14:schemeClr w14:val="tx1"/>
            </w14:solidFill>
          </w14:textFill>
        </w:rPr>
        <w:t>OD</w:t>
      </w:r>
      <w:r>
        <w:rPr>
          <w:rFonts w:hint="eastAsia"/>
          <w:color w:val="000000" w:themeColor="text1"/>
          <w:sz w:val="24"/>
          <w:szCs w:val="24"/>
          <w14:textFill>
            <w14:solidFill>
              <w14:schemeClr w14:val="tx1"/>
            </w14:solidFill>
          </w14:textFill>
        </w:rPr>
        <w:t>、氨氮的1</w:t>
      </w:r>
      <w:r>
        <w:rPr>
          <w:color w:val="000000" w:themeColor="text1"/>
          <w:sz w:val="24"/>
          <w:szCs w:val="24"/>
          <w14:textFill>
            <w14:solidFill>
              <w14:schemeClr w14:val="tx1"/>
            </w14:solidFill>
          </w14:textFill>
        </w:rPr>
        <w:t>00d</w:t>
      </w:r>
      <w:r>
        <w:rPr>
          <w:rFonts w:hint="eastAsia"/>
          <w:color w:val="000000" w:themeColor="text1"/>
          <w:sz w:val="24"/>
          <w:szCs w:val="24"/>
          <w14:textFill>
            <w14:solidFill>
              <w14:schemeClr w14:val="tx1"/>
            </w14:solidFill>
          </w14:textFill>
        </w:rPr>
        <w:t>时间点上，均仅厂区内局部地下水水质受到暂时的影响，在1</w:t>
      </w:r>
      <w:r>
        <w:rPr>
          <w:color w:val="000000" w:themeColor="text1"/>
          <w:sz w:val="24"/>
          <w:szCs w:val="24"/>
          <w14:textFill>
            <w14:solidFill>
              <w14:schemeClr w14:val="tx1"/>
            </w14:solidFill>
          </w14:textFill>
        </w:rPr>
        <w:t>000d</w:t>
      </w: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650d</w:t>
      </w:r>
      <w:r>
        <w:rPr>
          <w:rFonts w:hint="eastAsia"/>
          <w:color w:val="000000" w:themeColor="text1"/>
          <w:sz w:val="24"/>
          <w:szCs w:val="24"/>
          <w14:textFill>
            <w14:solidFill>
              <w14:schemeClr w14:val="tx1"/>
            </w14:solidFill>
          </w14:textFill>
        </w:rPr>
        <w:t>、7</w:t>
      </w:r>
      <w:r>
        <w:rPr>
          <w:color w:val="000000" w:themeColor="text1"/>
          <w:sz w:val="24"/>
          <w:szCs w:val="24"/>
          <w14:textFill>
            <w14:solidFill>
              <w14:schemeClr w14:val="tx1"/>
            </w14:solidFill>
          </w14:textFill>
        </w:rPr>
        <w:t>300d</w:t>
      </w:r>
      <w:r>
        <w:rPr>
          <w:rFonts w:hint="eastAsia"/>
          <w:color w:val="000000" w:themeColor="text1"/>
          <w:sz w:val="24"/>
          <w:szCs w:val="24"/>
          <w14:textFill>
            <w14:solidFill>
              <w14:schemeClr w14:val="tx1"/>
            </w14:solidFill>
          </w14:textFill>
        </w:rPr>
        <w:t>均对下游小庄村地下水存在影响，在7</w:t>
      </w:r>
      <w:r>
        <w:rPr>
          <w:color w:val="000000" w:themeColor="text1"/>
          <w:sz w:val="24"/>
          <w:szCs w:val="24"/>
          <w14:textFill>
            <w14:solidFill>
              <w14:schemeClr w14:val="tx1"/>
            </w14:solidFill>
          </w14:textFill>
        </w:rPr>
        <w:t>300d</w:t>
      </w:r>
      <w:r>
        <w:rPr>
          <w:rFonts w:hint="eastAsia"/>
          <w:color w:val="000000" w:themeColor="text1"/>
          <w:sz w:val="24"/>
          <w:szCs w:val="24"/>
          <w14:textFill>
            <w14:solidFill>
              <w14:schemeClr w14:val="tx1"/>
            </w14:solidFill>
          </w14:textFill>
        </w:rPr>
        <w:t>的时间点上，厂区内地下水水质不再受到影响，对下游侧向的饮用水水源地保护敏感点未产生影响。因此，可以看出，在做好地下水水质监测以及事故应急方案的情形下，坚持对特征因子的按要求频次监测，可以对污染事故做到早发现和及时采取环保措施，尽快消除项目运营对地下水环境的影响。</w:t>
      </w:r>
    </w:p>
    <w:p>
      <w:pPr>
        <w:pStyle w:val="460"/>
      </w:pPr>
      <w:r>
        <w:t>5.4.10.4 地下水</w:t>
      </w:r>
      <w:bookmarkEnd w:id="140"/>
      <w:bookmarkEnd w:id="141"/>
      <w:r>
        <w:rPr>
          <w:rFonts w:hint="eastAsia"/>
        </w:rPr>
        <w:t>防护与监测</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依据导则，针对本项目可能造成的地下水污染影响途径，将项目区内场地分为不同污染防治区。</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评价区内共布设置</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个水质监测井，按照每季度一次的频率进行地下水监测。除此之外完善风险事故应急响应系统，妥善合理安排事故后补救、治理措施。</w:t>
      </w:r>
    </w:p>
    <w:p>
      <w:pPr>
        <w:pStyle w:val="460"/>
      </w:pPr>
      <w:bookmarkStart w:id="142" w:name="_Toc503621958"/>
      <w:bookmarkStart w:id="143" w:name="_Toc270343467"/>
      <w:bookmarkStart w:id="144" w:name="_Toc25317"/>
      <w:r>
        <w:t xml:space="preserve">5.4.10.5 </w:t>
      </w:r>
      <w:r>
        <w:rPr>
          <w:rFonts w:hint="eastAsia"/>
        </w:rPr>
        <w:t>地下水环境影响评价</w:t>
      </w:r>
      <w:r>
        <w:t>建议</w:t>
      </w:r>
      <w:bookmarkEnd w:id="142"/>
      <w:bookmarkEnd w:id="143"/>
      <w:bookmarkEnd w:id="144"/>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（1）地下水污染具有不易发现和一旦污染很难治理的特点，因此，防止地下水污染应遵循源头控制、防止渗漏、污染监测及事故应急处理的主动及被动防渗相结合的原则。</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（2）项目建成后，应加强对厂址浅层地下水的动态监测工作，以实时掌握项目排放污染物对浅层地下水水质的影响。</w:t>
      </w:r>
    </w:p>
    <w:p>
      <w:pPr>
        <w:pStyle w:val="460"/>
      </w:pPr>
      <w:r>
        <w:t xml:space="preserve">5.4.10.6 </w:t>
      </w:r>
      <w:r>
        <w:rPr>
          <w:rFonts w:hint="eastAsia"/>
        </w:rPr>
        <w:t>项目可行性</w:t>
      </w:r>
      <w:r>
        <w:t>结论</w:t>
      </w:r>
    </w:p>
    <w:p>
      <w:pPr>
        <w:spacing w:line="50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本评价工作对项目影响区地下水现状进行了评价，掌握了评价区环境水文地质条件。</w:t>
      </w:r>
    </w:p>
    <w:p>
      <w:pPr>
        <w:spacing w:line="50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评价工作对于可能出现的事故情景预测了建设项目对地下水环境的影响。在建设项目正常状况下，生产废水能达到妥善处置，可以满足《GB14848-2017_地下水质量标准》的要求。项目施工期废水能够得到妥善处理，对地下水影响可以忽略。在建设项目非正常状况下项目运营期间，假设本项目厂区污水站发生污染物泄露，通过模拟预测可知泄露污染出现了一定范围的超标，但在采取环保措施后，影响可以逐渐消除，使地下水质量标准能满足标准GB/T14848-2017的要求。</w:t>
      </w:r>
    </w:p>
    <w:p>
      <w:pPr>
        <w:spacing w:line="50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在进行相应的废水处置措施后，项目建设运营对地下水水质影响可降至最小。针对可能出现的事故情景，制定了相应的地下水质量监测方案和应急措施。</w:t>
      </w:r>
    </w:p>
    <w:p>
      <w:pPr>
        <w:spacing w:line="50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结合本评价区水文地质条件、地下水环境现状情况，在切实实施相关保护措施后，本项目建设满足地下水导则中10.4.1的标准要求，对地下水环境影响污染可控，可以接受。</w:t>
      </w:r>
    </w:p>
    <w:p>
      <w:pPr>
        <w:pStyle w:val="547"/>
        <w:rPr>
          <w:color w:val="000000" w:themeColor="text1"/>
          <w14:textFill>
            <w14:solidFill>
              <w14:schemeClr w14:val="tx1"/>
            </w14:solidFill>
          </w14:textFill>
        </w:rPr>
      </w:pPr>
      <w:bookmarkStart w:id="145" w:name="_Toc30962"/>
      <w:r>
        <w:rPr>
          <w:color w:val="000000" w:themeColor="text1"/>
          <w14:textFill>
            <w14:solidFill>
              <w14:schemeClr w14:val="tx1"/>
            </w14:solidFill>
          </w14:textFill>
        </w:rPr>
        <w:t>5.5 声环境影响分析</w:t>
      </w:r>
      <w:bookmarkEnd w:id="145"/>
    </w:p>
    <w:p>
      <w:pPr>
        <w:pStyle w:val="727"/>
        <w:rPr>
          <w:color w:val="000000" w:themeColor="text1"/>
          <w14:textFill>
            <w14:solidFill>
              <w14:schemeClr w14:val="tx1"/>
            </w14:solidFill>
          </w14:textFill>
        </w:rPr>
      </w:pPr>
      <w:r>
        <w:rPr>
          <w:color w:val="000000" w:themeColor="text1"/>
          <w14:textFill>
            <w14:solidFill>
              <w14:schemeClr w14:val="tx1"/>
            </w14:solidFill>
          </w14:textFill>
        </w:rPr>
        <w:t>5.5.1 预测等级及预测范围</w:t>
      </w:r>
    </w:p>
    <w:p>
      <w:pPr>
        <w:pStyle w:val="439"/>
        <w:rPr>
          <w:rFonts w:ascii="Times New Roman" w:hAnsi="Times New Roman"/>
          <w:color w:val="000000" w:themeColor="text1"/>
          <w:highlight w:val="yellow"/>
          <w14:textFill>
            <w14:solidFill>
              <w14:schemeClr w14:val="tx1"/>
            </w14:solidFill>
          </w14:textFill>
        </w:rPr>
      </w:pPr>
      <w:r>
        <w:rPr>
          <w:rFonts w:ascii="Times New Roman" w:hAnsi="Times New Roman" w:eastAsia="宋体"/>
          <w:color w:val="000000" w:themeColor="text1"/>
          <w14:textFill>
            <w14:solidFill>
              <w14:schemeClr w14:val="tx1"/>
            </w14:solidFill>
          </w14:textFill>
        </w:rPr>
        <w:t>根据《环境影响评价技术导则</w:t>
      </w:r>
      <w:r>
        <w:rPr>
          <w:rFonts w:hint="eastAsia" w:ascii="Times New Roman" w:hAnsi="Times New Roman" w:eastAsia="宋体"/>
          <w:color w:val="000000" w:themeColor="text1"/>
          <w14:textFill>
            <w14:solidFill>
              <w14:schemeClr w14:val="tx1"/>
            </w14:solidFill>
          </w14:textFill>
        </w:rPr>
        <w:t xml:space="preserve"> </w:t>
      </w:r>
      <w:r>
        <w:rPr>
          <w:rFonts w:ascii="Times New Roman" w:hAnsi="Times New Roman" w:eastAsia="宋体"/>
          <w:color w:val="000000" w:themeColor="text1"/>
          <w14:textFill>
            <w14:solidFill>
              <w14:schemeClr w14:val="tx1"/>
            </w14:solidFill>
          </w14:textFill>
        </w:rPr>
        <w:t>声环境》（</w:t>
      </w:r>
      <w:r>
        <w:rPr>
          <w:rFonts w:ascii="Times New Roman" w:hAnsi="Times New Roman"/>
          <w:color w:val="000000" w:themeColor="text1"/>
          <w14:textFill>
            <w14:solidFill>
              <w14:schemeClr w14:val="tx1"/>
            </w14:solidFill>
          </w14:textFill>
        </w:rPr>
        <w:t>HJ2.4-2021</w:t>
      </w:r>
      <w:r>
        <w:rPr>
          <w:rFonts w:ascii="Times New Roman" w:hAnsi="Times New Roman" w:eastAsia="宋体"/>
          <w:color w:val="000000" w:themeColor="text1"/>
          <w14:textFill>
            <w14:solidFill>
              <w14:schemeClr w14:val="tx1"/>
            </w14:solidFill>
          </w14:textFill>
        </w:rPr>
        <w:t>）中有关声环境影响评价工作等级划分原则，本次声环境评价工作等级为三级。</w:t>
      </w:r>
    </w:p>
    <w:p>
      <w:pPr>
        <w:pStyle w:val="632"/>
        <w:rPr>
          <w:color w:val="000000" w:themeColor="text1"/>
          <w14:textFill>
            <w14:solidFill>
              <w14:schemeClr w14:val="tx1"/>
            </w14:solidFill>
          </w14:textFill>
        </w:rPr>
      </w:pPr>
      <w:r>
        <w:rPr>
          <w:color w:val="000000" w:themeColor="text1"/>
          <w14:textFill>
            <w14:solidFill>
              <w14:schemeClr w14:val="tx1"/>
            </w14:solidFill>
          </w14:textFill>
        </w:rPr>
        <w:t>表5.5-1               声环境评价等级确定</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9"/>
        <w:gridCol w:w="4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3"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p>
        </w:tc>
        <w:tc>
          <w:tcPr>
            <w:tcW w:w="2568"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建设项目所在区功能</w:t>
            </w:r>
          </w:p>
        </w:tc>
        <w:tc>
          <w:tcPr>
            <w:tcW w:w="2568"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建设前后评价范围内敏感目标噪声级增高量</w:t>
            </w:r>
          </w:p>
        </w:tc>
        <w:tc>
          <w:tcPr>
            <w:tcW w:w="2568"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预计最大增加小于3dB（A）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受噪声影响人口数量</w:t>
            </w:r>
          </w:p>
        </w:tc>
        <w:tc>
          <w:tcPr>
            <w:tcW w:w="2568"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变化不大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评价等级</w:t>
            </w:r>
          </w:p>
        </w:tc>
        <w:tc>
          <w:tcPr>
            <w:tcW w:w="2568"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三级</w:t>
            </w:r>
          </w:p>
        </w:tc>
      </w:tr>
    </w:tbl>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按照</w:t>
      </w:r>
      <w:r>
        <w:rPr>
          <w:rFonts w:hint="eastAsia"/>
          <w:color w:val="000000" w:themeColor="text1"/>
          <w:sz w:val="24"/>
          <w:szCs w:val="24"/>
          <w14:textFill>
            <w14:solidFill>
              <w14:schemeClr w14:val="tx1"/>
            </w14:solidFill>
          </w14:textFill>
        </w:rPr>
        <w:t>《环境影响评价技术导则 声环境》（HJ2.4-2021）</w:t>
      </w:r>
      <w:r>
        <w:rPr>
          <w:color w:val="000000" w:themeColor="text1"/>
          <w:sz w:val="24"/>
          <w:szCs w:val="24"/>
          <w14:textFill>
            <w14:solidFill>
              <w14:schemeClr w14:val="tx1"/>
            </w14:solidFill>
          </w14:textFill>
        </w:rPr>
        <w:t>要求，确定声环境预测范围为项目边界外200米。根据声源的特征及所在位置，计算各噪声源对预测点产生的影响值。</w:t>
      </w:r>
    </w:p>
    <w:p>
      <w:pPr>
        <w:pStyle w:val="727"/>
        <w:rPr>
          <w:color w:val="000000" w:themeColor="text1"/>
          <w14:textFill>
            <w14:solidFill>
              <w14:schemeClr w14:val="tx1"/>
            </w14:solidFill>
          </w14:textFill>
        </w:rPr>
      </w:pPr>
      <w:r>
        <w:rPr>
          <w:color w:val="000000" w:themeColor="text1"/>
          <w14:textFill>
            <w14:solidFill>
              <w14:schemeClr w14:val="tx1"/>
            </w14:solidFill>
          </w14:textFill>
        </w:rPr>
        <w:t>5.5.2预测模式</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预测模式采用《环境影响评价技术导则</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声环境》（HJ2.4-2021）中推荐的工业噪声预测计算模式。</w:t>
      </w:r>
    </w:p>
    <w:p>
      <w:pPr>
        <w:pStyle w:val="727"/>
        <w:rPr>
          <w:color w:val="000000" w:themeColor="text1"/>
          <w14:textFill>
            <w14:solidFill>
              <w14:schemeClr w14:val="tx1"/>
            </w14:solidFill>
          </w14:textFill>
        </w:rPr>
      </w:pPr>
      <w:r>
        <w:rPr>
          <w:color w:val="000000" w:themeColor="text1"/>
          <w14:textFill>
            <w14:solidFill>
              <w14:schemeClr w14:val="tx1"/>
            </w14:solidFill>
          </w14:textFill>
        </w:rPr>
        <w:t>5.5.3评价标准</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w:t>
      </w:r>
      <w:r>
        <w:rPr>
          <w:color w:val="000000" w:themeColor="text1"/>
          <w:sz w:val="24"/>
          <w:szCs w:val="24"/>
          <w14:textFill>
            <w14:solidFill>
              <w14:schemeClr w14:val="tx1"/>
            </w14:solidFill>
          </w14:textFill>
        </w:rPr>
        <w:t>厂址区域声环境质量标准执行《声环境质量标准》（GB3096-2008）3类标准，昼间65dB(A)，夜间55dB(A)。</w:t>
      </w:r>
    </w:p>
    <w:p>
      <w:pPr>
        <w:pStyle w:val="727"/>
        <w:rPr>
          <w:color w:val="000000" w:themeColor="text1"/>
          <w:highlight w:val="yellow"/>
          <w14:textFill>
            <w14:solidFill>
              <w14:schemeClr w14:val="tx1"/>
            </w14:solidFill>
          </w14:textFill>
        </w:rPr>
        <w:sectPr>
          <w:pgSz w:w="11906" w:h="16838"/>
          <w:pgMar w:top="1701" w:right="1588" w:bottom="1701" w:left="1588" w:header="851" w:footer="1134" w:gutter="0"/>
          <w:cols w:space="720" w:num="1"/>
          <w:docGrid w:type="lines" w:linePitch="312" w:charSpace="0"/>
        </w:sectPr>
      </w:pPr>
    </w:p>
    <w:p>
      <w:pPr>
        <w:pStyle w:val="727"/>
        <w:rPr>
          <w:color w:val="000000" w:themeColor="text1"/>
          <w14:textFill>
            <w14:solidFill>
              <w14:schemeClr w14:val="tx1"/>
            </w14:solidFill>
          </w14:textFill>
        </w:rPr>
      </w:pPr>
      <w:r>
        <w:rPr>
          <w:color w:val="000000" w:themeColor="text1"/>
          <w14:textFill>
            <w14:solidFill>
              <w14:schemeClr w14:val="tx1"/>
            </w14:solidFill>
          </w14:textFill>
        </w:rPr>
        <w:t>5.5.4噪声源分布及源强</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本工程高噪声设备主要为</w:t>
      </w:r>
      <w:r>
        <w:rPr>
          <w:rFonts w:hint="eastAsia"/>
          <w:color w:val="000000" w:themeColor="text1"/>
          <w:sz w:val="24"/>
          <w:szCs w:val="24"/>
          <w14:textFill>
            <w14:solidFill>
              <w14:schemeClr w14:val="tx1"/>
            </w14:solidFill>
          </w14:textFill>
        </w:rPr>
        <w:t>各种风机、</w:t>
      </w:r>
      <w:r>
        <w:rPr>
          <w:rFonts w:hint="eastAsia"/>
          <w:bCs/>
          <w:color w:val="000000" w:themeColor="text1"/>
          <w:sz w:val="24"/>
          <w:szCs w:val="24"/>
          <w14:textFill>
            <w14:solidFill>
              <w14:schemeClr w14:val="tx1"/>
            </w14:solidFill>
          </w14:textFill>
        </w:rPr>
        <w:t>超微过滤机、叠螺污泥脱水机</w:t>
      </w:r>
      <w:r>
        <w:rPr>
          <w:rFonts w:hint="eastAsia"/>
          <w:color w:val="000000" w:themeColor="text1"/>
          <w:sz w:val="24"/>
          <w:szCs w:val="24"/>
          <w14:textFill>
            <w14:solidFill>
              <w14:schemeClr w14:val="tx1"/>
            </w14:solidFill>
          </w14:textFill>
        </w:rPr>
        <w:t>、各种泵类</w:t>
      </w:r>
      <w:r>
        <w:rPr>
          <w:color w:val="000000" w:themeColor="text1"/>
          <w:sz w:val="24"/>
          <w:szCs w:val="24"/>
          <w14:textFill>
            <w14:solidFill>
              <w14:schemeClr w14:val="tx1"/>
            </w14:solidFill>
          </w14:textFill>
        </w:rPr>
        <w:t>等，经采取隔声、减震、消声后，噪声源强见表5.5-2</w:t>
      </w:r>
      <w:r>
        <w:rPr>
          <w:rFonts w:hint="eastAsia"/>
          <w:color w:val="000000" w:themeColor="text1"/>
          <w:sz w:val="24"/>
          <w:szCs w:val="24"/>
          <w14:textFill>
            <w14:solidFill>
              <w14:schemeClr w14:val="tx1"/>
            </w14:solidFill>
          </w14:textFill>
        </w:rPr>
        <w:t>、表5</w:t>
      </w:r>
      <w:r>
        <w:rPr>
          <w:color w:val="000000" w:themeColor="text1"/>
          <w:sz w:val="24"/>
          <w:szCs w:val="24"/>
          <w14:textFill>
            <w14:solidFill>
              <w14:schemeClr w14:val="tx1"/>
            </w14:solidFill>
          </w14:textFill>
        </w:rPr>
        <w:t>.5-3。</w:t>
      </w:r>
    </w:p>
    <w:p>
      <w:pPr>
        <w:pStyle w:val="14"/>
        <w:spacing w:before="0" w:after="0" w:line="520" w:lineRule="exact"/>
        <w:ind w:left="0" w:firstLine="480" w:firstLineChars="200"/>
        <w:rPr>
          <w:rFonts w:hAnsi="黑体" w:eastAsia="黑体"/>
          <w:bCs/>
          <w:color w:val="000000" w:themeColor="text1"/>
          <w:sz w:val="24"/>
          <w14:textFill>
            <w14:solidFill>
              <w14:schemeClr w14:val="tx1"/>
            </w14:solidFill>
          </w14:textFill>
        </w:rPr>
      </w:pPr>
      <w:r>
        <w:rPr>
          <w:rFonts w:hint="eastAsia" w:eastAsia="黑体"/>
          <w:bCs/>
          <w:i w:val="0"/>
          <w:color w:val="000000" w:themeColor="text1"/>
          <w:spacing w:val="0"/>
          <w:kern w:val="2"/>
          <w:sz w:val="24"/>
          <w:szCs w:val="24"/>
          <w:lang w:val="en-US"/>
          <w14:textFill>
            <w14:solidFill>
              <w14:schemeClr w14:val="tx1"/>
            </w14:solidFill>
          </w14:textFill>
        </w:rPr>
        <w:t>表5</w:t>
      </w:r>
      <w:r>
        <w:rPr>
          <w:rFonts w:eastAsia="黑体"/>
          <w:bCs/>
          <w:i w:val="0"/>
          <w:color w:val="000000" w:themeColor="text1"/>
          <w:spacing w:val="0"/>
          <w:kern w:val="2"/>
          <w:sz w:val="24"/>
          <w:szCs w:val="24"/>
          <w:lang w:val="en-US"/>
          <w14:textFill>
            <w14:solidFill>
              <w14:schemeClr w14:val="tx1"/>
            </w14:solidFill>
          </w14:textFill>
        </w:rPr>
        <w:t>.5</w:t>
      </w:r>
      <w:r>
        <w:rPr>
          <w:rFonts w:hint="eastAsia" w:eastAsia="黑体"/>
          <w:bCs/>
          <w:i w:val="0"/>
          <w:color w:val="000000" w:themeColor="text1"/>
          <w:spacing w:val="0"/>
          <w:kern w:val="2"/>
          <w:sz w:val="24"/>
          <w:szCs w:val="24"/>
          <w:lang w:val="en-US"/>
          <w14:textFill>
            <w14:solidFill>
              <w14:schemeClr w14:val="tx1"/>
            </w14:solidFill>
          </w14:textFill>
        </w:rPr>
        <w:t xml:space="preserve">- </w:t>
      </w:r>
      <w:r>
        <w:rPr>
          <w:rFonts w:eastAsia="黑体"/>
          <w:bCs/>
          <w:i w:val="0"/>
          <w:color w:val="000000" w:themeColor="text1"/>
          <w:spacing w:val="0"/>
          <w:kern w:val="2"/>
          <w:sz w:val="24"/>
          <w:szCs w:val="24"/>
          <w:lang w:val="en-US"/>
          <w14:textFill>
            <w14:solidFill>
              <w14:schemeClr w14:val="tx1"/>
            </w14:solidFill>
          </w14:textFill>
        </w:rPr>
        <w:t xml:space="preserve">2   </w:t>
      </w:r>
      <w:r>
        <w:rPr>
          <w:rFonts w:hint="eastAsia" w:eastAsia="黑体"/>
          <w:bCs/>
          <w:i w:val="0"/>
          <w:color w:val="000000" w:themeColor="text1"/>
          <w:spacing w:val="0"/>
          <w:kern w:val="2"/>
          <w:sz w:val="24"/>
          <w:szCs w:val="24"/>
          <w:lang w:val="en-US"/>
          <w14:textFill>
            <w14:solidFill>
              <w14:schemeClr w14:val="tx1"/>
            </w14:solidFill>
          </w14:textFill>
        </w:rPr>
        <w:t xml:space="preserve">        </w:t>
      </w:r>
      <w:r>
        <w:rPr>
          <w:rFonts w:eastAsia="黑体"/>
          <w:bCs/>
          <w:i w:val="0"/>
          <w:color w:val="000000" w:themeColor="text1"/>
          <w:spacing w:val="0"/>
          <w:kern w:val="2"/>
          <w:sz w:val="24"/>
          <w:szCs w:val="24"/>
          <w:lang w:val="en-US"/>
          <w14:textFill>
            <w14:solidFill>
              <w14:schemeClr w14:val="tx1"/>
            </w14:solidFill>
          </w14:textFill>
        </w:rPr>
        <w:t xml:space="preserve">         </w:t>
      </w:r>
      <w:r>
        <w:rPr>
          <w:rFonts w:hint="eastAsia" w:eastAsia="黑体"/>
          <w:bCs/>
          <w:i w:val="0"/>
          <w:color w:val="000000" w:themeColor="text1"/>
          <w:spacing w:val="0"/>
          <w:kern w:val="2"/>
          <w:sz w:val="24"/>
          <w:szCs w:val="24"/>
          <w:lang w:val="en-US"/>
          <w14:textFill>
            <w14:solidFill>
              <w14:schemeClr w14:val="tx1"/>
            </w14:solidFill>
          </w14:textFill>
        </w:rPr>
        <w:t xml:space="preserve">  </w:t>
      </w:r>
      <w:r>
        <w:rPr>
          <w:rFonts w:eastAsia="黑体"/>
          <w:bCs/>
          <w:i w:val="0"/>
          <w:color w:val="000000" w:themeColor="text1"/>
          <w:spacing w:val="0"/>
          <w:kern w:val="2"/>
          <w:sz w:val="24"/>
          <w:szCs w:val="24"/>
          <w:lang w:val="en-US"/>
          <w14:textFill>
            <w14:solidFill>
              <w14:schemeClr w14:val="tx1"/>
            </w14:solidFill>
          </w14:textFill>
        </w:rPr>
        <w:t xml:space="preserve"> </w:t>
      </w:r>
      <w:r>
        <w:rPr>
          <w:rFonts w:hint="eastAsia" w:eastAsia="黑体"/>
          <w:bCs/>
          <w:i w:val="0"/>
          <w:color w:val="000000" w:themeColor="text1"/>
          <w:spacing w:val="0"/>
          <w:kern w:val="2"/>
          <w:sz w:val="24"/>
          <w:szCs w:val="24"/>
          <w:lang w:val="en-US"/>
          <w14:textFill>
            <w14:solidFill>
              <w14:schemeClr w14:val="tx1"/>
            </w14:solidFill>
          </w14:textFill>
        </w:rPr>
        <w:t>工业企业</w:t>
      </w:r>
      <w:r>
        <w:rPr>
          <w:rFonts w:eastAsia="黑体"/>
          <w:bCs/>
          <w:i w:val="0"/>
          <w:color w:val="000000" w:themeColor="text1"/>
          <w:spacing w:val="0"/>
          <w:kern w:val="2"/>
          <w:sz w:val="24"/>
          <w:szCs w:val="24"/>
          <w:lang w:val="en-US"/>
          <w14:textFill>
            <w14:solidFill>
              <w14:schemeClr w14:val="tx1"/>
            </w14:solidFill>
          </w14:textFill>
        </w:rPr>
        <w:t>噪声源强调查清单</w:t>
      </w:r>
      <w:r>
        <w:rPr>
          <w:rFonts w:hint="eastAsia" w:eastAsia="黑体"/>
          <w:bCs/>
          <w:i w:val="0"/>
          <w:color w:val="000000" w:themeColor="text1"/>
          <w:spacing w:val="0"/>
          <w:kern w:val="2"/>
          <w:sz w:val="24"/>
          <w:szCs w:val="24"/>
          <w:lang w:val="en-US"/>
          <w14:textFill>
            <w14:solidFill>
              <w14:schemeClr w14:val="tx1"/>
            </w14:solidFill>
          </w14:textFill>
        </w:rPr>
        <w:t>（室外声源）</w:t>
      </w:r>
    </w:p>
    <w:tbl>
      <w:tblPr>
        <w:tblStyle w:val="50"/>
        <w:tblW w:w="5250"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28" w:type="dxa"/>
          <w:bottom w:w="0" w:type="dxa"/>
          <w:right w:w="28" w:type="dxa"/>
        </w:tblCellMar>
      </w:tblPr>
      <w:tblGrid>
        <w:gridCol w:w="758"/>
        <w:gridCol w:w="1629"/>
        <w:gridCol w:w="811"/>
        <w:gridCol w:w="2009"/>
        <w:gridCol w:w="818"/>
        <w:gridCol w:w="2946"/>
        <w:gridCol w:w="1594"/>
        <w:gridCol w:w="857"/>
        <w:gridCol w:w="858"/>
        <w:gridCol w:w="719"/>
        <w:gridCol w:w="1169"/>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4" w:type="dxa"/>
            <w:vMerge w:val="restart"/>
            <w:vAlign w:val="center"/>
          </w:tcPr>
          <w:p>
            <w:pPr>
              <w:pStyle w:val="14"/>
              <w:spacing w:before="0" w:after="0" w:line="240" w:lineRule="auto"/>
              <w:ind w:left="0" w:firstLine="0"/>
              <w:jc w:val="center"/>
              <w:rPr>
                <w:rFonts w:ascii="Calibri" w:hAnsi="Calibri"/>
                <w:b/>
                <w:bCs/>
                <w:i w:val="0"/>
                <w:iCs/>
                <w:color w:val="000000" w:themeColor="text1"/>
                <w:sz w:val="21"/>
                <w:szCs w:val="21"/>
                <w14:textFill>
                  <w14:solidFill>
                    <w14:schemeClr w14:val="tx1"/>
                  </w14:solidFill>
                </w14:textFill>
              </w:rPr>
            </w:pPr>
            <w:r>
              <w:rPr>
                <w:rFonts w:ascii="Calibri" w:hAnsi="Calibri"/>
                <w:b/>
                <w:bCs/>
                <w:i w:val="0"/>
                <w:iCs/>
                <w:color w:val="000000" w:themeColor="text1"/>
                <w:sz w:val="21"/>
                <w:szCs w:val="21"/>
                <w14:textFill>
                  <w14:solidFill>
                    <w14:schemeClr w14:val="tx1"/>
                  </w14:solidFill>
                </w14:textFill>
              </w:rPr>
              <w:t>序号</w:t>
            </w:r>
          </w:p>
        </w:tc>
        <w:tc>
          <w:tcPr>
            <w:tcW w:w="1621" w:type="dxa"/>
            <w:vMerge w:val="restart"/>
            <w:vAlign w:val="center"/>
          </w:tcPr>
          <w:p>
            <w:pPr>
              <w:pStyle w:val="14"/>
              <w:spacing w:before="0" w:after="0" w:line="240" w:lineRule="auto"/>
              <w:ind w:left="0" w:firstLine="0"/>
              <w:jc w:val="center"/>
              <w:rPr>
                <w:rFonts w:ascii="Calibri" w:hAnsi="Calibri"/>
                <w:b/>
                <w:bCs/>
                <w:i w:val="0"/>
                <w:iCs/>
                <w:color w:val="000000" w:themeColor="text1"/>
                <w:sz w:val="21"/>
                <w:szCs w:val="21"/>
                <w14:textFill>
                  <w14:solidFill>
                    <w14:schemeClr w14:val="tx1"/>
                  </w14:solidFill>
                </w14:textFill>
              </w:rPr>
            </w:pPr>
            <w:r>
              <w:rPr>
                <w:rFonts w:ascii="Calibri" w:hAnsi="Calibri"/>
                <w:b/>
                <w:bCs/>
                <w:i w:val="0"/>
                <w:iCs/>
                <w:color w:val="000000" w:themeColor="text1"/>
                <w:sz w:val="21"/>
                <w:szCs w:val="21"/>
                <w14:textFill>
                  <w14:solidFill>
                    <w14:schemeClr w14:val="tx1"/>
                  </w14:solidFill>
                </w14:textFill>
              </w:rPr>
              <w:t>声源名称</w:t>
            </w:r>
          </w:p>
        </w:tc>
        <w:tc>
          <w:tcPr>
            <w:tcW w:w="807" w:type="dxa"/>
            <w:vMerge w:val="restart"/>
            <w:vAlign w:val="center"/>
          </w:tcPr>
          <w:p>
            <w:pPr>
              <w:pStyle w:val="14"/>
              <w:spacing w:before="0" w:after="0" w:line="240" w:lineRule="auto"/>
              <w:ind w:left="0" w:firstLine="0"/>
              <w:jc w:val="center"/>
              <w:rPr>
                <w:rFonts w:ascii="Calibri" w:hAnsi="Calibri"/>
                <w:b/>
                <w:bCs/>
                <w:i w:val="0"/>
                <w:iCs/>
                <w:color w:val="000000" w:themeColor="text1"/>
                <w:sz w:val="21"/>
                <w:szCs w:val="21"/>
                <w14:textFill>
                  <w14:solidFill>
                    <w14:schemeClr w14:val="tx1"/>
                  </w14:solidFill>
                </w14:textFill>
              </w:rPr>
            </w:pPr>
            <w:r>
              <w:rPr>
                <w:rFonts w:ascii="Calibri" w:hAnsi="Calibri"/>
                <w:b/>
                <w:bCs/>
                <w:i w:val="0"/>
                <w:iCs/>
                <w:color w:val="000000" w:themeColor="text1"/>
                <w:sz w:val="21"/>
                <w:szCs w:val="21"/>
                <w14:textFill>
                  <w14:solidFill>
                    <w14:schemeClr w14:val="tx1"/>
                  </w14:solidFill>
                </w14:textFill>
              </w:rPr>
              <w:t>型号</w:t>
            </w:r>
          </w:p>
        </w:tc>
        <w:tc>
          <w:tcPr>
            <w:tcW w:w="1999" w:type="dxa"/>
            <w:vMerge w:val="restart"/>
            <w:vAlign w:val="center"/>
          </w:tcPr>
          <w:p>
            <w:pPr>
              <w:pStyle w:val="94"/>
              <w:adjustRightInd w:val="0"/>
              <w:snapToGrid w:val="0"/>
              <w:rPr>
                <w:rFonts w:ascii="Calibri" w:hAnsi="Calibri" w:cs="Times New Roman"/>
                <w:iCs/>
                <w:color w:val="000000" w:themeColor="text1"/>
                <w:szCs w:val="21"/>
                <w14:textFill>
                  <w14:solidFill>
                    <w14:schemeClr w14:val="tx1"/>
                  </w14:solidFill>
                </w14:textFill>
              </w:rPr>
            </w:pPr>
            <w:r>
              <w:rPr>
                <w:rFonts w:ascii="Calibri" w:hAnsi="Calibri" w:cs="Times New Roman"/>
                <w:iCs/>
                <w:color w:val="000000" w:themeColor="text1"/>
                <w:szCs w:val="21"/>
                <w14:textFill>
                  <w14:solidFill>
                    <w14:schemeClr w14:val="tx1"/>
                  </w14:solidFill>
                </w14:textFill>
              </w:rPr>
              <w:t>(声压级/距声源距离)/([dB(A)]/m)</w:t>
            </w:r>
          </w:p>
        </w:tc>
        <w:tc>
          <w:tcPr>
            <w:tcW w:w="814" w:type="dxa"/>
            <w:vMerge w:val="restart"/>
            <w:vAlign w:val="center"/>
          </w:tcPr>
          <w:p>
            <w:pPr>
              <w:pStyle w:val="94"/>
              <w:adjustRightInd w:val="0"/>
              <w:snapToGrid w:val="0"/>
              <w:rPr>
                <w:rFonts w:ascii="Calibri" w:hAnsi="Calibri" w:cs="Times New Roman"/>
                <w:iCs/>
                <w:color w:val="000000" w:themeColor="text1"/>
                <w:szCs w:val="21"/>
                <w14:textFill>
                  <w14:solidFill>
                    <w14:schemeClr w14:val="tx1"/>
                  </w14:solidFill>
                </w14:textFill>
              </w:rPr>
            </w:pPr>
            <w:r>
              <w:rPr>
                <w:rFonts w:ascii="Calibri" w:hAnsi="Calibri" w:cs="Times New Roman"/>
                <w:iCs/>
                <w:color w:val="000000" w:themeColor="text1"/>
                <w:szCs w:val="21"/>
                <w14:textFill>
                  <w14:solidFill>
                    <w14:schemeClr w14:val="tx1"/>
                  </w14:solidFill>
                </w14:textFill>
              </w:rPr>
              <w:t>数量(台)</w:t>
            </w:r>
          </w:p>
        </w:tc>
        <w:tc>
          <w:tcPr>
            <w:tcW w:w="2931" w:type="dxa"/>
            <w:vMerge w:val="restart"/>
            <w:vAlign w:val="center"/>
          </w:tcPr>
          <w:p>
            <w:pPr>
              <w:pStyle w:val="94"/>
              <w:adjustRightInd w:val="0"/>
              <w:snapToGrid w:val="0"/>
              <w:rPr>
                <w:rFonts w:ascii="Calibri" w:hAnsi="Calibri" w:cs="Times New Roman"/>
                <w:iCs/>
                <w:color w:val="000000" w:themeColor="text1"/>
                <w:szCs w:val="21"/>
                <w14:textFill>
                  <w14:solidFill>
                    <w14:schemeClr w14:val="tx1"/>
                  </w14:solidFill>
                </w14:textFill>
              </w:rPr>
            </w:pPr>
            <w:r>
              <w:rPr>
                <w:rFonts w:ascii="Calibri" w:hAnsi="Calibri" w:cs="Times New Roman"/>
                <w:iCs/>
                <w:color w:val="000000" w:themeColor="text1"/>
                <w:szCs w:val="21"/>
                <w14:textFill>
                  <w14:solidFill>
                    <w14:schemeClr w14:val="tx1"/>
                  </w14:solidFill>
                </w14:textFill>
              </w:rPr>
              <w:t>声源控制措施</w:t>
            </w:r>
          </w:p>
        </w:tc>
        <w:tc>
          <w:tcPr>
            <w:tcW w:w="1586" w:type="dxa"/>
            <w:vMerge w:val="restart"/>
            <w:vAlign w:val="center"/>
          </w:tcPr>
          <w:p>
            <w:pPr>
              <w:pStyle w:val="94"/>
              <w:adjustRightInd w:val="0"/>
              <w:snapToGrid w:val="0"/>
              <w:rPr>
                <w:rFonts w:ascii="Calibri" w:hAnsi="Calibri" w:cs="Times New Roman"/>
                <w:iCs/>
                <w:color w:val="000000" w:themeColor="text1"/>
                <w:szCs w:val="21"/>
                <w14:textFill>
                  <w14:solidFill>
                    <w14:schemeClr w14:val="tx1"/>
                  </w14:solidFill>
                </w14:textFill>
              </w:rPr>
            </w:pPr>
            <w:r>
              <w:rPr>
                <w:rFonts w:ascii="Calibri" w:hAnsi="Calibri" w:cs="Times New Roman"/>
                <w:iCs/>
                <w:color w:val="000000" w:themeColor="text1"/>
                <w:szCs w:val="21"/>
                <w14:textFill>
                  <w14:solidFill>
                    <w14:schemeClr w14:val="tx1"/>
                  </w14:solidFill>
                </w14:textFill>
              </w:rPr>
              <w:t>治理后声压级[dB(A)]</w:t>
            </w:r>
          </w:p>
        </w:tc>
        <w:tc>
          <w:tcPr>
            <w:tcW w:w="2422" w:type="dxa"/>
            <w:gridSpan w:val="3"/>
            <w:vAlign w:val="center"/>
          </w:tcPr>
          <w:p>
            <w:pPr>
              <w:pStyle w:val="94"/>
              <w:adjustRightInd w:val="0"/>
              <w:snapToGrid w:val="0"/>
              <w:rPr>
                <w:rFonts w:ascii="Calibri" w:hAnsi="Calibri" w:cs="Times New Roman"/>
                <w:iCs/>
                <w:color w:val="000000" w:themeColor="text1"/>
                <w:szCs w:val="21"/>
                <w14:textFill>
                  <w14:solidFill>
                    <w14:schemeClr w14:val="tx1"/>
                  </w14:solidFill>
                </w14:textFill>
              </w:rPr>
            </w:pPr>
            <w:r>
              <w:rPr>
                <w:rFonts w:ascii="Calibri" w:hAnsi="Calibri" w:cs="Times New Roman"/>
                <w:iCs/>
                <w:color w:val="000000" w:themeColor="text1"/>
                <w:szCs w:val="21"/>
                <w14:textFill>
                  <w14:solidFill>
                    <w14:schemeClr w14:val="tx1"/>
                  </w14:solidFill>
                </w14:textFill>
              </w:rPr>
              <w:t>空间相对位置/m</w:t>
            </w:r>
          </w:p>
        </w:tc>
        <w:tc>
          <w:tcPr>
            <w:tcW w:w="1163" w:type="dxa"/>
            <w:vMerge w:val="restart"/>
            <w:vAlign w:val="center"/>
          </w:tcPr>
          <w:p>
            <w:pPr>
              <w:pStyle w:val="94"/>
              <w:adjustRightInd w:val="0"/>
              <w:snapToGrid w:val="0"/>
              <w:rPr>
                <w:rFonts w:ascii="Calibri" w:hAnsi="Calibri" w:cs="Times New Roman"/>
                <w:iCs/>
                <w:color w:val="000000" w:themeColor="text1"/>
                <w:szCs w:val="21"/>
                <w14:textFill>
                  <w14:solidFill>
                    <w14:schemeClr w14:val="tx1"/>
                  </w14:solidFill>
                </w14:textFill>
              </w:rPr>
            </w:pPr>
            <w:r>
              <w:rPr>
                <w:rFonts w:ascii="Calibri" w:hAnsi="Calibri" w:cs="Times New Roman"/>
                <w:iCs/>
                <w:color w:val="000000" w:themeColor="text1"/>
                <w:szCs w:val="21"/>
                <w14:textFill>
                  <w14:solidFill>
                    <w14:schemeClr w14:val="tx1"/>
                  </w14:solidFill>
                </w14:textFill>
              </w:rPr>
              <w:t>运行时段</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4" w:type="dxa"/>
            <w:vMerge w:val="continue"/>
            <w:vAlign w:val="center"/>
          </w:tcPr>
          <w:p>
            <w:pPr>
              <w:pStyle w:val="14"/>
              <w:spacing w:before="0" w:after="0" w:line="240" w:lineRule="auto"/>
              <w:ind w:left="0" w:firstLine="0"/>
              <w:jc w:val="center"/>
              <w:rPr>
                <w:rFonts w:ascii="Calibri" w:hAnsi="Calibri"/>
                <w:b/>
                <w:i w:val="0"/>
                <w:iCs/>
                <w:color w:val="000000" w:themeColor="text1"/>
                <w:sz w:val="21"/>
                <w:szCs w:val="21"/>
                <w14:textFill>
                  <w14:solidFill>
                    <w14:schemeClr w14:val="tx1"/>
                  </w14:solidFill>
                </w14:textFill>
              </w:rPr>
            </w:pPr>
          </w:p>
        </w:tc>
        <w:tc>
          <w:tcPr>
            <w:tcW w:w="1621" w:type="dxa"/>
            <w:vMerge w:val="continue"/>
            <w:vAlign w:val="center"/>
          </w:tcPr>
          <w:p>
            <w:pPr>
              <w:pStyle w:val="14"/>
              <w:spacing w:before="0" w:after="0" w:line="240" w:lineRule="auto"/>
              <w:ind w:left="0" w:firstLine="0"/>
              <w:jc w:val="center"/>
              <w:rPr>
                <w:rFonts w:ascii="Calibri" w:hAnsi="Calibri"/>
                <w:b/>
                <w:i w:val="0"/>
                <w:iCs/>
                <w:color w:val="000000" w:themeColor="text1"/>
                <w:sz w:val="21"/>
                <w:szCs w:val="21"/>
                <w14:textFill>
                  <w14:solidFill>
                    <w14:schemeClr w14:val="tx1"/>
                  </w14:solidFill>
                </w14:textFill>
              </w:rPr>
            </w:pPr>
          </w:p>
        </w:tc>
        <w:tc>
          <w:tcPr>
            <w:tcW w:w="807" w:type="dxa"/>
            <w:vMerge w:val="continue"/>
            <w:vAlign w:val="center"/>
          </w:tcPr>
          <w:p>
            <w:pPr>
              <w:pStyle w:val="14"/>
              <w:spacing w:before="0" w:after="0" w:line="240" w:lineRule="auto"/>
              <w:ind w:left="0" w:firstLine="0"/>
              <w:jc w:val="center"/>
              <w:rPr>
                <w:rFonts w:ascii="Calibri" w:hAnsi="Calibri"/>
                <w:b/>
                <w:i w:val="0"/>
                <w:iCs/>
                <w:color w:val="000000" w:themeColor="text1"/>
                <w:sz w:val="21"/>
                <w:szCs w:val="21"/>
                <w14:textFill>
                  <w14:solidFill>
                    <w14:schemeClr w14:val="tx1"/>
                  </w14:solidFill>
                </w14:textFill>
              </w:rPr>
            </w:pPr>
          </w:p>
        </w:tc>
        <w:tc>
          <w:tcPr>
            <w:tcW w:w="1999" w:type="dxa"/>
            <w:vMerge w:val="continue"/>
            <w:vAlign w:val="center"/>
          </w:tcPr>
          <w:p>
            <w:pPr>
              <w:pStyle w:val="94"/>
              <w:adjustRightInd w:val="0"/>
              <w:snapToGrid w:val="0"/>
              <w:rPr>
                <w:rFonts w:ascii="Calibri" w:hAnsi="Calibri" w:cs="Times New Roman"/>
                <w:b w:val="0"/>
                <w:iCs/>
                <w:color w:val="000000" w:themeColor="text1"/>
                <w:szCs w:val="21"/>
                <w14:textFill>
                  <w14:solidFill>
                    <w14:schemeClr w14:val="tx1"/>
                  </w14:solidFill>
                </w14:textFill>
              </w:rPr>
            </w:pPr>
          </w:p>
        </w:tc>
        <w:tc>
          <w:tcPr>
            <w:tcW w:w="814" w:type="dxa"/>
            <w:vMerge w:val="continue"/>
            <w:vAlign w:val="center"/>
          </w:tcPr>
          <w:p>
            <w:pPr>
              <w:pStyle w:val="94"/>
              <w:adjustRightInd w:val="0"/>
              <w:snapToGrid w:val="0"/>
              <w:rPr>
                <w:rFonts w:ascii="Calibri" w:hAnsi="Calibri" w:cs="Times New Roman"/>
                <w:b w:val="0"/>
                <w:iCs/>
                <w:color w:val="000000" w:themeColor="text1"/>
                <w:szCs w:val="21"/>
                <w14:textFill>
                  <w14:solidFill>
                    <w14:schemeClr w14:val="tx1"/>
                  </w14:solidFill>
                </w14:textFill>
              </w:rPr>
            </w:pPr>
          </w:p>
        </w:tc>
        <w:tc>
          <w:tcPr>
            <w:tcW w:w="2931" w:type="dxa"/>
            <w:vMerge w:val="continue"/>
            <w:vAlign w:val="center"/>
          </w:tcPr>
          <w:p>
            <w:pPr>
              <w:pStyle w:val="94"/>
              <w:adjustRightInd w:val="0"/>
              <w:snapToGrid w:val="0"/>
              <w:rPr>
                <w:rFonts w:ascii="Calibri" w:hAnsi="Calibri" w:cs="Times New Roman"/>
                <w:b w:val="0"/>
                <w:iCs/>
                <w:color w:val="000000" w:themeColor="text1"/>
                <w:szCs w:val="21"/>
                <w14:textFill>
                  <w14:solidFill>
                    <w14:schemeClr w14:val="tx1"/>
                  </w14:solidFill>
                </w14:textFill>
              </w:rPr>
            </w:pPr>
          </w:p>
        </w:tc>
        <w:tc>
          <w:tcPr>
            <w:tcW w:w="1586" w:type="dxa"/>
            <w:vMerge w:val="continue"/>
            <w:vAlign w:val="center"/>
          </w:tcPr>
          <w:p>
            <w:pPr>
              <w:pStyle w:val="94"/>
              <w:adjustRightInd w:val="0"/>
              <w:snapToGrid w:val="0"/>
              <w:rPr>
                <w:rFonts w:ascii="Calibri" w:hAnsi="Calibri" w:cs="Times New Roman"/>
                <w:b w:val="0"/>
                <w:iCs/>
                <w:color w:val="000000" w:themeColor="text1"/>
                <w:szCs w:val="21"/>
                <w14:textFill>
                  <w14:solidFill>
                    <w14:schemeClr w14:val="tx1"/>
                  </w14:solidFill>
                </w14:textFill>
              </w:rPr>
            </w:pPr>
          </w:p>
        </w:tc>
        <w:tc>
          <w:tcPr>
            <w:tcW w:w="853" w:type="dxa"/>
            <w:vAlign w:val="center"/>
          </w:tcPr>
          <w:p>
            <w:pPr>
              <w:pStyle w:val="94"/>
              <w:adjustRightInd w:val="0"/>
              <w:snapToGrid w:val="0"/>
              <w:rPr>
                <w:rFonts w:ascii="Calibri" w:hAnsi="Calibri" w:cs="Times New Roman"/>
                <w:iCs/>
                <w:color w:val="000000" w:themeColor="text1"/>
                <w:szCs w:val="21"/>
                <w14:textFill>
                  <w14:solidFill>
                    <w14:schemeClr w14:val="tx1"/>
                  </w14:solidFill>
                </w14:textFill>
              </w:rPr>
            </w:pPr>
            <w:r>
              <w:rPr>
                <w:rFonts w:ascii="Calibri" w:hAnsi="Calibri" w:cs="Times New Roman"/>
                <w:iCs/>
                <w:color w:val="000000" w:themeColor="text1"/>
                <w:szCs w:val="21"/>
                <w14:textFill>
                  <w14:solidFill>
                    <w14:schemeClr w14:val="tx1"/>
                  </w14:solidFill>
                </w14:textFill>
              </w:rPr>
              <w:t>X</w:t>
            </w:r>
          </w:p>
        </w:tc>
        <w:tc>
          <w:tcPr>
            <w:tcW w:w="854" w:type="dxa"/>
            <w:vAlign w:val="center"/>
          </w:tcPr>
          <w:p>
            <w:pPr>
              <w:pStyle w:val="94"/>
              <w:adjustRightInd w:val="0"/>
              <w:snapToGrid w:val="0"/>
              <w:rPr>
                <w:rFonts w:ascii="Calibri" w:hAnsi="Calibri" w:cs="Times New Roman"/>
                <w:iCs/>
                <w:color w:val="000000" w:themeColor="text1"/>
                <w:szCs w:val="21"/>
                <w14:textFill>
                  <w14:solidFill>
                    <w14:schemeClr w14:val="tx1"/>
                  </w14:solidFill>
                </w14:textFill>
              </w:rPr>
            </w:pPr>
            <w:r>
              <w:rPr>
                <w:rFonts w:ascii="Calibri" w:hAnsi="Calibri" w:cs="Times New Roman"/>
                <w:iCs/>
                <w:color w:val="000000" w:themeColor="text1"/>
                <w:szCs w:val="21"/>
                <w14:textFill>
                  <w14:solidFill>
                    <w14:schemeClr w14:val="tx1"/>
                  </w14:solidFill>
                </w14:textFill>
              </w:rPr>
              <w:t>Y</w:t>
            </w:r>
          </w:p>
        </w:tc>
        <w:tc>
          <w:tcPr>
            <w:tcW w:w="715" w:type="dxa"/>
            <w:vAlign w:val="center"/>
          </w:tcPr>
          <w:p>
            <w:pPr>
              <w:pStyle w:val="94"/>
              <w:adjustRightInd w:val="0"/>
              <w:snapToGrid w:val="0"/>
              <w:rPr>
                <w:rFonts w:ascii="Calibri" w:hAnsi="Calibri" w:cs="Times New Roman"/>
                <w:iCs/>
                <w:color w:val="000000" w:themeColor="text1"/>
                <w:szCs w:val="21"/>
                <w14:textFill>
                  <w14:solidFill>
                    <w14:schemeClr w14:val="tx1"/>
                  </w14:solidFill>
                </w14:textFill>
              </w:rPr>
            </w:pPr>
            <w:r>
              <w:rPr>
                <w:rFonts w:ascii="Calibri" w:hAnsi="Calibri" w:cs="Times New Roman"/>
                <w:iCs/>
                <w:color w:val="000000" w:themeColor="text1"/>
                <w:szCs w:val="21"/>
                <w14:textFill>
                  <w14:solidFill>
                    <w14:schemeClr w14:val="tx1"/>
                  </w14:solidFill>
                </w14:textFill>
              </w:rPr>
              <w:t>Z</w:t>
            </w:r>
          </w:p>
        </w:tc>
        <w:tc>
          <w:tcPr>
            <w:tcW w:w="1163" w:type="dxa"/>
            <w:vMerge w:val="continue"/>
            <w:vAlign w:val="center"/>
          </w:tcPr>
          <w:p>
            <w:pPr>
              <w:pStyle w:val="94"/>
              <w:adjustRightInd w:val="0"/>
              <w:snapToGrid w:val="0"/>
              <w:rPr>
                <w:rFonts w:ascii="Calibri" w:hAnsi="Calibri" w:cs="Times New Roman"/>
                <w:b w:val="0"/>
                <w:iCs/>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4" w:type="dxa"/>
            <w:vAlign w:val="center"/>
          </w:tcPr>
          <w:p>
            <w:pPr>
              <w:pStyle w:val="14"/>
              <w:spacing w:before="0" w:after="0" w:line="240" w:lineRule="auto"/>
              <w:ind w:left="0" w:firstLine="0"/>
              <w:jc w:val="center"/>
              <w:rPr>
                <w:rFonts w:ascii="Calibri" w:hAnsi="Calibri"/>
                <w:b/>
                <w:i w:val="0"/>
                <w:iCs/>
                <w:color w:val="000000" w:themeColor="text1"/>
                <w:sz w:val="21"/>
                <w:szCs w:val="21"/>
                <w14:textFill>
                  <w14:solidFill>
                    <w14:schemeClr w14:val="tx1"/>
                  </w14:solidFill>
                </w14:textFill>
              </w:rPr>
            </w:pPr>
            <w:r>
              <w:rPr>
                <w:rFonts w:ascii="Calibri" w:hAnsi="Calibri"/>
                <w:i w:val="0"/>
                <w:iCs/>
                <w:color w:val="000000" w:themeColor="text1"/>
                <w:sz w:val="21"/>
                <w:szCs w:val="21"/>
                <w14:textFill>
                  <w14:solidFill>
                    <w14:schemeClr w14:val="tx1"/>
                  </w14:solidFill>
                </w14:textFill>
              </w:rPr>
              <w:t>1</w:t>
            </w:r>
          </w:p>
        </w:tc>
        <w:tc>
          <w:tcPr>
            <w:tcW w:w="1621" w:type="dxa"/>
            <w:vAlign w:val="center"/>
          </w:tcPr>
          <w:p>
            <w:pPr>
              <w:jc w:val="center"/>
              <w:rPr>
                <w:rFonts w:ascii="Calibri" w:hAnsi="Calibri"/>
                <w:iCs/>
                <w:color w:val="000000" w:themeColor="text1"/>
                <w:szCs w:val="21"/>
                <w14:textFill>
                  <w14:solidFill>
                    <w14:schemeClr w14:val="tx1"/>
                  </w14:solidFill>
                </w14:textFill>
              </w:rPr>
            </w:pPr>
            <w:r>
              <w:rPr>
                <w:rFonts w:ascii="Calibri" w:hAnsi="Calibri"/>
                <w:iCs/>
                <w:color w:val="000000" w:themeColor="text1"/>
                <w:szCs w:val="21"/>
                <w14:textFill>
                  <w14:solidFill>
                    <w14:schemeClr w14:val="tx1"/>
                  </w14:solidFill>
                </w14:textFill>
              </w:rPr>
              <w:t>超微过滤机</w:t>
            </w:r>
          </w:p>
        </w:tc>
        <w:tc>
          <w:tcPr>
            <w:tcW w:w="807" w:type="dxa"/>
            <w:vAlign w:val="center"/>
          </w:tcPr>
          <w:p>
            <w:pPr>
              <w:pStyle w:val="14"/>
              <w:spacing w:before="0" w:after="0" w:line="240" w:lineRule="auto"/>
              <w:ind w:left="0" w:firstLine="0"/>
              <w:jc w:val="center"/>
              <w:rPr>
                <w:rFonts w:ascii="Calibri" w:hAnsi="Calibri"/>
                <w:b/>
                <w:i w:val="0"/>
                <w:iCs/>
                <w:color w:val="000000" w:themeColor="text1"/>
                <w:sz w:val="21"/>
                <w:szCs w:val="21"/>
                <w14:textFill>
                  <w14:solidFill>
                    <w14:schemeClr w14:val="tx1"/>
                  </w14:solidFill>
                </w14:textFill>
              </w:rPr>
            </w:pPr>
            <w:r>
              <w:rPr>
                <w:rFonts w:ascii="Calibri" w:hAnsi="Calibri"/>
                <w:i w:val="0"/>
                <w:iCs/>
                <w:color w:val="000000" w:themeColor="text1"/>
                <w:sz w:val="21"/>
                <w:szCs w:val="21"/>
                <w14:textFill>
                  <w14:solidFill>
                    <w14:schemeClr w14:val="tx1"/>
                  </w14:solidFill>
                </w14:textFill>
              </w:rPr>
              <w:t>/</w:t>
            </w:r>
          </w:p>
        </w:tc>
        <w:tc>
          <w:tcPr>
            <w:tcW w:w="1999" w:type="dxa"/>
            <w:vAlign w:val="center"/>
          </w:tcPr>
          <w:p>
            <w:pPr>
              <w:pStyle w:val="90"/>
              <w:adjustRightInd w:val="0"/>
              <w:snapToGrid w:val="0"/>
              <w:contextualSpacing w:val="0"/>
              <w:rPr>
                <w:rFonts w:ascii="Calibri" w:hAnsi="Calibri"/>
                <w:iCs/>
                <w:color w:val="000000" w:themeColor="text1"/>
                <w14:textFill>
                  <w14:solidFill>
                    <w14:schemeClr w14:val="tx1"/>
                  </w14:solidFill>
                </w14:textFill>
              </w:rPr>
            </w:pPr>
            <w:r>
              <w:rPr>
                <w:rFonts w:ascii="Calibri" w:hAnsi="Calibri"/>
                <w:iCs/>
                <w:color w:val="000000" w:themeColor="text1"/>
                <w14:textFill>
                  <w14:solidFill>
                    <w14:schemeClr w14:val="tx1"/>
                  </w14:solidFill>
                </w14:textFill>
              </w:rPr>
              <w:t>90/1</w:t>
            </w:r>
          </w:p>
        </w:tc>
        <w:tc>
          <w:tcPr>
            <w:tcW w:w="814" w:type="dxa"/>
            <w:vAlign w:val="center"/>
          </w:tcPr>
          <w:p>
            <w:pPr>
              <w:jc w:val="center"/>
              <w:rPr>
                <w:rFonts w:ascii="Calibri" w:hAnsi="Calibri"/>
                <w:iCs/>
                <w:color w:val="000000" w:themeColor="text1"/>
                <w:szCs w:val="21"/>
                <w14:textFill>
                  <w14:solidFill>
                    <w14:schemeClr w14:val="tx1"/>
                  </w14:solidFill>
                </w14:textFill>
              </w:rPr>
            </w:pPr>
            <w:r>
              <w:rPr>
                <w:rFonts w:ascii="Calibri" w:hAnsi="Calibri"/>
                <w:iCs/>
                <w:color w:val="000000" w:themeColor="text1"/>
                <w:szCs w:val="21"/>
                <w14:textFill>
                  <w14:solidFill>
                    <w14:schemeClr w14:val="tx1"/>
                  </w14:solidFill>
                </w14:textFill>
              </w:rPr>
              <w:t>1</w:t>
            </w:r>
          </w:p>
        </w:tc>
        <w:tc>
          <w:tcPr>
            <w:tcW w:w="2931" w:type="dxa"/>
            <w:vAlign w:val="center"/>
          </w:tcPr>
          <w:p>
            <w:pPr>
              <w:jc w:val="center"/>
              <w:rPr>
                <w:rFonts w:ascii="Calibri" w:hAnsi="Calibri"/>
                <w:iCs/>
                <w:color w:val="000000" w:themeColor="text1"/>
                <w:szCs w:val="21"/>
                <w14:textFill>
                  <w14:solidFill>
                    <w14:schemeClr w14:val="tx1"/>
                  </w14:solidFill>
                </w14:textFill>
              </w:rPr>
            </w:pPr>
            <w:r>
              <w:rPr>
                <w:rFonts w:ascii="Calibri" w:hAnsi="Calibri"/>
                <w:iCs/>
                <w:color w:val="000000" w:themeColor="text1"/>
                <w:szCs w:val="21"/>
                <w14:textFill>
                  <w14:solidFill>
                    <w14:schemeClr w14:val="tx1"/>
                  </w14:solidFill>
                </w14:textFill>
              </w:rPr>
              <w:t>减振、隔声</w:t>
            </w:r>
          </w:p>
        </w:tc>
        <w:tc>
          <w:tcPr>
            <w:tcW w:w="1586" w:type="dxa"/>
            <w:vAlign w:val="center"/>
          </w:tcPr>
          <w:p>
            <w:pPr>
              <w:jc w:val="center"/>
              <w:rPr>
                <w:rFonts w:ascii="Calibri" w:hAnsi="Calibri"/>
                <w:iCs/>
                <w:color w:val="000000" w:themeColor="text1"/>
                <w:szCs w:val="21"/>
                <w14:textFill>
                  <w14:solidFill>
                    <w14:schemeClr w14:val="tx1"/>
                  </w14:solidFill>
                </w14:textFill>
              </w:rPr>
            </w:pPr>
            <w:r>
              <w:rPr>
                <w:rFonts w:ascii="Calibri" w:hAnsi="Calibri"/>
                <w:iCs/>
                <w:color w:val="000000" w:themeColor="text1"/>
                <w:szCs w:val="21"/>
                <w14:textFill>
                  <w14:solidFill>
                    <w14:schemeClr w14:val="tx1"/>
                  </w14:solidFill>
                </w14:textFill>
              </w:rPr>
              <w:t>65</w:t>
            </w:r>
          </w:p>
        </w:tc>
        <w:tc>
          <w:tcPr>
            <w:tcW w:w="853" w:type="dxa"/>
            <w:vAlign w:val="center"/>
          </w:tcPr>
          <w:p>
            <w:pPr>
              <w:jc w:val="center"/>
              <w:rPr>
                <w:rFonts w:ascii="Calibri" w:hAnsi="Calibri"/>
                <w:iCs/>
                <w:color w:val="000000" w:themeColor="text1"/>
                <w:szCs w:val="21"/>
                <w14:textFill>
                  <w14:solidFill>
                    <w14:schemeClr w14:val="tx1"/>
                  </w14:solidFill>
                </w14:textFill>
              </w:rPr>
            </w:pPr>
            <w:r>
              <w:rPr>
                <w:rFonts w:ascii="Calibri" w:hAnsi="Calibri"/>
                <w:iCs/>
                <w:color w:val="000000" w:themeColor="text1"/>
                <w:szCs w:val="21"/>
                <w14:textFill>
                  <w14:solidFill>
                    <w14:schemeClr w14:val="tx1"/>
                  </w14:solidFill>
                </w14:textFill>
              </w:rPr>
              <w:t>128</w:t>
            </w:r>
          </w:p>
        </w:tc>
        <w:tc>
          <w:tcPr>
            <w:tcW w:w="854" w:type="dxa"/>
            <w:vAlign w:val="center"/>
          </w:tcPr>
          <w:p>
            <w:pPr>
              <w:jc w:val="center"/>
              <w:rPr>
                <w:rFonts w:ascii="Calibri" w:hAnsi="Calibri"/>
                <w:iCs/>
                <w:color w:val="000000" w:themeColor="text1"/>
                <w:szCs w:val="21"/>
                <w14:textFill>
                  <w14:solidFill>
                    <w14:schemeClr w14:val="tx1"/>
                  </w14:solidFill>
                </w14:textFill>
              </w:rPr>
            </w:pPr>
            <w:r>
              <w:rPr>
                <w:rFonts w:ascii="Calibri" w:hAnsi="Calibri"/>
                <w:iCs/>
                <w:color w:val="000000" w:themeColor="text1"/>
                <w:szCs w:val="21"/>
                <w14:textFill>
                  <w14:solidFill>
                    <w14:schemeClr w14:val="tx1"/>
                  </w14:solidFill>
                </w14:textFill>
              </w:rPr>
              <w:t>73</w:t>
            </w:r>
          </w:p>
        </w:tc>
        <w:tc>
          <w:tcPr>
            <w:tcW w:w="715" w:type="dxa"/>
            <w:vAlign w:val="center"/>
          </w:tcPr>
          <w:p>
            <w:pPr>
              <w:jc w:val="center"/>
              <w:rPr>
                <w:rFonts w:ascii="Calibri" w:hAnsi="Calibri"/>
                <w:iCs/>
                <w:color w:val="000000" w:themeColor="text1"/>
                <w:szCs w:val="21"/>
                <w14:textFill>
                  <w14:solidFill>
                    <w14:schemeClr w14:val="tx1"/>
                  </w14:solidFill>
                </w14:textFill>
              </w:rPr>
            </w:pPr>
            <w:r>
              <w:rPr>
                <w:rFonts w:hint="eastAsia" w:ascii="Calibri" w:hAnsi="Calibri"/>
                <w:iCs/>
                <w:color w:val="000000" w:themeColor="text1"/>
                <w:szCs w:val="21"/>
                <w14:textFill>
                  <w14:solidFill>
                    <w14:schemeClr w14:val="tx1"/>
                  </w14:solidFill>
                </w14:textFill>
              </w:rPr>
              <w:t>6</w:t>
            </w:r>
          </w:p>
        </w:tc>
        <w:tc>
          <w:tcPr>
            <w:tcW w:w="1163" w:type="dxa"/>
            <w:vAlign w:val="center"/>
          </w:tcPr>
          <w:p>
            <w:pPr>
              <w:pStyle w:val="94"/>
              <w:adjustRightInd w:val="0"/>
              <w:snapToGrid w:val="0"/>
              <w:rPr>
                <w:rFonts w:ascii="Calibri" w:hAnsi="Calibri" w:cs="Times New Roman"/>
                <w:b w:val="0"/>
                <w:iCs/>
                <w:color w:val="000000" w:themeColor="text1"/>
                <w:szCs w:val="21"/>
                <w14:textFill>
                  <w14:solidFill>
                    <w14:schemeClr w14:val="tx1"/>
                  </w14:solidFill>
                </w14:textFill>
              </w:rPr>
            </w:pPr>
            <w:r>
              <w:rPr>
                <w:rFonts w:ascii="Calibri" w:hAnsi="Calibri" w:cs="Times New Roman"/>
                <w:b w:val="0"/>
                <w:iCs/>
                <w:color w:val="000000" w:themeColor="text1"/>
                <w:szCs w:val="21"/>
                <w14:textFill>
                  <w14:solidFill>
                    <w14:schemeClr w14:val="tx1"/>
                  </w14:solidFill>
                </w14:textFill>
              </w:rPr>
              <w:t>持续运行</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54" w:type="dxa"/>
            <w:vAlign w:val="center"/>
          </w:tcPr>
          <w:p>
            <w:pPr>
              <w:pStyle w:val="14"/>
              <w:spacing w:before="0" w:after="0" w:line="240" w:lineRule="auto"/>
              <w:ind w:left="0" w:firstLine="0"/>
              <w:jc w:val="center"/>
              <w:rPr>
                <w:rFonts w:ascii="Calibri" w:hAnsi="Calibri"/>
                <w:i w:val="0"/>
                <w:iCs/>
                <w:color w:val="000000" w:themeColor="text1"/>
                <w:sz w:val="21"/>
                <w:szCs w:val="21"/>
                <w14:textFill>
                  <w14:solidFill>
                    <w14:schemeClr w14:val="tx1"/>
                  </w14:solidFill>
                </w14:textFill>
              </w:rPr>
            </w:pPr>
            <w:r>
              <w:rPr>
                <w:rFonts w:hint="eastAsia" w:ascii="Calibri" w:hAnsi="Calibri"/>
                <w:i w:val="0"/>
                <w:iCs/>
                <w:color w:val="000000" w:themeColor="text1"/>
                <w:sz w:val="21"/>
                <w:szCs w:val="21"/>
                <w14:textFill>
                  <w14:solidFill>
                    <w14:schemeClr w14:val="tx1"/>
                  </w14:solidFill>
                </w14:textFill>
              </w:rPr>
              <w:t>2</w:t>
            </w:r>
          </w:p>
        </w:tc>
        <w:tc>
          <w:tcPr>
            <w:tcW w:w="1621" w:type="dxa"/>
            <w:vAlign w:val="center"/>
          </w:tcPr>
          <w:p>
            <w:pPr>
              <w:jc w:val="center"/>
              <w:rPr>
                <w:rFonts w:ascii="Calibri" w:hAnsi="Calibri"/>
                <w:iCs/>
                <w:color w:val="000000" w:themeColor="text1"/>
                <w:szCs w:val="21"/>
                <w14:textFill>
                  <w14:solidFill>
                    <w14:schemeClr w14:val="tx1"/>
                  </w14:solidFill>
                </w14:textFill>
              </w:rPr>
            </w:pPr>
            <w:r>
              <w:rPr>
                <w:rFonts w:ascii="Calibri" w:hAnsi="Calibri"/>
                <w:szCs w:val="21"/>
              </w:rPr>
              <w:t>风机</w:t>
            </w:r>
          </w:p>
        </w:tc>
        <w:tc>
          <w:tcPr>
            <w:tcW w:w="807" w:type="dxa"/>
            <w:vAlign w:val="center"/>
          </w:tcPr>
          <w:p>
            <w:pPr>
              <w:pStyle w:val="14"/>
              <w:spacing w:before="0" w:after="0" w:line="240" w:lineRule="auto"/>
              <w:ind w:left="0" w:firstLine="0"/>
              <w:jc w:val="center"/>
              <w:rPr>
                <w:rFonts w:ascii="Calibri" w:hAnsi="Calibri"/>
                <w:i w:val="0"/>
                <w:iCs/>
                <w:color w:val="000000" w:themeColor="text1"/>
                <w:sz w:val="21"/>
                <w:szCs w:val="21"/>
                <w14:textFill>
                  <w14:solidFill>
                    <w14:schemeClr w14:val="tx1"/>
                  </w14:solidFill>
                </w14:textFill>
              </w:rPr>
            </w:pPr>
            <w:r>
              <w:rPr>
                <w:rFonts w:ascii="Calibri" w:hAnsi="Calibri"/>
                <w:b/>
                <w:sz w:val="21"/>
                <w:szCs w:val="21"/>
              </w:rPr>
              <w:t>/</w:t>
            </w:r>
          </w:p>
        </w:tc>
        <w:tc>
          <w:tcPr>
            <w:tcW w:w="1999" w:type="dxa"/>
            <w:vAlign w:val="center"/>
          </w:tcPr>
          <w:p>
            <w:pPr>
              <w:pStyle w:val="90"/>
              <w:adjustRightInd w:val="0"/>
              <w:snapToGrid w:val="0"/>
              <w:contextualSpacing w:val="0"/>
              <w:rPr>
                <w:rFonts w:ascii="Calibri" w:hAnsi="Calibri"/>
                <w:iCs/>
                <w:color w:val="000000" w:themeColor="text1"/>
                <w14:textFill>
                  <w14:solidFill>
                    <w14:schemeClr w14:val="tx1"/>
                  </w14:solidFill>
                </w14:textFill>
              </w:rPr>
            </w:pPr>
            <w:r>
              <w:rPr>
                <w:rFonts w:ascii="Calibri" w:hAnsi="Calibri"/>
              </w:rPr>
              <w:t>90/1</w:t>
            </w:r>
          </w:p>
        </w:tc>
        <w:tc>
          <w:tcPr>
            <w:tcW w:w="814" w:type="dxa"/>
            <w:vAlign w:val="center"/>
          </w:tcPr>
          <w:p>
            <w:pPr>
              <w:jc w:val="center"/>
              <w:rPr>
                <w:rFonts w:ascii="Calibri" w:hAnsi="Calibri"/>
                <w:iCs/>
                <w:color w:val="000000" w:themeColor="text1"/>
                <w:szCs w:val="21"/>
                <w14:textFill>
                  <w14:solidFill>
                    <w14:schemeClr w14:val="tx1"/>
                  </w14:solidFill>
                </w14:textFill>
              </w:rPr>
            </w:pPr>
            <w:r>
              <w:rPr>
                <w:rFonts w:ascii="Calibri" w:hAnsi="Calibri"/>
                <w:szCs w:val="21"/>
              </w:rPr>
              <w:t>1</w:t>
            </w:r>
          </w:p>
        </w:tc>
        <w:tc>
          <w:tcPr>
            <w:tcW w:w="2931" w:type="dxa"/>
            <w:vAlign w:val="center"/>
          </w:tcPr>
          <w:p>
            <w:pPr>
              <w:jc w:val="center"/>
              <w:rPr>
                <w:rFonts w:ascii="Calibri" w:hAnsi="Calibri"/>
                <w:iCs/>
                <w:color w:val="000000" w:themeColor="text1"/>
                <w:szCs w:val="21"/>
                <w14:textFill>
                  <w14:solidFill>
                    <w14:schemeClr w14:val="tx1"/>
                  </w14:solidFill>
                </w14:textFill>
              </w:rPr>
            </w:pPr>
            <w:r>
              <w:rPr>
                <w:rFonts w:ascii="Calibri" w:hAnsi="Calibri"/>
                <w:color w:val="000000" w:themeColor="text1"/>
                <w:szCs w:val="21"/>
                <w14:textFill>
                  <w14:solidFill>
                    <w14:schemeClr w14:val="tx1"/>
                  </w14:solidFill>
                </w14:textFill>
              </w:rPr>
              <w:t>进风口消音器、管道外壳阻尼</w:t>
            </w:r>
          </w:p>
        </w:tc>
        <w:tc>
          <w:tcPr>
            <w:tcW w:w="1586" w:type="dxa"/>
            <w:vAlign w:val="center"/>
          </w:tcPr>
          <w:p>
            <w:pPr>
              <w:jc w:val="center"/>
              <w:rPr>
                <w:rFonts w:ascii="Calibri" w:hAnsi="Calibri"/>
                <w:iCs/>
                <w:color w:val="000000" w:themeColor="text1"/>
                <w:szCs w:val="21"/>
                <w14:textFill>
                  <w14:solidFill>
                    <w14:schemeClr w14:val="tx1"/>
                  </w14:solidFill>
                </w14:textFill>
              </w:rPr>
            </w:pPr>
            <w:r>
              <w:rPr>
                <w:rFonts w:ascii="Calibri" w:hAnsi="Calibri"/>
                <w:color w:val="000000" w:themeColor="text1"/>
                <w:szCs w:val="21"/>
                <w14:textFill>
                  <w14:solidFill>
                    <w14:schemeClr w14:val="tx1"/>
                  </w14:solidFill>
                </w14:textFill>
              </w:rPr>
              <w:t>65</w:t>
            </w:r>
          </w:p>
        </w:tc>
        <w:tc>
          <w:tcPr>
            <w:tcW w:w="853" w:type="dxa"/>
            <w:vAlign w:val="center"/>
          </w:tcPr>
          <w:p>
            <w:pPr>
              <w:jc w:val="center"/>
              <w:rPr>
                <w:rFonts w:ascii="Calibri" w:hAnsi="Calibri"/>
                <w:iCs/>
                <w:color w:val="000000" w:themeColor="text1"/>
                <w:szCs w:val="21"/>
                <w14:textFill>
                  <w14:solidFill>
                    <w14:schemeClr w14:val="tx1"/>
                  </w14:solidFill>
                </w14:textFill>
              </w:rPr>
            </w:pPr>
            <w:r>
              <w:rPr>
                <w:rFonts w:ascii="Calibri" w:hAnsi="Calibri"/>
                <w:szCs w:val="21"/>
              </w:rPr>
              <w:t>56</w:t>
            </w:r>
          </w:p>
        </w:tc>
        <w:tc>
          <w:tcPr>
            <w:tcW w:w="854" w:type="dxa"/>
            <w:vAlign w:val="center"/>
          </w:tcPr>
          <w:p>
            <w:pPr>
              <w:jc w:val="center"/>
              <w:rPr>
                <w:rFonts w:ascii="Calibri" w:hAnsi="Calibri"/>
                <w:iCs/>
                <w:color w:val="000000" w:themeColor="text1"/>
                <w:szCs w:val="21"/>
                <w14:textFill>
                  <w14:solidFill>
                    <w14:schemeClr w14:val="tx1"/>
                  </w14:solidFill>
                </w14:textFill>
              </w:rPr>
            </w:pPr>
            <w:r>
              <w:rPr>
                <w:rFonts w:ascii="Calibri" w:hAnsi="Calibri"/>
                <w:szCs w:val="21"/>
              </w:rPr>
              <w:t>90</w:t>
            </w:r>
          </w:p>
        </w:tc>
        <w:tc>
          <w:tcPr>
            <w:tcW w:w="715" w:type="dxa"/>
            <w:vAlign w:val="center"/>
          </w:tcPr>
          <w:p>
            <w:pPr>
              <w:jc w:val="center"/>
              <w:rPr>
                <w:rFonts w:ascii="Calibri" w:hAnsi="Calibri"/>
                <w:iCs/>
                <w:color w:val="000000" w:themeColor="text1"/>
                <w:szCs w:val="21"/>
                <w14:textFill>
                  <w14:solidFill>
                    <w14:schemeClr w14:val="tx1"/>
                  </w14:solidFill>
                </w14:textFill>
              </w:rPr>
            </w:pPr>
            <w:r>
              <w:rPr>
                <w:rFonts w:ascii="Calibri" w:hAnsi="Calibri"/>
                <w:szCs w:val="21"/>
              </w:rPr>
              <w:t>1</w:t>
            </w:r>
          </w:p>
        </w:tc>
        <w:tc>
          <w:tcPr>
            <w:tcW w:w="1163" w:type="dxa"/>
            <w:vAlign w:val="center"/>
          </w:tcPr>
          <w:p>
            <w:pPr>
              <w:pStyle w:val="94"/>
              <w:adjustRightInd w:val="0"/>
              <w:snapToGrid w:val="0"/>
              <w:rPr>
                <w:rFonts w:ascii="Calibri" w:hAnsi="Calibri" w:cs="Times New Roman"/>
                <w:b w:val="0"/>
                <w:iCs/>
                <w:color w:val="000000" w:themeColor="text1"/>
                <w:szCs w:val="21"/>
                <w14:textFill>
                  <w14:solidFill>
                    <w14:schemeClr w14:val="tx1"/>
                  </w14:solidFill>
                </w14:textFill>
              </w:rPr>
            </w:pPr>
            <w:r>
              <w:rPr>
                <w:rFonts w:ascii="Calibri" w:hAnsi="Calibri" w:cs="Times New Roman"/>
                <w:b w:val="0"/>
                <w:szCs w:val="21"/>
              </w:rPr>
              <w:t>持续运行</w:t>
            </w:r>
          </w:p>
        </w:tc>
      </w:tr>
    </w:tbl>
    <w:p>
      <w:pPr>
        <w:spacing w:before="156" w:beforeLines="50"/>
        <w:ind w:firstLine="480" w:firstLineChars="200"/>
        <w:rPr>
          <w:rFonts w:hAnsi="黑体" w:eastAsia="黑体"/>
          <w:bCs/>
          <w:color w:val="000000" w:themeColor="text1"/>
          <w:sz w:val="24"/>
          <w14:textFill>
            <w14:solidFill>
              <w14:schemeClr w14:val="tx1"/>
            </w14:solidFill>
          </w14:textFill>
        </w:rPr>
      </w:pPr>
      <w:r>
        <w:rPr>
          <w:rFonts w:hint="eastAsia" w:hAnsi="黑体" w:eastAsia="黑体"/>
          <w:bCs/>
          <w:color w:val="000000" w:themeColor="text1"/>
          <w:sz w:val="24"/>
          <w14:textFill>
            <w14:solidFill>
              <w14:schemeClr w14:val="tx1"/>
            </w14:solidFill>
          </w14:textFill>
        </w:rPr>
        <w:t>表</w:t>
      </w:r>
      <w:r>
        <w:rPr>
          <w:rFonts w:hAnsi="黑体" w:eastAsia="黑体"/>
          <w:bCs/>
          <w:color w:val="000000" w:themeColor="text1"/>
          <w:sz w:val="24"/>
          <w14:textFill>
            <w14:solidFill>
              <w14:schemeClr w14:val="tx1"/>
            </w14:solidFill>
          </w14:textFill>
        </w:rPr>
        <w:t xml:space="preserve">5.5-3  </w:t>
      </w:r>
      <w:r>
        <w:rPr>
          <w:rFonts w:hint="eastAsia" w:hAnsi="黑体" w:eastAsia="黑体"/>
          <w:bCs/>
          <w:color w:val="000000" w:themeColor="text1"/>
          <w:sz w:val="24"/>
          <w14:textFill>
            <w14:solidFill>
              <w14:schemeClr w14:val="tx1"/>
            </w14:solidFill>
          </w14:textFill>
        </w:rPr>
        <w:t xml:space="preserve">                   </w:t>
      </w:r>
      <w:r>
        <w:rPr>
          <w:rFonts w:hAnsi="黑体" w:eastAsia="黑体"/>
          <w:bCs/>
          <w:color w:val="000000" w:themeColor="text1"/>
          <w:sz w:val="24"/>
          <w14:textFill>
            <w14:solidFill>
              <w14:schemeClr w14:val="tx1"/>
            </w14:solidFill>
          </w14:textFill>
        </w:rPr>
        <w:t xml:space="preserve">   </w:t>
      </w:r>
      <w:r>
        <w:rPr>
          <w:rFonts w:hint="eastAsia" w:hAnsi="黑体" w:eastAsia="黑体"/>
          <w:bCs/>
          <w:color w:val="000000" w:themeColor="text1"/>
          <w:sz w:val="24"/>
          <w14:textFill>
            <w14:solidFill>
              <w14:schemeClr w14:val="tx1"/>
            </w14:solidFill>
          </w14:textFill>
        </w:rPr>
        <w:t>工业企业</w:t>
      </w:r>
      <w:r>
        <w:rPr>
          <w:rFonts w:hAnsi="黑体" w:eastAsia="黑体"/>
          <w:bCs/>
          <w:color w:val="000000" w:themeColor="text1"/>
          <w:sz w:val="24"/>
          <w14:textFill>
            <w14:solidFill>
              <w14:schemeClr w14:val="tx1"/>
            </w14:solidFill>
          </w14:textFill>
        </w:rPr>
        <w:t>噪声源强调查清单</w:t>
      </w:r>
      <w:r>
        <w:rPr>
          <w:rFonts w:hint="eastAsia" w:hAnsi="黑体" w:eastAsia="黑体"/>
          <w:bCs/>
          <w:color w:val="000000" w:themeColor="text1"/>
          <w:sz w:val="24"/>
          <w14:textFill>
            <w14:solidFill>
              <w14:schemeClr w14:val="tx1"/>
            </w14:solidFill>
          </w14:textFill>
        </w:rPr>
        <w:t>（室内声源）</w:t>
      </w:r>
    </w:p>
    <w:tbl>
      <w:tblPr>
        <w:tblStyle w:val="49"/>
        <w:tblW w:w="525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450"/>
        <w:gridCol w:w="727"/>
        <w:gridCol w:w="909"/>
        <w:gridCol w:w="1351"/>
        <w:gridCol w:w="740"/>
        <w:gridCol w:w="762"/>
        <w:gridCol w:w="955"/>
        <w:gridCol w:w="955"/>
        <w:gridCol w:w="570"/>
        <w:gridCol w:w="570"/>
        <w:gridCol w:w="575"/>
        <w:gridCol w:w="856"/>
        <w:gridCol w:w="870"/>
        <w:gridCol w:w="697"/>
        <w:gridCol w:w="1148"/>
        <w:gridCol w:w="1003"/>
        <w:gridCol w:w="102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159" w:type="pct"/>
            <w:vMerge w:val="restar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序号</w:t>
            </w:r>
          </w:p>
        </w:tc>
        <w:tc>
          <w:tcPr>
            <w:tcW w:w="257" w:type="pct"/>
            <w:vMerge w:val="restar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建筑物名称</w:t>
            </w:r>
          </w:p>
        </w:tc>
        <w:tc>
          <w:tcPr>
            <w:tcW w:w="321" w:type="pct"/>
            <w:vMerge w:val="restar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声源名称</w:t>
            </w:r>
          </w:p>
        </w:tc>
        <w:tc>
          <w:tcPr>
            <w:tcW w:w="477" w:type="pct"/>
            <w:vMerge w:val="restar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(声压级/距声源距离)/ ([dB(A)]/m)</w:t>
            </w:r>
          </w:p>
        </w:tc>
        <w:tc>
          <w:tcPr>
            <w:tcW w:w="261" w:type="pct"/>
            <w:vMerge w:val="restar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数量(台)</w:t>
            </w:r>
          </w:p>
        </w:tc>
        <w:tc>
          <w:tcPr>
            <w:tcW w:w="269" w:type="pct"/>
            <w:vMerge w:val="restar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声源控制措施</w:t>
            </w:r>
          </w:p>
        </w:tc>
        <w:tc>
          <w:tcPr>
            <w:tcW w:w="337" w:type="pct"/>
            <w:vMerge w:val="restar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治理后声压级[dB(A)]</w:t>
            </w:r>
          </w:p>
        </w:tc>
        <w:tc>
          <w:tcPr>
            <w:tcW w:w="337" w:type="pct"/>
            <w:vMerge w:val="restar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声压级叠加值[dB(A)]</w:t>
            </w:r>
          </w:p>
        </w:tc>
        <w:tc>
          <w:tcPr>
            <w:tcW w:w="605" w:type="pct"/>
            <w:gridSpan w:val="3"/>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空间相对位置/m</w:t>
            </w:r>
          </w:p>
        </w:tc>
        <w:tc>
          <w:tcPr>
            <w:tcW w:w="302" w:type="pct"/>
            <w:vMerge w:val="restar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距室内边界距离/m</w:t>
            </w:r>
          </w:p>
        </w:tc>
        <w:tc>
          <w:tcPr>
            <w:tcW w:w="307" w:type="pct"/>
            <w:vMerge w:val="restar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室内边界声级/dB(A)</w:t>
            </w:r>
          </w:p>
        </w:tc>
        <w:tc>
          <w:tcPr>
            <w:tcW w:w="246" w:type="pct"/>
            <w:vMerge w:val="restar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运行时段</w:t>
            </w:r>
          </w:p>
        </w:tc>
        <w:tc>
          <w:tcPr>
            <w:tcW w:w="405" w:type="pct"/>
            <w:vMerge w:val="restar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建筑物插入损失/dB(A)</w:t>
            </w:r>
          </w:p>
        </w:tc>
        <w:tc>
          <w:tcPr>
            <w:tcW w:w="717" w:type="pct"/>
            <w:gridSpan w:val="2"/>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建筑物外噪声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159" w:type="pct"/>
            <w:vMerge w:val="continue"/>
            <w:vAlign w:val="center"/>
          </w:tcPr>
          <w:p>
            <w:pPr>
              <w:pStyle w:val="94"/>
              <w:rPr>
                <w:rFonts w:cs="Times New Roman"/>
                <w:color w:val="000000" w:themeColor="text1"/>
                <w:szCs w:val="21"/>
                <w14:textFill>
                  <w14:solidFill>
                    <w14:schemeClr w14:val="tx1"/>
                  </w14:solidFill>
                </w14:textFill>
              </w:rPr>
            </w:pPr>
          </w:p>
        </w:tc>
        <w:tc>
          <w:tcPr>
            <w:tcW w:w="257" w:type="pct"/>
            <w:vMerge w:val="continue"/>
            <w:vAlign w:val="center"/>
          </w:tcPr>
          <w:p>
            <w:pPr>
              <w:pStyle w:val="94"/>
              <w:rPr>
                <w:rFonts w:cs="Times New Roman"/>
                <w:color w:val="000000" w:themeColor="text1"/>
                <w:szCs w:val="21"/>
                <w14:textFill>
                  <w14:solidFill>
                    <w14:schemeClr w14:val="tx1"/>
                  </w14:solidFill>
                </w14:textFill>
              </w:rPr>
            </w:pPr>
          </w:p>
        </w:tc>
        <w:tc>
          <w:tcPr>
            <w:tcW w:w="321" w:type="pct"/>
            <w:vMerge w:val="continue"/>
            <w:vAlign w:val="center"/>
          </w:tcPr>
          <w:p>
            <w:pPr>
              <w:pStyle w:val="94"/>
              <w:rPr>
                <w:rFonts w:cs="Times New Roman"/>
                <w:color w:val="000000" w:themeColor="text1"/>
                <w:szCs w:val="21"/>
                <w14:textFill>
                  <w14:solidFill>
                    <w14:schemeClr w14:val="tx1"/>
                  </w14:solidFill>
                </w14:textFill>
              </w:rPr>
            </w:pPr>
          </w:p>
        </w:tc>
        <w:tc>
          <w:tcPr>
            <w:tcW w:w="477" w:type="pct"/>
            <w:vMerge w:val="continue"/>
            <w:vAlign w:val="center"/>
          </w:tcPr>
          <w:p>
            <w:pPr>
              <w:pStyle w:val="94"/>
              <w:rPr>
                <w:rFonts w:cs="Times New Roman"/>
                <w:color w:val="000000" w:themeColor="text1"/>
                <w:szCs w:val="21"/>
                <w14:textFill>
                  <w14:solidFill>
                    <w14:schemeClr w14:val="tx1"/>
                  </w14:solidFill>
                </w14:textFill>
              </w:rPr>
            </w:pPr>
          </w:p>
        </w:tc>
        <w:tc>
          <w:tcPr>
            <w:tcW w:w="261" w:type="pct"/>
            <w:vMerge w:val="continue"/>
            <w:vAlign w:val="center"/>
          </w:tcPr>
          <w:p>
            <w:pPr>
              <w:pStyle w:val="94"/>
              <w:rPr>
                <w:rFonts w:cs="Times New Roman"/>
                <w:color w:val="000000" w:themeColor="text1"/>
                <w:szCs w:val="21"/>
                <w14:textFill>
                  <w14:solidFill>
                    <w14:schemeClr w14:val="tx1"/>
                  </w14:solidFill>
                </w14:textFill>
              </w:rPr>
            </w:pPr>
          </w:p>
        </w:tc>
        <w:tc>
          <w:tcPr>
            <w:tcW w:w="269" w:type="pct"/>
            <w:vMerge w:val="continue"/>
            <w:vAlign w:val="center"/>
          </w:tcPr>
          <w:p>
            <w:pPr>
              <w:pStyle w:val="94"/>
              <w:rPr>
                <w:rFonts w:cs="Times New Roman"/>
                <w:color w:val="000000" w:themeColor="text1"/>
                <w:szCs w:val="21"/>
                <w14:textFill>
                  <w14:solidFill>
                    <w14:schemeClr w14:val="tx1"/>
                  </w14:solidFill>
                </w14:textFill>
              </w:rPr>
            </w:pPr>
          </w:p>
        </w:tc>
        <w:tc>
          <w:tcPr>
            <w:tcW w:w="337" w:type="pct"/>
            <w:vMerge w:val="continue"/>
            <w:vAlign w:val="center"/>
          </w:tcPr>
          <w:p>
            <w:pPr>
              <w:pStyle w:val="94"/>
              <w:rPr>
                <w:rFonts w:cs="Times New Roman"/>
                <w:color w:val="000000" w:themeColor="text1"/>
                <w:szCs w:val="21"/>
                <w14:textFill>
                  <w14:solidFill>
                    <w14:schemeClr w14:val="tx1"/>
                  </w14:solidFill>
                </w14:textFill>
              </w:rPr>
            </w:pPr>
          </w:p>
        </w:tc>
        <w:tc>
          <w:tcPr>
            <w:tcW w:w="337" w:type="pct"/>
            <w:vMerge w:val="continue"/>
            <w:vAlign w:val="center"/>
          </w:tcPr>
          <w:p>
            <w:pPr>
              <w:pStyle w:val="94"/>
              <w:rPr>
                <w:rFonts w:cs="Times New Roman"/>
                <w:color w:val="000000" w:themeColor="text1"/>
                <w:szCs w:val="21"/>
                <w14:textFill>
                  <w14:solidFill>
                    <w14:schemeClr w14:val="tx1"/>
                  </w14:solidFill>
                </w14:textFill>
              </w:rPr>
            </w:pPr>
          </w:p>
        </w:tc>
        <w:tc>
          <w:tcPr>
            <w:tcW w:w="201" w:type="pc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X</w:t>
            </w:r>
          </w:p>
        </w:tc>
        <w:tc>
          <w:tcPr>
            <w:tcW w:w="201" w:type="pc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Y</w:t>
            </w:r>
          </w:p>
        </w:tc>
        <w:tc>
          <w:tcPr>
            <w:tcW w:w="203" w:type="pc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Z</w:t>
            </w:r>
          </w:p>
        </w:tc>
        <w:tc>
          <w:tcPr>
            <w:tcW w:w="302" w:type="pct"/>
            <w:vMerge w:val="continue"/>
            <w:vAlign w:val="center"/>
          </w:tcPr>
          <w:p>
            <w:pPr>
              <w:pStyle w:val="94"/>
              <w:rPr>
                <w:rFonts w:cs="Times New Roman"/>
                <w:color w:val="000000" w:themeColor="text1"/>
                <w:szCs w:val="21"/>
                <w14:textFill>
                  <w14:solidFill>
                    <w14:schemeClr w14:val="tx1"/>
                  </w14:solidFill>
                </w14:textFill>
              </w:rPr>
            </w:pPr>
          </w:p>
        </w:tc>
        <w:tc>
          <w:tcPr>
            <w:tcW w:w="307" w:type="pct"/>
            <w:vMerge w:val="continue"/>
            <w:vAlign w:val="center"/>
          </w:tcPr>
          <w:p>
            <w:pPr>
              <w:pStyle w:val="94"/>
              <w:rPr>
                <w:rFonts w:cs="Times New Roman"/>
                <w:color w:val="000000" w:themeColor="text1"/>
                <w:szCs w:val="21"/>
                <w14:textFill>
                  <w14:solidFill>
                    <w14:schemeClr w14:val="tx1"/>
                  </w14:solidFill>
                </w14:textFill>
              </w:rPr>
            </w:pPr>
          </w:p>
        </w:tc>
        <w:tc>
          <w:tcPr>
            <w:tcW w:w="246" w:type="pct"/>
            <w:vMerge w:val="continue"/>
            <w:vAlign w:val="center"/>
          </w:tcPr>
          <w:p>
            <w:pPr>
              <w:pStyle w:val="94"/>
              <w:rPr>
                <w:rFonts w:cs="Times New Roman"/>
                <w:color w:val="000000" w:themeColor="text1"/>
                <w:szCs w:val="21"/>
                <w14:textFill>
                  <w14:solidFill>
                    <w14:schemeClr w14:val="tx1"/>
                  </w14:solidFill>
                </w14:textFill>
              </w:rPr>
            </w:pPr>
          </w:p>
        </w:tc>
        <w:tc>
          <w:tcPr>
            <w:tcW w:w="405" w:type="pct"/>
            <w:vMerge w:val="continue"/>
            <w:vAlign w:val="center"/>
          </w:tcPr>
          <w:p>
            <w:pPr>
              <w:pStyle w:val="94"/>
              <w:rPr>
                <w:rFonts w:cs="Times New Roman"/>
                <w:color w:val="000000" w:themeColor="text1"/>
                <w:szCs w:val="21"/>
                <w14:textFill>
                  <w14:solidFill>
                    <w14:schemeClr w14:val="tx1"/>
                  </w14:solidFill>
                </w14:textFill>
              </w:rPr>
            </w:pPr>
          </w:p>
        </w:tc>
        <w:tc>
          <w:tcPr>
            <w:tcW w:w="354" w:type="pc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声压级/dB(A)</w:t>
            </w:r>
          </w:p>
        </w:tc>
        <w:tc>
          <w:tcPr>
            <w:tcW w:w="363" w:type="pct"/>
            <w:vAlign w:val="center"/>
          </w:tcPr>
          <w:p>
            <w:pPr>
              <w:pStyle w:val="94"/>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建筑物外距离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w:t>
            </w:r>
          </w:p>
        </w:tc>
        <w:tc>
          <w:tcPr>
            <w:tcW w:w="257"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集水池</w:t>
            </w: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潜污泵</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90/1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2</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82</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32</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37.9</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31.9</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kern w:val="2"/>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pStyle w:val="90"/>
              <w:rPr>
                <w:color w:val="000000" w:themeColor="text1"/>
                <w:kern w:val="2"/>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52.4</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46.4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kern w:val="2"/>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pStyle w:val="90"/>
              <w:rPr>
                <w:color w:val="000000" w:themeColor="text1"/>
                <w:kern w:val="2"/>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52.5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kern w:val="2"/>
                <w14:textFill>
                  <w14:solidFill>
                    <w14:schemeClr w14:val="tx1"/>
                  </w14:solidFill>
                </w14:textFill>
              </w:rPr>
            </w:pPr>
          </w:p>
        </w:tc>
        <w:tc>
          <w:tcPr>
            <w:tcW w:w="321" w:type="pct"/>
            <w:vMerge w:val="continue"/>
            <w:vAlign w:val="center"/>
          </w:tcPr>
          <w:p>
            <w:pPr>
              <w:jc w:val="center"/>
              <w:rPr>
                <w:color w:val="000000" w:themeColor="text1"/>
                <w:szCs w:val="21"/>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pStyle w:val="90"/>
              <w:rPr>
                <w:color w:val="000000" w:themeColor="text1"/>
                <w:kern w:val="2"/>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8</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49.9</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43.9</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14:textFill>
                  <w14:solidFill>
                    <w14:schemeClr w14:val="tx1"/>
                  </w14:solidFill>
                </w14:textFill>
              </w:rPr>
              <w:t>潜水搅拌机</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80/1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55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84</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37</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8</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36.9</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30.9</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49</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39.4</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33.4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2</w:t>
            </w:r>
          </w:p>
        </w:tc>
        <w:tc>
          <w:tcPr>
            <w:tcW w:w="25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调节池</w:t>
            </w: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潜污泵</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90/1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2</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68</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61</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99</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52.4</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46.4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kern w:val="2"/>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5</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48</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kern w:val="2"/>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52.4</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46.4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kern w:val="2"/>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5</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48</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潜水搅拌机</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80/1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2</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58</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97</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11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34.2</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28.2</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39.5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49</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7</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38.1</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32.1</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3</w:t>
            </w:r>
          </w:p>
        </w:tc>
        <w:tc>
          <w:tcPr>
            <w:tcW w:w="25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初沉池</w:t>
            </w: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潜污泵</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90/1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101</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49.4</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2</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59</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49.4</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计量泵</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90/1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2</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68</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52.4</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52.6</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62</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14:textFill>
                  <w14:solidFill>
                    <w14:schemeClr w14:val="tx1"/>
                  </w14:solidFill>
                </w14:textFill>
              </w:rPr>
              <w:t>搅拌装置</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80/1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2</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58</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74</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42.4</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42.4</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36.4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4</w:t>
            </w:r>
          </w:p>
        </w:tc>
        <w:tc>
          <w:tcPr>
            <w:tcW w:w="25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水解酸化池</w:t>
            </w:r>
          </w:p>
        </w:tc>
        <w:tc>
          <w:tcPr>
            <w:tcW w:w="321" w:type="pct"/>
            <w:vMerge w:val="restart"/>
            <w:vAlign w:val="center"/>
          </w:tcPr>
          <w:p>
            <w:pPr>
              <w:pStyle w:val="90"/>
              <w:rPr>
                <w:color w:val="000000" w:themeColor="text1"/>
                <w:lang w:bidi="ar"/>
                <w14:textFill>
                  <w14:solidFill>
                    <w14:schemeClr w14:val="tx1"/>
                  </w14:solidFill>
                </w14:textFill>
              </w:rPr>
            </w:pPr>
            <w:r>
              <w:rPr>
                <w:color w:val="000000" w:themeColor="text1"/>
                <w:lang w:bidi="ar"/>
                <w14:textFill>
                  <w14:solidFill>
                    <w14:schemeClr w14:val="tx1"/>
                  </w14:solidFill>
                </w14:textFill>
              </w:rPr>
              <w:t>潜水搅拌机</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80/1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55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67</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11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28</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lang w:bidi="ar"/>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lang w:bidi="ar"/>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lang w:bidi="ar"/>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5</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5</w:t>
            </w:r>
          </w:p>
        </w:tc>
        <w:tc>
          <w:tcPr>
            <w:tcW w:w="25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厌氧池</w:t>
            </w: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潜水搅拌机</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80/1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55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57</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94</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5</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9</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35.9</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29.9</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5</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257" w:type="pct"/>
            <w:vMerge w:val="restart"/>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缺氧池</w:t>
            </w: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潜水搅拌机</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80/1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4</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61</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57</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83</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61</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45.4</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9</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41.9</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35.9</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45.4</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7</w:t>
            </w:r>
          </w:p>
        </w:tc>
        <w:tc>
          <w:tcPr>
            <w:tcW w:w="257" w:type="pct"/>
            <w:vMerge w:val="restart"/>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好氧池</w:t>
            </w: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硝化液回流泵</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90/1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2</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68</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89</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9</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52.4</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62</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52.4</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14:textFill>
                  <w14:solidFill>
                    <w14:schemeClr w14:val="tx1"/>
                  </w14:solidFill>
                </w14:textFill>
              </w:rPr>
              <w:t>罗茨风机</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90/1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2</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68</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8</w:t>
            </w:r>
          </w:p>
        </w:tc>
        <w:tc>
          <w:tcPr>
            <w:tcW w:w="257" w:type="pct"/>
            <w:vMerge w:val="restart"/>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二沉池</w:t>
            </w: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潜污泵</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90/1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2</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68</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72</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58.5</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9</w:t>
            </w:r>
          </w:p>
        </w:tc>
        <w:tc>
          <w:tcPr>
            <w:tcW w:w="257" w:type="pct"/>
            <w:vMerge w:val="restart"/>
            <w:vAlign w:val="center"/>
          </w:tcPr>
          <w:p>
            <w:pPr>
              <w:pStyle w:val="90"/>
              <w:rPr>
                <w:color w:val="000000" w:themeColor="text1"/>
                <w14:textFill>
                  <w14:solidFill>
                    <w14:schemeClr w14:val="tx1"/>
                  </w14:solidFill>
                </w14:textFill>
              </w:rPr>
            </w:pPr>
            <w:r>
              <w:rPr>
                <w:color w:val="000000" w:themeColor="text1"/>
                <w:lang w:val="zh-CN"/>
                <w14:textFill>
                  <w14:solidFill>
                    <w14:schemeClr w14:val="tx1"/>
                  </w14:solidFill>
                </w14:textFill>
              </w:rPr>
              <w:t>三沉池</w:t>
            </w: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潜污泵</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90/1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72</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55.5</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计量泵</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90/1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2</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68</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79</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5</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58.5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52.5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2</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62</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56</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57" w:type="pct"/>
            <w:vMerge w:val="restart"/>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污泥池</w:t>
            </w: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潜水搅拌机</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80/1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55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93</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39.4</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33.4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1</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6</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39.4</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33.4</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潜污泵</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90/1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11</w:t>
            </w:r>
          </w:p>
        </w:tc>
        <w:tc>
          <w:tcPr>
            <w:tcW w:w="257" w:type="pct"/>
            <w:vMerge w:val="restart"/>
            <w:vAlign w:val="center"/>
          </w:tcPr>
          <w:p>
            <w:pPr>
              <w:pStyle w:val="90"/>
              <w:rPr>
                <w:color w:val="000000" w:themeColor="text1"/>
                <w14:textFill>
                  <w14:solidFill>
                    <w14:schemeClr w14:val="tx1"/>
                  </w14:solidFill>
                </w14:textFill>
              </w:rPr>
            </w:pPr>
            <w:r>
              <w:rPr>
                <w:color w:val="000000" w:themeColor="text1"/>
                <w:lang w:bidi="ar"/>
                <w14:textFill>
                  <w14:solidFill>
                    <w14:schemeClr w14:val="tx1"/>
                  </w14:solidFill>
                </w14:textFill>
              </w:rPr>
              <w:t>污泥处理系统</w:t>
            </w: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叠螺污泥脱水机</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90/1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94</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55.5</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2</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59</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PAM自动泡药机</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80/1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55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76</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45.5</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1" w:type="pct"/>
            <w:vMerge w:val="continue"/>
            <w:vAlign w:val="center"/>
          </w:tcPr>
          <w:p>
            <w:pPr>
              <w:jc w:val="center"/>
              <w:rPr>
                <w:color w:val="000000" w:themeColor="text1"/>
                <w:szCs w:val="21"/>
                <w14:textFill>
                  <w14:solidFill>
                    <w14:schemeClr w14:val="tx1"/>
                  </w14:solidFill>
                </w14:textFill>
              </w:rPr>
            </w:pPr>
          </w:p>
        </w:tc>
        <w:tc>
          <w:tcPr>
            <w:tcW w:w="203" w:type="pct"/>
            <w:vMerge w:val="continue"/>
            <w:vAlign w:val="center"/>
          </w:tcPr>
          <w:p>
            <w:pPr>
              <w:jc w:val="center"/>
              <w:rPr>
                <w:color w:val="000000" w:themeColor="text1"/>
                <w:szCs w:val="21"/>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restart"/>
            <w:vAlign w:val="center"/>
          </w:tcPr>
          <w:p>
            <w:pPr>
              <w:pStyle w:val="90"/>
              <w:rPr>
                <w:color w:val="000000" w:themeColor="text1"/>
                <w:kern w:val="2"/>
                <w14:textFill>
                  <w14:solidFill>
                    <w14:schemeClr w14:val="tx1"/>
                  </w14:solidFill>
                </w14:textFill>
              </w:rPr>
            </w:pPr>
            <w:r>
              <w:rPr>
                <w:color w:val="000000" w:themeColor="text1"/>
                <w:lang w:bidi="ar"/>
                <w14:textFill>
                  <w14:solidFill>
                    <w14:schemeClr w14:val="tx1"/>
                  </w14:solidFill>
                </w14:textFill>
              </w:rPr>
              <w:t>加药泵</w:t>
            </w:r>
          </w:p>
        </w:tc>
        <w:tc>
          <w:tcPr>
            <w:tcW w:w="477"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90/1</w:t>
            </w:r>
          </w:p>
        </w:tc>
        <w:tc>
          <w:tcPr>
            <w:tcW w:w="261"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1</w:t>
            </w:r>
          </w:p>
        </w:tc>
        <w:tc>
          <w:tcPr>
            <w:tcW w:w="269"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减振、隔声</w:t>
            </w:r>
          </w:p>
        </w:tc>
        <w:tc>
          <w:tcPr>
            <w:tcW w:w="337"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337"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201"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203"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w:t>
            </w: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55.5</w:t>
            </w:r>
          </w:p>
        </w:tc>
        <w:tc>
          <w:tcPr>
            <w:tcW w:w="246" w:type="pct"/>
            <w:vMerge w:val="restart"/>
            <w:vAlign w:val="center"/>
          </w:tcPr>
          <w:p>
            <w:pPr>
              <w:pStyle w:val="90"/>
              <w:rPr>
                <w:color w:val="000000" w:themeColor="text1"/>
                <w:kern w:val="2"/>
                <w14:textFill>
                  <w14:solidFill>
                    <w14:schemeClr w14:val="tx1"/>
                  </w14:solidFill>
                </w14:textFill>
              </w:rPr>
            </w:pPr>
            <w:r>
              <w:rPr>
                <w:color w:val="000000" w:themeColor="text1"/>
                <w:kern w:val="2"/>
                <w14:textFill>
                  <w14:solidFill>
                    <w14:schemeClr w14:val="tx1"/>
                  </w14:solidFill>
                </w14:textFill>
              </w:rPr>
              <w:t>昼夜全时段</w:t>
            </w:r>
          </w:p>
        </w:tc>
        <w:tc>
          <w:tcPr>
            <w:tcW w:w="405" w:type="pct"/>
            <w:vMerge w:val="restar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6</w:t>
            </w: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 3</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55.5</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49.5</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9" w:type="pct"/>
            <w:vMerge w:val="continue"/>
            <w:vAlign w:val="center"/>
          </w:tcPr>
          <w:p>
            <w:pPr>
              <w:pStyle w:val="90"/>
              <w:rPr>
                <w:color w:val="000000" w:themeColor="text1"/>
                <w14:textFill>
                  <w14:solidFill>
                    <w14:schemeClr w14:val="tx1"/>
                  </w14:solidFill>
                </w14:textFill>
              </w:rPr>
            </w:pPr>
          </w:p>
        </w:tc>
        <w:tc>
          <w:tcPr>
            <w:tcW w:w="257" w:type="pct"/>
            <w:vMerge w:val="continue"/>
            <w:vAlign w:val="center"/>
          </w:tcPr>
          <w:p>
            <w:pPr>
              <w:pStyle w:val="90"/>
              <w:rPr>
                <w:color w:val="000000" w:themeColor="text1"/>
                <w14:textFill>
                  <w14:solidFill>
                    <w14:schemeClr w14:val="tx1"/>
                  </w14:solidFill>
                </w14:textFill>
              </w:rPr>
            </w:pPr>
          </w:p>
        </w:tc>
        <w:tc>
          <w:tcPr>
            <w:tcW w:w="321" w:type="pct"/>
            <w:vMerge w:val="continue"/>
            <w:vAlign w:val="center"/>
          </w:tcPr>
          <w:p>
            <w:pPr>
              <w:pStyle w:val="90"/>
              <w:rPr>
                <w:color w:val="000000" w:themeColor="text1"/>
                <w:kern w:val="2"/>
                <w14:textFill>
                  <w14:solidFill>
                    <w14:schemeClr w14:val="tx1"/>
                  </w14:solidFill>
                </w14:textFill>
              </w:rPr>
            </w:pPr>
          </w:p>
        </w:tc>
        <w:tc>
          <w:tcPr>
            <w:tcW w:w="477" w:type="pct"/>
            <w:vMerge w:val="continue"/>
            <w:vAlign w:val="center"/>
          </w:tcPr>
          <w:p>
            <w:pPr>
              <w:pStyle w:val="90"/>
              <w:rPr>
                <w:color w:val="000000" w:themeColor="text1"/>
                <w:kern w:val="2"/>
                <w14:textFill>
                  <w14:solidFill>
                    <w14:schemeClr w14:val="tx1"/>
                  </w14:solidFill>
                </w14:textFill>
              </w:rPr>
            </w:pPr>
          </w:p>
        </w:tc>
        <w:tc>
          <w:tcPr>
            <w:tcW w:w="261" w:type="pct"/>
            <w:vMerge w:val="continue"/>
            <w:vAlign w:val="center"/>
          </w:tcPr>
          <w:p>
            <w:pPr>
              <w:pStyle w:val="90"/>
              <w:rPr>
                <w:color w:val="000000" w:themeColor="text1"/>
                <w:kern w:val="2"/>
                <w14:textFill>
                  <w14:solidFill>
                    <w14:schemeClr w14:val="tx1"/>
                  </w14:solidFill>
                </w14:textFill>
              </w:rPr>
            </w:pPr>
          </w:p>
        </w:tc>
        <w:tc>
          <w:tcPr>
            <w:tcW w:w="269"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jc w:val="center"/>
              <w:rPr>
                <w:color w:val="000000" w:themeColor="text1"/>
                <w:szCs w:val="21"/>
                <w14:textFill>
                  <w14:solidFill>
                    <w14:schemeClr w14:val="tx1"/>
                  </w14:solidFill>
                </w14:textFill>
              </w:rPr>
            </w:pPr>
          </w:p>
        </w:tc>
        <w:tc>
          <w:tcPr>
            <w:tcW w:w="337" w:type="pct"/>
            <w:vMerge w:val="continue"/>
            <w:vAlign w:val="center"/>
          </w:tcPr>
          <w:p>
            <w:pPr>
              <w:pStyle w:val="90"/>
              <w:rPr>
                <w:color w:val="000000" w:themeColor="text1"/>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1" w:type="pct"/>
            <w:vMerge w:val="continue"/>
            <w:vAlign w:val="center"/>
          </w:tcPr>
          <w:p>
            <w:pPr>
              <w:jc w:val="center"/>
              <w:rPr>
                <w:color w:val="000000" w:themeColor="text1"/>
                <w:szCs w:val="21"/>
                <w:highlight w:val="yellow"/>
                <w14:textFill>
                  <w14:solidFill>
                    <w14:schemeClr w14:val="tx1"/>
                  </w14:solidFill>
                </w14:textFill>
              </w:rPr>
            </w:pPr>
          </w:p>
        </w:tc>
        <w:tc>
          <w:tcPr>
            <w:tcW w:w="203" w:type="pct"/>
            <w:vMerge w:val="continue"/>
            <w:vAlign w:val="center"/>
          </w:tcPr>
          <w:p>
            <w:pPr>
              <w:jc w:val="center"/>
              <w:rPr>
                <w:color w:val="000000" w:themeColor="text1"/>
                <w:szCs w:val="21"/>
                <w:highlight w:val="yellow"/>
                <w14:textFill>
                  <w14:solidFill>
                    <w14:schemeClr w14:val="tx1"/>
                  </w14:solidFill>
                </w14:textFill>
              </w:rPr>
            </w:pPr>
          </w:p>
        </w:tc>
        <w:tc>
          <w:tcPr>
            <w:tcW w:w="3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 4</w:t>
            </w:r>
          </w:p>
        </w:tc>
        <w:tc>
          <w:tcPr>
            <w:tcW w:w="30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w:t>
            </w:r>
          </w:p>
        </w:tc>
        <w:tc>
          <w:tcPr>
            <w:tcW w:w="246" w:type="pct"/>
            <w:vMerge w:val="continue"/>
            <w:vAlign w:val="center"/>
          </w:tcPr>
          <w:p>
            <w:pPr>
              <w:pStyle w:val="90"/>
              <w:rPr>
                <w:color w:val="000000" w:themeColor="text1"/>
                <w:kern w:val="2"/>
                <w14:textFill>
                  <w14:solidFill>
                    <w14:schemeClr w14:val="tx1"/>
                  </w14:solidFill>
                </w14:textFill>
              </w:rPr>
            </w:pPr>
          </w:p>
        </w:tc>
        <w:tc>
          <w:tcPr>
            <w:tcW w:w="405" w:type="pct"/>
            <w:vMerge w:val="continue"/>
            <w:vAlign w:val="center"/>
          </w:tcPr>
          <w:p>
            <w:pPr>
              <w:pStyle w:val="90"/>
              <w:rPr>
                <w:color w:val="000000" w:themeColor="text1"/>
                <w14:textFill>
                  <w14:solidFill>
                    <w14:schemeClr w14:val="tx1"/>
                  </w14:solidFill>
                </w14:textFill>
              </w:rPr>
            </w:pPr>
          </w:p>
        </w:tc>
        <w:tc>
          <w:tcPr>
            <w:tcW w:w="35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w:t>
            </w:r>
          </w:p>
        </w:tc>
        <w:tc>
          <w:tcPr>
            <w:tcW w:w="363" w:type="pct"/>
            <w:vAlign w:val="center"/>
          </w:tcPr>
          <w:p>
            <w:pPr>
              <w:pStyle w:val="90"/>
              <w:rPr>
                <w:color w:val="000000" w:themeColor="text1"/>
                <w14:textFill>
                  <w14:solidFill>
                    <w14:schemeClr w14:val="tx1"/>
                  </w14:solidFill>
                </w14:textFill>
              </w:rPr>
            </w:pPr>
            <w:r>
              <w:rPr>
                <w:color w:val="000000" w:themeColor="text1"/>
                <w14:textFill>
                  <w14:solidFill>
                    <w14:schemeClr w14:val="tx1"/>
                  </w14:solidFill>
                </w14:textFill>
              </w:rPr>
              <w:t>1m</w:t>
            </w:r>
          </w:p>
        </w:tc>
      </w:tr>
    </w:tbl>
    <w:p>
      <w:pPr>
        <w:pStyle w:val="25"/>
        <w:spacing w:line="520" w:lineRule="exact"/>
        <w:ind w:firstLine="480" w:firstLineChars="200"/>
        <w:rPr>
          <w:color w:val="000000" w:themeColor="text1"/>
          <w:sz w:val="24"/>
          <w:szCs w:val="24"/>
          <w:highlight w:val="yellow"/>
          <w14:textFill>
            <w14:solidFill>
              <w14:schemeClr w14:val="tx1"/>
            </w14:solidFill>
          </w14:textFill>
        </w:rPr>
        <w:sectPr>
          <w:pgSz w:w="16838" w:h="11906" w:orient="landscape"/>
          <w:pgMar w:top="1588" w:right="1701" w:bottom="1588" w:left="1701" w:header="851" w:footer="1134" w:gutter="0"/>
          <w:cols w:space="720" w:num="1"/>
          <w:docGrid w:type="linesAndChars" w:linePitch="312" w:charSpace="0"/>
        </w:sectPr>
      </w:pPr>
    </w:p>
    <w:p>
      <w:pPr>
        <w:pStyle w:val="727"/>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.5.5 预测</w:t>
      </w:r>
      <w:r>
        <w:rPr>
          <w:rFonts w:hint="eastAsia"/>
          <w:color w:val="000000" w:themeColor="text1"/>
          <w14:textFill>
            <w14:solidFill>
              <w14:schemeClr w14:val="tx1"/>
            </w14:solidFill>
          </w14:textFill>
        </w:rPr>
        <w:t>计算</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1、噪声源衰减分析方法</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设备声源传播到受声点的距离为r，厂房高度为a，厂房的长度为b，对于靠近墙面中心为r距离的受声点声压级的计算（仅考虑距离衰减）：</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当r≤a/π，噪声传播途径中的声级值与距离无关，基本上没有明显衰减；</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当a/π≤r≤b/π时，声源面可近似退化为线源，声压级计算公式为：</w:t>
      </w:r>
    </w:p>
    <w:p>
      <w:pPr>
        <w:pStyle w:val="451"/>
        <w:spacing w:before="156" w:beforeLines="50" w:after="156"/>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221740" cy="220345"/>
            <wp:effectExtent l="0" t="0" r="16510" b="6985"/>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189"/>
                    <a:stretch>
                      <a:fillRect/>
                    </a:stretch>
                  </pic:blipFill>
                  <pic:spPr>
                    <a:xfrm>
                      <a:off x="0" y="0"/>
                      <a:ext cx="1221740" cy="220345"/>
                    </a:xfrm>
                    <a:prstGeom prst="rect">
                      <a:avLst/>
                    </a:prstGeom>
                    <a:noFill/>
                    <a:ln>
                      <a:noFill/>
                    </a:ln>
                  </pic:spPr>
                </pic:pic>
              </a:graphicData>
            </a:graphic>
          </wp:inline>
        </w:drawing>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当r＞b/π时，可近似认为声源退化为一个点源，计算公式为：</w:t>
      </w:r>
    </w:p>
    <w:p>
      <w:pPr>
        <w:pStyle w:val="451"/>
        <w:spacing w:before="156" w:beforeLines="50" w:after="156"/>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313815" cy="222250"/>
            <wp:effectExtent l="0" t="0" r="635" b="508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190"/>
                    <a:stretch>
                      <a:fillRect/>
                    </a:stretch>
                  </pic:blipFill>
                  <pic:spPr>
                    <a:xfrm>
                      <a:off x="0" y="0"/>
                      <a:ext cx="1313815" cy="222250"/>
                    </a:xfrm>
                    <a:prstGeom prst="rect">
                      <a:avLst/>
                    </a:prstGeom>
                    <a:noFill/>
                    <a:ln>
                      <a:noFill/>
                    </a:ln>
                  </pic:spPr>
                </pic:pic>
              </a:graphicData>
            </a:graphic>
          </wp:inline>
        </w:drawing>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w:t>
      </w:r>
      <w:r>
        <w:rPr>
          <w:color w:val="000000" w:themeColor="text1"/>
          <w:sz w:val="24"/>
          <w:szCs w:val="24"/>
          <w14:textFill>
            <w14:solidFill>
              <w14:schemeClr w14:val="tx1"/>
            </w14:solidFill>
          </w14:textFill>
        </w:rPr>
        <w:drawing>
          <wp:inline distT="0" distB="0" distL="114300" distR="114300">
            <wp:extent cx="183515" cy="222885"/>
            <wp:effectExtent l="0" t="0" r="6985" b="5080"/>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pic:cNvPicPr>
                  </pic:nvPicPr>
                  <pic:blipFill>
                    <a:blip r:embed="rId191"/>
                    <a:stretch>
                      <a:fillRect/>
                    </a:stretch>
                  </pic:blipFill>
                  <pic:spPr>
                    <a:xfrm>
                      <a:off x="0" y="0"/>
                      <a:ext cx="183515" cy="222885"/>
                    </a:xfrm>
                    <a:prstGeom prst="rect">
                      <a:avLst/>
                    </a:prstGeom>
                    <a:noFill/>
                    <a:ln>
                      <a:noFill/>
                    </a:ln>
                  </pic:spPr>
                </pic:pic>
              </a:graphicData>
            </a:graphic>
          </wp:inline>
        </w:drawing>
      </w:r>
      <w:r>
        <w:rPr>
          <w:color w:val="000000" w:themeColor="text1"/>
          <w:sz w:val="24"/>
          <w:szCs w:val="24"/>
          <w14:textFill>
            <w14:solidFill>
              <w14:schemeClr w14:val="tx1"/>
            </w14:solidFill>
          </w14:textFill>
        </w:rPr>
        <w:t>—距噪声源距离为</w:t>
      </w:r>
      <w:r>
        <w:rPr>
          <w:color w:val="000000" w:themeColor="text1"/>
          <w:sz w:val="24"/>
          <w:szCs w:val="24"/>
          <w14:textFill>
            <w14:solidFill>
              <w14:schemeClr w14:val="tx1"/>
            </w14:solidFill>
          </w14:textFill>
        </w:rPr>
        <w:drawing>
          <wp:inline distT="0" distB="0" distL="114300" distR="114300">
            <wp:extent cx="115570" cy="125095"/>
            <wp:effectExtent l="0" t="0" r="17780" b="6985"/>
            <wp:docPr id="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
                    <pic:cNvPicPr>
                      <a:picLocks noChangeAspect="1"/>
                    </pic:cNvPicPr>
                  </pic:nvPicPr>
                  <pic:blipFill>
                    <a:blip r:embed="rId192"/>
                    <a:stretch>
                      <a:fillRect/>
                    </a:stretch>
                  </pic:blipFill>
                  <pic:spPr>
                    <a:xfrm>
                      <a:off x="0" y="0"/>
                      <a:ext cx="115570" cy="125095"/>
                    </a:xfrm>
                    <a:prstGeom prst="rect">
                      <a:avLst/>
                    </a:prstGeom>
                    <a:noFill/>
                    <a:ln>
                      <a:noFill/>
                    </a:ln>
                  </pic:spPr>
                </pic:pic>
              </a:graphicData>
            </a:graphic>
          </wp:inline>
        </w:drawing>
      </w:r>
      <w:r>
        <w:rPr>
          <w:color w:val="000000" w:themeColor="text1"/>
          <w:sz w:val="24"/>
          <w:szCs w:val="24"/>
          <w14:textFill>
            <w14:solidFill>
              <w14:schemeClr w14:val="tx1"/>
            </w14:solidFill>
          </w14:textFill>
        </w:rPr>
        <w:t>处声级值，[dB(A)]；</w:t>
      </w:r>
    </w:p>
    <w:p>
      <w:pPr>
        <w:spacing w:line="520" w:lineRule="exact"/>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114300" distR="114300">
            <wp:extent cx="182245" cy="230505"/>
            <wp:effectExtent l="0" t="0" r="8255" b="17780"/>
            <wp:docPr id="9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25"/>
                    <pic:cNvPicPr>
                      <a:picLocks noChangeAspect="1"/>
                    </pic:cNvPicPr>
                  </pic:nvPicPr>
                  <pic:blipFill>
                    <a:blip r:embed="rId193"/>
                    <a:stretch>
                      <a:fillRect/>
                    </a:stretch>
                  </pic:blipFill>
                  <pic:spPr>
                    <a:xfrm>
                      <a:off x="0" y="0"/>
                      <a:ext cx="182245" cy="230505"/>
                    </a:xfrm>
                    <a:prstGeom prst="rect">
                      <a:avLst/>
                    </a:prstGeom>
                    <a:noFill/>
                    <a:ln>
                      <a:noFill/>
                    </a:ln>
                  </pic:spPr>
                </pic:pic>
              </a:graphicData>
            </a:graphic>
          </wp:inline>
        </w:drawing>
      </w:r>
      <w:r>
        <w:rPr>
          <w:color w:val="000000" w:themeColor="text1"/>
          <w:sz w:val="24"/>
          <w:szCs w:val="24"/>
          <w14:textFill>
            <w14:solidFill>
              <w14:schemeClr w14:val="tx1"/>
            </w14:solidFill>
          </w14:textFill>
        </w:rPr>
        <w:t>—距噪声源距离为</w:t>
      </w:r>
      <w:r>
        <w:rPr>
          <w:color w:val="000000" w:themeColor="text1"/>
          <w:sz w:val="24"/>
          <w:szCs w:val="24"/>
          <w14:textFill>
            <w14:solidFill>
              <w14:schemeClr w14:val="tx1"/>
            </w14:solidFill>
          </w14:textFill>
        </w:rPr>
        <w:drawing>
          <wp:inline distT="0" distB="0" distL="114300" distR="114300">
            <wp:extent cx="138430" cy="220980"/>
            <wp:effectExtent l="0" t="0" r="13970" b="5080"/>
            <wp:docPr id="90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26"/>
                    <pic:cNvPicPr>
                      <a:picLocks noChangeAspect="1"/>
                    </pic:cNvPicPr>
                  </pic:nvPicPr>
                  <pic:blipFill>
                    <a:blip r:embed="rId194"/>
                    <a:stretch>
                      <a:fillRect/>
                    </a:stretch>
                  </pic:blipFill>
                  <pic:spPr>
                    <a:xfrm>
                      <a:off x="0" y="0"/>
                      <a:ext cx="138430" cy="220980"/>
                    </a:xfrm>
                    <a:prstGeom prst="rect">
                      <a:avLst/>
                    </a:prstGeom>
                    <a:noFill/>
                    <a:ln>
                      <a:noFill/>
                    </a:ln>
                  </pic:spPr>
                </pic:pic>
              </a:graphicData>
            </a:graphic>
          </wp:inline>
        </w:drawing>
      </w:r>
      <w:r>
        <w:rPr>
          <w:color w:val="000000" w:themeColor="text1"/>
          <w:sz w:val="24"/>
          <w:szCs w:val="24"/>
          <w14:textFill>
            <w14:solidFill>
              <w14:schemeClr w14:val="tx1"/>
            </w14:solidFill>
          </w14:textFill>
        </w:rPr>
        <w:t>处声级值，[dB(A)]；</w:t>
      </w:r>
    </w:p>
    <w:p>
      <w:pPr>
        <w:spacing w:line="520" w:lineRule="exact"/>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114300" distR="114300">
            <wp:extent cx="115570" cy="125095"/>
            <wp:effectExtent l="0" t="0" r="17780" b="6985"/>
            <wp:docPr id="90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27"/>
                    <pic:cNvPicPr>
                      <a:picLocks noChangeAspect="1"/>
                    </pic:cNvPicPr>
                  </pic:nvPicPr>
                  <pic:blipFill>
                    <a:blip r:embed="rId192"/>
                    <a:stretch>
                      <a:fillRect/>
                    </a:stretch>
                  </pic:blipFill>
                  <pic:spPr>
                    <a:xfrm>
                      <a:off x="0" y="0"/>
                      <a:ext cx="115570" cy="125095"/>
                    </a:xfrm>
                    <a:prstGeom prst="rect">
                      <a:avLst/>
                    </a:prstGeom>
                    <a:noFill/>
                    <a:ln>
                      <a:noFill/>
                    </a:ln>
                  </pic:spPr>
                </pic:pic>
              </a:graphicData>
            </a:graphic>
          </wp:inline>
        </w:drawing>
      </w:r>
      <w:r>
        <w:rPr>
          <w:color w:val="000000" w:themeColor="text1"/>
          <w:sz w:val="24"/>
          <w:szCs w:val="24"/>
          <w14:textFill>
            <w14:solidFill>
              <w14:schemeClr w14:val="tx1"/>
            </w14:solidFill>
          </w14:textFill>
        </w:rPr>
        <w:t>—关心点距噪声源距离，m；</w:t>
      </w:r>
    </w:p>
    <w:p>
      <w:pPr>
        <w:spacing w:line="520" w:lineRule="exact"/>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114300" distR="114300">
            <wp:extent cx="138430" cy="220980"/>
            <wp:effectExtent l="0" t="0" r="13970" b="5080"/>
            <wp:docPr id="90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28"/>
                    <pic:cNvPicPr>
                      <a:picLocks noChangeAspect="1"/>
                    </pic:cNvPicPr>
                  </pic:nvPicPr>
                  <pic:blipFill>
                    <a:blip r:embed="rId194"/>
                    <a:stretch>
                      <a:fillRect/>
                    </a:stretch>
                  </pic:blipFill>
                  <pic:spPr>
                    <a:xfrm>
                      <a:off x="0" y="0"/>
                      <a:ext cx="138430" cy="220980"/>
                    </a:xfrm>
                    <a:prstGeom prst="rect">
                      <a:avLst/>
                    </a:prstGeom>
                    <a:noFill/>
                    <a:ln>
                      <a:noFill/>
                    </a:ln>
                  </pic:spPr>
                </pic:pic>
              </a:graphicData>
            </a:graphic>
          </wp:inline>
        </w:drawing>
      </w:r>
      <w:r>
        <w:rPr>
          <w:color w:val="000000" w:themeColor="text1"/>
          <w:sz w:val="24"/>
          <w:szCs w:val="24"/>
          <w14:textFill>
            <w14:solidFill>
              <w14:schemeClr w14:val="tx1"/>
            </w14:solidFill>
          </w14:textFill>
        </w:rPr>
        <w:t>—距噪声源距离，</w:t>
      </w:r>
      <w:r>
        <w:rPr>
          <w:color w:val="000000" w:themeColor="text1"/>
          <w:sz w:val="24"/>
          <w:szCs w:val="24"/>
          <w14:textFill>
            <w14:solidFill>
              <w14:schemeClr w14:val="tx1"/>
            </w14:solidFill>
          </w14:textFill>
        </w:rPr>
        <w:drawing>
          <wp:inline distT="0" distB="0" distL="114300" distR="114300">
            <wp:extent cx="139065" cy="222250"/>
            <wp:effectExtent l="0" t="0" r="13335" b="4445"/>
            <wp:docPr id="90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29"/>
                    <pic:cNvPicPr>
                      <a:picLocks noChangeAspect="1"/>
                    </pic:cNvPicPr>
                  </pic:nvPicPr>
                  <pic:blipFill>
                    <a:blip r:embed="rId194"/>
                    <a:stretch>
                      <a:fillRect/>
                    </a:stretch>
                  </pic:blipFill>
                  <pic:spPr>
                    <a:xfrm>
                      <a:off x="0" y="0"/>
                      <a:ext cx="139388" cy="222250"/>
                    </a:xfrm>
                    <a:prstGeom prst="rect">
                      <a:avLst/>
                    </a:prstGeom>
                    <a:noFill/>
                    <a:ln>
                      <a:noFill/>
                    </a:ln>
                  </pic:spPr>
                </pic:pic>
              </a:graphicData>
            </a:graphic>
          </wp:inline>
        </w:drawing>
      </w:r>
      <w:r>
        <w:rPr>
          <w:color w:val="000000" w:themeColor="text1"/>
          <w:sz w:val="24"/>
          <w:szCs w:val="24"/>
          <w14:textFill>
            <w14:solidFill>
              <w14:schemeClr w14:val="tx1"/>
            </w14:solidFill>
          </w14:textFill>
        </w:rPr>
        <w:t>取1m。</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预测时，根据判定结果，取合适公式进行预测。</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2、室内声源等效室外声源声功率计算</w:t>
      </w:r>
    </w:p>
    <w:p>
      <w:pPr>
        <w:spacing w:line="520" w:lineRule="exact"/>
        <w:ind w:firstLine="480" w:firstLineChars="200"/>
        <w:rPr>
          <w:color w:val="000000" w:themeColor="text1"/>
          <w14:textFill>
            <w14:solidFill>
              <w14:schemeClr w14:val="tx1"/>
            </w14:solidFill>
          </w14:textFill>
        </w:rPr>
      </w:pPr>
      <w:r>
        <w:rPr>
          <w:color w:val="000000" w:themeColor="text1"/>
          <w:sz w:val="24"/>
          <w:szCs w:val="24"/>
          <w14:textFill>
            <w14:solidFill>
              <w14:schemeClr w14:val="tx1"/>
            </w14:solidFill>
          </w14:textFill>
        </w:rPr>
        <w:t>噪声声源位于室内，室内声源可采用等效室外声源声功率级法进行计算。设靠近开口处（或窗户）室内、室外某倍频带的声压级分别为Lp1和Lp2。若声源所在室内声场为近似扩散声场，则室外的倍频带声压级可按公式近似求出</w:t>
      </w:r>
      <w:r>
        <w:rPr>
          <w:rFonts w:hint="eastAsia"/>
          <w:color w:val="000000" w:themeColor="text1"/>
          <w:sz w:val="24"/>
          <w:szCs w:val="24"/>
          <w14:textFill>
            <w14:solidFill>
              <w14:schemeClr w14:val="tx1"/>
            </w14:solidFill>
          </w14:textFill>
        </w:rPr>
        <w:t>。</w:t>
      </w:r>
    </w:p>
    <w:p>
      <w:pPr>
        <w:pStyle w:val="451"/>
        <w:spacing w:before="156" w:beforeLines="50" w:after="156"/>
        <w:rPr>
          <w:color w:val="000000" w:themeColor="text1"/>
          <w14:textFill>
            <w14:solidFill>
              <w14:schemeClr w14:val="tx1"/>
            </w14:solidFill>
          </w14:textFill>
        </w:rPr>
      </w:pPr>
      <w:r>
        <w:rPr>
          <w:color w:val="000000" w:themeColor="text1"/>
          <w14:textFill>
            <w14:solidFill>
              <w14:schemeClr w14:val="tx1"/>
            </w14:solidFill>
          </w14:textFill>
        </w:rPr>
        <w:t>Lp2=Lp1-(TL+6)</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TL一隔墙(或窗户)倍频带的隔声量，dB。</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3、噪声源叠加影响分析方法</w:t>
      </w:r>
    </w:p>
    <w:p>
      <w:pPr>
        <w:pStyle w:val="451"/>
        <w:spacing w:beforeLines="0" w:afterLine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422400" cy="521335"/>
            <wp:effectExtent l="0" t="0" r="6350" b="12065"/>
            <wp:docPr id="90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31"/>
                    <pic:cNvPicPr>
                      <a:picLocks noChangeAspect="1"/>
                    </pic:cNvPicPr>
                  </pic:nvPicPr>
                  <pic:blipFill>
                    <a:blip r:embed="rId195"/>
                    <a:stretch>
                      <a:fillRect/>
                    </a:stretch>
                  </pic:blipFill>
                  <pic:spPr>
                    <a:xfrm>
                      <a:off x="0" y="0"/>
                      <a:ext cx="1422400" cy="522337"/>
                    </a:xfrm>
                    <a:prstGeom prst="rect">
                      <a:avLst/>
                    </a:prstGeom>
                    <a:noFill/>
                    <a:ln>
                      <a:noFill/>
                    </a:ln>
                  </pic:spPr>
                </pic:pic>
              </a:graphicData>
            </a:graphic>
          </wp:inline>
        </w:drawing>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w:t>
      </w:r>
      <w:r>
        <w:rPr>
          <w:color w:val="000000" w:themeColor="text1"/>
          <w:sz w:val="24"/>
          <w:szCs w:val="24"/>
          <w14:textFill>
            <w14:solidFill>
              <w14:schemeClr w14:val="tx1"/>
            </w14:solidFill>
          </w14:textFill>
        </w:rPr>
        <w:drawing>
          <wp:inline distT="0" distB="0" distL="114300" distR="114300">
            <wp:extent cx="138430" cy="156845"/>
            <wp:effectExtent l="0" t="0" r="13970" b="15240"/>
            <wp:docPr id="90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32"/>
                    <pic:cNvPicPr>
                      <a:picLocks noChangeAspect="1"/>
                    </pic:cNvPicPr>
                  </pic:nvPicPr>
                  <pic:blipFill>
                    <a:blip r:embed="rId196"/>
                    <a:stretch>
                      <a:fillRect/>
                    </a:stretch>
                  </pic:blipFill>
                  <pic:spPr>
                    <a:xfrm>
                      <a:off x="0" y="0"/>
                      <a:ext cx="138430" cy="156845"/>
                    </a:xfrm>
                    <a:prstGeom prst="rect">
                      <a:avLst/>
                    </a:prstGeom>
                    <a:noFill/>
                    <a:ln>
                      <a:noFill/>
                    </a:ln>
                  </pic:spPr>
                </pic:pic>
              </a:graphicData>
            </a:graphic>
          </wp:inline>
        </w:drawing>
      </w:r>
      <w:r>
        <w:rPr>
          <w:color w:val="000000" w:themeColor="text1"/>
          <w:sz w:val="24"/>
          <w:szCs w:val="24"/>
          <w14:textFill>
            <w14:solidFill>
              <w14:schemeClr w14:val="tx1"/>
            </w14:solidFill>
          </w14:textFill>
        </w:rPr>
        <w:t>—总声压级，[dB(A)]；</w:t>
      </w:r>
    </w:p>
    <w:p>
      <w:pPr>
        <w:spacing w:line="520" w:lineRule="exact"/>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114300" distR="114300">
            <wp:extent cx="163195" cy="230505"/>
            <wp:effectExtent l="0" t="0" r="8255" b="17780"/>
            <wp:docPr id="90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33"/>
                    <pic:cNvPicPr>
                      <a:picLocks noChangeAspect="1"/>
                    </pic:cNvPicPr>
                  </pic:nvPicPr>
                  <pic:blipFill>
                    <a:blip r:embed="rId197"/>
                    <a:stretch>
                      <a:fillRect/>
                    </a:stretch>
                  </pic:blipFill>
                  <pic:spPr>
                    <a:xfrm>
                      <a:off x="0" y="0"/>
                      <a:ext cx="163195" cy="230505"/>
                    </a:xfrm>
                    <a:prstGeom prst="rect">
                      <a:avLst/>
                    </a:prstGeom>
                    <a:noFill/>
                    <a:ln>
                      <a:noFill/>
                    </a:ln>
                  </pic:spPr>
                </pic:pic>
              </a:graphicData>
            </a:graphic>
          </wp:inline>
        </w:drawing>
      </w:r>
      <w:r>
        <w:rPr>
          <w:color w:val="000000" w:themeColor="text1"/>
          <w:sz w:val="24"/>
          <w:szCs w:val="24"/>
          <w14:textFill>
            <w14:solidFill>
              <w14:schemeClr w14:val="tx1"/>
            </w14:solidFill>
          </w14:textFill>
        </w:rPr>
        <w:t>—第</w:t>
      </w:r>
      <w:r>
        <w:rPr>
          <w:color w:val="000000" w:themeColor="text1"/>
          <w:sz w:val="24"/>
          <w:szCs w:val="24"/>
          <w14:textFill>
            <w14:solidFill>
              <w14:schemeClr w14:val="tx1"/>
            </w14:solidFill>
          </w14:textFill>
        </w:rPr>
        <w:drawing>
          <wp:inline distT="0" distB="0" distL="114300" distR="114300">
            <wp:extent cx="89535" cy="169545"/>
            <wp:effectExtent l="0" t="0" r="5715" b="1905"/>
            <wp:docPr id="90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34"/>
                    <pic:cNvPicPr>
                      <a:picLocks noChangeAspect="1"/>
                    </pic:cNvPicPr>
                  </pic:nvPicPr>
                  <pic:blipFill>
                    <a:blip r:embed="rId198"/>
                    <a:stretch>
                      <a:fillRect/>
                    </a:stretch>
                  </pic:blipFill>
                  <pic:spPr>
                    <a:xfrm>
                      <a:off x="0" y="0"/>
                      <a:ext cx="89535" cy="169545"/>
                    </a:xfrm>
                    <a:prstGeom prst="rect">
                      <a:avLst/>
                    </a:prstGeom>
                    <a:noFill/>
                    <a:ln>
                      <a:noFill/>
                    </a:ln>
                  </pic:spPr>
                </pic:pic>
              </a:graphicData>
            </a:graphic>
          </wp:inline>
        </w:drawing>
      </w:r>
      <w:r>
        <w:rPr>
          <w:color w:val="000000" w:themeColor="text1"/>
          <w:sz w:val="24"/>
          <w:szCs w:val="24"/>
          <w14:textFill>
            <w14:solidFill>
              <w14:schemeClr w14:val="tx1"/>
            </w14:solidFill>
          </w14:textFill>
        </w:rPr>
        <w:t>个声源的声压级，[dB(A)]；</w:t>
      </w:r>
    </w:p>
    <w:p>
      <w:pPr>
        <w:spacing w:line="520" w:lineRule="exact"/>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114300" distR="114300">
            <wp:extent cx="119380" cy="138430"/>
            <wp:effectExtent l="0" t="0" r="13970" b="14605"/>
            <wp:docPr id="9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35"/>
                    <pic:cNvPicPr>
                      <a:picLocks noChangeAspect="1"/>
                    </pic:cNvPicPr>
                  </pic:nvPicPr>
                  <pic:blipFill>
                    <a:blip r:embed="rId199"/>
                    <a:stretch>
                      <a:fillRect/>
                    </a:stretch>
                  </pic:blipFill>
                  <pic:spPr>
                    <a:xfrm>
                      <a:off x="0" y="0"/>
                      <a:ext cx="119380" cy="138430"/>
                    </a:xfrm>
                    <a:prstGeom prst="rect">
                      <a:avLst/>
                    </a:prstGeom>
                    <a:noFill/>
                    <a:ln>
                      <a:noFill/>
                    </a:ln>
                  </pic:spPr>
                </pic:pic>
              </a:graphicData>
            </a:graphic>
          </wp:inline>
        </w:drawing>
      </w:r>
      <w:r>
        <w:rPr>
          <w:color w:val="000000" w:themeColor="text1"/>
          <w:sz w:val="24"/>
          <w:szCs w:val="24"/>
          <w14:textFill>
            <w14:solidFill>
              <w14:schemeClr w14:val="tx1"/>
            </w14:solidFill>
          </w14:textFill>
        </w:rPr>
        <w:t>—声源数量。</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4、户外声传播衰减计算公式</w:t>
      </w:r>
    </w:p>
    <w:p>
      <w:pPr>
        <w:pStyle w:val="451"/>
        <w:spacing w:before="156" w:beforeLines="50" w:after="156"/>
        <w:rPr>
          <w:color w:val="000000" w:themeColor="text1"/>
          <w14:textFill>
            <w14:solidFill>
              <w14:schemeClr w14:val="tx1"/>
            </w14:solidFill>
          </w14:textFill>
        </w:rPr>
      </w:pPr>
      <w:r>
        <w:rPr>
          <w:color w:val="000000" w:themeColor="text1"/>
          <w14:textFill>
            <w14:solidFill>
              <w14:schemeClr w14:val="tx1"/>
            </w14:solidFill>
          </w14:textFill>
        </w:rPr>
        <w:t>L( r )=L ref (r0)-(Adiv+Abar+Aatm+A exe)</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式中：A</w:t>
      </w:r>
      <w:r>
        <w:rPr>
          <w:color w:val="000000" w:themeColor="text1"/>
          <w:sz w:val="24"/>
          <w:szCs w:val="24"/>
          <w:vertAlign w:val="subscript"/>
          <w14:textFill>
            <w14:solidFill>
              <w14:schemeClr w14:val="tx1"/>
            </w14:solidFill>
          </w14:textFill>
        </w:rPr>
        <w:t xml:space="preserve"> div</w:t>
      </w:r>
      <w:r>
        <w:rPr>
          <w:color w:val="000000" w:themeColor="text1"/>
          <w:sz w:val="24"/>
          <w:szCs w:val="24"/>
          <w:vertAlign w:val="subscript"/>
          <w14:textFill>
            <w14:solidFill>
              <w14:schemeClr w14:val="tx1"/>
            </w14:solidFill>
          </w14:textFill>
        </w:rPr>
        <w:softHyphen/>
      </w:r>
      <w:r>
        <w:rPr>
          <w:color w:val="000000" w:themeColor="text1"/>
          <w:sz w:val="24"/>
          <w:szCs w:val="24"/>
          <w14:textFill>
            <w14:solidFill>
              <w14:schemeClr w14:val="tx1"/>
            </w14:solidFill>
          </w14:textFill>
        </w:rPr>
        <w:t>—几何发散；</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A</w:t>
      </w:r>
      <w:r>
        <w:rPr>
          <w:color w:val="000000" w:themeColor="text1"/>
          <w:sz w:val="24"/>
          <w:szCs w:val="24"/>
          <w:vertAlign w:val="subscript"/>
          <w14:textFill>
            <w14:solidFill>
              <w14:schemeClr w14:val="tx1"/>
            </w14:solidFill>
          </w14:textFill>
        </w:rPr>
        <w:t xml:space="preserve">bar </w:t>
      </w:r>
      <w:r>
        <w:rPr>
          <w:color w:val="000000" w:themeColor="text1"/>
          <w:sz w:val="24"/>
          <w:szCs w:val="24"/>
          <w:vertAlign w:val="subscript"/>
          <w14:textFill>
            <w14:solidFill>
              <w14:schemeClr w14:val="tx1"/>
            </w14:solidFill>
          </w14:textFill>
        </w:rPr>
        <w:softHyphen/>
      </w:r>
      <w:r>
        <w:rPr>
          <w:color w:val="000000" w:themeColor="text1"/>
          <w:sz w:val="24"/>
          <w:szCs w:val="24"/>
          <w14:textFill>
            <w14:solidFill>
              <w14:schemeClr w14:val="tx1"/>
            </w14:solidFill>
          </w14:textFill>
        </w:rPr>
        <w:t>—遮挡物衰减；</w:t>
      </w:r>
    </w:p>
    <w:p>
      <w:pPr>
        <w:spacing w:line="520" w:lineRule="exact"/>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w:t>
      </w:r>
      <w:r>
        <w:rPr>
          <w:color w:val="000000" w:themeColor="text1"/>
          <w:sz w:val="24"/>
          <w:szCs w:val="24"/>
          <w:vertAlign w:val="subscript"/>
          <w14:textFill>
            <w14:solidFill>
              <w14:schemeClr w14:val="tx1"/>
            </w14:solidFill>
          </w14:textFill>
        </w:rPr>
        <w:t>atm</w:t>
      </w:r>
      <w:r>
        <w:rPr>
          <w:color w:val="000000" w:themeColor="text1"/>
          <w:sz w:val="24"/>
          <w:szCs w:val="24"/>
          <w14:textFill>
            <w14:solidFill>
              <w14:schemeClr w14:val="tx1"/>
            </w14:solidFill>
          </w14:textFill>
        </w:rPr>
        <w:t>—大气吸收；</w:t>
      </w:r>
    </w:p>
    <w:p>
      <w:pPr>
        <w:spacing w:line="520" w:lineRule="exact"/>
        <w:ind w:firstLine="480" w:firstLineChars="200"/>
        <w:rPr>
          <w:b/>
          <w:color w:val="000000" w:themeColor="text1"/>
          <w14:textFill>
            <w14:solidFill>
              <w14:schemeClr w14:val="tx1"/>
            </w14:solidFill>
          </w14:textFill>
        </w:rPr>
      </w:pPr>
      <w:r>
        <w:rPr>
          <w:color w:val="000000" w:themeColor="text1"/>
          <w:sz w:val="24"/>
          <w:szCs w:val="24"/>
          <w14:textFill>
            <w14:solidFill>
              <w14:schemeClr w14:val="tx1"/>
            </w14:solidFill>
          </w14:textFill>
        </w:rPr>
        <w:t xml:space="preserve">      Aexe—附加衰减；</w:t>
      </w:r>
    </w:p>
    <w:p>
      <w:pPr>
        <w:pStyle w:val="727"/>
        <w:rPr>
          <w:color w:val="000000" w:themeColor="text1"/>
          <w14:textFill>
            <w14:solidFill>
              <w14:schemeClr w14:val="tx1"/>
            </w14:solidFill>
          </w14:textFill>
        </w:rPr>
      </w:pPr>
      <w:r>
        <w:rPr>
          <w:color w:val="000000" w:themeColor="text1"/>
          <w14:textFill>
            <w14:solidFill>
              <w14:schemeClr w14:val="tx1"/>
            </w14:solidFill>
          </w14:textFill>
        </w:rPr>
        <w:t>5.5.6 预测结果及评价</w:t>
      </w:r>
    </w:p>
    <w:p>
      <w:pPr>
        <w:spacing w:line="52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根据本工程噪声源在厂区的分布和源强，以及其与四周厂界的距离及建筑物的衰减状况，计算出各声源对四周厂界的噪声贡献值。本项目为</w:t>
      </w:r>
      <w:r>
        <w:rPr>
          <w:rFonts w:hint="eastAsia"/>
          <w:color w:val="000000" w:themeColor="text1"/>
          <w:sz w:val="24"/>
          <w14:textFill>
            <w14:solidFill>
              <w14:schemeClr w14:val="tx1"/>
            </w14:solidFill>
          </w14:textFill>
        </w:rPr>
        <w:t>新</w:t>
      </w:r>
      <w:r>
        <w:rPr>
          <w:color w:val="000000" w:themeColor="text1"/>
          <w:sz w:val="24"/>
          <w14:textFill>
            <w14:solidFill>
              <w14:schemeClr w14:val="tx1"/>
            </w14:solidFill>
          </w14:textFill>
        </w:rPr>
        <w:t>建项目，以本次工程噪声贡献值作为评价量。具体声环境预测结果见表5.5-3。</w:t>
      </w:r>
    </w:p>
    <w:p>
      <w:pPr>
        <w:pStyle w:val="632"/>
        <w:rPr>
          <w:color w:val="000000" w:themeColor="text1"/>
          <w14:textFill>
            <w14:solidFill>
              <w14:schemeClr w14:val="tx1"/>
            </w14:solidFill>
          </w14:textFill>
        </w:rPr>
      </w:pPr>
      <w:r>
        <w:rPr>
          <w:color w:val="000000" w:themeColor="text1"/>
          <w14:textFill>
            <w14:solidFill>
              <w14:schemeClr w14:val="tx1"/>
            </w14:solidFill>
          </w14:textFill>
        </w:rPr>
        <w:t>表5.5-3          噪声源在厂界处的影响一览表           单位：dB(A)</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467"/>
        <w:gridCol w:w="1467"/>
        <w:gridCol w:w="1376"/>
        <w:gridCol w:w="1218"/>
        <w:gridCol w:w="1768"/>
        <w:gridCol w:w="165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位置</w:t>
            </w:r>
          </w:p>
        </w:tc>
        <w:tc>
          <w:tcPr>
            <w:tcW w:w="820" w:type="pct"/>
            <w:shd w:val="clear" w:color="auto" w:fill="auto"/>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主要噪声源</w:t>
            </w:r>
          </w:p>
        </w:tc>
        <w:tc>
          <w:tcPr>
            <w:tcW w:w="769" w:type="pct"/>
            <w:vAlign w:val="center"/>
          </w:tcPr>
          <w:p>
            <w:pPr>
              <w:pStyle w:val="94"/>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噪声源叠加后</w:t>
            </w:r>
            <w:r>
              <w:rPr>
                <w:rFonts w:cs="Times New Roman"/>
                <w:color w:val="000000" w:themeColor="text1"/>
                <w14:textFill>
                  <w14:solidFill>
                    <w14:schemeClr w14:val="tx1"/>
                  </w14:solidFill>
                </w14:textFill>
              </w:rPr>
              <w:t>源强</w:t>
            </w:r>
          </w:p>
        </w:tc>
        <w:tc>
          <w:tcPr>
            <w:tcW w:w="681" w:type="pct"/>
            <w:tcBorders>
              <w:right w:val="single" w:color="auto" w:sz="4" w:space="0"/>
            </w:tcBorders>
            <w:shd w:val="clear" w:color="auto" w:fill="auto"/>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厂界方位</w:t>
            </w:r>
          </w:p>
        </w:tc>
        <w:tc>
          <w:tcPr>
            <w:tcW w:w="988" w:type="pct"/>
            <w:tcBorders>
              <w:left w:val="single" w:color="auto" w:sz="4" w:space="0"/>
              <w:right w:val="single" w:color="auto" w:sz="4" w:space="0"/>
            </w:tcBorders>
            <w:shd w:val="clear" w:color="auto" w:fill="auto"/>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距厂界的距离m</w:t>
            </w:r>
          </w:p>
        </w:tc>
        <w:tc>
          <w:tcPr>
            <w:tcW w:w="922" w:type="pct"/>
            <w:tcBorders>
              <w:left w:val="single" w:color="auto" w:sz="4" w:space="0"/>
            </w:tcBorders>
            <w:shd w:val="clear" w:color="auto" w:fill="auto"/>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贡献值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restart"/>
            <w:vAlign w:val="center"/>
          </w:tcPr>
          <w:p>
            <w:pPr>
              <w:pStyle w:val="90"/>
              <w:rPr>
                <w:bCs/>
                <w:color w:val="000000" w:themeColor="text1"/>
                <w:highlight w:val="yellow"/>
                <w14:textFill>
                  <w14:solidFill>
                    <w14:schemeClr w14:val="tx1"/>
                  </w14:solidFill>
                </w14:textFill>
              </w:rPr>
            </w:pPr>
            <w:r>
              <w:rPr>
                <w:rFonts w:hint="eastAsia"/>
                <w:bCs/>
                <w:color w:val="000000" w:themeColor="text1"/>
                <w14:textFill>
                  <w14:solidFill>
                    <w14:schemeClr w14:val="tx1"/>
                  </w14:solidFill>
                </w14:textFill>
              </w:rPr>
              <w:t>/</w:t>
            </w:r>
          </w:p>
        </w:tc>
        <w:tc>
          <w:tcPr>
            <w:tcW w:w="820" w:type="pct"/>
            <w:vMerge w:val="restart"/>
            <w:shd w:val="clear" w:color="auto" w:fill="auto"/>
            <w:vAlign w:val="center"/>
          </w:tcPr>
          <w:p>
            <w:pPr>
              <w:pStyle w:val="90"/>
              <w:rPr>
                <w:bCs/>
                <w:color w:val="000000" w:themeColor="text1"/>
                <w:highlight w:val="yellow"/>
                <w14:textFill>
                  <w14:solidFill>
                    <w14:schemeClr w14:val="tx1"/>
                  </w14:solidFill>
                </w14:textFill>
              </w:rPr>
            </w:pPr>
            <w:r>
              <w:rPr>
                <w:rFonts w:hint="eastAsia"/>
                <w:bCs/>
                <w:color w:val="000000" w:themeColor="text1"/>
                <w14:textFill>
                  <w14:solidFill>
                    <w14:schemeClr w14:val="tx1"/>
                  </w14:solidFill>
                </w14:textFill>
              </w:rPr>
              <w:t>超微过滤机</w:t>
            </w:r>
          </w:p>
        </w:tc>
        <w:tc>
          <w:tcPr>
            <w:tcW w:w="769" w:type="pct"/>
            <w:vMerge w:val="restart"/>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r>
              <w:rPr>
                <w:bCs/>
                <w:color w:val="000000" w:themeColor="text1"/>
                <w14:textFill>
                  <w14:solidFill>
                    <w14:schemeClr w14:val="tx1"/>
                  </w14:solidFill>
                </w14:textFill>
              </w:rPr>
              <w:t>5</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36</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36.9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bCs/>
                <w:color w:val="000000" w:themeColor="text1"/>
                <w:highlight w:val="yellow"/>
                <w14:textFill>
                  <w14:solidFill>
                    <w14:schemeClr w14:val="tx1"/>
                  </w14:solidFill>
                </w14:textFill>
              </w:rPr>
            </w:pPr>
          </w:p>
        </w:tc>
        <w:tc>
          <w:tcPr>
            <w:tcW w:w="820" w:type="pct"/>
            <w:vMerge w:val="continue"/>
            <w:shd w:val="clear" w:color="auto" w:fill="auto"/>
            <w:vAlign w:val="center"/>
          </w:tcPr>
          <w:p>
            <w:pPr>
              <w:pStyle w:val="90"/>
              <w:rPr>
                <w:bCs/>
                <w:color w:val="000000" w:themeColor="text1"/>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08</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8.6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bCs/>
                <w:color w:val="000000" w:themeColor="text1"/>
                <w:highlight w:val="yellow"/>
                <w14:textFill>
                  <w14:solidFill>
                    <w14:schemeClr w14:val="tx1"/>
                  </w14:solidFill>
                </w14:textFill>
              </w:rPr>
            </w:pPr>
          </w:p>
        </w:tc>
        <w:tc>
          <w:tcPr>
            <w:tcW w:w="820" w:type="pct"/>
            <w:vMerge w:val="continue"/>
            <w:shd w:val="clear" w:color="auto" w:fill="auto"/>
            <w:vAlign w:val="center"/>
          </w:tcPr>
          <w:p>
            <w:pPr>
              <w:pStyle w:val="90"/>
              <w:rPr>
                <w:bCs/>
                <w:color w:val="000000" w:themeColor="text1"/>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60</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6.7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bCs/>
                <w:color w:val="000000" w:themeColor="text1"/>
                <w:highlight w:val="yellow"/>
                <w14:textFill>
                  <w14:solidFill>
                    <w14:schemeClr w14:val="tx1"/>
                  </w14:solidFill>
                </w14:textFill>
              </w:rPr>
            </w:pPr>
          </w:p>
        </w:tc>
        <w:tc>
          <w:tcPr>
            <w:tcW w:w="820" w:type="pct"/>
            <w:vMerge w:val="continue"/>
            <w:shd w:val="clear" w:color="auto" w:fill="auto"/>
            <w:vAlign w:val="center"/>
          </w:tcPr>
          <w:p>
            <w:pPr>
              <w:pStyle w:val="90"/>
              <w:rPr>
                <w:bCs/>
                <w:color w:val="000000" w:themeColor="text1"/>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4</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restart"/>
            <w:vAlign w:val="center"/>
          </w:tcPr>
          <w:p>
            <w:pPr>
              <w:pStyle w:val="90"/>
              <w:rPr>
                <w:bCs/>
                <w:color w:val="000000" w:themeColor="text1"/>
                <w:highlight w:val="yellow"/>
                <w14:textFill>
                  <w14:solidFill>
                    <w14:schemeClr w14:val="tx1"/>
                  </w14:solidFill>
                </w14:textFill>
              </w:rPr>
            </w:pPr>
            <w:r>
              <w:rPr>
                <w:rFonts w:hint="eastAsia"/>
                <w:bCs/>
                <w:color w:val="000000" w:themeColor="text1"/>
                <w14:textFill>
                  <w14:solidFill>
                    <w14:schemeClr w14:val="tx1"/>
                  </w14:solidFill>
                </w14:textFill>
              </w:rPr>
              <w:t>/</w:t>
            </w:r>
          </w:p>
        </w:tc>
        <w:tc>
          <w:tcPr>
            <w:tcW w:w="820" w:type="pct"/>
            <w:vMerge w:val="restart"/>
            <w:shd w:val="clear" w:color="auto" w:fill="auto"/>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风机</w:t>
            </w:r>
          </w:p>
        </w:tc>
        <w:tc>
          <w:tcPr>
            <w:tcW w:w="769" w:type="pct"/>
            <w:vMerge w:val="restart"/>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r>
              <w:rPr>
                <w:bCs/>
                <w:color w:val="000000" w:themeColor="text1"/>
                <w14:textFill>
                  <w14:solidFill>
                    <w14:schemeClr w14:val="tx1"/>
                  </w14:solidFill>
                </w14:textFill>
              </w:rPr>
              <w:t>5</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2</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5.7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bCs/>
                <w:color w:val="000000" w:themeColor="text1"/>
                <w:highlight w:val="yellow"/>
                <w14:textFill>
                  <w14:solidFill>
                    <w14:schemeClr w14:val="tx1"/>
                  </w14:solidFill>
                </w14:textFill>
              </w:rPr>
            </w:pPr>
          </w:p>
        </w:tc>
        <w:tc>
          <w:tcPr>
            <w:tcW w:w="820" w:type="pct"/>
            <w:vMerge w:val="continue"/>
            <w:shd w:val="clear" w:color="auto" w:fill="auto"/>
            <w:vAlign w:val="center"/>
          </w:tcPr>
          <w:p>
            <w:pPr>
              <w:pStyle w:val="90"/>
              <w:rPr>
                <w:bCs/>
                <w:color w:val="000000" w:themeColor="text1"/>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41</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7.4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bCs/>
                <w:color w:val="000000" w:themeColor="text1"/>
                <w:highlight w:val="yellow"/>
                <w14:textFill>
                  <w14:solidFill>
                    <w14:schemeClr w14:val="tx1"/>
                  </w14:solidFill>
                </w14:textFill>
              </w:rPr>
            </w:pPr>
          </w:p>
        </w:tc>
        <w:tc>
          <w:tcPr>
            <w:tcW w:w="820" w:type="pct"/>
            <w:vMerge w:val="continue"/>
            <w:shd w:val="clear" w:color="auto" w:fill="auto"/>
            <w:vAlign w:val="center"/>
          </w:tcPr>
          <w:p>
            <w:pPr>
              <w:pStyle w:val="90"/>
              <w:rPr>
                <w:bCs/>
                <w:color w:val="000000" w:themeColor="text1"/>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04</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8.8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bCs/>
                <w:color w:val="000000" w:themeColor="text1"/>
                <w:highlight w:val="yellow"/>
                <w14:textFill>
                  <w14:solidFill>
                    <w14:schemeClr w14:val="tx1"/>
                  </w14:solidFill>
                </w14:textFill>
              </w:rPr>
            </w:pPr>
          </w:p>
        </w:tc>
        <w:tc>
          <w:tcPr>
            <w:tcW w:w="820" w:type="pct"/>
            <w:vMerge w:val="continue"/>
            <w:shd w:val="clear" w:color="auto" w:fill="auto"/>
            <w:vAlign w:val="center"/>
          </w:tcPr>
          <w:p>
            <w:pPr>
              <w:pStyle w:val="90"/>
              <w:rPr>
                <w:bCs/>
                <w:color w:val="000000" w:themeColor="text1"/>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1</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9.3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restart"/>
            <w:vAlign w:val="center"/>
          </w:tcPr>
          <w:p>
            <w:pPr>
              <w:pStyle w:val="90"/>
              <w:rPr>
                <w:color w:val="000000" w:themeColor="text1"/>
                <w14:textFill>
                  <w14:solidFill>
                    <w14:schemeClr w14:val="tx1"/>
                  </w14:solidFill>
                </w14:textFill>
              </w:rPr>
            </w:pPr>
            <w:r>
              <w:rPr>
                <w:rFonts w:hint="eastAsia"/>
                <w:color w:val="000000" w:themeColor="text1"/>
                <w14:textFill>
                  <w14:solidFill>
                    <w14:schemeClr w14:val="tx1"/>
                  </w14:solidFill>
                </w14:textFill>
              </w:rPr>
              <w:t>集水池</w:t>
            </w:r>
          </w:p>
        </w:tc>
        <w:tc>
          <w:tcPr>
            <w:tcW w:w="820" w:type="pct"/>
            <w:vMerge w:val="restart"/>
            <w:shd w:val="clear" w:color="auto" w:fill="auto"/>
            <w:vAlign w:val="center"/>
          </w:tcPr>
          <w:p>
            <w:pPr>
              <w:pStyle w:val="90"/>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潜污泵</w:t>
            </w:r>
          </w:p>
        </w:tc>
        <w:tc>
          <w:tcPr>
            <w:tcW w:w="769" w:type="pct"/>
            <w:vMerge w:val="restart"/>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r>
              <w:rPr>
                <w:bCs/>
                <w:color w:val="000000" w:themeColor="text1"/>
                <w14:textFill>
                  <w14:solidFill>
                    <w14:schemeClr w14:val="tx1"/>
                  </w14:solidFill>
                </w14:textFill>
              </w:rPr>
              <w:t>8</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35</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37.1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11</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50</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1</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8.8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color w:val="000000" w:themeColor="text1"/>
                <w14:textFill>
                  <w14:solidFill>
                    <w14:schemeClr w14:val="tx1"/>
                  </w14:solidFill>
                </w14:textFill>
              </w:rPr>
              <w:t>潜水搅拌机</w:t>
            </w:r>
          </w:p>
        </w:tc>
        <w:tc>
          <w:tcPr>
            <w:tcW w:w="769" w:type="pct"/>
            <w:vMerge w:val="restart"/>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w:t>
            </w:r>
            <w:r>
              <w:rPr>
                <w:bCs/>
                <w:color w:val="000000" w:themeColor="text1"/>
                <w14:textFill>
                  <w14:solidFill>
                    <w14:schemeClr w14:val="tx1"/>
                  </w14:solidFill>
                </w14:textFill>
              </w:rPr>
              <w:t>5</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8</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29.9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11</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8</w:t>
            </w:r>
            <w:r>
              <w:rPr>
                <w:color w:val="000000" w:themeColor="text1"/>
                <w:szCs w:val="20"/>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52</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1</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5.8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调节池</w:t>
            </w: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rFonts w:hint="eastAsia"/>
                <w:color w:val="000000" w:themeColor="text1"/>
                <w14:textFill>
                  <w14:solidFill>
                    <w14:schemeClr w14:val="tx1"/>
                  </w14:solidFill>
                </w14:textFill>
              </w:rPr>
              <w:t>潜污泵</w:t>
            </w:r>
          </w:p>
        </w:tc>
        <w:tc>
          <w:tcPr>
            <w:tcW w:w="769" w:type="pct"/>
            <w:vMerge w:val="restart"/>
            <w:vAlign w:val="center"/>
          </w:tcPr>
          <w:p>
            <w:pPr>
              <w:pStyle w:val="9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r>
              <w:rPr>
                <w:bCs/>
                <w:color w:val="000000" w:themeColor="text1"/>
                <w14:textFill>
                  <w14:solidFill>
                    <w14:schemeClr w14:val="tx1"/>
                  </w14:solidFill>
                </w14:textFill>
              </w:rPr>
              <w:t>8</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38</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36.4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28</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04</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bCs/>
                <w:color w:val="000000" w:themeColor="text1"/>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7</w:t>
            </w:r>
            <w:r>
              <w:rPr>
                <w:color w:val="000000" w:themeColor="text1"/>
                <w:szCs w:val="20"/>
                <w14:textFill>
                  <w14:solidFill>
                    <w14:schemeClr w14:val="tx1"/>
                  </w14:solidFill>
                </w14:textFill>
              </w:rPr>
              <w:t>4</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w:t>
            </w:r>
            <w:r>
              <w:rPr>
                <w:color w:val="000000" w:themeColor="text1"/>
                <w:szCs w:val="20"/>
                <w14:textFill>
                  <w14:solidFill>
                    <w14:schemeClr w14:val="tx1"/>
                  </w14:solidFill>
                </w14:textFill>
              </w:rPr>
              <w:t>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color w:val="000000" w:themeColor="text1"/>
                <w14:textFill>
                  <w14:solidFill>
                    <w14:schemeClr w14:val="tx1"/>
                  </w14:solidFill>
                </w14:textFill>
              </w:rPr>
              <w:t>潜水搅拌机</w:t>
            </w:r>
          </w:p>
        </w:tc>
        <w:tc>
          <w:tcPr>
            <w:tcW w:w="769" w:type="pct"/>
            <w:vMerge w:val="restart"/>
            <w:vAlign w:val="center"/>
          </w:tcPr>
          <w:p>
            <w:pPr>
              <w:pStyle w:val="90"/>
              <w:rPr>
                <w:bCs/>
                <w:color w:val="000000" w:themeColor="text1"/>
                <w14:textFill>
                  <w14:solidFill>
                    <w14:schemeClr w14:val="tx1"/>
                  </w14:solidFill>
                </w14:textFill>
              </w:rPr>
            </w:pPr>
            <w:r>
              <w:rPr>
                <w:rFonts w:hint="eastAsia"/>
                <w:color w:val="000000" w:themeColor="text1"/>
                <w:szCs w:val="20"/>
                <w14:textFill>
                  <w14:solidFill>
                    <w14:schemeClr w14:val="tx1"/>
                  </w14:solidFill>
                </w14:textFill>
              </w:rPr>
              <w:t>5</w:t>
            </w:r>
            <w:r>
              <w:rPr>
                <w:color w:val="000000" w:themeColor="text1"/>
                <w:szCs w:val="20"/>
                <w14:textFill>
                  <w14:solidFill>
                    <w14:schemeClr w14:val="tx1"/>
                  </w14:solidFill>
                </w14:textFill>
              </w:rPr>
              <w:t>8</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9</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w:t>
            </w:r>
            <w:r>
              <w:rPr>
                <w:color w:val="000000" w:themeColor="text1"/>
                <w:szCs w:val="20"/>
                <w14:textFill>
                  <w14:solidFill>
                    <w14:schemeClr w14:val="tx1"/>
                  </w14:solidFill>
                </w14:textFill>
              </w:rPr>
              <w:t>2.4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37</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0.5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57</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2</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8.7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初沉池</w:t>
            </w: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color w:val="000000" w:themeColor="text1"/>
                <w:lang w:bidi="ar"/>
                <w14:textFill>
                  <w14:solidFill>
                    <w14:schemeClr w14:val="tx1"/>
                  </w14:solidFill>
                </w14:textFill>
              </w:rPr>
              <w:t>潜污泵</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5</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35</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w:t>
            </w:r>
            <w:r>
              <w:rPr>
                <w:color w:val="000000" w:themeColor="text1"/>
                <w:szCs w:val="20"/>
                <w14:textFill>
                  <w14:solidFill>
                    <w14:schemeClr w14:val="tx1"/>
                  </w14:solidFill>
                </w14:textFill>
              </w:rPr>
              <w:t>4.1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14</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8.4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252</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11</w:t>
            </w:r>
            <w:r>
              <w:rPr>
                <w:rFonts w:hint="eastAsia"/>
                <w:color w:val="000000" w:themeColor="text1"/>
                <w:szCs w:val="20"/>
                <w14:textFill>
                  <w14:solidFill>
                    <w14:schemeClr w14:val="tx1"/>
                  </w14:solidFill>
                </w14:textFill>
              </w:rPr>
              <w:t>5</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3.8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color w:val="000000" w:themeColor="text1"/>
                <w:lang w:bidi="ar"/>
                <w14:textFill>
                  <w14:solidFill>
                    <w14:schemeClr w14:val="tx1"/>
                  </w14:solidFill>
                </w14:textFill>
              </w:rPr>
              <w:t>计量泵</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8</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36</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36.9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10</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50</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19</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6.5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color w:val="000000" w:themeColor="text1"/>
                <w14:textFill>
                  <w14:solidFill>
                    <w14:schemeClr w14:val="tx1"/>
                  </w14:solidFill>
                </w14:textFill>
              </w:rPr>
              <w:t>搅拌装置</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5</w:t>
            </w:r>
            <w:r>
              <w:rPr>
                <w:color w:val="000000" w:themeColor="text1"/>
                <w:szCs w:val="20"/>
                <w14:textFill>
                  <w14:solidFill>
                    <w14:schemeClr w14:val="tx1"/>
                  </w14:solidFill>
                </w14:textFill>
              </w:rPr>
              <w:t>8</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18</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w:t>
            </w:r>
            <w:r>
              <w:rPr>
                <w:color w:val="000000" w:themeColor="text1"/>
                <w:szCs w:val="20"/>
                <w14:textFill>
                  <w14:solidFill>
                    <w14:schemeClr w14:val="tx1"/>
                  </w14:solidFill>
                </w14:textFill>
              </w:rPr>
              <w:t>2.9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12</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60</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17</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6.6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水解酸化池</w:t>
            </w: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rFonts w:hint="eastAsia"/>
                <w:color w:val="000000" w:themeColor="text1"/>
                <w:lang w:bidi="ar"/>
                <w14:textFill>
                  <w14:solidFill>
                    <w14:schemeClr w14:val="tx1"/>
                  </w14:solidFill>
                </w14:textFill>
              </w:rPr>
              <w:t>潜水搅拌机</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5</w:t>
            </w:r>
            <w:r>
              <w:rPr>
                <w:color w:val="000000" w:themeColor="text1"/>
                <w:szCs w:val="20"/>
                <w14:textFill>
                  <w14:solidFill>
                    <w14:schemeClr w14:val="tx1"/>
                  </w14:solidFill>
                </w14:textFill>
              </w:rPr>
              <w:t>5</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7</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w:t>
            </w:r>
            <w:r>
              <w:rPr>
                <w:color w:val="000000" w:themeColor="text1"/>
                <w:szCs w:val="20"/>
                <w14:textFill>
                  <w14:solidFill>
                    <w14:schemeClr w14:val="tx1"/>
                  </w14:solidFill>
                </w14:textFill>
              </w:rPr>
              <w:t>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89</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5</w:t>
            </w:r>
            <w:r>
              <w:rPr>
                <w:color w:val="000000" w:themeColor="text1"/>
                <w:szCs w:val="20"/>
                <w14:textFill>
                  <w14:solidFill>
                    <w14:schemeClr w14:val="tx1"/>
                  </w14:solidFill>
                </w14:textFill>
              </w:rPr>
              <w:t>.8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99</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3</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w:t>
            </w:r>
            <w:r>
              <w:rPr>
                <w:color w:val="000000" w:themeColor="text1"/>
                <w:szCs w:val="20"/>
                <w14:textFill>
                  <w14:solidFill>
                    <w14:schemeClr w14:val="tx1"/>
                  </w14:solidFill>
                </w14:textFill>
              </w:rPr>
              <w:t>2.7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厌氧池</w:t>
            </w: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color w:val="000000" w:themeColor="text1"/>
                <w:lang w:bidi="ar"/>
                <w14:textFill>
                  <w14:solidFill>
                    <w14:schemeClr w14:val="tx1"/>
                  </w14:solidFill>
                </w14:textFill>
              </w:rPr>
              <w:t>潜水搅拌机</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5</w:t>
            </w:r>
            <w:r>
              <w:rPr>
                <w:color w:val="000000" w:themeColor="text1"/>
                <w:szCs w:val="20"/>
                <w14:textFill>
                  <w14:solidFill>
                    <w14:schemeClr w14:val="tx1"/>
                  </w14:solidFill>
                </w14:textFill>
              </w:rPr>
              <w:t>5</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8</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29.9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39</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7</w:t>
            </w:r>
            <w:r>
              <w:rPr>
                <w:color w:val="000000" w:themeColor="text1"/>
                <w:szCs w:val="20"/>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97</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3</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缺氧池</w:t>
            </w: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color w:val="000000" w:themeColor="text1"/>
                <w:lang w:bidi="ar"/>
                <w14:textFill>
                  <w14:solidFill>
                    <w14:schemeClr w14:val="tx1"/>
                  </w14:solidFill>
                </w14:textFill>
              </w:rPr>
              <w:t>潜水搅拌机</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1</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7</w:t>
            </w:r>
            <w:r>
              <w:rPr>
                <w:color w:val="000000" w:themeColor="text1"/>
                <w:szCs w:val="20"/>
                <w14:textFill>
                  <w14:solidFill>
                    <w14:schemeClr w14:val="tx1"/>
                  </w14:solidFill>
                </w14:textFill>
              </w:rPr>
              <w:t>2</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3.9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204</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4.8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98</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5.1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9</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4.2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好氧池</w:t>
            </w: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rFonts w:hint="eastAsia"/>
                <w:color w:val="000000" w:themeColor="text1"/>
                <w:lang w:bidi="ar"/>
                <w14:textFill>
                  <w14:solidFill>
                    <w14:schemeClr w14:val="tx1"/>
                  </w14:solidFill>
                </w14:textFill>
              </w:rPr>
              <w:t>硝化液回流泵</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8</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40</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w:t>
            </w:r>
            <w:r>
              <w:rPr>
                <w:color w:val="000000" w:themeColor="text1"/>
                <w:szCs w:val="20"/>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39</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76</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3.1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3</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w:t>
            </w:r>
            <w:r>
              <w:rPr>
                <w:color w:val="000000" w:themeColor="text1"/>
                <w:szCs w:val="20"/>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14:textFill>
                  <w14:solidFill>
                    <w14:schemeClr w14:val="tx1"/>
                  </w14:solidFill>
                </w14:textFill>
              </w:rPr>
            </w:pP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rFonts w:hint="eastAsia"/>
                <w:color w:val="000000" w:themeColor="text1"/>
                <w14:textFill>
                  <w14:solidFill>
                    <w14:schemeClr w14:val="tx1"/>
                  </w14:solidFill>
                </w14:textFill>
              </w:rPr>
              <w:t>罗茨风机</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8</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40</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05</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49</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5</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8.4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restart"/>
            <w:vAlign w:val="center"/>
          </w:tcPr>
          <w:p>
            <w:pPr>
              <w:pStyle w:val="90"/>
              <w:rPr>
                <w:color w:val="000000" w:themeColor="text1"/>
                <w:szCs w:val="20"/>
                <w:highlight w:val="yellow"/>
                <w14:textFill>
                  <w14:solidFill>
                    <w14:schemeClr w14:val="tx1"/>
                  </w14:solidFill>
                </w14:textFill>
              </w:rPr>
            </w:pPr>
            <w:r>
              <w:rPr>
                <w:color w:val="000000" w:themeColor="text1"/>
                <w:lang w:bidi="ar"/>
                <w14:textFill>
                  <w14:solidFill>
                    <w14:schemeClr w14:val="tx1"/>
                  </w14:solidFill>
                </w14:textFill>
              </w:rPr>
              <w:t>二沉池</w:t>
            </w: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rFonts w:hint="eastAsia"/>
                <w:color w:val="000000" w:themeColor="text1"/>
                <w:lang w:bidi="ar"/>
                <w14:textFill>
                  <w14:solidFill>
                    <w14:schemeClr w14:val="tx1"/>
                  </w14:solidFill>
                </w14:textFill>
              </w:rPr>
              <w:t>潜污泵</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5</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35</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34.1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47</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7.1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83</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9.8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5</w:t>
            </w:r>
            <w:r>
              <w:rPr>
                <w:color w:val="000000" w:themeColor="text1"/>
                <w:szCs w:val="20"/>
                <w14:textFill>
                  <w14:solidFill>
                    <w14:schemeClr w14:val="tx1"/>
                  </w14:solidFill>
                </w14:textFill>
              </w:rPr>
              <w:t>5</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w:t>
            </w:r>
            <w:r>
              <w:rPr>
                <w:color w:val="000000" w:themeColor="text1"/>
                <w:szCs w:val="20"/>
                <w14:textFill>
                  <w14:solidFill>
                    <w14:schemeClr w14:val="tx1"/>
                  </w14:solidFill>
                </w14:textFill>
              </w:rPr>
              <w:t>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restart"/>
            <w:vAlign w:val="center"/>
          </w:tcPr>
          <w:p>
            <w:pPr>
              <w:pStyle w:val="90"/>
              <w:rPr>
                <w:color w:val="000000" w:themeColor="text1"/>
                <w:szCs w:val="20"/>
                <w:highlight w:val="yellow"/>
                <w14:textFill>
                  <w14:solidFill>
                    <w14:schemeClr w14:val="tx1"/>
                  </w14:solidFill>
                </w14:textFill>
              </w:rPr>
            </w:pPr>
            <w:r>
              <w:rPr>
                <w:rFonts w:hint="eastAsia"/>
                <w:color w:val="000000" w:themeColor="text1"/>
                <w:szCs w:val="20"/>
                <w14:textFill>
                  <w14:solidFill>
                    <w14:schemeClr w14:val="tx1"/>
                  </w14:solidFill>
                </w14:textFill>
              </w:rPr>
              <w:t>三沉池</w:t>
            </w: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rFonts w:hint="eastAsia"/>
                <w:color w:val="000000" w:themeColor="text1"/>
                <w:lang w:bidi="ar"/>
                <w14:textFill>
                  <w14:solidFill>
                    <w14:schemeClr w14:val="tx1"/>
                  </w14:solidFill>
                </w14:textFill>
              </w:rPr>
              <w:t>潜污泵</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5</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32</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34.9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48</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7.1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97</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9.1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5</w:t>
            </w:r>
            <w:r>
              <w:rPr>
                <w:color w:val="000000" w:themeColor="text1"/>
                <w:szCs w:val="20"/>
                <w14:textFill>
                  <w14:solidFill>
                    <w14:schemeClr w14:val="tx1"/>
                  </w14:solidFill>
                </w14:textFill>
              </w:rPr>
              <w:t>4</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w:t>
            </w:r>
            <w:r>
              <w:rPr>
                <w:color w:val="000000" w:themeColor="text1"/>
                <w:szCs w:val="20"/>
                <w14:textFill>
                  <w14:solidFill>
                    <w14:schemeClr w14:val="tx1"/>
                  </w14:solidFill>
                </w14:textFill>
              </w:rPr>
              <w:t>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color w:val="000000" w:themeColor="text1"/>
                <w:lang w:bidi="ar"/>
                <w14:textFill>
                  <w14:solidFill>
                    <w14:schemeClr w14:val="tx1"/>
                  </w14:solidFill>
                </w14:textFill>
              </w:rPr>
              <w:t>计量泵</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8</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37</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36.6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09</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84</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2.7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3</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8.6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restart"/>
            <w:vAlign w:val="center"/>
          </w:tcPr>
          <w:p>
            <w:pPr>
              <w:pStyle w:val="90"/>
              <w:rPr>
                <w:color w:val="000000" w:themeColor="text1"/>
                <w:szCs w:val="20"/>
                <w:highlight w:val="yellow"/>
                <w14:textFill>
                  <w14:solidFill>
                    <w14:schemeClr w14:val="tx1"/>
                  </w14:solidFill>
                </w14:textFill>
              </w:rPr>
            </w:pPr>
            <w:r>
              <w:rPr>
                <w:rFonts w:hint="eastAsia"/>
                <w:color w:val="000000" w:themeColor="text1"/>
                <w:szCs w:val="20"/>
                <w14:textFill>
                  <w14:solidFill>
                    <w14:schemeClr w14:val="tx1"/>
                  </w14:solidFill>
                </w14:textFill>
              </w:rPr>
              <w:t>污泥池</w:t>
            </w: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color w:val="000000" w:themeColor="text1"/>
                <w:lang w:bidi="ar"/>
                <w14:textFill>
                  <w14:solidFill>
                    <w14:schemeClr w14:val="tx1"/>
                  </w14:solidFill>
                </w14:textFill>
              </w:rPr>
              <w:t>潜水搅拌机</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5</w:t>
            </w:r>
            <w:r>
              <w:rPr>
                <w:color w:val="000000" w:themeColor="text1"/>
                <w:szCs w:val="20"/>
                <w14:textFill>
                  <w14:solidFill>
                    <w14:schemeClr w14:val="tx1"/>
                  </w14:solidFill>
                </w14:textFill>
              </w:rPr>
              <w:t>5</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17</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w:t>
            </w:r>
            <w:r>
              <w:rPr>
                <w:color w:val="000000" w:themeColor="text1"/>
                <w:szCs w:val="20"/>
                <w14:textFill>
                  <w14:solidFill>
                    <w14:schemeClr w14:val="tx1"/>
                  </w14:solidFill>
                </w14:textFill>
              </w:rPr>
              <w:t>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11</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8</w:t>
            </w:r>
            <w:r>
              <w:rPr>
                <w:color w:val="000000" w:themeColor="text1"/>
                <w:szCs w:val="20"/>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63</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1</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5.8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color w:val="000000" w:themeColor="text1"/>
                <w:lang w:bidi="ar"/>
                <w14:textFill>
                  <w14:solidFill>
                    <w14:schemeClr w14:val="tx1"/>
                  </w14:solidFill>
                </w14:textFill>
              </w:rPr>
              <w:t>潜污泵</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5</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36</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33.9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05</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8.8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61</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6.7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7</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5.3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restart"/>
            <w:vAlign w:val="center"/>
          </w:tcPr>
          <w:p>
            <w:pPr>
              <w:pStyle w:val="90"/>
              <w:rPr>
                <w:color w:val="000000" w:themeColor="text1"/>
                <w:szCs w:val="20"/>
                <w:highlight w:val="yellow"/>
                <w14:textFill>
                  <w14:solidFill>
                    <w14:schemeClr w14:val="tx1"/>
                  </w14:solidFill>
                </w14:textFill>
              </w:rPr>
            </w:pPr>
            <w:r>
              <w:rPr>
                <w:color w:val="000000" w:themeColor="text1"/>
                <w:lang w:bidi="ar"/>
                <w14:textFill>
                  <w14:solidFill>
                    <w14:schemeClr w14:val="tx1"/>
                  </w14:solidFill>
                </w14:textFill>
              </w:rPr>
              <w:t>污泥处理系统</w:t>
            </w: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color w:val="000000" w:themeColor="text1"/>
                <w:lang w:bidi="ar"/>
                <w14:textFill>
                  <w14:solidFill>
                    <w14:schemeClr w14:val="tx1"/>
                  </w14:solidFill>
                </w14:textFill>
              </w:rPr>
              <w:t>叠螺污泥脱水机</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5</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36</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33.9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06</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8.7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61</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6.7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6</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5.4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color w:val="000000" w:themeColor="text1"/>
                <w:lang w:bidi="ar"/>
                <w14:textFill>
                  <w14:solidFill>
                    <w14:schemeClr w14:val="tx1"/>
                  </w14:solidFill>
                </w14:textFill>
              </w:rPr>
              <w:t>PAM自动泡药机</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5</w:t>
            </w:r>
            <w:r>
              <w:rPr>
                <w:color w:val="000000" w:themeColor="text1"/>
                <w:szCs w:val="20"/>
                <w14:textFill>
                  <w14:solidFill>
                    <w14:schemeClr w14:val="tx1"/>
                  </w14:solidFill>
                </w14:textFill>
              </w:rPr>
              <w:t>5</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18</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29.9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13</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8</w:t>
            </w:r>
            <w:r>
              <w:rPr>
                <w:color w:val="000000" w:themeColor="text1"/>
                <w:szCs w:val="20"/>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66</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8</w:t>
            </w:r>
            <w:r>
              <w:rPr>
                <w:color w:val="000000" w:themeColor="text1"/>
                <w:szCs w:val="20"/>
                <w14:textFill>
                  <w14:solidFill>
                    <w14:schemeClr w14:val="tx1"/>
                  </w14:solidFill>
                </w14:textFill>
              </w:rPr>
              <w:t>9</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restart"/>
            <w:shd w:val="clear" w:color="auto" w:fill="auto"/>
            <w:vAlign w:val="center"/>
          </w:tcPr>
          <w:p>
            <w:pPr>
              <w:pStyle w:val="90"/>
              <w:rPr>
                <w:color w:val="000000" w:themeColor="text1"/>
                <w:szCs w:val="20"/>
                <w:highlight w:val="yellow"/>
                <w14:textFill>
                  <w14:solidFill>
                    <w14:schemeClr w14:val="tx1"/>
                  </w14:solidFill>
                </w14:textFill>
              </w:rPr>
            </w:pPr>
            <w:r>
              <w:rPr>
                <w:color w:val="000000" w:themeColor="text1"/>
                <w:lang w:bidi="ar"/>
                <w14:textFill>
                  <w14:solidFill>
                    <w14:schemeClr w14:val="tx1"/>
                  </w14:solidFill>
                </w14:textFill>
              </w:rPr>
              <w:t>加药泵</w:t>
            </w:r>
          </w:p>
        </w:tc>
        <w:tc>
          <w:tcPr>
            <w:tcW w:w="769" w:type="pct"/>
            <w:vMerge w:val="restart"/>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r>
              <w:rPr>
                <w:color w:val="000000" w:themeColor="text1"/>
                <w:szCs w:val="20"/>
                <w14:textFill>
                  <w14:solidFill>
                    <w14:schemeClr w14:val="tx1"/>
                  </w14:solidFill>
                </w14:textFill>
              </w:rPr>
              <w:t>5</w:t>
            </w: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东</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7</w:t>
            </w:r>
            <w:r>
              <w:rPr>
                <w:color w:val="000000" w:themeColor="text1"/>
                <w:szCs w:val="20"/>
                <w14:textFill>
                  <w14:solidFill>
                    <w14:schemeClr w14:val="tx1"/>
                  </w14:solidFill>
                </w14:textFill>
              </w:rPr>
              <w:t>0</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8.1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06</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8.7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西</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200</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20" w:type="pct"/>
            <w:vMerge w:val="continue"/>
            <w:vAlign w:val="center"/>
          </w:tcPr>
          <w:p>
            <w:pPr>
              <w:pStyle w:val="90"/>
              <w:rPr>
                <w:color w:val="000000" w:themeColor="text1"/>
                <w:szCs w:val="20"/>
                <w:highlight w:val="yellow"/>
                <w14:textFill>
                  <w14:solidFill>
                    <w14:schemeClr w14:val="tx1"/>
                  </w14:solidFill>
                </w14:textFill>
              </w:rPr>
            </w:pPr>
          </w:p>
        </w:tc>
        <w:tc>
          <w:tcPr>
            <w:tcW w:w="820" w:type="pct"/>
            <w:vMerge w:val="continue"/>
            <w:shd w:val="clear" w:color="auto" w:fill="auto"/>
            <w:vAlign w:val="center"/>
          </w:tcPr>
          <w:p>
            <w:pPr>
              <w:pStyle w:val="90"/>
              <w:rPr>
                <w:color w:val="000000" w:themeColor="text1"/>
                <w:szCs w:val="20"/>
                <w:highlight w:val="yellow"/>
                <w14:textFill>
                  <w14:solidFill>
                    <w14:schemeClr w14:val="tx1"/>
                  </w14:solidFill>
                </w14:textFill>
              </w:rPr>
            </w:pPr>
          </w:p>
        </w:tc>
        <w:tc>
          <w:tcPr>
            <w:tcW w:w="769" w:type="pct"/>
            <w:vMerge w:val="continue"/>
            <w:vAlign w:val="center"/>
          </w:tcPr>
          <w:p>
            <w:pPr>
              <w:pStyle w:val="90"/>
              <w:rPr>
                <w:color w:val="000000" w:themeColor="text1"/>
                <w:szCs w:val="20"/>
                <w14:textFill>
                  <w14:solidFill>
                    <w14:schemeClr w14:val="tx1"/>
                  </w14:solidFill>
                </w14:textFill>
              </w:rPr>
            </w:pPr>
          </w:p>
        </w:tc>
        <w:tc>
          <w:tcPr>
            <w:tcW w:w="681" w:type="pct"/>
            <w:tcBorders>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color w:val="000000" w:themeColor="text1"/>
                <w:szCs w:val="20"/>
                <w14:textFill>
                  <w14:solidFill>
                    <w14:schemeClr w14:val="tx1"/>
                  </w14:solidFill>
                </w14:textFill>
              </w:rPr>
              <w:t>北</w:t>
            </w:r>
          </w:p>
        </w:tc>
        <w:tc>
          <w:tcPr>
            <w:tcW w:w="988" w:type="pct"/>
            <w:tcBorders>
              <w:left w:val="single" w:color="auto" w:sz="4" w:space="0"/>
              <w:righ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r>
              <w:rPr>
                <w:color w:val="000000" w:themeColor="text1"/>
                <w:szCs w:val="20"/>
                <w14:textFill>
                  <w14:solidFill>
                    <w14:schemeClr w14:val="tx1"/>
                  </w14:solidFill>
                </w14:textFill>
              </w:rPr>
              <w:t>6</w:t>
            </w:r>
          </w:p>
        </w:tc>
        <w:tc>
          <w:tcPr>
            <w:tcW w:w="922" w:type="pct"/>
            <w:tcBorders>
              <w:left w:val="single" w:color="auto" w:sz="4" w:space="0"/>
            </w:tcBorders>
            <w:shd w:val="clear" w:color="auto" w:fill="auto"/>
            <w:vAlign w:val="center"/>
          </w:tcPr>
          <w:p>
            <w:pPr>
              <w:pStyle w:val="9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color w:val="000000" w:themeColor="text1"/>
                <w:szCs w:val="20"/>
                <w14:textFill>
                  <w14:solidFill>
                    <w14:schemeClr w14:val="tx1"/>
                  </w14:solidFill>
                </w14:textFill>
              </w:rPr>
              <w:t>5.4</w:t>
            </w:r>
          </w:p>
        </w:tc>
      </w:tr>
    </w:tbl>
    <w:p>
      <w:pPr>
        <w:pStyle w:val="632"/>
        <w:rPr>
          <w:color w:val="000000" w:themeColor="text1"/>
          <w14:textFill>
            <w14:solidFill>
              <w14:schemeClr w14:val="tx1"/>
            </w14:solidFill>
          </w14:textFill>
        </w:rPr>
      </w:pPr>
      <w:r>
        <w:rPr>
          <w:color w:val="000000" w:themeColor="text1"/>
          <w14:textFill>
            <w14:solidFill>
              <w14:schemeClr w14:val="tx1"/>
            </w14:solidFill>
          </w14:textFill>
        </w:rPr>
        <w:t>表5.5-4            四周厂界噪声预测结果</w:t>
      </w:r>
    </w:p>
    <w:tbl>
      <w:tblPr>
        <w:tblStyle w:val="49"/>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28" w:type="dxa"/>
          <w:bottom w:w="0" w:type="dxa"/>
          <w:right w:w="28" w:type="dxa"/>
        </w:tblCellMar>
      </w:tblPr>
      <w:tblGrid>
        <w:gridCol w:w="1133"/>
        <w:gridCol w:w="1717"/>
        <w:gridCol w:w="2144"/>
        <w:gridCol w:w="2290"/>
        <w:gridCol w:w="150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645"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点位</w:t>
            </w:r>
          </w:p>
        </w:tc>
        <w:tc>
          <w:tcPr>
            <w:tcW w:w="977" w:type="pct"/>
            <w:vAlign w:val="center"/>
          </w:tcPr>
          <w:p>
            <w:pPr>
              <w:pStyle w:val="94"/>
              <w:rPr>
                <w:rFonts w:cs="Times New Roman"/>
                <w:color w:val="000000" w:themeColor="text1"/>
                <w:highlight w:val="yellow"/>
                <w14:textFill>
                  <w14:solidFill>
                    <w14:schemeClr w14:val="tx1"/>
                  </w14:solidFill>
                </w14:textFill>
              </w:rPr>
            </w:pPr>
            <w:r>
              <w:rPr>
                <w:rFonts w:cs="Times New Roman"/>
                <w:color w:val="000000" w:themeColor="text1"/>
                <w14:textFill>
                  <w14:solidFill>
                    <w14:schemeClr w14:val="tx1"/>
                  </w14:solidFill>
                </w14:textFill>
              </w:rPr>
              <w:t>贡献值dB(A)</w:t>
            </w:r>
          </w:p>
        </w:tc>
        <w:tc>
          <w:tcPr>
            <w:tcW w:w="2523" w:type="pct"/>
            <w:gridSpan w:val="2"/>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评价标准</w:t>
            </w:r>
          </w:p>
        </w:tc>
        <w:tc>
          <w:tcPr>
            <w:tcW w:w="855"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预测达标情况</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645" w:type="pc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东厂界</w:t>
            </w:r>
          </w:p>
        </w:tc>
        <w:tc>
          <w:tcPr>
            <w:tcW w:w="977" w:type="pct"/>
            <w:vAlign w:val="center"/>
          </w:tcPr>
          <w:p>
            <w:pPr>
              <w:pStyle w:val="94"/>
              <w:rPr>
                <w:rFonts w:cs="Times New Roman"/>
                <w:b w:val="0"/>
                <w:bCs/>
                <w:color w:val="000000" w:themeColor="text1"/>
                <w:highlight w:val="yellow"/>
                <w14:textFill>
                  <w14:solidFill>
                    <w14:schemeClr w14:val="tx1"/>
                  </w14:solidFill>
                </w14:textFill>
              </w:rPr>
            </w:pPr>
            <w:r>
              <w:rPr>
                <w:rFonts w:cs="Times New Roman"/>
                <w:b w:val="0"/>
                <w:bCs/>
                <w:color w:val="000000" w:themeColor="text1"/>
                <w14:textFill>
                  <w14:solidFill>
                    <w14:schemeClr w14:val="tx1"/>
                  </w14:solidFill>
                </w14:textFill>
              </w:rPr>
              <w:t>47.4</w:t>
            </w:r>
          </w:p>
        </w:tc>
        <w:tc>
          <w:tcPr>
            <w:tcW w:w="1220" w:type="pct"/>
            <w:vMerge w:val="restar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《工业企业厂界环境噪声排放标准》（GB12348-2008）</w:t>
            </w:r>
          </w:p>
        </w:tc>
        <w:tc>
          <w:tcPr>
            <w:tcW w:w="1303" w:type="pct"/>
            <w:vMerge w:val="restar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3类标准：昼间65dB(A)，夜间55dB(A)</w:t>
            </w:r>
          </w:p>
        </w:tc>
        <w:tc>
          <w:tcPr>
            <w:tcW w:w="855" w:type="pc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645" w:type="pc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南厂界</w:t>
            </w:r>
          </w:p>
        </w:tc>
        <w:tc>
          <w:tcPr>
            <w:tcW w:w="977" w:type="pct"/>
            <w:vAlign w:val="center"/>
          </w:tcPr>
          <w:p>
            <w:pPr>
              <w:pStyle w:val="94"/>
              <w:rPr>
                <w:rFonts w:cs="Times New Roman"/>
                <w:b w:val="0"/>
                <w:bCs/>
                <w:color w:val="000000" w:themeColor="text1"/>
                <w:highlight w:val="yellow"/>
                <w14:textFill>
                  <w14:solidFill>
                    <w14:schemeClr w14:val="tx1"/>
                  </w14:solidFill>
                </w14:textFill>
              </w:rPr>
            </w:pPr>
            <w:r>
              <w:rPr>
                <w:rFonts w:cs="Times New Roman"/>
                <w:b w:val="0"/>
                <w:bCs/>
                <w:color w:val="000000" w:themeColor="text1"/>
                <w14:textFill>
                  <w14:solidFill>
                    <w14:schemeClr w14:val="tx1"/>
                  </w14:solidFill>
                </w14:textFill>
              </w:rPr>
              <w:t>31.6</w:t>
            </w:r>
          </w:p>
        </w:tc>
        <w:tc>
          <w:tcPr>
            <w:tcW w:w="1220" w:type="pct"/>
            <w:vMerge w:val="continue"/>
            <w:vAlign w:val="center"/>
          </w:tcPr>
          <w:p>
            <w:pPr>
              <w:pStyle w:val="94"/>
              <w:rPr>
                <w:rFonts w:cs="Times New Roman"/>
                <w:b w:val="0"/>
                <w:bCs/>
                <w:color w:val="000000" w:themeColor="text1"/>
                <w14:textFill>
                  <w14:solidFill>
                    <w14:schemeClr w14:val="tx1"/>
                  </w14:solidFill>
                </w14:textFill>
              </w:rPr>
            </w:pPr>
          </w:p>
        </w:tc>
        <w:tc>
          <w:tcPr>
            <w:tcW w:w="1303" w:type="pct"/>
            <w:vMerge w:val="continue"/>
            <w:vAlign w:val="center"/>
          </w:tcPr>
          <w:p>
            <w:pPr>
              <w:pStyle w:val="94"/>
              <w:rPr>
                <w:rFonts w:cs="Times New Roman"/>
                <w:b w:val="0"/>
                <w:bCs/>
                <w:color w:val="000000" w:themeColor="text1"/>
                <w14:textFill>
                  <w14:solidFill>
                    <w14:schemeClr w14:val="tx1"/>
                  </w14:solidFill>
                </w14:textFill>
              </w:rPr>
            </w:pPr>
          </w:p>
        </w:tc>
        <w:tc>
          <w:tcPr>
            <w:tcW w:w="855" w:type="pc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645" w:type="pc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西厂界</w:t>
            </w:r>
          </w:p>
        </w:tc>
        <w:tc>
          <w:tcPr>
            <w:tcW w:w="977" w:type="pct"/>
            <w:vAlign w:val="center"/>
          </w:tcPr>
          <w:p>
            <w:pPr>
              <w:pStyle w:val="94"/>
              <w:rPr>
                <w:rFonts w:cs="Times New Roman"/>
                <w:b w:val="0"/>
                <w:bCs/>
                <w:color w:val="000000" w:themeColor="text1"/>
                <w:highlight w:val="yellow"/>
                <w14:textFill>
                  <w14:solidFill>
                    <w14:schemeClr w14:val="tx1"/>
                  </w14:solidFill>
                </w14:textFill>
              </w:rPr>
            </w:pPr>
            <w:r>
              <w:rPr>
                <w:rFonts w:cs="Times New Roman"/>
                <w:b w:val="0"/>
                <w:bCs/>
                <w:color w:val="000000" w:themeColor="text1"/>
                <w14:textFill>
                  <w14:solidFill>
                    <w14:schemeClr w14:val="tx1"/>
                  </w14:solidFill>
                </w14:textFill>
              </w:rPr>
              <w:t>31.6</w:t>
            </w:r>
          </w:p>
        </w:tc>
        <w:tc>
          <w:tcPr>
            <w:tcW w:w="1220" w:type="pct"/>
            <w:vMerge w:val="continue"/>
            <w:vAlign w:val="center"/>
          </w:tcPr>
          <w:p>
            <w:pPr>
              <w:pStyle w:val="94"/>
              <w:rPr>
                <w:rFonts w:cs="Times New Roman"/>
                <w:b w:val="0"/>
                <w:bCs/>
                <w:color w:val="000000" w:themeColor="text1"/>
                <w14:textFill>
                  <w14:solidFill>
                    <w14:schemeClr w14:val="tx1"/>
                  </w14:solidFill>
                </w14:textFill>
              </w:rPr>
            </w:pPr>
          </w:p>
        </w:tc>
        <w:tc>
          <w:tcPr>
            <w:tcW w:w="1303" w:type="pct"/>
            <w:vMerge w:val="continue"/>
            <w:vAlign w:val="center"/>
          </w:tcPr>
          <w:p>
            <w:pPr>
              <w:pStyle w:val="94"/>
              <w:rPr>
                <w:rFonts w:cs="Times New Roman"/>
                <w:b w:val="0"/>
                <w:bCs/>
                <w:color w:val="000000" w:themeColor="text1"/>
                <w14:textFill>
                  <w14:solidFill>
                    <w14:schemeClr w14:val="tx1"/>
                  </w14:solidFill>
                </w14:textFill>
              </w:rPr>
            </w:pPr>
          </w:p>
        </w:tc>
        <w:tc>
          <w:tcPr>
            <w:tcW w:w="855" w:type="pc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645" w:type="pc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北厂界</w:t>
            </w:r>
          </w:p>
        </w:tc>
        <w:tc>
          <w:tcPr>
            <w:tcW w:w="977" w:type="pct"/>
            <w:vAlign w:val="center"/>
          </w:tcPr>
          <w:p>
            <w:pPr>
              <w:pStyle w:val="94"/>
              <w:rPr>
                <w:rFonts w:cs="Times New Roman"/>
                <w:b w:val="0"/>
                <w:bCs/>
                <w:color w:val="000000" w:themeColor="text1"/>
                <w:highlight w:val="yellow"/>
                <w14:textFill>
                  <w14:solidFill>
                    <w14:schemeClr w14:val="tx1"/>
                  </w14:solidFill>
                </w14:textFill>
              </w:rPr>
            </w:pPr>
            <w:r>
              <w:rPr>
                <w:rFonts w:cs="Times New Roman"/>
                <w:b w:val="0"/>
                <w:bCs/>
                <w:color w:val="000000" w:themeColor="text1"/>
                <w14:textFill>
                  <w14:solidFill>
                    <w14:schemeClr w14:val="tx1"/>
                  </w14:solidFill>
                </w14:textFill>
              </w:rPr>
              <w:t>40.9</w:t>
            </w:r>
          </w:p>
        </w:tc>
        <w:tc>
          <w:tcPr>
            <w:tcW w:w="1220" w:type="pct"/>
            <w:vMerge w:val="continue"/>
            <w:vAlign w:val="center"/>
          </w:tcPr>
          <w:p>
            <w:pPr>
              <w:pStyle w:val="94"/>
              <w:rPr>
                <w:rFonts w:cs="Times New Roman"/>
                <w:b w:val="0"/>
                <w:bCs/>
                <w:color w:val="000000" w:themeColor="text1"/>
                <w14:textFill>
                  <w14:solidFill>
                    <w14:schemeClr w14:val="tx1"/>
                  </w14:solidFill>
                </w14:textFill>
              </w:rPr>
            </w:pPr>
          </w:p>
        </w:tc>
        <w:tc>
          <w:tcPr>
            <w:tcW w:w="1303" w:type="pct"/>
            <w:vMerge w:val="continue"/>
            <w:vAlign w:val="center"/>
          </w:tcPr>
          <w:p>
            <w:pPr>
              <w:pStyle w:val="94"/>
              <w:rPr>
                <w:rFonts w:cs="Times New Roman"/>
                <w:b w:val="0"/>
                <w:bCs/>
                <w:color w:val="000000" w:themeColor="text1"/>
                <w14:textFill>
                  <w14:solidFill>
                    <w14:schemeClr w14:val="tx1"/>
                  </w14:solidFill>
                </w14:textFill>
              </w:rPr>
            </w:pPr>
          </w:p>
        </w:tc>
        <w:tc>
          <w:tcPr>
            <w:tcW w:w="855" w:type="pc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645" w:type="pct"/>
            <w:vAlign w:val="center"/>
          </w:tcPr>
          <w:p>
            <w:pPr>
              <w:pStyle w:val="94"/>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小庄村</w:t>
            </w:r>
          </w:p>
        </w:tc>
        <w:tc>
          <w:tcPr>
            <w:tcW w:w="977"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4</w:t>
            </w:r>
            <w:r>
              <w:rPr>
                <w:rFonts w:cs="Times New Roman"/>
                <w:b w:val="0"/>
                <w:bCs/>
                <w:color w:val="000000" w:themeColor="text1"/>
                <w14:textFill>
                  <w14:solidFill>
                    <w14:schemeClr w14:val="tx1"/>
                  </w14:solidFill>
                </w14:textFill>
              </w:rPr>
              <w:t>7.4</w:t>
            </w:r>
          </w:p>
        </w:tc>
        <w:tc>
          <w:tcPr>
            <w:tcW w:w="1220"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《声环境质量标准》（</w:t>
            </w:r>
            <w:r>
              <w:rPr>
                <w:rFonts w:cs="Times New Roman"/>
                <w:b w:val="0"/>
                <w:bCs/>
                <w:color w:val="000000" w:themeColor="text1"/>
                <w14:textFill>
                  <w14:solidFill>
                    <w14:schemeClr w14:val="tx1"/>
                  </w14:solidFill>
                </w14:textFill>
              </w:rPr>
              <w:t>GB3096</w:t>
            </w:r>
            <w:r>
              <w:rPr>
                <w:rFonts w:hint="eastAsia" w:cs="Times New Roman"/>
                <w:b w:val="0"/>
                <w:bCs/>
                <w:color w:val="000000" w:themeColor="text1"/>
                <w14:textFill>
                  <w14:solidFill>
                    <w14:schemeClr w14:val="tx1"/>
                  </w14:solidFill>
                </w14:textFill>
              </w:rPr>
              <w:t>-2008）</w:t>
            </w:r>
          </w:p>
        </w:tc>
        <w:tc>
          <w:tcPr>
            <w:tcW w:w="1303" w:type="pc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2类标准：昼间60dB(A)，夜间50dB(A)</w:t>
            </w:r>
          </w:p>
        </w:tc>
        <w:tc>
          <w:tcPr>
            <w:tcW w:w="855" w:type="pct"/>
            <w:vAlign w:val="center"/>
          </w:tcPr>
          <w:p>
            <w:pPr>
              <w:pStyle w:val="94"/>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达标</w:t>
            </w:r>
          </w:p>
        </w:tc>
      </w:tr>
    </w:tbl>
    <w:p>
      <w:pPr>
        <w:spacing w:line="560" w:lineRule="exact"/>
        <w:ind w:firstLine="472" w:firstLineChars="200"/>
        <w:rPr>
          <w:rFonts w:ascii="黑体" w:hAnsi="黑体" w:eastAsia="黑体"/>
          <w:color w:val="000000" w:themeColor="text1"/>
          <w:spacing w:val="-2"/>
          <w:sz w:val="24"/>
          <w14:textFill>
            <w14:solidFill>
              <w14:schemeClr w14:val="tx1"/>
            </w14:solidFill>
          </w14:textFill>
        </w:rPr>
      </w:pPr>
      <w:r>
        <w:rPr>
          <w:rFonts w:hint="eastAsia" w:ascii="黑体" w:hAnsi="黑体" w:eastAsia="黑体"/>
          <w:color w:val="000000" w:themeColor="text1"/>
          <w:spacing w:val="-2"/>
          <w:sz w:val="24"/>
          <w14:textFill>
            <w14:solidFill>
              <w14:schemeClr w14:val="tx1"/>
            </w14:solidFill>
          </w14:textFill>
        </w:rPr>
        <w:t>注：目前，小庄村位于厂区东厂界处。</w:t>
      </w:r>
    </w:p>
    <w:p>
      <w:pPr>
        <w:spacing w:line="560" w:lineRule="exact"/>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由上表可以看出：</w:t>
      </w:r>
      <w:r>
        <w:rPr>
          <w:color w:val="000000" w:themeColor="text1"/>
          <w:sz w:val="24"/>
          <w:szCs w:val="24"/>
          <w14:textFill>
            <w14:solidFill>
              <w14:schemeClr w14:val="tx1"/>
            </w14:solidFill>
          </w14:textFill>
        </w:rPr>
        <w:t>本工程完成后，噪声贡献值均能达到《工业企业厂界环境噪声排放标准》（GB12348-2008）3类昼间65dB(A)、夜间55dB(A)</w:t>
      </w:r>
      <w:r>
        <w:rPr>
          <w:rFonts w:hint="eastAsia"/>
          <w:color w:val="000000" w:themeColor="text1"/>
          <w:sz w:val="24"/>
          <w:szCs w:val="24"/>
          <w14:textFill>
            <w14:solidFill>
              <w14:schemeClr w14:val="tx1"/>
            </w14:solidFill>
          </w14:textFill>
        </w:rPr>
        <w:t>的</w:t>
      </w:r>
      <w:r>
        <w:rPr>
          <w:color w:val="000000" w:themeColor="text1"/>
          <w:sz w:val="24"/>
          <w:szCs w:val="24"/>
          <w14:textFill>
            <w14:solidFill>
              <w14:schemeClr w14:val="tx1"/>
            </w14:solidFill>
          </w14:textFill>
        </w:rPr>
        <w:t>标准要求</w:t>
      </w:r>
      <w:r>
        <w:rPr>
          <w:rFonts w:hint="eastAsia"/>
          <w:color w:val="000000" w:themeColor="text1"/>
          <w:sz w:val="24"/>
          <w:szCs w:val="24"/>
          <w14:textFill>
            <w14:solidFill>
              <w14:schemeClr w14:val="tx1"/>
            </w14:solidFill>
          </w14:textFill>
        </w:rPr>
        <w:t>，距项目较近的敏感点小庄村</w:t>
      </w:r>
      <w:r>
        <w:rPr>
          <w:color w:val="000000" w:themeColor="text1"/>
          <w:sz w:val="24"/>
          <w:szCs w:val="24"/>
          <w14:textFill>
            <w14:solidFill>
              <w14:schemeClr w14:val="tx1"/>
            </w14:solidFill>
          </w14:textFill>
        </w:rPr>
        <w:t>预测值</w:t>
      </w:r>
      <w:r>
        <w:rPr>
          <w:rFonts w:hint="eastAsia"/>
          <w:color w:val="000000" w:themeColor="text1"/>
          <w:sz w:val="24"/>
          <w:szCs w:val="24"/>
          <w14:textFill>
            <w14:solidFill>
              <w14:schemeClr w14:val="tx1"/>
            </w14:solidFill>
          </w14:textFill>
        </w:rPr>
        <w:t>均</w:t>
      </w:r>
      <w:r>
        <w:rPr>
          <w:color w:val="000000" w:themeColor="text1"/>
          <w:sz w:val="24"/>
          <w:szCs w:val="24"/>
          <w14:textFill>
            <w14:solidFill>
              <w14:schemeClr w14:val="tx1"/>
            </w14:solidFill>
          </w14:textFill>
        </w:rPr>
        <w:t>能满足</w:t>
      </w:r>
      <w:r>
        <w:rPr>
          <w:rFonts w:hint="eastAsia"/>
          <w:color w:val="000000" w:themeColor="text1"/>
          <w:sz w:val="24"/>
          <w:szCs w:val="24"/>
          <w14:textFill>
            <w14:solidFill>
              <w14:schemeClr w14:val="tx1"/>
            </w14:solidFill>
          </w14:textFill>
        </w:rPr>
        <w:t>《</w:t>
      </w:r>
      <w:r>
        <w:rPr>
          <w:rFonts w:hint="eastAsia"/>
          <w:sz w:val="24"/>
        </w:rPr>
        <w:t>声环境质量标准》（</w:t>
      </w:r>
      <w:r>
        <w:rPr>
          <w:sz w:val="24"/>
        </w:rPr>
        <w:t>GB3096</w:t>
      </w:r>
      <w:r>
        <w:rPr>
          <w:rFonts w:hint="eastAsia"/>
          <w:sz w:val="24"/>
        </w:rPr>
        <w:t>-2008）2类</w:t>
      </w:r>
      <w:r>
        <w:rPr>
          <w:sz w:val="24"/>
        </w:rPr>
        <w:t>昼间60dB(A)、夜间50dB(A)</w:t>
      </w:r>
      <w:r>
        <w:rPr>
          <w:color w:val="000000" w:themeColor="text1"/>
          <w:sz w:val="24"/>
          <w:szCs w:val="24"/>
          <w14:textFill>
            <w14:solidFill>
              <w14:schemeClr w14:val="tx1"/>
            </w14:solidFill>
          </w14:textFill>
        </w:rPr>
        <w:t>的标准要求</w:t>
      </w:r>
      <w:r>
        <w:rPr>
          <w:color w:val="000000" w:themeColor="text1"/>
          <w:spacing w:val="-2"/>
          <w:sz w:val="24"/>
          <w14:textFill>
            <w14:solidFill>
              <w14:schemeClr w14:val="tx1"/>
            </w14:solidFill>
          </w14:textFill>
        </w:rPr>
        <w:t>。</w:t>
      </w:r>
    </w:p>
    <w:p>
      <w:pPr>
        <w:spacing w:line="560" w:lineRule="exact"/>
        <w:ind w:firstLine="472" w:firstLineChars="200"/>
        <w:rPr>
          <w:color w:val="000000" w:themeColor="text1"/>
          <w:spacing w:val="-2"/>
          <w:sz w:val="24"/>
          <w14:textFill>
            <w14:solidFill>
              <w14:schemeClr w14:val="tx1"/>
            </w14:solidFill>
          </w14:textFill>
        </w:rPr>
      </w:pPr>
      <w:r>
        <w:rPr>
          <w:rFonts w:hint="eastAsia"/>
          <w:color w:val="000000" w:themeColor="text1"/>
          <w:spacing w:val="-2"/>
          <w:sz w:val="24"/>
          <w14:textFill>
            <w14:solidFill>
              <w14:schemeClr w14:val="tx1"/>
            </w14:solidFill>
          </w14:textFill>
        </w:rPr>
        <w:t>叠加现状后</w:t>
      </w:r>
      <w:r>
        <w:rPr>
          <w:color w:val="000000" w:themeColor="text1"/>
          <w:spacing w:val="-2"/>
          <w:sz w:val="24"/>
          <w14:textFill>
            <w14:solidFill>
              <w14:schemeClr w14:val="tx1"/>
            </w14:solidFill>
          </w14:textFill>
        </w:rPr>
        <w:t>四周厂界噪声预测结果</w:t>
      </w:r>
      <w:r>
        <w:rPr>
          <w:rFonts w:hint="eastAsia"/>
          <w:color w:val="000000" w:themeColor="text1"/>
          <w:spacing w:val="-2"/>
          <w:sz w:val="24"/>
          <w14:textFill>
            <w14:solidFill>
              <w14:schemeClr w14:val="tx1"/>
            </w14:solidFill>
          </w14:textFill>
        </w:rPr>
        <w:t>如下。</w:t>
      </w:r>
    </w:p>
    <w:p>
      <w:pPr>
        <w:pStyle w:val="632"/>
        <w:rPr>
          <w:color w:val="000000" w:themeColor="text1"/>
          <w14:textFill>
            <w14:solidFill>
              <w14:schemeClr w14:val="tx1"/>
            </w14:solidFill>
          </w14:textFill>
        </w:rPr>
      </w:pPr>
      <w:r>
        <w:rPr>
          <w:color w:val="000000" w:themeColor="text1"/>
          <w14:textFill>
            <w14:solidFill>
              <w14:schemeClr w14:val="tx1"/>
            </w14:solidFill>
          </w14:textFill>
        </w:rPr>
        <w:t>表5.5-5            四周厂界噪声预测结果</w:t>
      </w:r>
    </w:p>
    <w:tbl>
      <w:tblPr>
        <w:tblStyle w:val="49"/>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28" w:type="dxa"/>
          <w:bottom w:w="0" w:type="dxa"/>
          <w:right w:w="28" w:type="dxa"/>
        </w:tblCellMar>
      </w:tblPr>
      <w:tblGrid>
        <w:gridCol w:w="706"/>
        <w:gridCol w:w="972"/>
        <w:gridCol w:w="601"/>
        <w:gridCol w:w="713"/>
        <w:gridCol w:w="1573"/>
        <w:gridCol w:w="2001"/>
        <w:gridCol w:w="1430"/>
        <w:gridCol w:w="790"/>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402"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点位</w:t>
            </w:r>
          </w:p>
        </w:tc>
        <w:tc>
          <w:tcPr>
            <w:tcW w:w="553" w:type="pct"/>
            <w:vAlign w:val="center"/>
          </w:tcPr>
          <w:p>
            <w:pPr>
              <w:pStyle w:val="94"/>
              <w:rPr>
                <w:rFonts w:cs="Times New Roman"/>
                <w:color w:val="000000" w:themeColor="text1"/>
                <w:highlight w:val="yellow"/>
                <w14:textFill>
                  <w14:solidFill>
                    <w14:schemeClr w14:val="tx1"/>
                  </w14:solidFill>
                </w14:textFill>
              </w:rPr>
            </w:pPr>
            <w:r>
              <w:rPr>
                <w:rFonts w:cs="Times New Roman"/>
                <w:color w:val="000000" w:themeColor="text1"/>
                <w14:textFill>
                  <w14:solidFill>
                    <w14:schemeClr w14:val="tx1"/>
                  </w14:solidFill>
                </w14:textFill>
              </w:rPr>
              <w:t>贡献值dB(A)</w:t>
            </w:r>
          </w:p>
        </w:tc>
        <w:tc>
          <w:tcPr>
            <w:tcW w:w="748" w:type="pct"/>
            <w:gridSpan w:val="2"/>
            <w:vAlign w:val="center"/>
          </w:tcPr>
          <w:p>
            <w:pPr>
              <w:pStyle w:val="94"/>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现状值</w:t>
            </w:r>
            <w:r>
              <w:rPr>
                <w:rFonts w:cs="Times New Roman"/>
                <w:color w:val="000000" w:themeColor="text1"/>
                <w14:textFill>
                  <w14:solidFill>
                    <w14:schemeClr w14:val="tx1"/>
                  </w14:solidFill>
                </w14:textFill>
              </w:rPr>
              <w:t>dB(A)</w:t>
            </w:r>
          </w:p>
        </w:tc>
        <w:tc>
          <w:tcPr>
            <w:tcW w:w="895" w:type="pct"/>
            <w:vAlign w:val="center"/>
          </w:tcPr>
          <w:p>
            <w:pPr>
              <w:pStyle w:val="94"/>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预测值</w:t>
            </w:r>
            <w:r>
              <w:rPr>
                <w:rFonts w:cs="Times New Roman"/>
                <w:color w:val="000000" w:themeColor="text1"/>
                <w14:textFill>
                  <w14:solidFill>
                    <w14:schemeClr w14:val="tx1"/>
                  </w14:solidFill>
                </w14:textFill>
              </w:rPr>
              <w:t>dB(A)</w:t>
            </w:r>
          </w:p>
        </w:tc>
        <w:tc>
          <w:tcPr>
            <w:tcW w:w="1953" w:type="pct"/>
            <w:gridSpan w:val="2"/>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评价标准</w:t>
            </w:r>
          </w:p>
        </w:tc>
        <w:tc>
          <w:tcPr>
            <w:tcW w:w="449" w:type="pct"/>
            <w:vAlign w:val="center"/>
          </w:tcPr>
          <w:p>
            <w:pPr>
              <w:pStyle w:val="94"/>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预测达标情况</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402" w:type="pct"/>
            <w:vMerge w:val="restar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南厂界</w:t>
            </w:r>
          </w:p>
        </w:tc>
        <w:tc>
          <w:tcPr>
            <w:tcW w:w="553" w:type="pct"/>
            <w:vMerge w:val="restart"/>
            <w:vAlign w:val="center"/>
          </w:tcPr>
          <w:p>
            <w:pPr>
              <w:pStyle w:val="94"/>
              <w:rPr>
                <w:rFonts w:cs="Times New Roman"/>
                <w:b w:val="0"/>
                <w:bCs/>
                <w:color w:val="000000" w:themeColor="text1"/>
                <w:highlight w:val="yellow"/>
                <w14:textFill>
                  <w14:solidFill>
                    <w14:schemeClr w14:val="tx1"/>
                  </w14:solidFill>
                </w14:textFill>
              </w:rPr>
            </w:pPr>
            <w:r>
              <w:rPr>
                <w:rFonts w:cs="Times New Roman"/>
                <w:b w:val="0"/>
                <w:bCs/>
                <w:color w:val="000000" w:themeColor="text1"/>
                <w14:textFill>
                  <w14:solidFill>
                    <w14:schemeClr w14:val="tx1"/>
                  </w14:solidFill>
                </w14:textFill>
              </w:rPr>
              <w:t>31.6</w:t>
            </w:r>
          </w:p>
        </w:tc>
        <w:tc>
          <w:tcPr>
            <w:tcW w:w="342" w:type="pct"/>
            <w:vAlign w:val="center"/>
          </w:tcPr>
          <w:p>
            <w:pPr>
              <w:pStyle w:val="94"/>
              <w:rPr>
                <w:rFonts w:cs="Times New Roman"/>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昼</w:t>
            </w:r>
          </w:p>
        </w:tc>
        <w:tc>
          <w:tcPr>
            <w:tcW w:w="406" w:type="pct"/>
            <w:vAlign w:val="center"/>
          </w:tcPr>
          <w:p>
            <w:pPr>
              <w:pStyle w:val="94"/>
              <w:rPr>
                <w:rFonts w:cs="Times New Roman"/>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5</w:t>
            </w:r>
            <w:r>
              <w:rPr>
                <w:b w:val="0"/>
                <w:bCs/>
                <w:color w:val="000000" w:themeColor="text1"/>
                <w14:textFill>
                  <w14:solidFill>
                    <w14:schemeClr w14:val="tx1"/>
                  </w14:solidFill>
                </w14:textFill>
              </w:rPr>
              <w:t>3</w:t>
            </w:r>
          </w:p>
        </w:tc>
        <w:tc>
          <w:tcPr>
            <w:tcW w:w="895"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5</w:t>
            </w:r>
            <w:r>
              <w:rPr>
                <w:rFonts w:cs="Times New Roman"/>
                <w:b w:val="0"/>
                <w:bCs/>
                <w:color w:val="000000" w:themeColor="text1"/>
                <w14:textFill>
                  <w14:solidFill>
                    <w14:schemeClr w14:val="tx1"/>
                  </w14:solidFill>
                </w14:textFill>
              </w:rPr>
              <w:t>3</w:t>
            </w:r>
          </w:p>
        </w:tc>
        <w:tc>
          <w:tcPr>
            <w:tcW w:w="1139" w:type="pct"/>
            <w:vMerge w:val="restar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《声环境质量标准》（</w:t>
            </w:r>
            <w:r>
              <w:rPr>
                <w:rFonts w:cs="Times New Roman"/>
                <w:b w:val="0"/>
                <w:bCs/>
                <w:color w:val="000000" w:themeColor="text1"/>
                <w14:textFill>
                  <w14:solidFill>
                    <w14:schemeClr w14:val="tx1"/>
                  </w14:solidFill>
                </w14:textFill>
              </w:rPr>
              <w:t>GB3096</w:t>
            </w:r>
            <w:r>
              <w:rPr>
                <w:rFonts w:hint="eastAsia" w:cs="Times New Roman"/>
                <w:b w:val="0"/>
                <w:bCs/>
                <w:color w:val="000000" w:themeColor="text1"/>
                <w14:textFill>
                  <w14:solidFill>
                    <w14:schemeClr w14:val="tx1"/>
                  </w14:solidFill>
                </w14:textFill>
              </w:rPr>
              <w:t>-2008）</w:t>
            </w:r>
          </w:p>
        </w:tc>
        <w:tc>
          <w:tcPr>
            <w:tcW w:w="814" w:type="pct"/>
            <w:vMerge w:val="restar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3类标准：昼间65dB(A)，夜间55dB(A)</w:t>
            </w:r>
          </w:p>
        </w:tc>
        <w:tc>
          <w:tcPr>
            <w:tcW w:w="449" w:type="pct"/>
            <w:vMerge w:val="restar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402" w:type="pct"/>
            <w:vMerge w:val="continue"/>
            <w:vAlign w:val="center"/>
          </w:tcPr>
          <w:p>
            <w:pPr>
              <w:pStyle w:val="94"/>
              <w:rPr>
                <w:b w:val="0"/>
                <w:bCs/>
                <w:color w:val="000000" w:themeColor="text1"/>
                <w14:textFill>
                  <w14:solidFill>
                    <w14:schemeClr w14:val="tx1"/>
                  </w14:solidFill>
                </w14:textFill>
              </w:rPr>
            </w:pPr>
          </w:p>
        </w:tc>
        <w:tc>
          <w:tcPr>
            <w:tcW w:w="553" w:type="pct"/>
            <w:vMerge w:val="continue"/>
            <w:vAlign w:val="center"/>
          </w:tcPr>
          <w:p>
            <w:pPr>
              <w:pStyle w:val="94"/>
              <w:rPr>
                <w:rFonts w:cs="Times New Roman"/>
                <w:b w:val="0"/>
                <w:bCs/>
                <w:color w:val="000000" w:themeColor="text1"/>
                <w14:textFill>
                  <w14:solidFill>
                    <w14:schemeClr w14:val="tx1"/>
                  </w14:solidFill>
                </w14:textFill>
              </w:rPr>
            </w:pPr>
          </w:p>
        </w:tc>
        <w:tc>
          <w:tcPr>
            <w:tcW w:w="342" w:type="pct"/>
            <w:vAlign w:val="center"/>
          </w:tcPr>
          <w:p>
            <w:pPr>
              <w:pStyle w:val="94"/>
              <w:rPr>
                <w:rFonts w:cs="Times New Roman"/>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夜</w:t>
            </w:r>
          </w:p>
        </w:tc>
        <w:tc>
          <w:tcPr>
            <w:tcW w:w="406"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4</w:t>
            </w:r>
            <w:r>
              <w:rPr>
                <w:rFonts w:cs="Times New Roman"/>
                <w:b w:val="0"/>
                <w:bCs/>
                <w:color w:val="000000" w:themeColor="text1"/>
                <w14:textFill>
                  <w14:solidFill>
                    <w14:schemeClr w14:val="tx1"/>
                  </w14:solidFill>
                </w14:textFill>
              </w:rPr>
              <w:t>2</w:t>
            </w:r>
          </w:p>
        </w:tc>
        <w:tc>
          <w:tcPr>
            <w:tcW w:w="895"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4</w:t>
            </w:r>
            <w:r>
              <w:rPr>
                <w:rFonts w:cs="Times New Roman"/>
                <w:b w:val="0"/>
                <w:bCs/>
                <w:color w:val="000000" w:themeColor="text1"/>
                <w14:textFill>
                  <w14:solidFill>
                    <w14:schemeClr w14:val="tx1"/>
                  </w14:solidFill>
                </w14:textFill>
              </w:rPr>
              <w:t>2.4</w:t>
            </w:r>
          </w:p>
        </w:tc>
        <w:tc>
          <w:tcPr>
            <w:tcW w:w="1139" w:type="pct"/>
            <w:vMerge w:val="continue"/>
            <w:vAlign w:val="center"/>
          </w:tcPr>
          <w:p>
            <w:pPr>
              <w:pStyle w:val="94"/>
              <w:rPr>
                <w:rFonts w:cs="Times New Roman"/>
                <w:b w:val="0"/>
                <w:bCs/>
                <w:color w:val="000000" w:themeColor="text1"/>
                <w14:textFill>
                  <w14:solidFill>
                    <w14:schemeClr w14:val="tx1"/>
                  </w14:solidFill>
                </w14:textFill>
              </w:rPr>
            </w:pPr>
          </w:p>
        </w:tc>
        <w:tc>
          <w:tcPr>
            <w:tcW w:w="814" w:type="pct"/>
            <w:vMerge w:val="continue"/>
            <w:vAlign w:val="center"/>
          </w:tcPr>
          <w:p>
            <w:pPr>
              <w:pStyle w:val="94"/>
              <w:rPr>
                <w:rFonts w:cs="Times New Roman"/>
                <w:b w:val="0"/>
                <w:bCs/>
                <w:color w:val="000000" w:themeColor="text1"/>
                <w14:textFill>
                  <w14:solidFill>
                    <w14:schemeClr w14:val="tx1"/>
                  </w14:solidFill>
                </w14:textFill>
              </w:rPr>
            </w:pPr>
          </w:p>
        </w:tc>
        <w:tc>
          <w:tcPr>
            <w:tcW w:w="449" w:type="pct"/>
            <w:vMerge w:val="continue"/>
            <w:vAlign w:val="center"/>
          </w:tcPr>
          <w:p>
            <w:pPr>
              <w:pStyle w:val="94"/>
              <w:rPr>
                <w:b w:val="0"/>
                <w:bCs/>
                <w:color w:val="000000" w:themeColor="text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402" w:type="pct"/>
            <w:vMerge w:val="restar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西厂界</w:t>
            </w:r>
          </w:p>
        </w:tc>
        <w:tc>
          <w:tcPr>
            <w:tcW w:w="553" w:type="pct"/>
            <w:vMerge w:val="restart"/>
            <w:vAlign w:val="center"/>
          </w:tcPr>
          <w:p>
            <w:pPr>
              <w:pStyle w:val="94"/>
              <w:rPr>
                <w:rFonts w:cs="Times New Roman"/>
                <w:b w:val="0"/>
                <w:bCs/>
                <w:color w:val="000000" w:themeColor="text1"/>
                <w:highlight w:val="yellow"/>
                <w14:textFill>
                  <w14:solidFill>
                    <w14:schemeClr w14:val="tx1"/>
                  </w14:solidFill>
                </w14:textFill>
              </w:rPr>
            </w:pPr>
            <w:r>
              <w:rPr>
                <w:rFonts w:cs="Times New Roman"/>
                <w:b w:val="0"/>
                <w:bCs/>
                <w:color w:val="000000" w:themeColor="text1"/>
                <w14:textFill>
                  <w14:solidFill>
                    <w14:schemeClr w14:val="tx1"/>
                  </w14:solidFill>
                </w14:textFill>
              </w:rPr>
              <w:t>31.6</w:t>
            </w:r>
          </w:p>
        </w:tc>
        <w:tc>
          <w:tcPr>
            <w:tcW w:w="342" w:type="pct"/>
            <w:vAlign w:val="center"/>
          </w:tcPr>
          <w:p>
            <w:pPr>
              <w:pStyle w:val="94"/>
              <w:rPr>
                <w:rFonts w:cs="Times New Roman"/>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昼</w:t>
            </w:r>
          </w:p>
        </w:tc>
        <w:tc>
          <w:tcPr>
            <w:tcW w:w="406"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5</w:t>
            </w:r>
            <w:r>
              <w:rPr>
                <w:rFonts w:cs="Times New Roman"/>
                <w:b w:val="0"/>
                <w:bCs/>
                <w:color w:val="000000" w:themeColor="text1"/>
                <w14:textFill>
                  <w14:solidFill>
                    <w14:schemeClr w14:val="tx1"/>
                  </w14:solidFill>
                </w14:textFill>
              </w:rPr>
              <w:t>5</w:t>
            </w:r>
          </w:p>
        </w:tc>
        <w:tc>
          <w:tcPr>
            <w:tcW w:w="895"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5</w:t>
            </w:r>
            <w:r>
              <w:rPr>
                <w:rFonts w:cs="Times New Roman"/>
                <w:b w:val="0"/>
                <w:bCs/>
                <w:color w:val="000000" w:themeColor="text1"/>
                <w14:textFill>
                  <w14:solidFill>
                    <w14:schemeClr w14:val="tx1"/>
                  </w14:solidFill>
                </w14:textFill>
              </w:rPr>
              <w:t>5</w:t>
            </w:r>
          </w:p>
        </w:tc>
        <w:tc>
          <w:tcPr>
            <w:tcW w:w="1139" w:type="pct"/>
            <w:vMerge w:val="continue"/>
            <w:vAlign w:val="center"/>
          </w:tcPr>
          <w:p>
            <w:pPr>
              <w:pStyle w:val="94"/>
              <w:rPr>
                <w:rFonts w:cs="Times New Roman"/>
                <w:b w:val="0"/>
                <w:bCs/>
                <w:color w:val="000000" w:themeColor="text1"/>
                <w14:textFill>
                  <w14:solidFill>
                    <w14:schemeClr w14:val="tx1"/>
                  </w14:solidFill>
                </w14:textFill>
              </w:rPr>
            </w:pPr>
          </w:p>
        </w:tc>
        <w:tc>
          <w:tcPr>
            <w:tcW w:w="814" w:type="pct"/>
            <w:vMerge w:val="continue"/>
            <w:vAlign w:val="center"/>
          </w:tcPr>
          <w:p>
            <w:pPr>
              <w:pStyle w:val="94"/>
              <w:rPr>
                <w:rFonts w:cs="Times New Roman"/>
                <w:b w:val="0"/>
                <w:bCs/>
                <w:color w:val="000000" w:themeColor="text1"/>
                <w14:textFill>
                  <w14:solidFill>
                    <w14:schemeClr w14:val="tx1"/>
                  </w14:solidFill>
                </w14:textFill>
              </w:rPr>
            </w:pPr>
          </w:p>
        </w:tc>
        <w:tc>
          <w:tcPr>
            <w:tcW w:w="449" w:type="pct"/>
            <w:vMerge w:val="restar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402" w:type="pct"/>
            <w:vMerge w:val="continue"/>
            <w:vAlign w:val="center"/>
          </w:tcPr>
          <w:p>
            <w:pPr>
              <w:pStyle w:val="94"/>
              <w:rPr>
                <w:b w:val="0"/>
                <w:bCs/>
                <w:color w:val="000000" w:themeColor="text1"/>
                <w14:textFill>
                  <w14:solidFill>
                    <w14:schemeClr w14:val="tx1"/>
                  </w14:solidFill>
                </w14:textFill>
              </w:rPr>
            </w:pPr>
          </w:p>
        </w:tc>
        <w:tc>
          <w:tcPr>
            <w:tcW w:w="553" w:type="pct"/>
            <w:vMerge w:val="continue"/>
            <w:vAlign w:val="center"/>
          </w:tcPr>
          <w:p>
            <w:pPr>
              <w:pStyle w:val="94"/>
              <w:rPr>
                <w:rFonts w:cs="Times New Roman"/>
                <w:b w:val="0"/>
                <w:bCs/>
                <w:color w:val="000000" w:themeColor="text1"/>
                <w14:textFill>
                  <w14:solidFill>
                    <w14:schemeClr w14:val="tx1"/>
                  </w14:solidFill>
                </w14:textFill>
              </w:rPr>
            </w:pPr>
          </w:p>
        </w:tc>
        <w:tc>
          <w:tcPr>
            <w:tcW w:w="342" w:type="pct"/>
            <w:vAlign w:val="center"/>
          </w:tcPr>
          <w:p>
            <w:pPr>
              <w:pStyle w:val="94"/>
              <w:rPr>
                <w:rFonts w:cs="Times New Roman"/>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夜</w:t>
            </w:r>
          </w:p>
        </w:tc>
        <w:tc>
          <w:tcPr>
            <w:tcW w:w="406"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4</w:t>
            </w:r>
            <w:r>
              <w:rPr>
                <w:rFonts w:cs="Times New Roman"/>
                <w:b w:val="0"/>
                <w:bCs/>
                <w:color w:val="000000" w:themeColor="text1"/>
                <w14:textFill>
                  <w14:solidFill>
                    <w14:schemeClr w14:val="tx1"/>
                  </w14:solidFill>
                </w14:textFill>
              </w:rPr>
              <w:t>5</w:t>
            </w:r>
          </w:p>
        </w:tc>
        <w:tc>
          <w:tcPr>
            <w:tcW w:w="895"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4</w:t>
            </w:r>
            <w:r>
              <w:rPr>
                <w:rFonts w:cs="Times New Roman"/>
                <w:b w:val="0"/>
                <w:bCs/>
                <w:color w:val="000000" w:themeColor="text1"/>
                <w14:textFill>
                  <w14:solidFill>
                    <w14:schemeClr w14:val="tx1"/>
                  </w14:solidFill>
                </w14:textFill>
              </w:rPr>
              <w:t>5.2</w:t>
            </w:r>
          </w:p>
        </w:tc>
        <w:tc>
          <w:tcPr>
            <w:tcW w:w="1139" w:type="pct"/>
            <w:vMerge w:val="continue"/>
            <w:vAlign w:val="center"/>
          </w:tcPr>
          <w:p>
            <w:pPr>
              <w:pStyle w:val="94"/>
              <w:rPr>
                <w:rFonts w:cs="Times New Roman"/>
                <w:b w:val="0"/>
                <w:bCs/>
                <w:color w:val="000000" w:themeColor="text1"/>
                <w14:textFill>
                  <w14:solidFill>
                    <w14:schemeClr w14:val="tx1"/>
                  </w14:solidFill>
                </w14:textFill>
              </w:rPr>
            </w:pPr>
          </w:p>
        </w:tc>
        <w:tc>
          <w:tcPr>
            <w:tcW w:w="814" w:type="pct"/>
            <w:vMerge w:val="continue"/>
            <w:vAlign w:val="center"/>
          </w:tcPr>
          <w:p>
            <w:pPr>
              <w:pStyle w:val="94"/>
              <w:rPr>
                <w:rFonts w:cs="Times New Roman"/>
                <w:b w:val="0"/>
                <w:bCs/>
                <w:color w:val="000000" w:themeColor="text1"/>
                <w14:textFill>
                  <w14:solidFill>
                    <w14:schemeClr w14:val="tx1"/>
                  </w14:solidFill>
                </w14:textFill>
              </w:rPr>
            </w:pPr>
          </w:p>
        </w:tc>
        <w:tc>
          <w:tcPr>
            <w:tcW w:w="449" w:type="pct"/>
            <w:vMerge w:val="continue"/>
            <w:vAlign w:val="center"/>
          </w:tcPr>
          <w:p>
            <w:pPr>
              <w:pStyle w:val="94"/>
              <w:rPr>
                <w:b w:val="0"/>
                <w:bCs/>
                <w:color w:val="000000" w:themeColor="text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402" w:type="pct"/>
            <w:vMerge w:val="restar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北厂界</w:t>
            </w:r>
          </w:p>
        </w:tc>
        <w:tc>
          <w:tcPr>
            <w:tcW w:w="553" w:type="pct"/>
            <w:vMerge w:val="restart"/>
            <w:vAlign w:val="center"/>
          </w:tcPr>
          <w:p>
            <w:pPr>
              <w:pStyle w:val="94"/>
              <w:rPr>
                <w:rFonts w:cs="Times New Roman"/>
                <w:b w:val="0"/>
                <w:bCs/>
                <w:color w:val="000000" w:themeColor="text1"/>
                <w:highlight w:val="yellow"/>
                <w14:textFill>
                  <w14:solidFill>
                    <w14:schemeClr w14:val="tx1"/>
                  </w14:solidFill>
                </w14:textFill>
              </w:rPr>
            </w:pPr>
            <w:r>
              <w:rPr>
                <w:rFonts w:cs="Times New Roman"/>
                <w:b w:val="0"/>
                <w:bCs/>
                <w:color w:val="000000" w:themeColor="text1"/>
                <w14:textFill>
                  <w14:solidFill>
                    <w14:schemeClr w14:val="tx1"/>
                  </w14:solidFill>
                </w14:textFill>
              </w:rPr>
              <w:t>40.9</w:t>
            </w:r>
          </w:p>
        </w:tc>
        <w:tc>
          <w:tcPr>
            <w:tcW w:w="342" w:type="pct"/>
            <w:vAlign w:val="center"/>
          </w:tcPr>
          <w:p>
            <w:pPr>
              <w:pStyle w:val="94"/>
              <w:rPr>
                <w:rFonts w:cs="Times New Roman"/>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昼</w:t>
            </w:r>
          </w:p>
        </w:tc>
        <w:tc>
          <w:tcPr>
            <w:tcW w:w="406"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5</w:t>
            </w:r>
            <w:r>
              <w:rPr>
                <w:rFonts w:cs="Times New Roman"/>
                <w:b w:val="0"/>
                <w:bCs/>
                <w:color w:val="000000" w:themeColor="text1"/>
                <w14:textFill>
                  <w14:solidFill>
                    <w14:schemeClr w14:val="tx1"/>
                  </w14:solidFill>
                </w14:textFill>
              </w:rPr>
              <w:t>2</w:t>
            </w:r>
          </w:p>
        </w:tc>
        <w:tc>
          <w:tcPr>
            <w:tcW w:w="895"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5</w:t>
            </w:r>
            <w:r>
              <w:rPr>
                <w:rFonts w:cs="Times New Roman"/>
                <w:b w:val="0"/>
                <w:bCs/>
                <w:color w:val="000000" w:themeColor="text1"/>
                <w14:textFill>
                  <w14:solidFill>
                    <w14:schemeClr w14:val="tx1"/>
                  </w14:solidFill>
                </w14:textFill>
              </w:rPr>
              <w:t>2.3</w:t>
            </w:r>
          </w:p>
        </w:tc>
        <w:tc>
          <w:tcPr>
            <w:tcW w:w="1139" w:type="pct"/>
            <w:vMerge w:val="continue"/>
            <w:vAlign w:val="center"/>
          </w:tcPr>
          <w:p>
            <w:pPr>
              <w:pStyle w:val="94"/>
              <w:rPr>
                <w:rFonts w:cs="Times New Roman"/>
                <w:b w:val="0"/>
                <w:bCs/>
                <w:color w:val="000000" w:themeColor="text1"/>
                <w14:textFill>
                  <w14:solidFill>
                    <w14:schemeClr w14:val="tx1"/>
                  </w14:solidFill>
                </w14:textFill>
              </w:rPr>
            </w:pPr>
          </w:p>
        </w:tc>
        <w:tc>
          <w:tcPr>
            <w:tcW w:w="814" w:type="pct"/>
            <w:vMerge w:val="continue"/>
            <w:vAlign w:val="center"/>
          </w:tcPr>
          <w:p>
            <w:pPr>
              <w:pStyle w:val="94"/>
              <w:rPr>
                <w:rFonts w:cs="Times New Roman"/>
                <w:b w:val="0"/>
                <w:bCs/>
                <w:color w:val="000000" w:themeColor="text1"/>
                <w14:textFill>
                  <w14:solidFill>
                    <w14:schemeClr w14:val="tx1"/>
                  </w14:solidFill>
                </w14:textFill>
              </w:rPr>
            </w:pPr>
          </w:p>
        </w:tc>
        <w:tc>
          <w:tcPr>
            <w:tcW w:w="449" w:type="pct"/>
            <w:vMerge w:val="restar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402" w:type="pct"/>
            <w:vMerge w:val="continue"/>
            <w:vAlign w:val="center"/>
          </w:tcPr>
          <w:p>
            <w:pPr>
              <w:pStyle w:val="94"/>
              <w:rPr>
                <w:b w:val="0"/>
                <w:bCs/>
                <w:color w:val="000000" w:themeColor="text1"/>
                <w14:textFill>
                  <w14:solidFill>
                    <w14:schemeClr w14:val="tx1"/>
                  </w14:solidFill>
                </w14:textFill>
              </w:rPr>
            </w:pPr>
          </w:p>
        </w:tc>
        <w:tc>
          <w:tcPr>
            <w:tcW w:w="553" w:type="pct"/>
            <w:vMerge w:val="continue"/>
            <w:vAlign w:val="center"/>
          </w:tcPr>
          <w:p>
            <w:pPr>
              <w:pStyle w:val="94"/>
              <w:rPr>
                <w:rFonts w:cs="Times New Roman"/>
                <w:b w:val="0"/>
                <w:bCs/>
                <w:color w:val="000000" w:themeColor="text1"/>
                <w14:textFill>
                  <w14:solidFill>
                    <w14:schemeClr w14:val="tx1"/>
                  </w14:solidFill>
                </w14:textFill>
              </w:rPr>
            </w:pPr>
          </w:p>
        </w:tc>
        <w:tc>
          <w:tcPr>
            <w:tcW w:w="342" w:type="pct"/>
            <w:vAlign w:val="center"/>
          </w:tcPr>
          <w:p>
            <w:pPr>
              <w:pStyle w:val="94"/>
              <w:rPr>
                <w:rFonts w:cs="Times New Roman"/>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夜</w:t>
            </w:r>
          </w:p>
        </w:tc>
        <w:tc>
          <w:tcPr>
            <w:tcW w:w="406"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4</w:t>
            </w:r>
            <w:r>
              <w:rPr>
                <w:rFonts w:cs="Times New Roman"/>
                <w:b w:val="0"/>
                <w:bCs/>
                <w:color w:val="000000" w:themeColor="text1"/>
                <w14:textFill>
                  <w14:solidFill>
                    <w14:schemeClr w14:val="tx1"/>
                  </w14:solidFill>
                </w14:textFill>
              </w:rPr>
              <w:t>2</w:t>
            </w:r>
          </w:p>
        </w:tc>
        <w:tc>
          <w:tcPr>
            <w:tcW w:w="895"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4</w:t>
            </w:r>
            <w:r>
              <w:rPr>
                <w:rFonts w:cs="Times New Roman"/>
                <w:b w:val="0"/>
                <w:bCs/>
                <w:color w:val="000000" w:themeColor="text1"/>
                <w14:textFill>
                  <w14:solidFill>
                    <w14:schemeClr w14:val="tx1"/>
                  </w14:solidFill>
                </w14:textFill>
              </w:rPr>
              <w:t>4.5</w:t>
            </w:r>
          </w:p>
        </w:tc>
        <w:tc>
          <w:tcPr>
            <w:tcW w:w="1139" w:type="pct"/>
            <w:vMerge w:val="continue"/>
            <w:vAlign w:val="center"/>
          </w:tcPr>
          <w:p>
            <w:pPr>
              <w:pStyle w:val="94"/>
              <w:rPr>
                <w:rFonts w:cs="Times New Roman"/>
                <w:b w:val="0"/>
                <w:bCs/>
                <w:color w:val="000000" w:themeColor="text1"/>
                <w14:textFill>
                  <w14:solidFill>
                    <w14:schemeClr w14:val="tx1"/>
                  </w14:solidFill>
                </w14:textFill>
              </w:rPr>
            </w:pPr>
          </w:p>
        </w:tc>
        <w:tc>
          <w:tcPr>
            <w:tcW w:w="814" w:type="pct"/>
            <w:vMerge w:val="continue"/>
            <w:vAlign w:val="center"/>
          </w:tcPr>
          <w:p>
            <w:pPr>
              <w:pStyle w:val="94"/>
              <w:rPr>
                <w:rFonts w:cs="Times New Roman"/>
                <w:b w:val="0"/>
                <w:bCs/>
                <w:color w:val="000000" w:themeColor="text1"/>
                <w14:textFill>
                  <w14:solidFill>
                    <w14:schemeClr w14:val="tx1"/>
                  </w14:solidFill>
                </w14:textFill>
              </w:rPr>
            </w:pPr>
          </w:p>
        </w:tc>
        <w:tc>
          <w:tcPr>
            <w:tcW w:w="449" w:type="pct"/>
            <w:vMerge w:val="continue"/>
            <w:vAlign w:val="center"/>
          </w:tcPr>
          <w:p>
            <w:pPr>
              <w:pStyle w:val="94"/>
              <w:rPr>
                <w:b w:val="0"/>
                <w:bCs/>
                <w:color w:val="000000" w:themeColor="text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402" w:type="pct"/>
            <w:vMerge w:val="restart"/>
            <w:vAlign w:val="center"/>
          </w:tcPr>
          <w:p>
            <w:pPr>
              <w:pStyle w:val="94"/>
              <w:rPr>
                <w:b w:val="0"/>
                <w:bCs/>
                <w:color w:val="000000" w:themeColor="text1"/>
                <w14:textFill>
                  <w14:solidFill>
                    <w14:schemeClr w14:val="tx1"/>
                  </w14:solidFill>
                </w14:textFill>
              </w:rPr>
            </w:pPr>
            <w:r>
              <w:rPr>
                <w:b w:val="0"/>
                <w:bCs/>
                <w:color w:val="000000" w:themeColor="text1"/>
                <w14:textFill>
                  <w14:solidFill>
                    <w14:schemeClr w14:val="tx1"/>
                  </w14:solidFill>
                </w14:textFill>
              </w:rPr>
              <w:t>东厂界</w:t>
            </w:r>
          </w:p>
        </w:tc>
        <w:tc>
          <w:tcPr>
            <w:tcW w:w="553" w:type="pct"/>
            <w:vMerge w:val="restart"/>
            <w:vAlign w:val="center"/>
          </w:tcPr>
          <w:p>
            <w:pPr>
              <w:pStyle w:val="94"/>
              <w:rPr>
                <w:rFonts w:cs="Times New Roman"/>
                <w:b w:val="0"/>
                <w:bCs/>
                <w:color w:val="000000" w:themeColor="text1"/>
                <w14:textFill>
                  <w14:solidFill>
                    <w14:schemeClr w14:val="tx1"/>
                  </w14:solidFill>
                </w14:textFill>
              </w:rPr>
            </w:pPr>
            <w:r>
              <w:rPr>
                <w:rFonts w:cs="Times New Roman"/>
                <w:b w:val="0"/>
                <w:bCs/>
                <w:color w:val="000000" w:themeColor="text1"/>
                <w14:textFill>
                  <w14:solidFill>
                    <w14:schemeClr w14:val="tx1"/>
                  </w14:solidFill>
                </w14:textFill>
              </w:rPr>
              <w:t>47.4</w:t>
            </w:r>
          </w:p>
        </w:tc>
        <w:tc>
          <w:tcPr>
            <w:tcW w:w="342" w:type="pct"/>
            <w:vAlign w:val="center"/>
          </w:tcPr>
          <w:p>
            <w:pPr>
              <w:pStyle w:val="94"/>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昼</w:t>
            </w:r>
          </w:p>
        </w:tc>
        <w:tc>
          <w:tcPr>
            <w:tcW w:w="406"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5</w:t>
            </w:r>
            <w:r>
              <w:rPr>
                <w:rFonts w:cs="Times New Roman"/>
                <w:b w:val="0"/>
                <w:bCs/>
                <w:color w:val="000000" w:themeColor="text1"/>
                <w14:textFill>
                  <w14:solidFill>
                    <w14:schemeClr w14:val="tx1"/>
                  </w14:solidFill>
                </w14:textFill>
              </w:rPr>
              <w:t>3</w:t>
            </w:r>
          </w:p>
        </w:tc>
        <w:tc>
          <w:tcPr>
            <w:tcW w:w="895" w:type="pct"/>
            <w:vAlign w:val="center"/>
          </w:tcPr>
          <w:p>
            <w:pPr>
              <w:pStyle w:val="94"/>
              <w:rPr>
                <w:rFonts w:cs="Times New Roman"/>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5</w:t>
            </w:r>
            <w:r>
              <w:rPr>
                <w:b w:val="0"/>
                <w:bCs/>
                <w:color w:val="000000" w:themeColor="text1"/>
                <w14:textFill>
                  <w14:solidFill>
                    <w14:schemeClr w14:val="tx1"/>
                  </w14:solidFill>
                </w14:textFill>
              </w:rPr>
              <w:t>4.1</w:t>
            </w:r>
          </w:p>
        </w:tc>
        <w:tc>
          <w:tcPr>
            <w:tcW w:w="1139" w:type="pct"/>
            <w:vMerge w:val="continue"/>
            <w:vAlign w:val="center"/>
          </w:tcPr>
          <w:p>
            <w:pPr>
              <w:pStyle w:val="94"/>
              <w:rPr>
                <w:rFonts w:cs="Times New Roman"/>
                <w:b w:val="0"/>
                <w:bCs/>
                <w:color w:val="000000" w:themeColor="text1"/>
                <w14:textFill>
                  <w14:solidFill>
                    <w14:schemeClr w14:val="tx1"/>
                  </w14:solidFill>
                </w14:textFill>
              </w:rPr>
            </w:pPr>
          </w:p>
        </w:tc>
        <w:tc>
          <w:tcPr>
            <w:tcW w:w="814" w:type="pct"/>
            <w:vMerge w:val="restart"/>
            <w:vAlign w:val="center"/>
          </w:tcPr>
          <w:p>
            <w:pPr>
              <w:pStyle w:val="94"/>
              <w:rPr>
                <w:rFonts w:cs="Times New Roman"/>
                <w:b w:val="0"/>
                <w:bCs/>
                <w:color w:val="000000" w:themeColor="text1"/>
                <w14:textFill>
                  <w14:solidFill>
                    <w14:schemeClr w14:val="tx1"/>
                  </w14:solidFill>
                </w14:textFill>
              </w:rPr>
            </w:pPr>
            <w:r>
              <w:rPr>
                <w:b w:val="0"/>
                <w:bCs/>
                <w:color w:val="000000" w:themeColor="text1"/>
                <w14:textFill>
                  <w14:solidFill>
                    <w14:schemeClr w14:val="tx1"/>
                  </w14:solidFill>
                </w14:textFill>
              </w:rPr>
              <w:t>2类标准：昼间60dB(A)，夜间50dB(A)</w:t>
            </w:r>
          </w:p>
        </w:tc>
        <w:tc>
          <w:tcPr>
            <w:tcW w:w="449" w:type="pct"/>
            <w:vAlign w:val="center"/>
          </w:tcPr>
          <w:p>
            <w:pPr>
              <w:pStyle w:val="94"/>
              <w:rPr>
                <w:b w:val="0"/>
                <w:bCs/>
                <w:color w:val="000000" w:themeColor="text1"/>
                <w14:textFill>
                  <w14:solidFill>
                    <w14:schemeClr w14:val="tx1"/>
                  </w14:solidFill>
                </w14:textFill>
              </w:rPr>
            </w:pPr>
            <w:r>
              <w:rPr>
                <w:b w:val="0"/>
                <w:bCs/>
                <w:color w:val="000000" w:themeColor="text1"/>
                <w14:textFill>
                  <w14:solidFill>
                    <w14:schemeClr w14:val="tx1"/>
                  </w14:solidFill>
                </w14:textFill>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402" w:type="pct"/>
            <w:vMerge w:val="continue"/>
            <w:vAlign w:val="center"/>
          </w:tcPr>
          <w:p>
            <w:pPr>
              <w:pStyle w:val="94"/>
              <w:rPr>
                <w:b w:val="0"/>
                <w:bCs/>
                <w:color w:val="000000" w:themeColor="text1"/>
                <w14:textFill>
                  <w14:solidFill>
                    <w14:schemeClr w14:val="tx1"/>
                  </w14:solidFill>
                </w14:textFill>
              </w:rPr>
            </w:pPr>
          </w:p>
        </w:tc>
        <w:tc>
          <w:tcPr>
            <w:tcW w:w="553" w:type="pct"/>
            <w:vMerge w:val="continue"/>
            <w:vAlign w:val="center"/>
          </w:tcPr>
          <w:p>
            <w:pPr>
              <w:pStyle w:val="94"/>
              <w:rPr>
                <w:rFonts w:cs="Times New Roman"/>
                <w:b w:val="0"/>
                <w:bCs/>
                <w:color w:val="000000" w:themeColor="text1"/>
                <w14:textFill>
                  <w14:solidFill>
                    <w14:schemeClr w14:val="tx1"/>
                  </w14:solidFill>
                </w14:textFill>
              </w:rPr>
            </w:pPr>
          </w:p>
        </w:tc>
        <w:tc>
          <w:tcPr>
            <w:tcW w:w="342" w:type="pct"/>
            <w:vAlign w:val="center"/>
          </w:tcPr>
          <w:p>
            <w:pPr>
              <w:pStyle w:val="94"/>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夜</w:t>
            </w:r>
          </w:p>
        </w:tc>
        <w:tc>
          <w:tcPr>
            <w:tcW w:w="406" w:type="pct"/>
            <w:vAlign w:val="center"/>
          </w:tcPr>
          <w:p>
            <w:pPr>
              <w:pStyle w:val="94"/>
              <w:rPr>
                <w:rFonts w:cs="Times New Roman"/>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4</w:t>
            </w:r>
            <w:r>
              <w:rPr>
                <w:b w:val="0"/>
                <w:bCs/>
                <w:color w:val="000000" w:themeColor="text1"/>
                <w14:textFill>
                  <w14:solidFill>
                    <w14:schemeClr w14:val="tx1"/>
                  </w14:solidFill>
                </w14:textFill>
              </w:rPr>
              <w:t>3</w:t>
            </w:r>
          </w:p>
        </w:tc>
        <w:tc>
          <w:tcPr>
            <w:tcW w:w="895" w:type="pct"/>
            <w:vAlign w:val="center"/>
          </w:tcPr>
          <w:p>
            <w:pPr>
              <w:pStyle w:val="94"/>
              <w:rPr>
                <w:rFonts w:cs="Times New Roman"/>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4</w:t>
            </w:r>
            <w:r>
              <w:rPr>
                <w:b w:val="0"/>
                <w:bCs/>
                <w:color w:val="000000" w:themeColor="text1"/>
                <w14:textFill>
                  <w14:solidFill>
                    <w14:schemeClr w14:val="tx1"/>
                  </w14:solidFill>
                </w14:textFill>
              </w:rPr>
              <w:t>8.8</w:t>
            </w:r>
          </w:p>
        </w:tc>
        <w:tc>
          <w:tcPr>
            <w:tcW w:w="1139" w:type="pct"/>
            <w:vMerge w:val="continue"/>
            <w:vAlign w:val="center"/>
          </w:tcPr>
          <w:p>
            <w:pPr>
              <w:pStyle w:val="94"/>
              <w:rPr>
                <w:rFonts w:cs="Times New Roman"/>
                <w:b w:val="0"/>
                <w:bCs/>
                <w:color w:val="000000" w:themeColor="text1"/>
                <w14:textFill>
                  <w14:solidFill>
                    <w14:schemeClr w14:val="tx1"/>
                  </w14:solidFill>
                </w14:textFill>
              </w:rPr>
            </w:pPr>
          </w:p>
        </w:tc>
        <w:tc>
          <w:tcPr>
            <w:tcW w:w="814" w:type="pct"/>
            <w:vMerge w:val="continue"/>
            <w:vAlign w:val="center"/>
          </w:tcPr>
          <w:p>
            <w:pPr>
              <w:pStyle w:val="94"/>
              <w:rPr>
                <w:rFonts w:cs="Times New Roman"/>
                <w:b w:val="0"/>
                <w:bCs/>
                <w:color w:val="000000" w:themeColor="text1"/>
                <w14:textFill>
                  <w14:solidFill>
                    <w14:schemeClr w14:val="tx1"/>
                  </w14:solidFill>
                </w14:textFill>
              </w:rPr>
            </w:pPr>
          </w:p>
        </w:tc>
        <w:tc>
          <w:tcPr>
            <w:tcW w:w="449" w:type="pct"/>
            <w:vAlign w:val="center"/>
          </w:tcPr>
          <w:p>
            <w:pPr>
              <w:pStyle w:val="94"/>
              <w:rPr>
                <w:b w:val="0"/>
                <w:bCs/>
                <w:color w:val="000000" w:themeColor="text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402" w:type="pct"/>
            <w:vMerge w:val="restart"/>
            <w:vAlign w:val="center"/>
          </w:tcPr>
          <w:p>
            <w:pPr>
              <w:pStyle w:val="94"/>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小庄村</w:t>
            </w:r>
          </w:p>
        </w:tc>
        <w:tc>
          <w:tcPr>
            <w:tcW w:w="553" w:type="pct"/>
            <w:vMerge w:val="restar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4</w:t>
            </w:r>
            <w:r>
              <w:rPr>
                <w:rFonts w:cs="Times New Roman"/>
                <w:b w:val="0"/>
                <w:bCs/>
                <w:color w:val="000000" w:themeColor="text1"/>
                <w14:textFill>
                  <w14:solidFill>
                    <w14:schemeClr w14:val="tx1"/>
                  </w14:solidFill>
                </w14:textFill>
              </w:rPr>
              <w:t>7.4</w:t>
            </w:r>
          </w:p>
        </w:tc>
        <w:tc>
          <w:tcPr>
            <w:tcW w:w="342" w:type="pct"/>
            <w:vAlign w:val="center"/>
          </w:tcPr>
          <w:p>
            <w:pPr>
              <w:pStyle w:val="94"/>
              <w:rPr>
                <w:rFonts w:cs="Times New Roman"/>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昼</w:t>
            </w:r>
          </w:p>
        </w:tc>
        <w:tc>
          <w:tcPr>
            <w:tcW w:w="406"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5</w:t>
            </w:r>
            <w:r>
              <w:rPr>
                <w:rFonts w:cs="Times New Roman"/>
                <w:b w:val="0"/>
                <w:bCs/>
                <w:color w:val="000000" w:themeColor="text1"/>
                <w14:textFill>
                  <w14:solidFill>
                    <w14:schemeClr w14:val="tx1"/>
                  </w14:solidFill>
                </w14:textFill>
              </w:rPr>
              <w:t>1</w:t>
            </w:r>
          </w:p>
        </w:tc>
        <w:tc>
          <w:tcPr>
            <w:tcW w:w="895"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5</w:t>
            </w:r>
            <w:r>
              <w:rPr>
                <w:rFonts w:cs="Times New Roman"/>
                <w:b w:val="0"/>
                <w:bCs/>
                <w:color w:val="000000" w:themeColor="text1"/>
                <w14:textFill>
                  <w14:solidFill>
                    <w14:schemeClr w14:val="tx1"/>
                  </w14:solidFill>
                </w14:textFill>
              </w:rPr>
              <w:t>2.6</w:t>
            </w:r>
          </w:p>
        </w:tc>
        <w:tc>
          <w:tcPr>
            <w:tcW w:w="1139" w:type="pct"/>
            <w:vMerge w:val="continue"/>
            <w:vAlign w:val="center"/>
          </w:tcPr>
          <w:p>
            <w:pPr>
              <w:pStyle w:val="94"/>
              <w:rPr>
                <w:rFonts w:cs="Times New Roman"/>
                <w:b w:val="0"/>
                <w:bCs/>
                <w:color w:val="000000" w:themeColor="text1"/>
                <w14:textFill>
                  <w14:solidFill>
                    <w14:schemeClr w14:val="tx1"/>
                  </w14:solidFill>
                </w14:textFill>
              </w:rPr>
            </w:pPr>
          </w:p>
        </w:tc>
        <w:tc>
          <w:tcPr>
            <w:tcW w:w="814" w:type="pct"/>
            <w:vMerge w:val="continue"/>
            <w:vAlign w:val="center"/>
          </w:tcPr>
          <w:p>
            <w:pPr>
              <w:pStyle w:val="94"/>
              <w:rPr>
                <w:rFonts w:cs="Times New Roman"/>
                <w:b w:val="0"/>
                <w:bCs/>
                <w:color w:val="000000" w:themeColor="text1"/>
                <w14:textFill>
                  <w14:solidFill>
                    <w14:schemeClr w14:val="tx1"/>
                  </w14:solidFill>
                </w14:textFill>
              </w:rPr>
            </w:pPr>
          </w:p>
        </w:tc>
        <w:tc>
          <w:tcPr>
            <w:tcW w:w="449" w:type="pct"/>
            <w:vMerge w:val="restart"/>
            <w:vAlign w:val="center"/>
          </w:tcPr>
          <w:p>
            <w:pPr>
              <w:pStyle w:val="94"/>
              <w:rPr>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达标</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28" w:type="dxa"/>
            <w:bottom w:w="0" w:type="dxa"/>
            <w:right w:w="28" w:type="dxa"/>
          </w:tblCellMar>
        </w:tblPrEx>
        <w:trPr>
          <w:trHeight w:val="454" w:hRule="atLeast"/>
        </w:trPr>
        <w:tc>
          <w:tcPr>
            <w:tcW w:w="402" w:type="pct"/>
            <w:vMerge w:val="continue"/>
            <w:vAlign w:val="center"/>
          </w:tcPr>
          <w:p>
            <w:pPr>
              <w:pStyle w:val="94"/>
              <w:rPr>
                <w:b w:val="0"/>
                <w:bCs/>
                <w:color w:val="000000" w:themeColor="text1"/>
                <w14:textFill>
                  <w14:solidFill>
                    <w14:schemeClr w14:val="tx1"/>
                  </w14:solidFill>
                </w14:textFill>
              </w:rPr>
            </w:pPr>
          </w:p>
        </w:tc>
        <w:tc>
          <w:tcPr>
            <w:tcW w:w="553" w:type="pct"/>
            <w:vMerge w:val="continue"/>
            <w:vAlign w:val="center"/>
          </w:tcPr>
          <w:p>
            <w:pPr>
              <w:pStyle w:val="94"/>
              <w:rPr>
                <w:rFonts w:cs="Times New Roman"/>
                <w:b w:val="0"/>
                <w:bCs/>
                <w:color w:val="000000" w:themeColor="text1"/>
                <w14:textFill>
                  <w14:solidFill>
                    <w14:schemeClr w14:val="tx1"/>
                  </w14:solidFill>
                </w14:textFill>
              </w:rPr>
            </w:pPr>
          </w:p>
        </w:tc>
        <w:tc>
          <w:tcPr>
            <w:tcW w:w="342" w:type="pct"/>
            <w:vAlign w:val="center"/>
          </w:tcPr>
          <w:p>
            <w:pPr>
              <w:pStyle w:val="94"/>
              <w:rPr>
                <w:rFonts w:cs="Times New Roman"/>
                <w:b w:val="0"/>
                <w:bCs/>
                <w:color w:val="000000" w:themeColor="text1"/>
                <w14:textFill>
                  <w14:solidFill>
                    <w14:schemeClr w14:val="tx1"/>
                  </w14:solidFill>
                </w14:textFill>
              </w:rPr>
            </w:pPr>
            <w:r>
              <w:rPr>
                <w:rFonts w:hint="eastAsia"/>
                <w:b w:val="0"/>
                <w:bCs/>
                <w:color w:val="000000" w:themeColor="text1"/>
                <w14:textFill>
                  <w14:solidFill>
                    <w14:schemeClr w14:val="tx1"/>
                  </w14:solidFill>
                </w14:textFill>
              </w:rPr>
              <w:t>夜</w:t>
            </w:r>
          </w:p>
        </w:tc>
        <w:tc>
          <w:tcPr>
            <w:tcW w:w="406"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4</w:t>
            </w:r>
            <w:r>
              <w:rPr>
                <w:rFonts w:cs="Times New Roman"/>
                <w:b w:val="0"/>
                <w:bCs/>
                <w:color w:val="000000" w:themeColor="text1"/>
                <w14:textFill>
                  <w14:solidFill>
                    <w14:schemeClr w14:val="tx1"/>
                  </w14:solidFill>
                </w14:textFill>
              </w:rPr>
              <w:t>1</w:t>
            </w:r>
          </w:p>
        </w:tc>
        <w:tc>
          <w:tcPr>
            <w:tcW w:w="895" w:type="pct"/>
            <w:vAlign w:val="center"/>
          </w:tcPr>
          <w:p>
            <w:pPr>
              <w:pStyle w:val="94"/>
              <w:rPr>
                <w:rFonts w:cs="Times New Roman"/>
                <w:b w:val="0"/>
                <w:bCs/>
                <w:color w:val="000000" w:themeColor="text1"/>
                <w14:textFill>
                  <w14:solidFill>
                    <w14:schemeClr w14:val="tx1"/>
                  </w14:solidFill>
                </w14:textFill>
              </w:rPr>
            </w:pPr>
            <w:r>
              <w:rPr>
                <w:rFonts w:hint="eastAsia" w:cs="Times New Roman"/>
                <w:b w:val="0"/>
                <w:bCs/>
                <w:color w:val="000000" w:themeColor="text1"/>
                <w14:textFill>
                  <w14:solidFill>
                    <w14:schemeClr w14:val="tx1"/>
                  </w14:solidFill>
                </w14:textFill>
              </w:rPr>
              <w:t>4</w:t>
            </w:r>
            <w:r>
              <w:rPr>
                <w:rFonts w:cs="Times New Roman"/>
                <w:b w:val="0"/>
                <w:bCs/>
                <w:color w:val="000000" w:themeColor="text1"/>
                <w14:textFill>
                  <w14:solidFill>
                    <w14:schemeClr w14:val="tx1"/>
                  </w14:solidFill>
                </w14:textFill>
              </w:rPr>
              <w:t>8.3</w:t>
            </w:r>
          </w:p>
        </w:tc>
        <w:tc>
          <w:tcPr>
            <w:tcW w:w="1139" w:type="pct"/>
            <w:vMerge w:val="continue"/>
            <w:vAlign w:val="center"/>
          </w:tcPr>
          <w:p>
            <w:pPr>
              <w:pStyle w:val="94"/>
              <w:rPr>
                <w:rFonts w:cs="Times New Roman"/>
                <w:b w:val="0"/>
                <w:bCs/>
                <w:color w:val="000000" w:themeColor="text1"/>
                <w14:textFill>
                  <w14:solidFill>
                    <w14:schemeClr w14:val="tx1"/>
                  </w14:solidFill>
                </w14:textFill>
              </w:rPr>
            </w:pPr>
          </w:p>
        </w:tc>
        <w:tc>
          <w:tcPr>
            <w:tcW w:w="814" w:type="pct"/>
            <w:vMerge w:val="continue"/>
            <w:vAlign w:val="center"/>
          </w:tcPr>
          <w:p>
            <w:pPr>
              <w:pStyle w:val="94"/>
              <w:rPr>
                <w:b w:val="0"/>
                <w:bCs/>
                <w:color w:val="000000" w:themeColor="text1"/>
                <w14:textFill>
                  <w14:solidFill>
                    <w14:schemeClr w14:val="tx1"/>
                  </w14:solidFill>
                </w14:textFill>
              </w:rPr>
            </w:pPr>
          </w:p>
        </w:tc>
        <w:tc>
          <w:tcPr>
            <w:tcW w:w="449" w:type="pct"/>
            <w:vMerge w:val="continue"/>
            <w:vAlign w:val="center"/>
          </w:tcPr>
          <w:p>
            <w:pPr>
              <w:pStyle w:val="94"/>
              <w:rPr>
                <w:b w:val="0"/>
                <w:bCs/>
                <w:color w:val="000000" w:themeColor="text1"/>
                <w14:textFill>
                  <w14:solidFill>
                    <w14:schemeClr w14:val="tx1"/>
                  </w14:solidFill>
                </w14:textFill>
              </w:rPr>
            </w:pPr>
          </w:p>
        </w:tc>
      </w:tr>
    </w:tbl>
    <w:p>
      <w:pPr>
        <w:spacing w:line="560" w:lineRule="exact"/>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由上表可以看出：</w:t>
      </w:r>
      <w:r>
        <w:rPr>
          <w:color w:val="000000" w:themeColor="text1"/>
          <w:sz w:val="24"/>
          <w:szCs w:val="24"/>
          <w14:textFill>
            <w14:solidFill>
              <w14:schemeClr w14:val="tx1"/>
            </w14:solidFill>
          </w14:textFill>
        </w:rPr>
        <w:t>本工程完成后，噪声</w:t>
      </w:r>
      <w:r>
        <w:rPr>
          <w:rFonts w:hint="eastAsia"/>
          <w:color w:val="000000" w:themeColor="text1"/>
          <w:sz w:val="24"/>
          <w:szCs w:val="24"/>
          <w14:textFill>
            <w14:solidFill>
              <w14:schemeClr w14:val="tx1"/>
            </w14:solidFill>
          </w14:textFill>
        </w:rPr>
        <w:t>叠加现状值后北、西、南厂界预测</w:t>
      </w:r>
      <w:r>
        <w:rPr>
          <w:color w:val="000000" w:themeColor="text1"/>
          <w:sz w:val="24"/>
          <w:szCs w:val="24"/>
          <w14:textFill>
            <w14:solidFill>
              <w14:schemeClr w14:val="tx1"/>
            </w14:solidFill>
          </w14:textFill>
        </w:rPr>
        <w:t>值均能达到</w:t>
      </w:r>
      <w:r>
        <w:rPr>
          <w:rFonts w:hint="eastAsia"/>
          <w:color w:val="000000" w:themeColor="text1"/>
          <w:sz w:val="24"/>
          <w:szCs w:val="24"/>
          <w14:textFill>
            <w14:solidFill>
              <w14:schemeClr w14:val="tx1"/>
            </w14:solidFill>
          </w14:textFill>
        </w:rPr>
        <w:t>《声环境质量标准》（</w:t>
      </w:r>
      <w:r>
        <w:rPr>
          <w:color w:val="000000" w:themeColor="text1"/>
          <w:sz w:val="24"/>
          <w:szCs w:val="24"/>
          <w14:textFill>
            <w14:solidFill>
              <w14:schemeClr w14:val="tx1"/>
            </w14:solidFill>
          </w14:textFill>
        </w:rPr>
        <w:t>GB3096</w:t>
      </w:r>
      <w:r>
        <w:rPr>
          <w:rFonts w:hint="eastAsia"/>
          <w:color w:val="000000" w:themeColor="text1"/>
          <w:sz w:val="24"/>
          <w:szCs w:val="24"/>
          <w14:textFill>
            <w14:solidFill>
              <w14:schemeClr w14:val="tx1"/>
            </w14:solidFill>
          </w14:textFill>
        </w:rPr>
        <w:t>-2008）</w:t>
      </w:r>
      <w:r>
        <w:rPr>
          <w:color w:val="000000" w:themeColor="text1"/>
          <w:sz w:val="24"/>
          <w:szCs w:val="24"/>
          <w14:textFill>
            <w14:solidFill>
              <w14:schemeClr w14:val="tx1"/>
            </w14:solidFill>
          </w14:textFill>
        </w:rPr>
        <w:t>3类昼间65dB(A)、夜间55dB(A)</w:t>
      </w:r>
      <w:r>
        <w:rPr>
          <w:rFonts w:hint="eastAsia"/>
          <w:color w:val="000000" w:themeColor="text1"/>
          <w:sz w:val="24"/>
          <w:szCs w:val="24"/>
          <w14:textFill>
            <w14:solidFill>
              <w14:schemeClr w14:val="tx1"/>
            </w14:solidFill>
          </w14:textFill>
        </w:rPr>
        <w:t>的</w:t>
      </w:r>
      <w:r>
        <w:rPr>
          <w:color w:val="000000" w:themeColor="text1"/>
          <w:sz w:val="24"/>
          <w:szCs w:val="24"/>
          <w14:textFill>
            <w14:solidFill>
              <w14:schemeClr w14:val="tx1"/>
            </w14:solidFill>
          </w14:textFill>
        </w:rPr>
        <w:t>标准要求</w:t>
      </w:r>
      <w:r>
        <w:rPr>
          <w:rFonts w:hint="eastAsia"/>
          <w:color w:val="000000" w:themeColor="text1"/>
          <w:sz w:val="24"/>
          <w:szCs w:val="24"/>
          <w14:textFill>
            <w14:solidFill>
              <w14:schemeClr w14:val="tx1"/>
            </w14:solidFill>
          </w14:textFill>
        </w:rPr>
        <w:t>，东厂界和距项目较近的敏感点小庄村</w:t>
      </w:r>
      <w:r>
        <w:rPr>
          <w:color w:val="000000" w:themeColor="text1"/>
          <w:sz w:val="24"/>
          <w:szCs w:val="24"/>
          <w14:textFill>
            <w14:solidFill>
              <w14:schemeClr w14:val="tx1"/>
            </w14:solidFill>
          </w14:textFill>
        </w:rPr>
        <w:t>预测值</w:t>
      </w:r>
      <w:r>
        <w:rPr>
          <w:rFonts w:hint="eastAsia"/>
          <w:color w:val="000000" w:themeColor="text1"/>
          <w:sz w:val="24"/>
          <w:szCs w:val="24"/>
          <w14:textFill>
            <w14:solidFill>
              <w14:schemeClr w14:val="tx1"/>
            </w14:solidFill>
          </w14:textFill>
        </w:rPr>
        <w:t>均</w:t>
      </w:r>
      <w:r>
        <w:rPr>
          <w:color w:val="000000" w:themeColor="text1"/>
          <w:sz w:val="24"/>
          <w:szCs w:val="24"/>
          <w14:textFill>
            <w14:solidFill>
              <w14:schemeClr w14:val="tx1"/>
            </w14:solidFill>
          </w14:textFill>
        </w:rPr>
        <w:t>能满足</w:t>
      </w:r>
      <w:r>
        <w:rPr>
          <w:rFonts w:hint="eastAsia"/>
          <w:color w:val="000000" w:themeColor="text1"/>
          <w:sz w:val="24"/>
          <w:szCs w:val="24"/>
          <w14:textFill>
            <w14:solidFill>
              <w14:schemeClr w14:val="tx1"/>
            </w14:solidFill>
          </w14:textFill>
        </w:rPr>
        <w:t>《</w:t>
      </w:r>
      <w:r>
        <w:rPr>
          <w:rFonts w:hint="eastAsia"/>
          <w:sz w:val="24"/>
        </w:rPr>
        <w:t>声环境质量标准》（</w:t>
      </w:r>
      <w:r>
        <w:rPr>
          <w:sz w:val="24"/>
        </w:rPr>
        <w:t>GB3096</w:t>
      </w:r>
      <w:r>
        <w:rPr>
          <w:rFonts w:hint="eastAsia"/>
          <w:sz w:val="24"/>
        </w:rPr>
        <w:t>-2008）2类</w:t>
      </w:r>
      <w:r>
        <w:rPr>
          <w:sz w:val="24"/>
        </w:rPr>
        <w:t>昼间60dB(A)、夜间50dB(A)</w:t>
      </w:r>
      <w:r>
        <w:rPr>
          <w:color w:val="000000" w:themeColor="text1"/>
          <w:sz w:val="24"/>
          <w:szCs w:val="24"/>
          <w14:textFill>
            <w14:solidFill>
              <w14:schemeClr w14:val="tx1"/>
            </w14:solidFill>
          </w14:textFill>
        </w:rPr>
        <w:t>的标准要求</w:t>
      </w:r>
      <w:r>
        <w:rPr>
          <w:color w:val="000000" w:themeColor="text1"/>
          <w:spacing w:val="-2"/>
          <w:sz w:val="24"/>
          <w14:textFill>
            <w14:solidFill>
              <w14:schemeClr w14:val="tx1"/>
            </w14:solidFill>
          </w14:textFill>
        </w:rPr>
        <w:t>。</w:t>
      </w:r>
    </w:p>
    <w:p>
      <w:pPr>
        <w:spacing w:line="560" w:lineRule="exact"/>
        <w:ind w:firstLine="472" w:firstLineChars="200"/>
        <w:rPr>
          <w:color w:val="000000" w:themeColor="text1"/>
          <w:sz w:val="24"/>
          <w:szCs w:val="24"/>
          <w:highlight w:val="yellow"/>
          <w14:textFill>
            <w14:solidFill>
              <w14:schemeClr w14:val="tx1"/>
            </w14:solidFill>
          </w14:textFill>
        </w:rPr>
      </w:pPr>
      <w:r>
        <w:rPr>
          <w:color w:val="000000" w:themeColor="text1"/>
          <w:spacing w:val="-2"/>
          <w:sz w:val="24"/>
          <w14:textFill>
            <w14:solidFill>
              <w14:schemeClr w14:val="tx1"/>
            </w14:solidFill>
          </w14:textFill>
        </w:rPr>
        <w:t>评价建议企业在厂区内和各厂界多种植高大的乔木绿化带，增加绿化面积，进一步减弱厂界噪声值。</w:t>
      </w:r>
    </w:p>
    <w:p>
      <w:pPr>
        <w:pStyle w:val="547"/>
        <w:rPr>
          <w:color w:val="000000" w:themeColor="text1"/>
          <w14:textFill>
            <w14:solidFill>
              <w14:schemeClr w14:val="tx1"/>
            </w14:solidFill>
          </w14:textFill>
        </w:rPr>
      </w:pPr>
      <w:bookmarkStart w:id="146" w:name="_Toc25162"/>
      <w:r>
        <w:rPr>
          <w:color w:val="000000" w:themeColor="text1"/>
          <w14:textFill>
            <w14:solidFill>
              <w14:schemeClr w14:val="tx1"/>
            </w14:solidFill>
          </w14:textFill>
        </w:rPr>
        <w:t>5.6 固体废物环境影响分析</w:t>
      </w:r>
      <w:bookmarkEnd w:id="146"/>
    </w:p>
    <w:p>
      <w:pPr>
        <w:pStyle w:val="727"/>
        <w:rPr>
          <w:color w:val="000000" w:themeColor="text1"/>
          <w14:textFill>
            <w14:solidFill>
              <w14:schemeClr w14:val="tx1"/>
            </w14:solidFill>
          </w14:textFill>
        </w:rPr>
      </w:pPr>
      <w:r>
        <w:rPr>
          <w:color w:val="000000" w:themeColor="text1"/>
          <w14:textFill>
            <w14:solidFill>
              <w14:schemeClr w14:val="tx1"/>
            </w14:solidFill>
          </w14:textFill>
        </w:rPr>
        <w:t>5.6.1 本项目固废产生情况</w:t>
      </w:r>
    </w:p>
    <w:p>
      <w:pPr>
        <w:spacing w:line="560" w:lineRule="exact"/>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本工程的固废</w:t>
      </w:r>
      <w:r>
        <w:rPr>
          <w:rFonts w:hint="eastAsia"/>
          <w:color w:val="000000" w:themeColor="text1"/>
          <w:spacing w:val="-2"/>
          <w:sz w:val="24"/>
          <w14:textFill>
            <w14:solidFill>
              <w14:schemeClr w14:val="tx1"/>
            </w14:solidFill>
          </w14:textFill>
        </w:rPr>
        <w:t>主要为</w:t>
      </w:r>
      <w:r>
        <w:rPr>
          <w:color w:val="000000" w:themeColor="text1"/>
          <w:spacing w:val="-2"/>
          <w:sz w:val="24"/>
          <w14:textFill>
            <w14:solidFill>
              <w14:schemeClr w14:val="tx1"/>
            </w14:solidFill>
          </w14:textFill>
        </w:rPr>
        <w:t>一般固废</w:t>
      </w:r>
      <w:r>
        <w:rPr>
          <w:rFonts w:hint="eastAsia"/>
          <w:color w:val="000000" w:themeColor="text1"/>
          <w:spacing w:val="-2"/>
          <w:sz w:val="24"/>
          <w14:textFill>
            <w14:solidFill>
              <w14:schemeClr w14:val="tx1"/>
            </w14:solidFill>
          </w14:textFill>
        </w:rPr>
        <w:t>，</w:t>
      </w:r>
      <w:r>
        <w:rPr>
          <w:color w:val="000000" w:themeColor="text1"/>
          <w:spacing w:val="-2"/>
          <w:sz w:val="24"/>
          <w:szCs w:val="24"/>
          <w14:textFill>
            <w14:solidFill>
              <w14:schemeClr w14:val="tx1"/>
            </w14:solidFill>
          </w14:textFill>
        </w:rPr>
        <w:t>包括</w:t>
      </w:r>
      <w:r>
        <w:rPr>
          <w:rFonts w:hint="eastAsia"/>
          <w:color w:val="000000" w:themeColor="text1"/>
          <w:spacing w:val="-2"/>
          <w:sz w:val="24"/>
          <w:szCs w:val="24"/>
          <w14:textFill>
            <w14:solidFill>
              <w14:schemeClr w14:val="tx1"/>
            </w14:solidFill>
          </w14:textFill>
        </w:rPr>
        <w:t>废格栅和超微过滤机产生的废渣</w:t>
      </w:r>
      <w:r>
        <w:rPr>
          <w:color w:val="000000" w:themeColor="text1"/>
          <w:spacing w:val="-2"/>
          <w:sz w:val="24"/>
          <w:szCs w:val="24"/>
          <w14:textFill>
            <w14:solidFill>
              <w14:schemeClr w14:val="tx1"/>
            </w14:solidFill>
          </w14:textFill>
        </w:rPr>
        <w:t>、</w:t>
      </w:r>
      <w:r>
        <w:rPr>
          <w:rFonts w:hint="eastAsia"/>
          <w:color w:val="000000" w:themeColor="text1"/>
          <w:spacing w:val="-2"/>
          <w:sz w:val="24"/>
          <w:szCs w:val="24"/>
          <w14:textFill>
            <w14:solidFill>
              <w14:schemeClr w14:val="tx1"/>
            </w14:solidFill>
          </w14:textFill>
        </w:rPr>
        <w:t>污泥脱水后的污泥</w:t>
      </w:r>
      <w:r>
        <w:rPr>
          <w:rFonts w:hint="eastAsia"/>
          <w:color w:val="000000" w:themeColor="text1"/>
          <w:spacing w:val="-2"/>
          <w:sz w:val="24"/>
          <w14:textFill>
            <w14:solidFill>
              <w14:schemeClr w14:val="tx1"/>
            </w14:solidFill>
          </w14:textFill>
        </w:rPr>
        <w:t>等。</w:t>
      </w:r>
      <w:r>
        <w:rPr>
          <w:color w:val="000000" w:themeColor="text1"/>
          <w:spacing w:val="-2"/>
          <w:sz w:val="24"/>
          <w14:textFill>
            <w14:solidFill>
              <w14:schemeClr w14:val="tx1"/>
            </w14:solidFill>
          </w14:textFill>
        </w:rPr>
        <w:t>固废的产生及处理措施详见污染防治措施章节。</w:t>
      </w:r>
    </w:p>
    <w:p>
      <w:pPr>
        <w:pStyle w:val="727"/>
        <w:rPr>
          <w:color w:val="000000" w:themeColor="text1"/>
          <w14:textFill>
            <w14:solidFill>
              <w14:schemeClr w14:val="tx1"/>
            </w14:solidFill>
          </w14:textFill>
        </w:rPr>
      </w:pPr>
      <w:r>
        <w:rPr>
          <w:color w:val="000000" w:themeColor="text1"/>
          <w14:textFill>
            <w14:solidFill>
              <w14:schemeClr w14:val="tx1"/>
            </w14:solidFill>
          </w14:textFill>
        </w:rPr>
        <w:t>5.6.2 固体废物环境影响分析</w:t>
      </w:r>
    </w:p>
    <w:p>
      <w:pPr>
        <w:pStyle w:val="460"/>
      </w:pPr>
      <w:r>
        <w:t>5.6.2.1 固体废物基本情况</w:t>
      </w:r>
    </w:p>
    <w:p>
      <w:pPr>
        <w:widowControl/>
        <w:spacing w:line="500" w:lineRule="exact"/>
        <w:ind w:firstLine="472" w:firstLineChars="200"/>
        <w:textAlignment w:val="center"/>
        <w:rPr>
          <w:color w:val="000000" w:themeColor="text1"/>
          <w:spacing w:val="-2"/>
          <w:sz w:val="24"/>
          <w:szCs w:val="24"/>
          <w14:textFill>
            <w14:solidFill>
              <w14:schemeClr w14:val="tx1"/>
            </w14:solidFill>
          </w14:textFill>
        </w:rPr>
      </w:pPr>
      <w:r>
        <w:rPr>
          <w:color w:val="000000" w:themeColor="text1"/>
          <w:spacing w:val="-2"/>
          <w:sz w:val="24"/>
          <w:szCs w:val="24"/>
          <w14:textFill>
            <w14:solidFill>
              <w14:schemeClr w14:val="tx1"/>
            </w14:solidFill>
          </w14:textFill>
        </w:rPr>
        <w:t>本工程营运期间产生的固废</w:t>
      </w:r>
      <w:r>
        <w:rPr>
          <w:rFonts w:hint="eastAsia"/>
          <w:color w:val="000000" w:themeColor="text1"/>
          <w:spacing w:val="-2"/>
          <w:sz w:val="24"/>
          <w:szCs w:val="24"/>
          <w14:textFill>
            <w14:solidFill>
              <w14:schemeClr w14:val="tx1"/>
            </w14:solidFill>
          </w14:textFill>
        </w:rPr>
        <w:t>主要为</w:t>
      </w:r>
      <w:r>
        <w:rPr>
          <w:color w:val="000000" w:themeColor="text1"/>
          <w:spacing w:val="-2"/>
          <w:sz w:val="24"/>
          <w:szCs w:val="24"/>
          <w14:textFill>
            <w14:solidFill>
              <w14:schemeClr w14:val="tx1"/>
            </w14:solidFill>
          </w14:textFill>
        </w:rPr>
        <w:t>一般固废，固废产生及处置措施见下表。</w:t>
      </w:r>
    </w:p>
    <w:p>
      <w:pPr>
        <w:spacing w:line="520" w:lineRule="exact"/>
        <w:ind w:firstLine="480" w:firstLineChars="200"/>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表5.6-1           本次工程固废产生情况一览表</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4"/>
        <w:gridCol w:w="1562"/>
        <w:gridCol w:w="1136"/>
        <w:gridCol w:w="995"/>
        <w:gridCol w:w="1563"/>
        <w:gridCol w:w="995"/>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pPr>
              <w:spacing w:line="24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894" w:type="pct"/>
            <w:vAlign w:val="center"/>
          </w:tcPr>
          <w:p>
            <w:pPr>
              <w:spacing w:line="240" w:lineRule="exact"/>
              <w:jc w:val="center"/>
              <w:rPr>
                <w:b/>
                <w:bCs/>
                <w:color w:val="000000" w:themeColor="text1"/>
                <w:szCs w:val="21"/>
                <w14:textFill>
                  <w14:solidFill>
                    <w14:schemeClr w14:val="tx1"/>
                  </w14:solidFill>
                </w14:textFill>
              </w:rPr>
            </w:pPr>
            <w:bookmarkStart w:id="147" w:name="_Hlk108421558"/>
            <w:r>
              <w:rPr>
                <w:rFonts w:hint="eastAsia"/>
                <w:b/>
                <w:bCs/>
                <w:color w:val="000000" w:themeColor="text1"/>
                <w:szCs w:val="21"/>
                <w14:textFill>
                  <w14:solidFill>
                    <w14:schemeClr w14:val="tx1"/>
                  </w14:solidFill>
                </w14:textFill>
              </w:rPr>
              <w:t>一般固废</w:t>
            </w:r>
            <w:r>
              <w:rPr>
                <w:b/>
                <w:bCs/>
                <w:color w:val="000000" w:themeColor="text1"/>
                <w:szCs w:val="21"/>
                <w14:textFill>
                  <w14:solidFill>
                    <w14:schemeClr w14:val="tx1"/>
                  </w14:solidFill>
                </w14:textFill>
              </w:rPr>
              <w:t>名称</w:t>
            </w:r>
          </w:p>
        </w:tc>
        <w:tc>
          <w:tcPr>
            <w:tcW w:w="650" w:type="pct"/>
            <w:vAlign w:val="center"/>
          </w:tcPr>
          <w:p>
            <w:pPr>
              <w:spacing w:line="240" w:lineRule="exact"/>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类别代码</w:t>
            </w:r>
          </w:p>
        </w:tc>
        <w:tc>
          <w:tcPr>
            <w:tcW w:w="569" w:type="pct"/>
            <w:vAlign w:val="center"/>
          </w:tcPr>
          <w:p>
            <w:pPr>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产生量t/a</w:t>
            </w:r>
          </w:p>
        </w:tc>
        <w:tc>
          <w:tcPr>
            <w:tcW w:w="894" w:type="pct"/>
            <w:vAlign w:val="center"/>
          </w:tcPr>
          <w:p>
            <w:pPr>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产生工序及装置</w:t>
            </w:r>
          </w:p>
        </w:tc>
        <w:tc>
          <w:tcPr>
            <w:tcW w:w="569" w:type="pct"/>
            <w:vAlign w:val="center"/>
          </w:tcPr>
          <w:p>
            <w:pPr>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产废周期</w:t>
            </w:r>
          </w:p>
        </w:tc>
        <w:tc>
          <w:tcPr>
            <w:tcW w:w="1101" w:type="pct"/>
            <w:vAlign w:val="center"/>
          </w:tcPr>
          <w:p>
            <w:pPr>
              <w:spacing w:line="2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894" w:type="pct"/>
            <w:vAlign w:val="center"/>
          </w:tcPr>
          <w:p>
            <w:pPr>
              <w:spacing w:line="240" w:lineRule="exact"/>
              <w:jc w:val="center"/>
              <w:rPr>
                <w:color w:val="000000" w:themeColor="text1"/>
                <w:szCs w:val="21"/>
                <w:highlight w:val="yellow"/>
                <w14:textFill>
                  <w14:solidFill>
                    <w14:schemeClr w14:val="tx1"/>
                  </w14:solidFill>
                </w14:textFill>
              </w:rPr>
            </w:pPr>
            <w:r>
              <w:rPr>
                <w:rFonts w:hint="eastAsia"/>
                <w:color w:val="000000" w:themeColor="text1"/>
                <w14:textFill>
                  <w14:solidFill>
                    <w14:schemeClr w14:val="tx1"/>
                  </w14:solidFill>
                </w14:textFill>
              </w:rPr>
              <w:t>污泥</w:t>
            </w:r>
          </w:p>
        </w:tc>
        <w:tc>
          <w:tcPr>
            <w:tcW w:w="650" w:type="pct"/>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62-001-62</w:t>
            </w:r>
          </w:p>
        </w:tc>
        <w:tc>
          <w:tcPr>
            <w:tcW w:w="569" w:type="pct"/>
            <w:vAlign w:val="center"/>
          </w:tcPr>
          <w:p>
            <w:pPr>
              <w:spacing w:line="240" w:lineRule="exact"/>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1113.21</w:t>
            </w:r>
          </w:p>
        </w:tc>
        <w:tc>
          <w:tcPr>
            <w:tcW w:w="894" w:type="pct"/>
            <w:vAlign w:val="center"/>
          </w:tcPr>
          <w:p>
            <w:pPr>
              <w:spacing w:line="240" w:lineRule="exact"/>
              <w:jc w:val="center"/>
              <w:rPr>
                <w:color w:val="000000" w:themeColor="text1"/>
                <w:szCs w:val="21"/>
                <w:highlight w:val="yellow"/>
                <w14:textFill>
                  <w14:solidFill>
                    <w14:schemeClr w14:val="tx1"/>
                  </w14:solidFill>
                </w14:textFill>
              </w:rPr>
            </w:pPr>
            <w:r>
              <w:rPr>
                <w:rFonts w:hint="eastAsia"/>
                <w:color w:val="000000" w:themeColor="text1"/>
                <w14:textFill>
                  <w14:solidFill>
                    <w14:schemeClr w14:val="tx1"/>
                  </w14:solidFill>
                </w14:textFill>
              </w:rPr>
              <w:t>污泥脱水</w:t>
            </w:r>
          </w:p>
        </w:tc>
        <w:tc>
          <w:tcPr>
            <w:tcW w:w="569" w:type="pct"/>
            <w:vAlign w:val="center"/>
          </w:tcPr>
          <w:p>
            <w:pPr>
              <w:spacing w:line="240" w:lineRule="exact"/>
              <w:jc w:val="center"/>
              <w:rPr>
                <w:color w:val="000000" w:themeColor="text1"/>
                <w:szCs w:val="21"/>
                <w:highlight w:val="yellow"/>
                <w14:textFill>
                  <w14:solidFill>
                    <w14:schemeClr w14:val="tx1"/>
                  </w14:solidFill>
                </w14:textFill>
              </w:rPr>
            </w:pPr>
            <w:r>
              <w:rPr>
                <w:rFonts w:hint="eastAsia"/>
                <w:color w:val="000000" w:themeColor="text1"/>
                <w14:textFill>
                  <w14:solidFill>
                    <w14:schemeClr w14:val="tx1"/>
                  </w14:solidFill>
                </w14:textFill>
              </w:rPr>
              <w:t>每天</w:t>
            </w:r>
          </w:p>
        </w:tc>
        <w:tc>
          <w:tcPr>
            <w:tcW w:w="1101" w:type="pct"/>
            <w:vAlign w:val="center"/>
          </w:tcPr>
          <w:p>
            <w:pPr>
              <w:spacing w:line="240" w:lineRule="exact"/>
              <w:jc w:val="center"/>
              <w:rPr>
                <w:color w:val="000000" w:themeColor="text1"/>
                <w:szCs w:val="21"/>
                <w:highlight w:val="yellow"/>
                <w14:textFill>
                  <w14:solidFill>
                    <w14:schemeClr w14:val="tx1"/>
                  </w14:solidFill>
                </w14:textFill>
              </w:rPr>
            </w:pPr>
            <w:r>
              <w:rPr>
                <w:rFonts w:hint="eastAsia"/>
              </w:rPr>
              <w:t>污泥暂存间暂存后交由污泥处置单位处置。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Merge w:val="restart"/>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894" w:type="pct"/>
            <w:vAlign w:val="center"/>
          </w:tcPr>
          <w:p>
            <w:pPr>
              <w:spacing w:line="240" w:lineRule="exact"/>
              <w:jc w:val="center"/>
              <w:rPr>
                <w:color w:val="000000" w:themeColor="text1"/>
                <w:szCs w:val="21"/>
                <w:highlight w:val="yellow"/>
                <w14:textFill>
                  <w14:solidFill>
                    <w14:schemeClr w14:val="tx1"/>
                  </w14:solidFill>
                </w14:textFill>
              </w:rPr>
            </w:pPr>
            <w:r>
              <w:rPr>
                <w:rFonts w:hint="eastAsia"/>
                <w:color w:val="000000" w:themeColor="text1"/>
                <w14:textFill>
                  <w14:solidFill>
                    <w14:schemeClr w14:val="tx1"/>
                  </w14:solidFill>
                </w14:textFill>
              </w:rPr>
              <w:t>格</w:t>
            </w:r>
            <w:r>
              <w:rPr>
                <w:color w:val="000000" w:themeColor="text1"/>
                <w14:textFill>
                  <w14:solidFill>
                    <w14:schemeClr w14:val="tx1"/>
                  </w14:solidFill>
                </w14:textFill>
              </w:rPr>
              <w:t>栅渣</w:t>
            </w:r>
          </w:p>
        </w:tc>
        <w:tc>
          <w:tcPr>
            <w:tcW w:w="650" w:type="pct"/>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62-001-99</w:t>
            </w:r>
          </w:p>
        </w:tc>
        <w:tc>
          <w:tcPr>
            <w:tcW w:w="569" w:type="pct"/>
            <w:vAlign w:val="center"/>
          </w:tcPr>
          <w:p>
            <w:pPr>
              <w:spacing w:line="240" w:lineRule="exact"/>
              <w:jc w:val="center"/>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0.08</w:t>
            </w:r>
          </w:p>
        </w:tc>
        <w:tc>
          <w:tcPr>
            <w:tcW w:w="894" w:type="pct"/>
            <w:vMerge w:val="restart"/>
            <w:vAlign w:val="center"/>
          </w:tcPr>
          <w:p>
            <w:pPr>
              <w:spacing w:line="240" w:lineRule="exact"/>
              <w:jc w:val="center"/>
              <w:rPr>
                <w:color w:val="000000" w:themeColor="text1"/>
                <w:szCs w:val="21"/>
                <w:highlight w:val="yellow"/>
                <w14:textFill>
                  <w14:solidFill>
                    <w14:schemeClr w14:val="tx1"/>
                  </w14:solidFill>
                </w14:textFill>
              </w:rPr>
            </w:pPr>
            <w:r>
              <w:rPr>
                <w:rFonts w:hint="eastAsia"/>
                <w:color w:val="000000" w:themeColor="text1"/>
                <w14:textFill>
                  <w14:solidFill>
                    <w14:schemeClr w14:val="tx1"/>
                  </w14:solidFill>
                </w14:textFill>
              </w:rPr>
              <w:t>污水处理站</w:t>
            </w:r>
          </w:p>
        </w:tc>
        <w:tc>
          <w:tcPr>
            <w:tcW w:w="569" w:type="pct"/>
            <w:vAlign w:val="center"/>
          </w:tcPr>
          <w:p>
            <w:pPr>
              <w:spacing w:line="240" w:lineRule="exact"/>
              <w:jc w:val="center"/>
              <w:rPr>
                <w:color w:val="000000" w:themeColor="text1"/>
                <w:szCs w:val="21"/>
                <w:highlight w:val="yellow"/>
                <w14:textFill>
                  <w14:solidFill>
                    <w14:schemeClr w14:val="tx1"/>
                  </w14:solidFill>
                </w14:textFill>
              </w:rPr>
            </w:pPr>
            <w:r>
              <w:rPr>
                <w:rFonts w:hint="eastAsia"/>
                <w:color w:val="000000" w:themeColor="text1"/>
                <w14:textFill>
                  <w14:solidFill>
                    <w14:schemeClr w14:val="tx1"/>
                  </w14:solidFill>
                </w14:textFill>
              </w:rPr>
              <w:t>每天</w:t>
            </w:r>
          </w:p>
        </w:tc>
        <w:tc>
          <w:tcPr>
            <w:tcW w:w="1101" w:type="pct"/>
            <w:vMerge w:val="restart"/>
            <w:vAlign w:val="center"/>
          </w:tcPr>
          <w:p>
            <w:pPr>
              <w:spacing w:line="240" w:lineRule="exact"/>
              <w:jc w:val="center"/>
              <w:rPr>
                <w:color w:val="000000" w:themeColor="text1"/>
                <w:szCs w:val="21"/>
                <w:highlight w:val="yellow"/>
                <w14:textFill>
                  <w14:solidFill>
                    <w14:schemeClr w14:val="tx1"/>
                  </w14:solidFill>
                </w14:textFill>
              </w:rPr>
            </w:pPr>
            <w:r>
              <w:rPr>
                <w:rFonts w:hint="eastAsia"/>
              </w:rPr>
              <w:t>一般固废间暂存后经垃圾车拉走。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 w:type="pct"/>
            <w:vMerge w:val="continue"/>
            <w:vAlign w:val="center"/>
          </w:tcPr>
          <w:p>
            <w:pPr>
              <w:spacing w:line="240" w:lineRule="exact"/>
              <w:jc w:val="center"/>
              <w:rPr>
                <w:color w:val="000000" w:themeColor="text1"/>
                <w:szCs w:val="21"/>
                <w14:textFill>
                  <w14:solidFill>
                    <w14:schemeClr w14:val="tx1"/>
                  </w14:solidFill>
                </w14:textFill>
              </w:rPr>
            </w:pPr>
          </w:p>
        </w:tc>
        <w:tc>
          <w:tcPr>
            <w:tcW w:w="894" w:type="pct"/>
            <w:vAlign w:val="center"/>
          </w:tcPr>
          <w:p>
            <w:pPr>
              <w:spacing w:line="240" w:lineRule="exact"/>
              <w:jc w:val="center"/>
              <w:rPr>
                <w:color w:val="000000" w:themeColor="text1"/>
                <w:szCs w:val="21"/>
                <w:highlight w:val="yellow"/>
                <w14:textFill>
                  <w14:solidFill>
                    <w14:schemeClr w14:val="tx1"/>
                  </w14:solidFill>
                </w14:textFill>
              </w:rPr>
            </w:pPr>
            <w:r>
              <w:rPr>
                <w:rFonts w:hint="eastAsia"/>
                <w:color w:val="000000" w:themeColor="text1"/>
                <w14:textFill>
                  <w14:solidFill>
                    <w14:schemeClr w14:val="tx1"/>
                  </w14:solidFill>
                </w14:textFill>
              </w:rPr>
              <w:t>过滤废渣</w:t>
            </w:r>
          </w:p>
        </w:tc>
        <w:tc>
          <w:tcPr>
            <w:tcW w:w="650" w:type="pct"/>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62-001-99</w:t>
            </w:r>
          </w:p>
        </w:tc>
        <w:tc>
          <w:tcPr>
            <w:tcW w:w="569" w:type="pct"/>
            <w:vAlign w:val="center"/>
          </w:tcPr>
          <w:p>
            <w:pPr>
              <w:spacing w:line="240" w:lineRule="exact"/>
              <w:jc w:val="center"/>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30.75</w:t>
            </w:r>
          </w:p>
        </w:tc>
        <w:tc>
          <w:tcPr>
            <w:tcW w:w="894" w:type="pct"/>
            <w:vMerge w:val="continue"/>
            <w:vAlign w:val="center"/>
          </w:tcPr>
          <w:p>
            <w:pPr>
              <w:spacing w:line="240" w:lineRule="exact"/>
              <w:jc w:val="center"/>
              <w:rPr>
                <w:color w:val="000000" w:themeColor="text1"/>
                <w:szCs w:val="21"/>
                <w:highlight w:val="yellow"/>
                <w14:textFill>
                  <w14:solidFill>
                    <w14:schemeClr w14:val="tx1"/>
                  </w14:solidFill>
                </w14:textFill>
              </w:rPr>
            </w:pPr>
          </w:p>
        </w:tc>
        <w:tc>
          <w:tcPr>
            <w:tcW w:w="569" w:type="pct"/>
            <w:vAlign w:val="center"/>
          </w:tcPr>
          <w:p>
            <w:pPr>
              <w:spacing w:line="240" w:lineRule="exact"/>
              <w:jc w:val="center"/>
              <w:rPr>
                <w:color w:val="000000" w:themeColor="text1"/>
                <w:szCs w:val="21"/>
                <w:highlight w:val="yellow"/>
                <w14:textFill>
                  <w14:solidFill>
                    <w14:schemeClr w14:val="tx1"/>
                  </w14:solidFill>
                </w14:textFill>
              </w:rPr>
            </w:pPr>
            <w:r>
              <w:rPr>
                <w:rFonts w:hint="eastAsia"/>
                <w:color w:val="000000" w:themeColor="text1"/>
                <w14:textFill>
                  <w14:solidFill>
                    <w14:schemeClr w14:val="tx1"/>
                  </w14:solidFill>
                </w14:textFill>
              </w:rPr>
              <w:t>每天</w:t>
            </w:r>
          </w:p>
        </w:tc>
        <w:tc>
          <w:tcPr>
            <w:tcW w:w="1101" w:type="pct"/>
            <w:vMerge w:val="continue"/>
            <w:vAlign w:val="center"/>
          </w:tcPr>
          <w:p>
            <w:pPr>
              <w:spacing w:line="240" w:lineRule="exact"/>
              <w:jc w:val="center"/>
              <w:rPr>
                <w:color w:val="000000" w:themeColor="text1"/>
                <w:szCs w:val="21"/>
                <w:highlight w:val="yellow"/>
                <w14:textFill>
                  <w14:solidFill>
                    <w14:schemeClr w14:val="tx1"/>
                  </w14:solidFill>
                </w14:textFill>
              </w:rPr>
            </w:pPr>
          </w:p>
        </w:tc>
      </w:tr>
      <w:bookmarkEnd w:id="147"/>
    </w:tbl>
    <w:p>
      <w:pPr>
        <w:pStyle w:val="460"/>
      </w:pPr>
      <w:r>
        <w:t>5.6.2.2 一般固废管理措施</w:t>
      </w:r>
    </w:p>
    <w:p>
      <w:pPr>
        <w:widowControl/>
        <w:spacing w:line="500" w:lineRule="exact"/>
        <w:ind w:firstLine="480" w:firstLineChars="200"/>
        <w:textAlignment w:val="center"/>
        <w:rPr>
          <w:color w:val="000000" w:themeColor="text1"/>
          <w:spacing w:val="-2"/>
          <w:sz w:val="24"/>
          <w:szCs w:val="24"/>
          <w:highlight w:val="yellow"/>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拟在厂</w:t>
      </w:r>
      <w:r>
        <w:rPr>
          <w:rFonts w:hint="eastAsia"/>
          <w:color w:val="000000" w:themeColor="text1"/>
          <w:sz w:val="24"/>
          <w:szCs w:val="24"/>
          <w14:textFill>
            <w14:solidFill>
              <w14:schemeClr w14:val="tx1"/>
            </w14:solidFill>
          </w14:textFill>
        </w:rPr>
        <w:t>区建设</w:t>
      </w:r>
      <w:r>
        <w:rPr>
          <w:color w:val="000000" w:themeColor="text1"/>
          <w:sz w:val="24"/>
          <w:szCs w:val="24"/>
          <w14:textFill>
            <w14:solidFill>
              <w14:schemeClr w14:val="tx1"/>
            </w14:solidFill>
          </w14:textFill>
        </w:rPr>
        <w:t>1座15m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的</w:t>
      </w:r>
      <w:r>
        <w:rPr>
          <w:rFonts w:hint="eastAsia"/>
          <w:color w:val="000000" w:themeColor="text1"/>
          <w:sz w:val="24"/>
          <w:szCs w:val="24"/>
          <w14:textFill>
            <w14:solidFill>
              <w14:schemeClr w14:val="tx1"/>
            </w14:solidFill>
          </w14:textFill>
        </w:rPr>
        <w:t>污泥暂存间</w:t>
      </w:r>
      <w:r>
        <w:rPr>
          <w:color w:val="000000" w:themeColor="text1"/>
          <w:sz w:val="24"/>
          <w:szCs w:val="24"/>
          <w14:textFill>
            <w14:solidFill>
              <w14:schemeClr w14:val="tx1"/>
            </w14:solidFill>
          </w14:textFill>
        </w:rPr>
        <w:t>和15m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的</w:t>
      </w:r>
      <w:r>
        <w:rPr>
          <w:rFonts w:hint="eastAsia"/>
          <w:color w:val="000000" w:themeColor="text1"/>
          <w:sz w:val="24"/>
          <w:szCs w:val="24"/>
          <w14:textFill>
            <w14:solidFill>
              <w14:schemeClr w14:val="tx1"/>
            </w14:solidFill>
          </w14:textFill>
        </w:rPr>
        <w:t>一般固废间。评价要求，企业严格按照</w:t>
      </w:r>
      <w:r>
        <w:rPr>
          <w:color w:val="000000" w:themeColor="text1"/>
          <w:spacing w:val="-2"/>
          <w:sz w:val="24"/>
          <w:szCs w:val="24"/>
          <w14:textFill>
            <w14:solidFill>
              <w14:schemeClr w14:val="tx1"/>
            </w14:solidFill>
          </w14:textFill>
        </w:rPr>
        <w:t>《一般工业固体废物贮存和填埋污染控制标准》（GB18599-2020）</w:t>
      </w:r>
      <w:r>
        <w:rPr>
          <w:rFonts w:hint="eastAsia"/>
          <w:color w:val="000000" w:themeColor="text1"/>
          <w:spacing w:val="-2"/>
          <w:sz w:val="24"/>
          <w:szCs w:val="24"/>
          <w14:textFill>
            <w14:solidFill>
              <w14:schemeClr w14:val="tx1"/>
            </w14:solidFill>
          </w14:textFill>
        </w:rPr>
        <w:t>进行建设，并采取</w:t>
      </w:r>
      <w:r>
        <w:rPr>
          <w:color w:val="000000" w:themeColor="text1"/>
          <w:spacing w:val="-2"/>
          <w:sz w:val="24"/>
          <w:szCs w:val="24"/>
          <w14:textFill>
            <w14:solidFill>
              <w14:schemeClr w14:val="tx1"/>
            </w14:solidFill>
          </w14:textFill>
        </w:rPr>
        <w:t>防渗漏、防雨淋、防扬尘</w:t>
      </w:r>
      <w:r>
        <w:rPr>
          <w:rFonts w:hint="eastAsia"/>
          <w:color w:val="000000" w:themeColor="text1"/>
          <w:spacing w:val="-2"/>
          <w:sz w:val="24"/>
          <w:szCs w:val="24"/>
          <w14:textFill>
            <w14:solidFill>
              <w14:schemeClr w14:val="tx1"/>
            </w14:solidFill>
          </w14:textFill>
        </w:rPr>
        <w:t>等</w:t>
      </w:r>
      <w:r>
        <w:rPr>
          <w:color w:val="000000" w:themeColor="text1"/>
          <w:spacing w:val="-2"/>
          <w:sz w:val="24"/>
          <w:szCs w:val="24"/>
          <w14:textFill>
            <w14:solidFill>
              <w14:schemeClr w14:val="tx1"/>
            </w14:solidFill>
          </w14:textFill>
        </w:rPr>
        <w:t>措施，满足</w:t>
      </w:r>
      <w:r>
        <w:rPr>
          <w:rFonts w:hint="eastAsia"/>
          <w:color w:val="000000" w:themeColor="text1"/>
          <w:spacing w:val="-2"/>
          <w:sz w:val="24"/>
          <w:szCs w:val="24"/>
          <w14:textFill>
            <w14:solidFill>
              <w14:schemeClr w14:val="tx1"/>
            </w14:solidFill>
          </w14:textFill>
        </w:rPr>
        <w:t>相应的</w:t>
      </w:r>
      <w:r>
        <w:rPr>
          <w:color w:val="000000" w:themeColor="text1"/>
          <w:spacing w:val="-2"/>
          <w:sz w:val="24"/>
          <w:szCs w:val="24"/>
          <w14:textFill>
            <w14:solidFill>
              <w14:schemeClr w14:val="tx1"/>
            </w14:solidFill>
          </w14:textFill>
        </w:rPr>
        <w:t>环境保护要求。</w:t>
      </w:r>
    </w:p>
    <w:p>
      <w:pPr>
        <w:spacing w:line="520" w:lineRule="exact"/>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综上所述，本工程固废能够有效利用或合理处置，并采取相应的固废污染防治措施，预计不会对周边环境产生明显的不良影响。</w:t>
      </w:r>
    </w:p>
    <w:p>
      <w:pPr>
        <w:pStyle w:val="547"/>
        <w:rPr>
          <w:color w:val="000000" w:themeColor="text1"/>
          <w14:textFill>
            <w14:solidFill>
              <w14:schemeClr w14:val="tx1"/>
            </w14:solidFill>
          </w14:textFill>
        </w:rPr>
      </w:pPr>
      <w:bookmarkStart w:id="148" w:name="_Toc9520"/>
      <w:r>
        <w:rPr>
          <w:color w:val="000000" w:themeColor="text1"/>
          <w14:textFill>
            <w14:solidFill>
              <w14:schemeClr w14:val="tx1"/>
            </w14:solidFill>
          </w14:textFill>
        </w:rPr>
        <w:t>5.7 土壤环境影响分析</w:t>
      </w:r>
      <w:bookmarkEnd w:id="148"/>
    </w:p>
    <w:p>
      <w:pPr>
        <w:pStyle w:val="727"/>
        <w:rPr>
          <w:color w:val="000000" w:themeColor="text1"/>
          <w14:textFill>
            <w14:solidFill>
              <w14:schemeClr w14:val="tx1"/>
            </w14:solidFill>
          </w14:textFill>
        </w:rPr>
      </w:pPr>
      <w:r>
        <w:rPr>
          <w:color w:val="000000" w:themeColor="text1"/>
          <w14:textFill>
            <w14:solidFill>
              <w14:schemeClr w14:val="tx1"/>
            </w14:solidFill>
          </w14:textFill>
        </w:rPr>
        <w:t>5.7.1 评价工作等级</w:t>
      </w:r>
    </w:p>
    <w:p>
      <w:pPr>
        <w:spacing w:line="500" w:lineRule="exact"/>
        <w:ind w:firstLine="480"/>
        <w:rPr>
          <w:color w:val="000000" w:themeColor="text1"/>
          <w:sz w:val="24"/>
          <w14:textFill>
            <w14:solidFill>
              <w14:schemeClr w14:val="tx1"/>
            </w14:solidFill>
          </w14:textFill>
        </w:rPr>
      </w:pPr>
      <w:r>
        <w:rPr>
          <w:color w:val="000000" w:themeColor="text1"/>
          <w:sz w:val="24"/>
          <w:szCs w:val="24"/>
          <w14:textFill>
            <w14:solidFill>
              <w14:schemeClr w14:val="tx1"/>
            </w14:solidFill>
          </w14:textFill>
        </w:rPr>
        <w:t>本项目属于污染影响型项目。根据</w:t>
      </w:r>
      <w:r>
        <w:rPr>
          <w:color w:val="000000" w:themeColor="text1"/>
          <w:sz w:val="24"/>
          <w14:textFill>
            <w14:solidFill>
              <w14:schemeClr w14:val="tx1"/>
            </w14:solidFill>
          </w14:textFill>
        </w:rPr>
        <w:t>《环境影响评价技术导则 土壤环境（试行）》（HJ 964-2018），首先识别建设项目所属行业的土壤环境影响评价项目类别，再根据建设项目占地规模及周边土壤环境敏感程度划分土壤评价等级。</w:t>
      </w:r>
    </w:p>
    <w:p>
      <w:pPr>
        <w:pStyle w:val="460"/>
      </w:pPr>
      <w:r>
        <w:t>5.7.1.1 土壤环境影响项目类别</w:t>
      </w:r>
    </w:p>
    <w:p>
      <w:pPr>
        <w:spacing w:line="52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根据《环境影响评价技术导则 土壤环境（试行）》（HJ 964-2018）附录A土壤环境影响评价项目类别，</w:t>
      </w:r>
      <w:r>
        <w:rPr>
          <w:rFonts w:hint="eastAsia"/>
          <w:color w:val="000000" w:themeColor="text1"/>
          <w:sz w:val="24"/>
          <w14:textFill>
            <w14:solidFill>
              <w14:schemeClr w14:val="tx1"/>
            </w14:solidFill>
          </w14:textFill>
        </w:rPr>
        <w:t>属于“电力热力燃气及水生产和供应业中的工业废水处理”，属于</w:t>
      </w:r>
      <w:r>
        <w:rPr>
          <w:color w:val="000000" w:themeColor="text1"/>
          <w:sz w:val="24"/>
          <w14:textFill>
            <w14:solidFill>
              <w14:schemeClr w14:val="tx1"/>
            </w14:solidFill>
          </w14:textFill>
        </w:rPr>
        <w:t>Ⅱ</w:t>
      </w:r>
      <w:r>
        <w:rPr>
          <w:rFonts w:hint="eastAsia"/>
          <w:color w:val="000000" w:themeColor="text1"/>
          <w:sz w:val="24"/>
          <w14:textFill>
            <w14:solidFill>
              <w14:schemeClr w14:val="tx1"/>
            </w14:solidFill>
          </w14:textFill>
        </w:rPr>
        <w:t>类项目。</w:t>
      </w:r>
    </w:p>
    <w:p>
      <w:pPr>
        <w:spacing w:line="520" w:lineRule="exact"/>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土壤环境影响评价项目类别见表5.7-1。</w:t>
      </w:r>
    </w:p>
    <w:p>
      <w:pPr>
        <w:pStyle w:val="632"/>
        <w:rPr>
          <w:color w:val="000000" w:themeColor="text1"/>
          <w14:textFill>
            <w14:solidFill>
              <w14:schemeClr w14:val="tx1"/>
            </w14:solidFill>
          </w14:textFill>
        </w:rPr>
      </w:pPr>
      <w:r>
        <w:rPr>
          <w:color w:val="000000" w:themeColor="text1"/>
          <w14:textFill>
            <w14:solidFill>
              <w14:schemeClr w14:val="tx1"/>
            </w14:solidFill>
          </w14:textFill>
        </w:rPr>
        <w:t>表5.7-1            土壤环境影响评价项目类别</w:t>
      </w:r>
    </w:p>
    <w:tbl>
      <w:tblPr>
        <w:tblStyle w:val="49"/>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237"/>
        <w:gridCol w:w="150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139"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行业类别</w:t>
            </w:r>
          </w:p>
        </w:tc>
        <w:tc>
          <w:tcPr>
            <w:tcW w:w="861" w:type="pct"/>
            <w:tcBorders>
              <w:top w:val="single" w:color="000000" w:sz="6" w:space="0"/>
              <w:left w:val="single" w:color="auto" w:sz="4" w:space="0"/>
              <w:bottom w:val="single" w:color="000000" w:sz="6" w:space="0"/>
              <w:right w:val="single" w:color="auto" w:sz="4" w:space="0"/>
            </w:tcBorders>
            <w:vAlign w:val="center"/>
          </w:tcPr>
          <w:p>
            <w:pPr>
              <w:adjustRightInd w:val="0"/>
              <w:snapToGrid w:val="0"/>
              <w:ind w:left="105" w:hanging="105" w:hangingChar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项目类别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139"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电力热力燃气及水生产和供应业</w:t>
            </w:r>
          </w:p>
        </w:tc>
        <w:tc>
          <w:tcPr>
            <w:tcW w:w="861" w:type="pct"/>
            <w:vMerge w:val="restart"/>
            <w:tcBorders>
              <w:top w:val="single" w:color="000000" w:sz="6" w:space="0"/>
              <w:left w:val="single" w:color="auto" w:sz="4" w:space="0"/>
              <w:bottom w:val="single" w:color="000000" w:sz="6"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Ⅱ类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139" w:type="pct"/>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水力发电；火力发电（燃气发电除外）；矸石、油页岩、石油焦等综合利用发电；工业废水处理；燃气生产</w:t>
            </w:r>
          </w:p>
        </w:tc>
        <w:tc>
          <w:tcPr>
            <w:tcW w:w="861" w:type="pct"/>
            <w:vMerge w:val="continue"/>
            <w:tcBorders>
              <w:top w:val="single" w:color="000000" w:sz="6" w:space="0"/>
              <w:left w:val="single" w:color="auto" w:sz="4" w:space="0"/>
              <w:bottom w:val="single" w:color="000000" w:sz="6" w:space="0"/>
              <w:right w:val="single" w:color="auto" w:sz="4" w:space="0"/>
            </w:tcBorders>
            <w:vAlign w:val="center"/>
          </w:tcPr>
          <w:p>
            <w:pPr>
              <w:widowControl/>
              <w:jc w:val="center"/>
              <w:rPr>
                <w:color w:val="000000" w:themeColor="text1"/>
                <w:szCs w:val="21"/>
                <w14:textFill>
                  <w14:solidFill>
                    <w14:schemeClr w14:val="tx1"/>
                  </w14:solidFill>
                </w14:textFill>
              </w:rPr>
            </w:pPr>
          </w:p>
        </w:tc>
      </w:tr>
    </w:tbl>
    <w:p>
      <w:pPr>
        <w:pStyle w:val="460"/>
      </w:pPr>
      <w:r>
        <w:t>5.7.1.2 占地规模</w:t>
      </w:r>
    </w:p>
    <w:p>
      <w:pPr>
        <w:spacing w:line="520" w:lineRule="exact"/>
        <w:ind w:firstLine="360" w:firstLineChars="15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本项目占地面积约76300平方米，属于5-50hm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范围内，属于中型建设项目。划分依据详见表5.7-2。</w:t>
      </w:r>
    </w:p>
    <w:p>
      <w:pPr>
        <w:pStyle w:val="632"/>
        <w:rPr>
          <w:color w:val="000000" w:themeColor="text1"/>
          <w14:textFill>
            <w14:solidFill>
              <w14:schemeClr w14:val="tx1"/>
            </w14:solidFill>
          </w14:textFill>
        </w:rPr>
      </w:pPr>
      <w:r>
        <w:rPr>
          <w:color w:val="000000" w:themeColor="text1"/>
          <w14:textFill>
            <w14:solidFill>
              <w14:schemeClr w14:val="tx1"/>
            </w14:solidFill>
          </w14:textFill>
        </w:rPr>
        <w:t>表5.7-2                 项目占地规模划分</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2340"/>
        <w:gridCol w:w="2009"/>
        <w:gridCol w:w="2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占地规模划分</w:t>
            </w:r>
          </w:p>
        </w:tc>
        <w:tc>
          <w:tcPr>
            <w:tcW w:w="130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大型</w:t>
            </w:r>
          </w:p>
        </w:tc>
        <w:tc>
          <w:tcPr>
            <w:tcW w:w="11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中型</w:t>
            </w:r>
          </w:p>
        </w:tc>
        <w:tc>
          <w:tcPr>
            <w:tcW w:w="143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面积</w:t>
            </w:r>
          </w:p>
        </w:tc>
        <w:tc>
          <w:tcPr>
            <w:tcW w:w="130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≥50hm</w:t>
            </w:r>
            <w:r>
              <w:rPr>
                <w:color w:val="000000" w:themeColor="text1"/>
                <w:szCs w:val="21"/>
                <w:vertAlign w:val="superscript"/>
                <w14:textFill>
                  <w14:solidFill>
                    <w14:schemeClr w14:val="tx1"/>
                  </w14:solidFill>
                </w14:textFill>
              </w:rPr>
              <w:t>2</w:t>
            </w:r>
          </w:p>
        </w:tc>
        <w:tc>
          <w:tcPr>
            <w:tcW w:w="112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5～50hm</w:t>
            </w:r>
            <w:r>
              <w:rPr>
                <w:color w:val="000000" w:themeColor="text1"/>
                <w:szCs w:val="21"/>
                <w:vertAlign w:val="superscript"/>
                <w14:textFill>
                  <w14:solidFill>
                    <w14:schemeClr w14:val="tx1"/>
                  </w14:solidFill>
                </w14:textFill>
              </w:rPr>
              <w:t>2</w:t>
            </w:r>
          </w:p>
        </w:tc>
        <w:tc>
          <w:tcPr>
            <w:tcW w:w="143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≤5hm</w:t>
            </w:r>
            <w:r>
              <w:rPr>
                <w:color w:val="000000" w:themeColor="text1"/>
                <w:szCs w:val="2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p>
        </w:tc>
        <w:tc>
          <w:tcPr>
            <w:tcW w:w="3865"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本项目占地规模7.63hm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属于5-50hm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范围内，属于中型建设项目。</w:t>
            </w:r>
          </w:p>
        </w:tc>
      </w:tr>
    </w:tbl>
    <w:p>
      <w:pPr>
        <w:pStyle w:val="460"/>
      </w:pPr>
      <w:r>
        <w:t>5.7.1.3 周边土壤敏感程度</w:t>
      </w:r>
    </w:p>
    <w:p>
      <w:pPr>
        <w:spacing w:line="520" w:lineRule="exact"/>
        <w:ind w:firstLine="360" w:firstLineChars="15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建设项目所在地周边的土壤环境敏感程度分为敏感、较敏感、不敏感三级，分级原则见表5.7-3。</w:t>
      </w:r>
    </w:p>
    <w:p>
      <w:pPr>
        <w:pStyle w:val="632"/>
        <w:rPr>
          <w:color w:val="000000" w:themeColor="text1"/>
          <w14:textFill>
            <w14:solidFill>
              <w14:schemeClr w14:val="tx1"/>
            </w14:solidFill>
          </w14:textFill>
        </w:rPr>
      </w:pPr>
      <w:r>
        <w:rPr>
          <w:color w:val="000000" w:themeColor="text1"/>
          <w14:textFill>
            <w14:solidFill>
              <w14:schemeClr w14:val="tx1"/>
            </w14:solidFill>
          </w14:textFill>
        </w:rPr>
        <w:t>表5.7-3              污染影响型敏感程度分级表</w:t>
      </w:r>
    </w:p>
    <w:tbl>
      <w:tblPr>
        <w:tblStyle w:val="4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7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5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敏感程度</w:t>
            </w:r>
          </w:p>
        </w:tc>
        <w:tc>
          <w:tcPr>
            <w:tcW w:w="414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5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敏感</w:t>
            </w:r>
          </w:p>
        </w:tc>
        <w:tc>
          <w:tcPr>
            <w:tcW w:w="414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建设项目周边存在耕地、园地、牧草地、饮用水水源地或居民区、学校、医院、疗养院、养老院等土壤环境敏感目标的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5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较敏感</w:t>
            </w:r>
          </w:p>
        </w:tc>
        <w:tc>
          <w:tcPr>
            <w:tcW w:w="414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建设项目周边存在其他土壤环境敏感目标的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53"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不敏感</w:t>
            </w:r>
          </w:p>
        </w:tc>
        <w:tc>
          <w:tcPr>
            <w:tcW w:w="414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其他情况</w:t>
            </w:r>
          </w:p>
        </w:tc>
      </w:tr>
    </w:tbl>
    <w:p>
      <w:pPr>
        <w:spacing w:line="520" w:lineRule="exact"/>
        <w:ind w:firstLine="360" w:firstLineChars="15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本项目位于</w:t>
      </w:r>
      <w:r>
        <w:rPr>
          <w:rFonts w:hint="eastAsia"/>
          <w:color w:val="000000" w:themeColor="text1"/>
          <w:sz w:val="24"/>
          <w:szCs w:val="24"/>
          <w14:textFill>
            <w14:solidFill>
              <w14:schemeClr w14:val="tx1"/>
            </w14:solidFill>
          </w14:textFill>
        </w:rPr>
        <w:t>原阳县产业集聚区</w:t>
      </w:r>
      <w:r>
        <w:rPr>
          <w:color w:val="000000" w:themeColor="text1"/>
          <w:sz w:val="24"/>
          <w:szCs w:val="24"/>
          <w14:textFill>
            <w14:solidFill>
              <w14:schemeClr w14:val="tx1"/>
            </w14:solidFill>
          </w14:textFill>
        </w:rPr>
        <w:t>，项目</w:t>
      </w:r>
      <w:r>
        <w:rPr>
          <w:rFonts w:hint="eastAsia"/>
          <w:color w:val="000000" w:themeColor="text1"/>
          <w:sz w:val="24"/>
          <w:szCs w:val="24"/>
          <w14:textFill>
            <w14:solidFill>
              <w14:schemeClr w14:val="tx1"/>
            </w14:solidFill>
          </w14:textFill>
        </w:rPr>
        <w:t>及周围用地均</w:t>
      </w:r>
      <w:r>
        <w:rPr>
          <w:color w:val="000000" w:themeColor="text1"/>
          <w:sz w:val="24"/>
          <w:szCs w:val="24"/>
          <w14:textFill>
            <w14:solidFill>
              <w14:schemeClr w14:val="tx1"/>
            </w14:solidFill>
          </w14:textFill>
        </w:rPr>
        <w:t>为规划的工业用地，</w:t>
      </w:r>
      <w:r>
        <w:rPr>
          <w:rFonts w:hint="eastAsia"/>
          <w:color w:val="000000" w:themeColor="text1"/>
          <w:sz w:val="24"/>
          <w:szCs w:val="24"/>
          <w14:textFill>
            <w14:solidFill>
              <w14:schemeClr w14:val="tx1"/>
            </w14:solidFill>
          </w14:textFill>
        </w:rPr>
        <w:t>但考虑</w:t>
      </w: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厂区目前东邻小庄村，</w:t>
      </w:r>
      <w:r>
        <w:rPr>
          <w:color w:val="000000" w:themeColor="text1"/>
          <w:sz w:val="24"/>
          <w:szCs w:val="24"/>
          <w14:textFill>
            <w14:solidFill>
              <w14:schemeClr w14:val="tx1"/>
            </w14:solidFill>
          </w14:textFill>
        </w:rPr>
        <w:t>故</w:t>
      </w:r>
      <w:r>
        <w:rPr>
          <w:rFonts w:hint="eastAsia"/>
          <w:color w:val="000000" w:themeColor="text1"/>
          <w:sz w:val="24"/>
          <w:szCs w:val="24"/>
          <w14:textFill>
            <w14:solidFill>
              <w14:schemeClr w14:val="tx1"/>
            </w14:solidFill>
          </w14:textFill>
        </w:rPr>
        <w:t>将</w:t>
      </w:r>
      <w:r>
        <w:rPr>
          <w:color w:val="000000" w:themeColor="text1"/>
          <w:sz w:val="24"/>
          <w:szCs w:val="24"/>
          <w14:textFill>
            <w14:solidFill>
              <w14:schemeClr w14:val="tx1"/>
            </w14:solidFill>
          </w14:textFill>
        </w:rPr>
        <w:t>项目周边土壤环境敏感程度</w:t>
      </w:r>
      <w:r>
        <w:rPr>
          <w:rFonts w:hint="eastAsia"/>
          <w:color w:val="000000" w:themeColor="text1"/>
          <w:sz w:val="24"/>
          <w:szCs w:val="24"/>
          <w14:textFill>
            <w14:solidFill>
              <w14:schemeClr w14:val="tx1"/>
            </w14:solidFill>
          </w14:textFill>
        </w:rPr>
        <w:t>定</w:t>
      </w:r>
      <w:r>
        <w:rPr>
          <w:color w:val="000000" w:themeColor="text1"/>
          <w:sz w:val="24"/>
          <w:szCs w:val="24"/>
          <w14:textFill>
            <w14:solidFill>
              <w14:schemeClr w14:val="tx1"/>
            </w14:solidFill>
          </w14:textFill>
        </w:rPr>
        <w:t>为“敏感”。</w:t>
      </w:r>
    </w:p>
    <w:p>
      <w:pPr>
        <w:pStyle w:val="460"/>
      </w:pPr>
      <w:r>
        <w:t>5.7.1.4 评价等级判定</w:t>
      </w:r>
    </w:p>
    <w:p>
      <w:pPr>
        <w:spacing w:line="520" w:lineRule="exact"/>
        <w:ind w:firstLine="360" w:firstLineChars="15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根据土壤环境影响评价项目类别、占地规模与敏感程度划分评价工作等级，详见表5.7-4。</w:t>
      </w:r>
    </w:p>
    <w:p>
      <w:pPr>
        <w:spacing w:line="360" w:lineRule="auto"/>
        <w:ind w:firstLine="480" w:firstLineChars="200"/>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表5.7-4          污染影响型项目土壤评价工作等级划分表</w:t>
      </w:r>
    </w:p>
    <w:tbl>
      <w:tblPr>
        <w:tblStyle w:val="4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534"/>
        <w:gridCol w:w="712"/>
        <w:gridCol w:w="712"/>
        <w:gridCol w:w="716"/>
        <w:gridCol w:w="712"/>
        <w:gridCol w:w="712"/>
        <w:gridCol w:w="714"/>
        <w:gridCol w:w="712"/>
        <w:gridCol w:w="712"/>
        <w:gridCol w:w="7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16" w:type="pct"/>
            <w:vMerge w:val="restart"/>
            <w:tcBorders>
              <w:top w:val="single" w:color="auto" w:sz="6" w:space="0"/>
              <w:left w:val="single" w:color="auto" w:sz="6" w:space="0"/>
              <w:bottom w:val="single" w:color="auto" w:sz="6" w:space="0"/>
              <w:right w:val="single" w:color="auto" w:sz="6" w:space="0"/>
            </w:tcBorders>
            <w:vAlign w:val="center"/>
          </w:tcPr>
          <w:p>
            <w:pPr>
              <w:jc w:val="right"/>
              <w:rPr>
                <w:b/>
                <w:color w:val="000000" w:themeColor="text1"/>
                <w:szCs w:val="21"/>
                <w14:textFill>
                  <w14:solidFill>
                    <w14:schemeClr w14:val="tx1"/>
                  </w14:solidFill>
                </w14:textFill>
              </w:rPr>
            </w:pPr>
            <w:r>
              <w:rPr>
                <w:b/>
                <w:color w:val="000000" w:themeColor="text1"/>
                <w:szCs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667385</wp:posOffset>
                      </wp:positionH>
                      <wp:positionV relativeFrom="paragraph">
                        <wp:posOffset>-8255</wp:posOffset>
                      </wp:positionV>
                      <wp:extent cx="819150" cy="598170"/>
                      <wp:effectExtent l="0" t="0" r="19050" b="30480"/>
                      <wp:wrapNone/>
                      <wp:docPr id="33" name="直线 786"/>
                      <wp:cNvGraphicFramePr/>
                      <a:graphic xmlns:a="http://schemas.openxmlformats.org/drawingml/2006/main">
                        <a:graphicData uri="http://schemas.microsoft.com/office/word/2010/wordprocessingShape">
                          <wps:wsp>
                            <wps:cNvCnPr>
                              <a:cxnSpLocks noChangeShapeType="1"/>
                            </wps:cNvCnPr>
                            <wps:spPr bwMode="auto">
                              <a:xfrm>
                                <a:off x="0" y="0"/>
                                <a:ext cx="819150" cy="598170"/>
                              </a:xfrm>
                              <a:prstGeom prst="line">
                                <a:avLst/>
                              </a:prstGeom>
                              <a:noFill/>
                              <a:ln w="6350">
                                <a:solidFill>
                                  <a:srgbClr val="000000"/>
                                </a:solidFill>
                                <a:round/>
                              </a:ln>
                            </wps:spPr>
                            <wps:bodyPr/>
                          </wps:wsp>
                        </a:graphicData>
                      </a:graphic>
                    </wp:anchor>
                  </w:drawing>
                </mc:Choice>
                <mc:Fallback>
                  <w:pict>
                    <v:line id="直线 786" o:spid="_x0000_s1026" o:spt="20" style="position:absolute;left:0pt;margin-left:52.55pt;margin-top:-0.65pt;height:47.1pt;width:64.5pt;z-index:251659264;mso-width-relative:page;mso-height-relative:page;" filled="f" stroked="t" coordsize="21600,21600" o:gfxdata="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RZ0I9YAAAAJAQAADwAAAAAA&#10;AAABACAAAAAiAAAAZHJzL2Rvd25yZXYueG1sUEsBAhQAFAAAAAgAh07iQMjW2o7cAQAAqAMAAA4A&#10;AAAAAAAAAQAgAAAAJQEAAGRycy9lMm9Eb2MueG1sUEsFBgAAAAAGAAYAWQEAAHMFAAAAAA==&#10;">
                      <v:fill on="f" focussize="0,0"/>
                      <v:stroke weight="0.5pt" color="#000000" joinstyle="round"/>
                      <v:imagedata o:title=""/>
                      <o:lock v:ext="edit" aspectratio="f"/>
                    </v:line>
                  </w:pict>
                </mc:Fallback>
              </mc:AlternateContent>
            </w:r>
            <w:r>
              <w:rPr>
                <w:b/>
                <w:color w:val="000000" w:themeColor="text1"/>
                <w:szCs w:val="21"/>
                <w14:textFill>
                  <w14:solidFill>
                    <w14:schemeClr w14:val="tx1"/>
                  </w14:solidFill>
                </w14:textFill>
              </w:rPr>
              <w:t xml:space="preserve">           占地规模</w:t>
            </w:r>
          </w:p>
          <w:p>
            <w:pPr>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-69850</wp:posOffset>
                      </wp:positionH>
                      <wp:positionV relativeFrom="paragraph">
                        <wp:posOffset>73660</wp:posOffset>
                      </wp:positionV>
                      <wp:extent cx="1549400" cy="309880"/>
                      <wp:effectExtent l="0" t="0" r="31750" b="33020"/>
                      <wp:wrapNone/>
                      <wp:docPr id="11" name="Line 105"/>
                      <wp:cNvGraphicFramePr/>
                      <a:graphic xmlns:a="http://schemas.openxmlformats.org/drawingml/2006/main">
                        <a:graphicData uri="http://schemas.microsoft.com/office/word/2010/wordprocessingShape">
                          <wps:wsp>
                            <wps:cNvCnPr>
                              <a:cxnSpLocks noChangeShapeType="1"/>
                            </wps:cNvCnPr>
                            <wps:spPr bwMode="auto">
                              <a:xfrm>
                                <a:off x="0" y="0"/>
                                <a:ext cx="1549400" cy="309880"/>
                              </a:xfrm>
                              <a:prstGeom prst="line">
                                <a:avLst/>
                              </a:prstGeom>
                              <a:noFill/>
                              <a:ln w="6350">
                                <a:solidFill>
                                  <a:srgbClr val="000000"/>
                                </a:solidFill>
                                <a:round/>
                              </a:ln>
                            </wps:spPr>
                            <wps:bodyPr/>
                          </wps:wsp>
                        </a:graphicData>
                      </a:graphic>
                    </wp:anchor>
                  </w:drawing>
                </mc:Choice>
                <mc:Fallback>
                  <w:pict>
                    <v:line id="Line 105" o:spid="_x0000_s1026" o:spt="20" style="position:absolute;left:0pt;margin-left:-5.5pt;margin-top:5.8pt;height:24.4pt;width:122pt;z-index:251660288;mso-width-relative:page;mso-height-relative:page;" filled="f" stroked="t" coordsize="21600,21600" o:gfxdata="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cMvIY1gAAAAkBAAAPAAAAAAAAAAEAIAAAACIA&#10;AABkcnMvZG93bnJldi54bWxQSwECFAAUAAAACACHTuJAWX3Oa9IBAACnAwAADgAAAAAAAAABACAA&#10;AAAlAQAAZHJzL2Uyb0RvYy54bWxQSwUGAAAAAAYABgBZAQAAaQUAAAAA&#10;">
                      <v:fill on="f" focussize="0,0"/>
                      <v:stroke weight="0.5pt" color="#000000" joinstyle="round"/>
                      <v:imagedata o:title=""/>
                      <o:lock v:ext="edit" aspectratio="f"/>
                    </v:line>
                  </w:pict>
                </mc:Fallback>
              </mc:AlternateContent>
            </w:r>
            <w:r>
              <w:rPr>
                <w:b/>
                <w:color w:val="000000" w:themeColor="text1"/>
                <w:szCs w:val="21"/>
                <w14:textFill>
                  <w14:solidFill>
                    <w14:schemeClr w14:val="tx1"/>
                  </w14:solidFill>
                </w14:textFill>
              </w:rPr>
              <w:t>评价工作等级</w:t>
            </w:r>
          </w:p>
          <w:p>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敏感程度</w:t>
            </w:r>
          </w:p>
        </w:tc>
        <w:tc>
          <w:tcPr>
            <w:tcW w:w="1196" w:type="pct"/>
            <w:gridSpan w:val="3"/>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I类</w:t>
            </w:r>
          </w:p>
        </w:tc>
        <w:tc>
          <w:tcPr>
            <w:tcW w:w="1195" w:type="pct"/>
            <w:gridSpan w:val="3"/>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II类</w:t>
            </w:r>
          </w:p>
        </w:tc>
        <w:tc>
          <w:tcPr>
            <w:tcW w:w="1193" w:type="pct"/>
            <w:gridSpan w:val="3"/>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III类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Merge w:val="continue"/>
            <w:tcBorders>
              <w:top w:val="single" w:color="auto" w:sz="6" w:space="0"/>
              <w:left w:val="single" w:color="auto" w:sz="6" w:space="0"/>
              <w:bottom w:val="single" w:color="auto" w:sz="6" w:space="0"/>
              <w:right w:val="single" w:color="auto" w:sz="6" w:space="0"/>
            </w:tcBorders>
            <w:vAlign w:val="center"/>
          </w:tcPr>
          <w:p>
            <w:pPr>
              <w:widowControl/>
              <w:jc w:val="left"/>
              <w:rPr>
                <w:b/>
                <w:color w:val="000000" w:themeColor="text1"/>
                <w:szCs w:val="21"/>
                <w14:textFill>
                  <w14:solidFill>
                    <w14:schemeClr w14:val="tx1"/>
                  </w14:solidFill>
                </w14:textFill>
              </w:rPr>
            </w:pP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中</w:t>
            </w:r>
          </w:p>
        </w:tc>
        <w:tc>
          <w:tcPr>
            <w:tcW w:w="400" w:type="pct"/>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小</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中</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小</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中</w:t>
            </w:r>
          </w:p>
        </w:tc>
        <w:tc>
          <w:tcPr>
            <w:tcW w:w="397" w:type="pct"/>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16"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敏感</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一级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一级</w:t>
            </w:r>
          </w:p>
        </w:tc>
        <w:tc>
          <w:tcPr>
            <w:tcW w:w="400"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一级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二级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二级</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二级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三级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三级</w:t>
            </w:r>
          </w:p>
        </w:tc>
        <w:tc>
          <w:tcPr>
            <w:tcW w:w="397"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三级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16"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较敏感</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一级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一级</w:t>
            </w:r>
          </w:p>
        </w:tc>
        <w:tc>
          <w:tcPr>
            <w:tcW w:w="400"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二级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二级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二级</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三级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三级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三级</w:t>
            </w:r>
          </w:p>
        </w:tc>
        <w:tc>
          <w:tcPr>
            <w:tcW w:w="397"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16"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不敏感</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一级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二级</w:t>
            </w:r>
          </w:p>
        </w:tc>
        <w:tc>
          <w:tcPr>
            <w:tcW w:w="400"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二级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二级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三级</w:t>
            </w:r>
          </w:p>
        </w:tc>
        <w:tc>
          <w:tcPr>
            <w:tcW w:w="399"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三级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三级</w:t>
            </w:r>
          </w:p>
        </w:tc>
        <w:tc>
          <w:tcPr>
            <w:tcW w:w="398"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97" w:type="pct"/>
            <w:tcBorders>
              <w:top w:val="single" w:color="auto" w:sz="6" w:space="0"/>
              <w:left w:val="single" w:color="auto" w:sz="6" w:space="0"/>
              <w:bottom w:val="single" w:color="auto" w:sz="6" w:space="0"/>
              <w:right w:val="single" w:color="auto" w:sz="6" w:space="0"/>
            </w:tcBorders>
            <w:vAlign w:val="center"/>
          </w:tcPr>
          <w:p>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00" w:type="pct"/>
            <w:gridSpan w:val="10"/>
            <w:tcBorders>
              <w:top w:val="single" w:color="auto" w:sz="6" w:space="0"/>
              <w:left w:val="single" w:color="auto" w:sz="6" w:space="0"/>
              <w:bottom w:val="single" w:color="auto" w:sz="6" w:space="0"/>
              <w:right w:val="single" w:color="auto" w:sz="6" w:space="0"/>
            </w:tcBorders>
            <w:vAlign w:val="center"/>
          </w:tcPr>
          <w:p>
            <w:pPr>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注：“</w:t>
            </w:r>
            <w:r>
              <w:rPr>
                <w:color w:val="000000" w:themeColor="text1"/>
                <w:szCs w:val="21"/>
                <w14:textFill>
                  <w14:solidFill>
                    <w14:schemeClr w14:val="tx1"/>
                  </w14:solidFill>
                </w14:textFill>
              </w:rPr>
              <w:t>-</w:t>
            </w:r>
            <w:r>
              <w:rPr>
                <w:bCs/>
                <w:color w:val="000000" w:themeColor="text1"/>
                <w:szCs w:val="21"/>
                <w14:textFill>
                  <w14:solidFill>
                    <w14:schemeClr w14:val="tx1"/>
                  </w14:solidFill>
                </w14:textFill>
              </w:rPr>
              <w:t>”表示可不开展土壤环境影响评价工作。</w:t>
            </w:r>
          </w:p>
        </w:tc>
      </w:tr>
    </w:tbl>
    <w:p>
      <w:pPr>
        <w:spacing w:line="520" w:lineRule="exact"/>
        <w:ind w:firstLine="360" w:firstLineChars="15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通过上述判定，本项目土壤环境影响评价等级为</w:t>
      </w:r>
      <w:r>
        <w:rPr>
          <w:rFonts w:hint="eastAsia"/>
          <w:color w:val="000000" w:themeColor="text1"/>
          <w:sz w:val="24"/>
          <w:szCs w:val="24"/>
          <w14:textFill>
            <w14:solidFill>
              <w14:schemeClr w14:val="tx1"/>
            </w14:solidFill>
          </w14:textFill>
        </w:rPr>
        <w:t>二</w:t>
      </w:r>
      <w:r>
        <w:rPr>
          <w:color w:val="000000" w:themeColor="text1"/>
          <w:sz w:val="24"/>
          <w:szCs w:val="24"/>
          <w14:textFill>
            <w14:solidFill>
              <w14:schemeClr w14:val="tx1"/>
            </w14:solidFill>
          </w14:textFill>
        </w:rPr>
        <w:t>级。项目厂址位于</w:t>
      </w:r>
      <w:r>
        <w:rPr>
          <w:rFonts w:hint="eastAsia"/>
          <w:color w:val="000000" w:themeColor="text1"/>
          <w:sz w:val="24"/>
          <w:szCs w:val="24"/>
          <w14:textFill>
            <w14:solidFill>
              <w14:schemeClr w14:val="tx1"/>
            </w14:solidFill>
          </w14:textFill>
        </w:rPr>
        <w:t>原阳县产业集聚区</w:t>
      </w:r>
      <w:r>
        <w:rPr>
          <w:color w:val="000000" w:themeColor="text1"/>
          <w:sz w:val="24"/>
          <w:szCs w:val="24"/>
          <w14:textFill>
            <w14:solidFill>
              <w14:schemeClr w14:val="tx1"/>
            </w14:solidFill>
          </w14:textFill>
        </w:rPr>
        <w:t>，根据导则HJ964-2018要求，工业园区内的建设项目，应重点在建设项目占地范围内开展现状调查工作，并兼顾其可能影响的园区外围土壤环境敏感目标。</w:t>
      </w:r>
    </w:p>
    <w:p>
      <w:pPr>
        <w:pStyle w:val="727"/>
        <w:rPr>
          <w:color w:val="000000" w:themeColor="text1"/>
          <w14:textFill>
            <w14:solidFill>
              <w14:schemeClr w14:val="tx1"/>
            </w14:solidFill>
          </w14:textFill>
        </w:rPr>
      </w:pPr>
      <w:r>
        <w:rPr>
          <w:color w:val="000000" w:themeColor="text1"/>
          <w14:textFill>
            <w14:solidFill>
              <w14:schemeClr w14:val="tx1"/>
            </w14:solidFill>
          </w14:textFill>
        </w:rPr>
        <w:t>5.7.2现状调查范围与评价</w:t>
      </w:r>
    </w:p>
    <w:p>
      <w:pPr>
        <w:pStyle w:val="460"/>
      </w:pPr>
      <w:r>
        <w:t>5.7.2.1 调查评价范围确定</w:t>
      </w:r>
    </w:p>
    <w:p>
      <w:pPr>
        <w:spacing w:line="520" w:lineRule="exact"/>
        <w:ind w:firstLine="360" w:firstLineChars="15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根据《环境影响评价技术导则 土壤环境（试行）》（HJ964-2018），土壤环境影响评价现状调查范围确定见下表：</w:t>
      </w:r>
    </w:p>
    <w:p>
      <w:pPr>
        <w:spacing w:line="360" w:lineRule="auto"/>
        <w:ind w:firstLine="480" w:firstLineChars="200"/>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表5.7-5               土壤环境影响评价调查范围</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641"/>
        <w:gridCol w:w="1727"/>
        <w:gridCol w:w="3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13" w:type="pct"/>
            <w:vMerge w:val="restart"/>
            <w:shd w:val="clear" w:color="auto" w:fill="auto"/>
            <w:vAlign w:val="center"/>
          </w:tcPr>
          <w:p>
            <w:pPr>
              <w:tabs>
                <w:tab w:val="left" w:pos="1719"/>
              </w:tab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评价工作等级</w:t>
            </w:r>
          </w:p>
        </w:tc>
        <w:tc>
          <w:tcPr>
            <w:tcW w:w="917" w:type="pct"/>
            <w:vMerge w:val="restart"/>
            <w:shd w:val="clear" w:color="auto" w:fill="auto"/>
            <w:vAlign w:val="center"/>
          </w:tcPr>
          <w:p>
            <w:pPr>
              <w:tabs>
                <w:tab w:val="left" w:pos="1719"/>
              </w:tab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影响类型</w:t>
            </w:r>
          </w:p>
        </w:tc>
        <w:tc>
          <w:tcPr>
            <w:tcW w:w="3070" w:type="pct"/>
            <w:gridSpan w:val="2"/>
            <w:shd w:val="clear" w:color="auto" w:fill="auto"/>
            <w:vAlign w:val="center"/>
          </w:tcPr>
          <w:p>
            <w:pPr>
              <w:tabs>
                <w:tab w:val="left" w:pos="1719"/>
              </w:tab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调查范围</w:t>
            </w:r>
            <w:r>
              <w:rPr>
                <w:b/>
                <w:bCs/>
                <w:color w:val="000000" w:themeColor="text1"/>
                <w:szCs w:val="21"/>
                <w:vertAlign w:val="superscript"/>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shd w:val="clear" w:color="auto" w:fill="auto"/>
            <w:vAlign w:val="center"/>
          </w:tcPr>
          <w:p>
            <w:pPr>
              <w:rPr>
                <w:b/>
                <w:bCs/>
                <w:color w:val="000000" w:themeColor="text1"/>
                <w:szCs w:val="21"/>
                <w14:textFill>
                  <w14:solidFill>
                    <w14:schemeClr w14:val="tx1"/>
                  </w14:solidFill>
                </w14:textFill>
              </w:rPr>
            </w:pPr>
          </w:p>
        </w:tc>
        <w:tc>
          <w:tcPr>
            <w:tcW w:w="0" w:type="auto"/>
            <w:vMerge w:val="continue"/>
            <w:shd w:val="clear" w:color="auto" w:fill="auto"/>
            <w:vAlign w:val="center"/>
          </w:tcPr>
          <w:p>
            <w:pPr>
              <w:rPr>
                <w:b/>
                <w:bCs/>
                <w:color w:val="000000" w:themeColor="text1"/>
                <w:szCs w:val="21"/>
                <w14:textFill>
                  <w14:solidFill>
                    <w14:schemeClr w14:val="tx1"/>
                  </w14:solidFill>
                </w14:textFill>
              </w:rPr>
            </w:pPr>
          </w:p>
        </w:tc>
        <w:tc>
          <w:tcPr>
            <w:tcW w:w="965" w:type="pct"/>
            <w:shd w:val="clear" w:color="auto" w:fill="auto"/>
            <w:vAlign w:val="center"/>
          </w:tcPr>
          <w:p>
            <w:pPr>
              <w:tabs>
                <w:tab w:val="left" w:pos="1719"/>
              </w:tab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占地</w:t>
            </w:r>
            <w:r>
              <w:rPr>
                <w:b/>
                <w:bCs/>
                <w:color w:val="000000" w:themeColor="text1"/>
                <w:szCs w:val="21"/>
                <w:vertAlign w:val="superscript"/>
                <w14:textFill>
                  <w14:solidFill>
                    <w14:schemeClr w14:val="tx1"/>
                  </w14:solidFill>
                </w14:textFill>
              </w:rPr>
              <w:t>b</w:t>
            </w:r>
            <w:r>
              <w:rPr>
                <w:b/>
                <w:bCs/>
                <w:color w:val="000000" w:themeColor="text1"/>
                <w:szCs w:val="21"/>
                <w14:textFill>
                  <w14:solidFill>
                    <w14:schemeClr w14:val="tx1"/>
                  </w14:solidFill>
                </w14:textFill>
              </w:rPr>
              <w:t>范围内</w:t>
            </w:r>
          </w:p>
        </w:tc>
        <w:tc>
          <w:tcPr>
            <w:tcW w:w="2105" w:type="pct"/>
            <w:shd w:val="clear" w:color="auto" w:fill="auto"/>
            <w:vAlign w:val="center"/>
          </w:tcPr>
          <w:p>
            <w:pPr>
              <w:tabs>
                <w:tab w:val="left" w:pos="1719"/>
              </w:tabs>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占地范围外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3" w:type="pct"/>
            <w:vMerge w:val="restar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一级</w:t>
            </w:r>
          </w:p>
        </w:tc>
        <w:tc>
          <w:tcPr>
            <w:tcW w:w="917" w:type="pc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生态影响型</w:t>
            </w:r>
          </w:p>
        </w:tc>
        <w:tc>
          <w:tcPr>
            <w:tcW w:w="965" w:type="pct"/>
            <w:vMerge w:val="restar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全部</w:t>
            </w:r>
          </w:p>
        </w:tc>
        <w:tc>
          <w:tcPr>
            <w:tcW w:w="2105" w:type="pc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shd w:val="clear" w:color="auto" w:fill="auto"/>
            <w:vAlign w:val="center"/>
          </w:tcPr>
          <w:p>
            <w:pPr>
              <w:rPr>
                <w:color w:val="000000" w:themeColor="text1"/>
                <w:szCs w:val="21"/>
                <w14:textFill>
                  <w14:solidFill>
                    <w14:schemeClr w14:val="tx1"/>
                  </w14:solidFill>
                </w14:textFill>
              </w:rPr>
            </w:pPr>
          </w:p>
        </w:tc>
        <w:tc>
          <w:tcPr>
            <w:tcW w:w="917" w:type="pc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污染影响型</w:t>
            </w:r>
          </w:p>
        </w:tc>
        <w:tc>
          <w:tcPr>
            <w:tcW w:w="0" w:type="auto"/>
            <w:vMerge w:val="continue"/>
            <w:shd w:val="clear" w:color="auto" w:fill="auto"/>
            <w:vAlign w:val="center"/>
          </w:tcPr>
          <w:p>
            <w:pPr>
              <w:rPr>
                <w:color w:val="000000" w:themeColor="text1"/>
                <w:szCs w:val="21"/>
                <w14:textFill>
                  <w14:solidFill>
                    <w14:schemeClr w14:val="tx1"/>
                  </w14:solidFill>
                </w14:textFill>
              </w:rPr>
            </w:pPr>
          </w:p>
        </w:tc>
        <w:tc>
          <w:tcPr>
            <w:tcW w:w="2105" w:type="pc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3" w:type="pct"/>
            <w:vMerge w:val="restar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二级</w:t>
            </w:r>
          </w:p>
        </w:tc>
        <w:tc>
          <w:tcPr>
            <w:tcW w:w="917" w:type="pc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生态影响型</w:t>
            </w:r>
          </w:p>
        </w:tc>
        <w:tc>
          <w:tcPr>
            <w:tcW w:w="0" w:type="auto"/>
            <w:vMerge w:val="continue"/>
            <w:shd w:val="clear" w:color="auto" w:fill="auto"/>
            <w:vAlign w:val="center"/>
          </w:tcPr>
          <w:p>
            <w:pPr>
              <w:rPr>
                <w:color w:val="000000" w:themeColor="text1"/>
                <w:szCs w:val="21"/>
                <w14:textFill>
                  <w14:solidFill>
                    <w14:schemeClr w14:val="tx1"/>
                  </w14:solidFill>
                </w14:textFill>
              </w:rPr>
            </w:pPr>
          </w:p>
        </w:tc>
        <w:tc>
          <w:tcPr>
            <w:tcW w:w="2105" w:type="pc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p>
        </w:tc>
        <w:tc>
          <w:tcPr>
            <w:tcW w:w="917" w:type="pc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污染影响型</w:t>
            </w:r>
          </w:p>
        </w:tc>
        <w:tc>
          <w:tcPr>
            <w:tcW w:w="0" w:type="auto"/>
            <w:vMerge w:val="continue"/>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p>
        </w:tc>
        <w:tc>
          <w:tcPr>
            <w:tcW w:w="2105" w:type="pc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3" w:type="pct"/>
            <w:vMerge w:val="restar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三级</w:t>
            </w:r>
          </w:p>
        </w:tc>
        <w:tc>
          <w:tcPr>
            <w:tcW w:w="917" w:type="pc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生态影响型</w:t>
            </w:r>
          </w:p>
        </w:tc>
        <w:tc>
          <w:tcPr>
            <w:tcW w:w="0" w:type="auto"/>
            <w:vMerge w:val="continue"/>
            <w:shd w:val="clear" w:color="auto" w:fill="auto"/>
            <w:vAlign w:val="center"/>
          </w:tcPr>
          <w:p>
            <w:pPr>
              <w:rPr>
                <w:color w:val="000000" w:themeColor="text1"/>
                <w:szCs w:val="21"/>
                <w14:textFill>
                  <w14:solidFill>
                    <w14:schemeClr w14:val="tx1"/>
                  </w14:solidFill>
                </w14:textFill>
              </w:rPr>
            </w:pPr>
          </w:p>
        </w:tc>
        <w:tc>
          <w:tcPr>
            <w:tcW w:w="2105" w:type="pc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shd w:val="clear" w:color="auto" w:fill="auto"/>
            <w:vAlign w:val="center"/>
          </w:tcPr>
          <w:p>
            <w:pPr>
              <w:rPr>
                <w:color w:val="000000" w:themeColor="text1"/>
                <w:szCs w:val="21"/>
                <w14:textFill>
                  <w14:solidFill>
                    <w14:schemeClr w14:val="tx1"/>
                  </w14:solidFill>
                </w14:textFill>
              </w:rPr>
            </w:pPr>
          </w:p>
        </w:tc>
        <w:tc>
          <w:tcPr>
            <w:tcW w:w="917" w:type="pc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污染影响型</w:t>
            </w:r>
          </w:p>
        </w:tc>
        <w:tc>
          <w:tcPr>
            <w:tcW w:w="0" w:type="auto"/>
            <w:vMerge w:val="continue"/>
            <w:shd w:val="clear" w:color="auto" w:fill="auto"/>
            <w:vAlign w:val="center"/>
          </w:tcPr>
          <w:p>
            <w:pPr>
              <w:rPr>
                <w:color w:val="000000" w:themeColor="text1"/>
                <w:szCs w:val="21"/>
                <w14:textFill>
                  <w14:solidFill>
                    <w14:schemeClr w14:val="tx1"/>
                  </w14:solidFill>
                </w14:textFill>
              </w:rPr>
            </w:pPr>
          </w:p>
        </w:tc>
        <w:tc>
          <w:tcPr>
            <w:tcW w:w="2105" w:type="pct"/>
            <w:shd w:val="clear" w:color="auto" w:fill="auto"/>
            <w:vAlign w:val="center"/>
          </w:tcPr>
          <w:p>
            <w:pPr>
              <w:tabs>
                <w:tab w:val="left" w:pos="171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0.05km范围内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shd w:val="clear" w:color="auto" w:fill="auto"/>
            <w:vAlign w:val="center"/>
          </w:tcPr>
          <w:p>
            <w:pPr>
              <w:tabs>
                <w:tab w:val="left" w:pos="1719"/>
              </w:tabs>
              <w:rPr>
                <w:color w:val="000000" w:themeColor="text1"/>
                <w:szCs w:val="21"/>
                <w14:textFill>
                  <w14:solidFill>
                    <w14:schemeClr w14:val="tx1"/>
                  </w14:solidFill>
                </w14:textFill>
              </w:rPr>
            </w:pPr>
            <w:r>
              <w:rPr>
                <w:color w:val="000000" w:themeColor="text1"/>
                <w:szCs w:val="21"/>
                <w:vertAlign w:val="superscript"/>
                <w14:textFill>
                  <w14:solidFill>
                    <w14:schemeClr w14:val="tx1"/>
                  </w14:solidFill>
                </w14:textFill>
              </w:rPr>
              <w:t>a</w:t>
            </w:r>
            <w:r>
              <w:rPr>
                <w:color w:val="000000" w:themeColor="text1"/>
                <w:szCs w:val="21"/>
                <w14:textFill>
                  <w14:solidFill>
                    <w14:schemeClr w14:val="tx1"/>
                  </w14:solidFill>
                </w14:textFill>
              </w:rPr>
              <w:t>涉及大气沉降途径影响的，可根据主导风向下风向的最大落地浓度点适当调整。</w:t>
            </w:r>
          </w:p>
          <w:p>
            <w:pPr>
              <w:tabs>
                <w:tab w:val="left" w:pos="1719"/>
              </w:tabs>
              <w:adjustRightInd w:val="0"/>
              <w:snapToGrid w:val="0"/>
              <w:rPr>
                <w:color w:val="000000" w:themeColor="text1"/>
                <w:szCs w:val="21"/>
                <w14:textFill>
                  <w14:solidFill>
                    <w14:schemeClr w14:val="tx1"/>
                  </w14:solidFill>
                </w14:textFill>
              </w:rPr>
            </w:pPr>
            <w:r>
              <w:rPr>
                <w:color w:val="000000" w:themeColor="text1"/>
                <w:szCs w:val="21"/>
                <w:vertAlign w:val="superscript"/>
                <w14:textFill>
                  <w14:solidFill>
                    <w14:schemeClr w14:val="tx1"/>
                  </w14:solidFill>
                </w14:textFill>
              </w:rPr>
              <w:t>b</w:t>
            </w:r>
            <w:r>
              <w:rPr>
                <w:color w:val="000000" w:themeColor="text1"/>
                <w:szCs w:val="21"/>
                <w14:textFill>
                  <w14:solidFill>
                    <w14:schemeClr w14:val="tx1"/>
                  </w14:solidFill>
                </w14:textFill>
              </w:rPr>
              <w:t>矿山类项目指开采区与各场地的占地；改、扩建类的指的是现有工程与拟建工程的占地。</w:t>
            </w:r>
          </w:p>
        </w:tc>
      </w:tr>
    </w:tbl>
    <w:p>
      <w:pPr>
        <w:tabs>
          <w:tab w:val="left" w:pos="1719"/>
        </w:tabs>
        <w:spacing w:line="520" w:lineRule="exact"/>
        <w:ind w:firstLine="480" w:firstLineChars="200"/>
        <w:rPr>
          <w:color w:val="000000" w:themeColor="text1"/>
          <w:sz w:val="24"/>
          <w:szCs w:val="24"/>
          <w:highlight w:val="yellow"/>
          <w14:textFill>
            <w14:solidFill>
              <w14:schemeClr w14:val="tx1"/>
            </w14:solidFill>
          </w14:textFill>
        </w:rPr>
      </w:pPr>
      <w:r>
        <w:rPr>
          <w:color w:val="000000" w:themeColor="text1"/>
          <w:sz w:val="24"/>
          <w:szCs w:val="24"/>
          <w14:textFill>
            <w14:solidFill>
              <w14:schemeClr w14:val="tx1"/>
            </w14:solidFill>
          </w14:textFill>
        </w:rPr>
        <w:t>根据上表可知，本次评价确定本项目土壤现状调查范围包括项目建设厂址及厂界外0.2km范围，合计</w:t>
      </w:r>
      <w:r>
        <w:rPr>
          <w:rFonts w:hint="eastAsia"/>
          <w:color w:val="000000" w:themeColor="text1"/>
          <w:sz w:val="24"/>
          <w:szCs w:val="24"/>
          <w14:textFill>
            <w14:solidFill>
              <w14:schemeClr w14:val="tx1"/>
            </w14:solidFill>
          </w14:textFill>
        </w:rPr>
        <w:t>约</w:t>
      </w:r>
      <w:r>
        <w:rPr>
          <w:color w:val="000000" w:themeColor="text1"/>
          <w:sz w:val="24"/>
          <w:szCs w:val="24"/>
          <w14:textFill>
            <w14:solidFill>
              <w14:schemeClr w14:val="tx1"/>
            </w14:solidFill>
          </w14:textFill>
        </w:rPr>
        <w:t>12.9hm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。土壤环境调查范围示意图见图5.7-1。</w:t>
      </w:r>
    </w:p>
    <w:p>
      <w:pPr>
        <w:spacing w:line="360" w:lineRule="auto"/>
        <w:jc w:val="center"/>
        <w:rPr>
          <w:color w:val="000000" w:themeColor="text1"/>
          <w:highlight w:val="yellow"/>
          <w14:textFill>
            <w14:solidFill>
              <w14:schemeClr w14:val="tx1"/>
            </w14:solidFill>
          </w14:textFill>
        </w:rPr>
      </w:pPr>
      <w:r>
        <w:drawing>
          <wp:inline distT="0" distB="0" distL="0" distR="0">
            <wp:extent cx="5543550" cy="4773295"/>
            <wp:effectExtent l="12700" t="12700" r="25400" b="14605"/>
            <wp:docPr id="518402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02480" name="图片 1"/>
                    <pic:cNvPicPr>
                      <a:picLocks noChangeAspect="1"/>
                    </pic:cNvPicPr>
                  </pic:nvPicPr>
                  <pic:blipFill>
                    <a:blip r:embed="rId200"/>
                    <a:stretch>
                      <a:fillRect/>
                    </a:stretch>
                  </pic:blipFill>
                  <pic:spPr>
                    <a:xfrm>
                      <a:off x="0" y="0"/>
                      <a:ext cx="5543550" cy="4773295"/>
                    </a:xfrm>
                    <a:prstGeom prst="rect">
                      <a:avLst/>
                    </a:prstGeom>
                    <a:ln w="12700">
                      <a:solidFill>
                        <a:schemeClr val="tx1"/>
                      </a:solidFill>
                    </a:ln>
                  </pic:spPr>
                </pic:pic>
              </a:graphicData>
            </a:graphic>
          </wp:inline>
        </w:drawing>
      </w:r>
    </w:p>
    <w:p>
      <w:pPr>
        <w:spacing w:line="360" w:lineRule="auto"/>
        <w:jc w:val="center"/>
        <w:rPr>
          <w:color w:val="000000" w:themeColor="text1"/>
          <w:spacing w:val="-4"/>
          <w:sz w:val="24"/>
          <w14:textFill>
            <w14:solidFill>
              <w14:schemeClr w14:val="tx1"/>
            </w14:solidFill>
          </w14:textFill>
        </w:rPr>
      </w:pPr>
      <w:r>
        <w:rPr>
          <w:rFonts w:eastAsia="黑体"/>
          <w:color w:val="000000" w:themeColor="text1"/>
          <w:sz w:val="24"/>
          <w:szCs w:val="24"/>
          <w14:textFill>
            <w14:solidFill>
              <w14:schemeClr w14:val="tx1"/>
            </w14:solidFill>
          </w14:textFill>
        </w:rPr>
        <w:t>图5.7-1   土壤环境影响调查范围示意图</w:t>
      </w:r>
    </w:p>
    <w:p>
      <w:pPr>
        <w:pStyle w:val="460"/>
      </w:pPr>
      <w:r>
        <w:t>5.7.2.2 土壤理化特性调查</w:t>
      </w:r>
    </w:p>
    <w:p>
      <w:pPr>
        <w:spacing w:line="520" w:lineRule="exact"/>
        <w:ind w:firstLine="464" w:firstLineChars="200"/>
        <w:rPr>
          <w:color w:val="000000" w:themeColor="text1"/>
          <w:spacing w:val="-4"/>
          <w:sz w:val="24"/>
          <w14:textFill>
            <w14:solidFill>
              <w14:schemeClr w14:val="tx1"/>
            </w14:solidFill>
          </w14:textFill>
        </w:rPr>
        <w:sectPr>
          <w:pgSz w:w="11906" w:h="16838"/>
          <w:pgMar w:top="1701" w:right="1588" w:bottom="1701" w:left="1588" w:header="851" w:footer="1134" w:gutter="0"/>
          <w:cols w:space="720" w:num="1"/>
          <w:docGrid w:type="lines" w:linePitch="312" w:charSpace="0"/>
        </w:sectPr>
      </w:pPr>
      <w:r>
        <w:rPr>
          <w:color w:val="000000" w:themeColor="text1"/>
          <w:spacing w:val="-4"/>
          <w:sz w:val="24"/>
          <w14:textFill>
            <w14:solidFill>
              <w14:schemeClr w14:val="tx1"/>
            </w14:solidFill>
          </w14:textFill>
        </w:rPr>
        <w:t>本项目土壤理化特性调查采用</w:t>
      </w:r>
      <w:r>
        <w:rPr>
          <w:color w:val="000000" w:themeColor="text1"/>
          <w:kern w:val="0"/>
          <w:sz w:val="24"/>
          <w:szCs w:val="24"/>
          <w:lang w:val="zh-CN"/>
          <w14:textFill>
            <w14:solidFill>
              <w14:schemeClr w14:val="tx1"/>
            </w14:solidFill>
          </w14:textFill>
        </w:rPr>
        <w:t>河南永飞检测科技有限公司于2023年7月17日出具的检测报告。根据《检测报告》可知</w:t>
      </w:r>
      <w:r>
        <w:rPr>
          <w:color w:val="000000" w:themeColor="text1"/>
          <w:spacing w:val="-4"/>
          <w:sz w:val="24"/>
          <w14:textFill>
            <w14:solidFill>
              <w14:schemeClr w14:val="tx1"/>
            </w14:solidFill>
          </w14:textFill>
        </w:rPr>
        <w:t>，土壤理化特性调查见表5.7-6。</w:t>
      </w:r>
    </w:p>
    <w:p>
      <w:pPr>
        <w:adjustRightInd w:val="0"/>
        <w:snapToGrid w:val="0"/>
        <w:spacing w:line="520" w:lineRule="exact"/>
        <w:ind w:firstLine="480" w:firstLineChars="200"/>
        <w:rPr>
          <w:rFonts w:eastAsia="黑体"/>
          <w:color w:val="000000" w:themeColor="text1"/>
          <w:sz w:val="24"/>
          <w:szCs w:val="24"/>
          <w14:textFill>
            <w14:solidFill>
              <w14:schemeClr w14:val="tx1"/>
            </w14:solidFill>
          </w14:textFill>
        </w:rPr>
      </w:pPr>
      <w:r>
        <w:rPr>
          <w:rFonts w:eastAsia="黑体"/>
          <w:color w:val="000000" w:themeColor="text1"/>
          <w:sz w:val="24"/>
          <w:szCs w:val="24"/>
          <w14:textFill>
            <w14:solidFill>
              <w14:schemeClr w14:val="tx1"/>
            </w14:solidFill>
          </w14:textFill>
        </w:rPr>
        <w:t>表5.7-6                                    土壤理化特性一览表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06"/>
        <w:gridCol w:w="1402"/>
        <w:gridCol w:w="1159"/>
        <w:gridCol w:w="1000"/>
        <w:gridCol w:w="701"/>
        <w:gridCol w:w="1129"/>
        <w:gridCol w:w="984"/>
        <w:gridCol w:w="984"/>
        <w:gridCol w:w="701"/>
        <w:gridCol w:w="977"/>
        <w:gridCol w:w="984"/>
        <w:gridCol w:w="806"/>
        <w:gridCol w:w="1130"/>
        <w:gridCol w:w="11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73" w:type="pct"/>
            <w:gridSpan w:val="2"/>
            <w:vAlign w:val="center"/>
          </w:tcPr>
          <w:p>
            <w:pPr>
              <w:pStyle w:val="41"/>
              <w:spacing w:after="0" w:line="240" w:lineRule="auto"/>
              <w:jc w:val="center"/>
              <w:rPr>
                <w:b/>
                <w:bCs/>
                <w:color w:val="FF0000"/>
                <w:szCs w:val="21"/>
              </w:rPr>
            </w:pPr>
            <w:r>
              <w:rPr>
                <w:b/>
                <w:bCs/>
                <w:szCs w:val="21"/>
              </w:rPr>
              <w:t>采样点位</w:t>
            </w:r>
          </w:p>
        </w:tc>
        <w:tc>
          <w:tcPr>
            <w:tcW w:w="1045" w:type="pct"/>
            <w:gridSpan w:val="3"/>
            <w:vAlign w:val="center"/>
          </w:tcPr>
          <w:p>
            <w:pPr>
              <w:jc w:val="center"/>
              <w:rPr>
                <w:szCs w:val="21"/>
              </w:rPr>
            </w:pPr>
            <w:r>
              <w:rPr>
                <w:szCs w:val="21"/>
              </w:rPr>
              <w:t>污水处理站处</w:t>
            </w:r>
          </w:p>
        </w:tc>
        <w:tc>
          <w:tcPr>
            <w:tcW w:w="420" w:type="pct"/>
            <w:vAlign w:val="center"/>
          </w:tcPr>
          <w:p>
            <w:pPr>
              <w:jc w:val="center"/>
              <w:rPr>
                <w:szCs w:val="21"/>
              </w:rPr>
            </w:pPr>
            <w:r>
              <w:rPr>
                <w:szCs w:val="21"/>
              </w:rPr>
              <w:t>厂区西南角空地附近</w:t>
            </w:r>
          </w:p>
        </w:tc>
        <w:tc>
          <w:tcPr>
            <w:tcW w:w="992" w:type="pct"/>
            <w:gridSpan w:val="3"/>
            <w:vAlign w:val="center"/>
          </w:tcPr>
          <w:p>
            <w:pPr>
              <w:jc w:val="center"/>
              <w:rPr>
                <w:szCs w:val="21"/>
              </w:rPr>
            </w:pPr>
            <w:r>
              <w:rPr>
                <w:szCs w:val="21"/>
              </w:rPr>
              <w:t>厂区东侧空地</w:t>
            </w:r>
          </w:p>
        </w:tc>
        <w:tc>
          <w:tcPr>
            <w:tcW w:w="1029" w:type="pct"/>
            <w:gridSpan w:val="3"/>
            <w:vAlign w:val="center"/>
          </w:tcPr>
          <w:p>
            <w:pPr>
              <w:jc w:val="center"/>
              <w:rPr>
                <w:szCs w:val="21"/>
              </w:rPr>
            </w:pPr>
            <w:r>
              <w:rPr>
                <w:rFonts w:hint="eastAsia"/>
                <w:szCs w:val="21"/>
              </w:rPr>
              <w:t>厂区内中心空地</w:t>
            </w:r>
          </w:p>
        </w:tc>
        <w:tc>
          <w:tcPr>
            <w:tcW w:w="420" w:type="pct"/>
            <w:vAlign w:val="center"/>
          </w:tcPr>
          <w:p>
            <w:pPr>
              <w:jc w:val="center"/>
              <w:rPr>
                <w:szCs w:val="21"/>
              </w:rPr>
            </w:pPr>
            <w:r>
              <w:rPr>
                <w:rFonts w:hint="eastAsia"/>
                <w:szCs w:val="21"/>
              </w:rPr>
              <w:t>小庄村</w:t>
            </w:r>
          </w:p>
        </w:tc>
        <w:tc>
          <w:tcPr>
            <w:tcW w:w="420" w:type="pct"/>
            <w:vAlign w:val="center"/>
          </w:tcPr>
          <w:p>
            <w:pPr>
              <w:jc w:val="center"/>
              <w:rPr>
                <w:szCs w:val="21"/>
              </w:rPr>
            </w:pPr>
            <w:r>
              <w:rPr>
                <w:rFonts w:hint="eastAsia"/>
                <w:szCs w:val="21"/>
              </w:rPr>
              <w:t>厂区外西南方向农田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73" w:type="pct"/>
            <w:gridSpan w:val="2"/>
            <w:vAlign w:val="center"/>
          </w:tcPr>
          <w:p>
            <w:pPr>
              <w:pStyle w:val="41"/>
              <w:spacing w:after="0" w:line="240" w:lineRule="auto"/>
              <w:jc w:val="center"/>
              <w:rPr>
                <w:b/>
                <w:bCs/>
                <w:szCs w:val="21"/>
              </w:rPr>
            </w:pPr>
            <w:r>
              <w:rPr>
                <w:b/>
                <w:bCs/>
                <w:szCs w:val="21"/>
              </w:rPr>
              <w:t>坐标</w:t>
            </w:r>
          </w:p>
        </w:tc>
        <w:tc>
          <w:tcPr>
            <w:tcW w:w="1045" w:type="pct"/>
            <w:gridSpan w:val="3"/>
            <w:vAlign w:val="center"/>
          </w:tcPr>
          <w:p>
            <w:pPr>
              <w:jc w:val="center"/>
              <w:rPr>
                <w:szCs w:val="21"/>
              </w:rPr>
            </w:pPr>
            <w:r>
              <w:rPr>
                <w:szCs w:val="21"/>
              </w:rPr>
              <w:t>E113°54′48"</w:t>
            </w:r>
          </w:p>
          <w:p>
            <w:pPr>
              <w:jc w:val="center"/>
              <w:rPr>
                <w:szCs w:val="21"/>
              </w:rPr>
            </w:pPr>
            <w:r>
              <w:rPr>
                <w:szCs w:val="21"/>
              </w:rPr>
              <w:t>N35°02′31"</w:t>
            </w:r>
          </w:p>
        </w:tc>
        <w:tc>
          <w:tcPr>
            <w:tcW w:w="420" w:type="pct"/>
            <w:vAlign w:val="center"/>
          </w:tcPr>
          <w:p>
            <w:pPr>
              <w:jc w:val="center"/>
              <w:rPr>
                <w:szCs w:val="21"/>
              </w:rPr>
            </w:pPr>
            <w:r>
              <w:rPr>
                <w:szCs w:val="21"/>
              </w:rPr>
              <w:t>E113°54′42"</w:t>
            </w:r>
          </w:p>
          <w:p>
            <w:pPr>
              <w:jc w:val="center"/>
              <w:rPr>
                <w:szCs w:val="21"/>
              </w:rPr>
            </w:pPr>
            <w:r>
              <w:rPr>
                <w:szCs w:val="21"/>
              </w:rPr>
              <w:t>N35°02′24"</w:t>
            </w:r>
          </w:p>
        </w:tc>
        <w:tc>
          <w:tcPr>
            <w:tcW w:w="992" w:type="pct"/>
            <w:gridSpan w:val="3"/>
            <w:vAlign w:val="center"/>
          </w:tcPr>
          <w:p>
            <w:pPr>
              <w:jc w:val="center"/>
              <w:rPr>
                <w:szCs w:val="21"/>
              </w:rPr>
            </w:pPr>
            <w:r>
              <w:rPr>
                <w:szCs w:val="21"/>
              </w:rPr>
              <w:t>E113°54′49"</w:t>
            </w:r>
          </w:p>
          <w:p>
            <w:pPr>
              <w:jc w:val="center"/>
              <w:rPr>
                <w:szCs w:val="21"/>
              </w:rPr>
            </w:pPr>
            <w:r>
              <w:rPr>
                <w:szCs w:val="21"/>
              </w:rPr>
              <w:t>N35°02′28"</w:t>
            </w:r>
          </w:p>
        </w:tc>
        <w:tc>
          <w:tcPr>
            <w:tcW w:w="1029" w:type="pct"/>
            <w:gridSpan w:val="3"/>
            <w:vAlign w:val="center"/>
          </w:tcPr>
          <w:p>
            <w:pPr>
              <w:jc w:val="center"/>
              <w:rPr>
                <w:szCs w:val="21"/>
              </w:rPr>
            </w:pPr>
            <w:r>
              <w:rPr>
                <w:szCs w:val="21"/>
              </w:rPr>
              <w:t>E</w:t>
            </w:r>
            <w:r>
              <w:rPr>
                <w:rFonts w:hint="eastAsia"/>
                <w:szCs w:val="21"/>
              </w:rPr>
              <w:t>113</w:t>
            </w:r>
            <w:r>
              <w:rPr>
                <w:szCs w:val="21"/>
              </w:rPr>
              <w:t>°</w:t>
            </w:r>
            <w:r>
              <w:rPr>
                <w:rFonts w:hint="eastAsia"/>
                <w:szCs w:val="21"/>
              </w:rPr>
              <w:t>54</w:t>
            </w:r>
            <w:r>
              <w:rPr>
                <w:szCs w:val="21"/>
              </w:rPr>
              <w:t>′</w:t>
            </w:r>
            <w:r>
              <w:rPr>
                <w:rFonts w:hint="eastAsia"/>
                <w:szCs w:val="21"/>
              </w:rPr>
              <w:t>46</w:t>
            </w:r>
            <w:r>
              <w:rPr>
                <w:szCs w:val="21"/>
              </w:rPr>
              <w:t>"</w:t>
            </w:r>
          </w:p>
          <w:p>
            <w:pPr>
              <w:jc w:val="center"/>
              <w:rPr>
                <w:szCs w:val="21"/>
              </w:rPr>
            </w:pPr>
            <w:r>
              <w:rPr>
                <w:szCs w:val="21"/>
              </w:rPr>
              <w:t>N</w:t>
            </w:r>
            <w:r>
              <w:rPr>
                <w:rFonts w:hint="eastAsia"/>
                <w:szCs w:val="21"/>
              </w:rPr>
              <w:t>35</w:t>
            </w:r>
            <w:r>
              <w:rPr>
                <w:szCs w:val="21"/>
              </w:rPr>
              <w:t>°</w:t>
            </w:r>
            <w:r>
              <w:rPr>
                <w:rFonts w:hint="eastAsia"/>
                <w:szCs w:val="21"/>
              </w:rPr>
              <w:t>02</w:t>
            </w:r>
            <w:r>
              <w:rPr>
                <w:szCs w:val="21"/>
              </w:rPr>
              <w:t>′</w:t>
            </w:r>
            <w:r>
              <w:rPr>
                <w:rFonts w:hint="eastAsia"/>
                <w:szCs w:val="21"/>
              </w:rPr>
              <w:t>28</w:t>
            </w:r>
            <w:r>
              <w:rPr>
                <w:szCs w:val="21"/>
              </w:rPr>
              <w:t>"</w:t>
            </w:r>
          </w:p>
        </w:tc>
        <w:tc>
          <w:tcPr>
            <w:tcW w:w="420" w:type="pct"/>
            <w:vAlign w:val="center"/>
          </w:tcPr>
          <w:p>
            <w:pPr>
              <w:jc w:val="center"/>
              <w:rPr>
                <w:szCs w:val="21"/>
              </w:rPr>
            </w:pPr>
            <w:r>
              <w:rPr>
                <w:szCs w:val="21"/>
              </w:rPr>
              <w:t>E</w:t>
            </w:r>
            <w:r>
              <w:rPr>
                <w:rFonts w:hint="eastAsia"/>
                <w:szCs w:val="21"/>
              </w:rPr>
              <w:t>113</w:t>
            </w:r>
            <w:r>
              <w:rPr>
                <w:szCs w:val="21"/>
              </w:rPr>
              <w:t>°</w:t>
            </w:r>
            <w:r>
              <w:rPr>
                <w:rFonts w:hint="eastAsia"/>
                <w:szCs w:val="21"/>
              </w:rPr>
              <w:t>54</w:t>
            </w:r>
            <w:r>
              <w:rPr>
                <w:szCs w:val="21"/>
              </w:rPr>
              <w:t>′</w:t>
            </w:r>
            <w:r>
              <w:rPr>
                <w:rFonts w:hint="eastAsia"/>
                <w:szCs w:val="21"/>
              </w:rPr>
              <w:t>53</w:t>
            </w:r>
            <w:r>
              <w:rPr>
                <w:szCs w:val="21"/>
              </w:rPr>
              <w:t>"</w:t>
            </w:r>
          </w:p>
          <w:p>
            <w:pPr>
              <w:jc w:val="center"/>
              <w:rPr>
                <w:szCs w:val="21"/>
              </w:rPr>
            </w:pPr>
            <w:r>
              <w:rPr>
                <w:szCs w:val="21"/>
              </w:rPr>
              <w:t>N</w:t>
            </w:r>
            <w:r>
              <w:rPr>
                <w:rFonts w:hint="eastAsia"/>
                <w:szCs w:val="21"/>
              </w:rPr>
              <w:t>35</w:t>
            </w:r>
            <w:r>
              <w:rPr>
                <w:szCs w:val="21"/>
              </w:rPr>
              <w:t>°</w:t>
            </w:r>
            <w:r>
              <w:rPr>
                <w:rFonts w:hint="eastAsia"/>
                <w:szCs w:val="21"/>
              </w:rPr>
              <w:t>02</w:t>
            </w:r>
            <w:r>
              <w:rPr>
                <w:szCs w:val="21"/>
              </w:rPr>
              <w:t>′</w:t>
            </w:r>
            <w:r>
              <w:rPr>
                <w:rFonts w:hint="eastAsia"/>
                <w:szCs w:val="21"/>
              </w:rPr>
              <w:t>29</w:t>
            </w:r>
            <w:r>
              <w:rPr>
                <w:szCs w:val="21"/>
              </w:rPr>
              <w:t>"</w:t>
            </w:r>
          </w:p>
        </w:tc>
        <w:tc>
          <w:tcPr>
            <w:tcW w:w="420" w:type="pct"/>
            <w:vAlign w:val="center"/>
          </w:tcPr>
          <w:p>
            <w:pPr>
              <w:jc w:val="center"/>
              <w:rPr>
                <w:szCs w:val="21"/>
              </w:rPr>
            </w:pPr>
            <w:r>
              <w:rPr>
                <w:szCs w:val="21"/>
              </w:rPr>
              <w:t>E</w:t>
            </w:r>
            <w:r>
              <w:rPr>
                <w:rFonts w:hint="eastAsia"/>
                <w:szCs w:val="21"/>
              </w:rPr>
              <w:t>113</w:t>
            </w:r>
            <w:r>
              <w:rPr>
                <w:szCs w:val="21"/>
              </w:rPr>
              <w:t>°</w:t>
            </w:r>
            <w:r>
              <w:rPr>
                <w:rFonts w:hint="eastAsia"/>
                <w:szCs w:val="21"/>
              </w:rPr>
              <w:t>54</w:t>
            </w:r>
            <w:r>
              <w:rPr>
                <w:szCs w:val="21"/>
              </w:rPr>
              <w:t>′</w:t>
            </w:r>
            <w:r>
              <w:rPr>
                <w:rFonts w:hint="eastAsia"/>
                <w:szCs w:val="21"/>
              </w:rPr>
              <w:t>38</w:t>
            </w:r>
            <w:r>
              <w:rPr>
                <w:szCs w:val="21"/>
              </w:rPr>
              <w:t>"</w:t>
            </w:r>
          </w:p>
          <w:p>
            <w:pPr>
              <w:jc w:val="center"/>
              <w:rPr>
                <w:szCs w:val="21"/>
              </w:rPr>
            </w:pPr>
            <w:r>
              <w:rPr>
                <w:szCs w:val="21"/>
              </w:rPr>
              <w:t>N</w:t>
            </w:r>
            <w:r>
              <w:rPr>
                <w:rFonts w:hint="eastAsia"/>
                <w:szCs w:val="21"/>
              </w:rPr>
              <w:t>35</w:t>
            </w:r>
            <w:r>
              <w:rPr>
                <w:szCs w:val="21"/>
              </w:rPr>
              <w:t>°</w:t>
            </w:r>
            <w:r>
              <w:rPr>
                <w:rFonts w:hint="eastAsia"/>
                <w:szCs w:val="21"/>
              </w:rPr>
              <w:t>02</w:t>
            </w:r>
            <w:r>
              <w:rPr>
                <w:szCs w:val="21"/>
              </w:rPr>
              <w:t>′</w:t>
            </w:r>
            <w:r>
              <w:rPr>
                <w:rFonts w:hint="eastAsia"/>
                <w:szCs w:val="21"/>
              </w:rPr>
              <w:t>24</w:t>
            </w: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73" w:type="pct"/>
            <w:gridSpan w:val="2"/>
            <w:vAlign w:val="center"/>
          </w:tcPr>
          <w:p>
            <w:pPr>
              <w:pStyle w:val="41"/>
              <w:spacing w:after="0" w:line="240" w:lineRule="auto"/>
              <w:jc w:val="center"/>
              <w:rPr>
                <w:b/>
                <w:bCs/>
                <w:szCs w:val="21"/>
              </w:rPr>
            </w:pPr>
            <w:r>
              <w:rPr>
                <w:b/>
                <w:bCs/>
                <w:szCs w:val="21"/>
              </w:rPr>
              <w:t>采样时间</w:t>
            </w:r>
          </w:p>
        </w:tc>
        <w:tc>
          <w:tcPr>
            <w:tcW w:w="1045" w:type="pct"/>
            <w:gridSpan w:val="3"/>
            <w:vAlign w:val="center"/>
          </w:tcPr>
          <w:p>
            <w:pPr>
              <w:jc w:val="center"/>
              <w:rPr>
                <w:szCs w:val="21"/>
              </w:rPr>
            </w:pPr>
            <w:r>
              <w:rPr>
                <w:szCs w:val="21"/>
              </w:rPr>
              <w:t>2023.07.01</w:t>
            </w:r>
          </w:p>
        </w:tc>
        <w:tc>
          <w:tcPr>
            <w:tcW w:w="420" w:type="pct"/>
            <w:vAlign w:val="center"/>
          </w:tcPr>
          <w:p>
            <w:pPr>
              <w:jc w:val="center"/>
              <w:rPr>
                <w:szCs w:val="21"/>
              </w:rPr>
            </w:pPr>
            <w:r>
              <w:rPr>
                <w:szCs w:val="21"/>
              </w:rPr>
              <w:t>2023.07.01</w:t>
            </w:r>
          </w:p>
        </w:tc>
        <w:tc>
          <w:tcPr>
            <w:tcW w:w="992" w:type="pct"/>
            <w:gridSpan w:val="3"/>
            <w:vAlign w:val="center"/>
          </w:tcPr>
          <w:p>
            <w:pPr>
              <w:jc w:val="center"/>
              <w:rPr>
                <w:szCs w:val="21"/>
              </w:rPr>
            </w:pPr>
            <w:r>
              <w:rPr>
                <w:szCs w:val="21"/>
              </w:rPr>
              <w:t>2023.07.01</w:t>
            </w:r>
          </w:p>
        </w:tc>
        <w:tc>
          <w:tcPr>
            <w:tcW w:w="1029" w:type="pct"/>
            <w:gridSpan w:val="3"/>
            <w:vAlign w:val="center"/>
          </w:tcPr>
          <w:p>
            <w:pPr>
              <w:jc w:val="center"/>
              <w:rPr>
                <w:szCs w:val="21"/>
              </w:rPr>
            </w:pPr>
            <w:r>
              <w:rPr>
                <w:szCs w:val="21"/>
              </w:rPr>
              <w:t>2023.07.01</w:t>
            </w:r>
          </w:p>
        </w:tc>
        <w:tc>
          <w:tcPr>
            <w:tcW w:w="420" w:type="pct"/>
            <w:vAlign w:val="center"/>
          </w:tcPr>
          <w:p>
            <w:pPr>
              <w:jc w:val="center"/>
              <w:rPr>
                <w:szCs w:val="21"/>
              </w:rPr>
            </w:pPr>
            <w:r>
              <w:rPr>
                <w:rFonts w:hint="eastAsia"/>
                <w:szCs w:val="21"/>
              </w:rPr>
              <w:t>2023.07.01</w:t>
            </w:r>
          </w:p>
        </w:tc>
        <w:tc>
          <w:tcPr>
            <w:tcW w:w="420" w:type="pct"/>
            <w:vAlign w:val="center"/>
          </w:tcPr>
          <w:p>
            <w:pPr>
              <w:jc w:val="center"/>
              <w:rPr>
                <w:szCs w:val="21"/>
              </w:rPr>
            </w:pPr>
            <w:r>
              <w:rPr>
                <w:rFonts w:hint="eastAsia"/>
                <w:szCs w:val="21"/>
              </w:rPr>
              <w:t>2023.07.01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73" w:type="pct"/>
            <w:gridSpan w:val="2"/>
            <w:vAlign w:val="center"/>
          </w:tcPr>
          <w:p>
            <w:pPr>
              <w:pStyle w:val="41"/>
              <w:spacing w:after="0" w:line="240" w:lineRule="auto"/>
              <w:jc w:val="center"/>
              <w:rPr>
                <w:b/>
                <w:bCs/>
                <w:szCs w:val="21"/>
              </w:rPr>
            </w:pPr>
            <w:r>
              <w:rPr>
                <w:b/>
                <w:bCs/>
                <w:szCs w:val="21"/>
              </w:rPr>
              <w:t>层次</w:t>
            </w:r>
          </w:p>
        </w:tc>
        <w:tc>
          <w:tcPr>
            <w:tcW w:w="431" w:type="pct"/>
            <w:vAlign w:val="center"/>
          </w:tcPr>
          <w:p>
            <w:pPr>
              <w:pStyle w:val="30"/>
              <w:jc w:val="center"/>
              <w:rPr>
                <w:sz w:val="21"/>
                <w:szCs w:val="21"/>
                <w:lang w:val="en-US"/>
              </w:rPr>
            </w:pPr>
            <w:r>
              <w:rPr>
                <w:sz w:val="21"/>
                <w:szCs w:val="21"/>
                <w:lang w:val="en-US"/>
              </w:rPr>
              <w:t>0~0.5m</w:t>
            </w:r>
          </w:p>
        </w:tc>
        <w:tc>
          <w:tcPr>
            <w:tcW w:w="372" w:type="pct"/>
            <w:vAlign w:val="center"/>
          </w:tcPr>
          <w:p>
            <w:pPr>
              <w:pStyle w:val="30"/>
              <w:jc w:val="center"/>
              <w:rPr>
                <w:sz w:val="21"/>
                <w:szCs w:val="21"/>
                <w:lang w:val="en-US"/>
              </w:rPr>
            </w:pPr>
            <w:r>
              <w:rPr>
                <w:sz w:val="21"/>
                <w:szCs w:val="21"/>
                <w:lang w:val="en-US"/>
              </w:rPr>
              <w:t>0.5~1.5m</w:t>
            </w:r>
          </w:p>
        </w:tc>
        <w:tc>
          <w:tcPr>
            <w:tcW w:w="242" w:type="pct"/>
            <w:vAlign w:val="center"/>
          </w:tcPr>
          <w:p>
            <w:pPr>
              <w:pStyle w:val="30"/>
              <w:jc w:val="center"/>
              <w:rPr>
                <w:sz w:val="21"/>
                <w:szCs w:val="21"/>
                <w:lang w:val="en-US"/>
              </w:rPr>
            </w:pPr>
            <w:r>
              <w:rPr>
                <w:sz w:val="21"/>
                <w:szCs w:val="21"/>
                <w:lang w:val="en-US"/>
              </w:rPr>
              <w:t>1.5~3m</w:t>
            </w:r>
          </w:p>
        </w:tc>
        <w:tc>
          <w:tcPr>
            <w:tcW w:w="420" w:type="pct"/>
            <w:vAlign w:val="center"/>
          </w:tcPr>
          <w:p>
            <w:pPr>
              <w:pStyle w:val="30"/>
              <w:jc w:val="center"/>
              <w:rPr>
                <w:sz w:val="21"/>
                <w:szCs w:val="21"/>
              </w:rPr>
            </w:pPr>
            <w:r>
              <w:rPr>
                <w:sz w:val="21"/>
                <w:szCs w:val="21"/>
                <w:lang w:val="en-US"/>
              </w:rPr>
              <w:t>0~0.2m</w:t>
            </w:r>
          </w:p>
        </w:tc>
        <w:tc>
          <w:tcPr>
            <w:tcW w:w="366" w:type="pct"/>
            <w:vAlign w:val="center"/>
          </w:tcPr>
          <w:p>
            <w:pPr>
              <w:pStyle w:val="30"/>
              <w:jc w:val="center"/>
              <w:rPr>
                <w:sz w:val="21"/>
                <w:szCs w:val="21"/>
                <w:lang w:val="en-US"/>
              </w:rPr>
            </w:pPr>
            <w:r>
              <w:rPr>
                <w:sz w:val="21"/>
                <w:szCs w:val="21"/>
                <w:lang w:val="en-US"/>
              </w:rPr>
              <w:t>0</w:t>
            </w:r>
            <w:r>
              <w:rPr>
                <w:rFonts w:hint="eastAsia"/>
                <w:sz w:val="21"/>
                <w:szCs w:val="21"/>
                <w:lang w:val="en-US"/>
              </w:rPr>
              <w:t>~</w:t>
            </w:r>
            <w:r>
              <w:rPr>
                <w:sz w:val="21"/>
                <w:szCs w:val="21"/>
                <w:lang w:val="en-US"/>
              </w:rPr>
              <w:t>0.5m</w:t>
            </w:r>
          </w:p>
        </w:tc>
        <w:tc>
          <w:tcPr>
            <w:tcW w:w="366" w:type="pct"/>
            <w:vAlign w:val="center"/>
          </w:tcPr>
          <w:p>
            <w:pPr>
              <w:pStyle w:val="30"/>
              <w:jc w:val="center"/>
              <w:rPr>
                <w:sz w:val="21"/>
                <w:szCs w:val="21"/>
              </w:rPr>
            </w:pPr>
            <w:r>
              <w:rPr>
                <w:sz w:val="21"/>
                <w:szCs w:val="21"/>
                <w:lang w:val="en-US"/>
              </w:rPr>
              <w:t>0.5</w:t>
            </w:r>
            <w:r>
              <w:rPr>
                <w:rFonts w:hint="eastAsia"/>
                <w:sz w:val="21"/>
                <w:szCs w:val="21"/>
                <w:lang w:val="en-US"/>
              </w:rPr>
              <w:t>~</w:t>
            </w:r>
            <w:r>
              <w:rPr>
                <w:sz w:val="21"/>
                <w:szCs w:val="21"/>
                <w:lang w:val="en-US"/>
              </w:rPr>
              <w:t>1.5m</w:t>
            </w:r>
          </w:p>
        </w:tc>
        <w:tc>
          <w:tcPr>
            <w:tcW w:w="261" w:type="pct"/>
            <w:vAlign w:val="center"/>
          </w:tcPr>
          <w:p>
            <w:pPr>
              <w:pStyle w:val="30"/>
              <w:jc w:val="center"/>
              <w:rPr>
                <w:sz w:val="21"/>
                <w:szCs w:val="21"/>
                <w:lang w:val="en-US"/>
              </w:rPr>
            </w:pPr>
            <w:r>
              <w:rPr>
                <w:sz w:val="21"/>
                <w:szCs w:val="21"/>
                <w:lang w:val="en-US"/>
              </w:rPr>
              <w:t>1.5~3m</w:t>
            </w:r>
          </w:p>
        </w:tc>
        <w:tc>
          <w:tcPr>
            <w:tcW w:w="364" w:type="pct"/>
            <w:vAlign w:val="center"/>
          </w:tcPr>
          <w:p>
            <w:pPr>
              <w:pStyle w:val="30"/>
              <w:jc w:val="center"/>
              <w:rPr>
                <w:sz w:val="21"/>
                <w:szCs w:val="21"/>
                <w:lang w:val="en-US"/>
              </w:rPr>
            </w:pPr>
            <w:r>
              <w:rPr>
                <w:sz w:val="21"/>
                <w:szCs w:val="21"/>
                <w:lang w:val="en-US"/>
              </w:rPr>
              <w:t>0~0.5m</w:t>
            </w:r>
          </w:p>
        </w:tc>
        <w:tc>
          <w:tcPr>
            <w:tcW w:w="366" w:type="pct"/>
            <w:vAlign w:val="center"/>
          </w:tcPr>
          <w:p>
            <w:pPr>
              <w:pStyle w:val="30"/>
              <w:jc w:val="center"/>
              <w:rPr>
                <w:sz w:val="21"/>
                <w:szCs w:val="21"/>
                <w:lang w:val="en-US"/>
              </w:rPr>
            </w:pPr>
            <w:r>
              <w:rPr>
                <w:sz w:val="21"/>
                <w:szCs w:val="21"/>
                <w:lang w:val="en-US"/>
              </w:rPr>
              <w:t>0.5~1.5m</w:t>
            </w:r>
          </w:p>
        </w:tc>
        <w:tc>
          <w:tcPr>
            <w:tcW w:w="300" w:type="pct"/>
            <w:vAlign w:val="center"/>
          </w:tcPr>
          <w:p>
            <w:pPr>
              <w:pStyle w:val="30"/>
              <w:jc w:val="center"/>
              <w:rPr>
                <w:sz w:val="21"/>
                <w:szCs w:val="21"/>
                <w:lang w:val="en-US"/>
              </w:rPr>
            </w:pPr>
            <w:r>
              <w:rPr>
                <w:sz w:val="21"/>
                <w:szCs w:val="21"/>
                <w:lang w:val="en-US"/>
              </w:rPr>
              <w:t>1.5~3m</w:t>
            </w:r>
          </w:p>
        </w:tc>
        <w:tc>
          <w:tcPr>
            <w:tcW w:w="420" w:type="pct"/>
            <w:vAlign w:val="center"/>
          </w:tcPr>
          <w:p>
            <w:pPr>
              <w:pStyle w:val="30"/>
              <w:jc w:val="center"/>
              <w:rPr>
                <w:sz w:val="21"/>
                <w:szCs w:val="21"/>
                <w:lang w:val="en-US"/>
              </w:rPr>
            </w:pPr>
            <w:r>
              <w:rPr>
                <w:sz w:val="21"/>
                <w:szCs w:val="21"/>
                <w:lang w:val="en-US"/>
              </w:rPr>
              <w:t>0~0.2m</w:t>
            </w:r>
          </w:p>
        </w:tc>
        <w:tc>
          <w:tcPr>
            <w:tcW w:w="420" w:type="pct"/>
            <w:vAlign w:val="center"/>
          </w:tcPr>
          <w:p>
            <w:pPr>
              <w:pStyle w:val="30"/>
              <w:jc w:val="center"/>
              <w:rPr>
                <w:sz w:val="21"/>
                <w:szCs w:val="21"/>
                <w:lang w:val="en-US"/>
              </w:rPr>
            </w:pPr>
            <w:r>
              <w:rPr>
                <w:sz w:val="21"/>
                <w:szCs w:val="21"/>
                <w:lang w:val="en-US"/>
              </w:rPr>
              <w:t>0~0.2m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52" w:type="pct"/>
            <w:vMerge w:val="restart"/>
            <w:textDirection w:val="tbRlV"/>
            <w:vAlign w:val="center"/>
          </w:tcPr>
          <w:p>
            <w:pPr>
              <w:pStyle w:val="41"/>
              <w:spacing w:after="0" w:line="240" w:lineRule="auto"/>
              <w:jc w:val="center"/>
              <w:rPr>
                <w:b/>
                <w:bCs/>
                <w:szCs w:val="21"/>
              </w:rPr>
            </w:pPr>
            <w:r>
              <w:rPr>
                <w:b/>
                <w:bCs/>
                <w:szCs w:val="21"/>
              </w:rPr>
              <w:t>现 场 记 录</w:t>
            </w:r>
          </w:p>
        </w:tc>
        <w:tc>
          <w:tcPr>
            <w:tcW w:w="520" w:type="pct"/>
            <w:vAlign w:val="center"/>
          </w:tcPr>
          <w:p>
            <w:pPr>
              <w:pStyle w:val="41"/>
              <w:spacing w:after="0" w:line="240" w:lineRule="auto"/>
              <w:jc w:val="center"/>
              <w:rPr>
                <w:b/>
                <w:bCs/>
                <w:szCs w:val="21"/>
              </w:rPr>
            </w:pPr>
            <w:r>
              <w:rPr>
                <w:b/>
                <w:bCs/>
                <w:szCs w:val="21"/>
              </w:rPr>
              <w:t>颜色</w:t>
            </w:r>
          </w:p>
        </w:tc>
        <w:tc>
          <w:tcPr>
            <w:tcW w:w="431" w:type="pct"/>
            <w:vAlign w:val="center"/>
          </w:tcPr>
          <w:p>
            <w:pPr>
              <w:jc w:val="center"/>
              <w:rPr>
                <w:szCs w:val="21"/>
              </w:rPr>
            </w:pPr>
            <w:r>
              <w:rPr>
                <w:szCs w:val="21"/>
              </w:rPr>
              <w:t>黄褐色</w:t>
            </w:r>
          </w:p>
        </w:tc>
        <w:tc>
          <w:tcPr>
            <w:tcW w:w="372" w:type="pct"/>
            <w:vAlign w:val="center"/>
          </w:tcPr>
          <w:p>
            <w:pPr>
              <w:jc w:val="center"/>
              <w:rPr>
                <w:szCs w:val="21"/>
              </w:rPr>
            </w:pPr>
            <w:r>
              <w:rPr>
                <w:szCs w:val="21"/>
              </w:rPr>
              <w:t>黄褐色</w:t>
            </w:r>
          </w:p>
        </w:tc>
        <w:tc>
          <w:tcPr>
            <w:tcW w:w="242" w:type="pct"/>
            <w:vAlign w:val="center"/>
          </w:tcPr>
          <w:p>
            <w:pPr>
              <w:jc w:val="center"/>
              <w:rPr>
                <w:szCs w:val="21"/>
              </w:rPr>
            </w:pPr>
            <w:r>
              <w:rPr>
                <w:szCs w:val="21"/>
              </w:rPr>
              <w:t>黄褐色</w:t>
            </w:r>
          </w:p>
        </w:tc>
        <w:tc>
          <w:tcPr>
            <w:tcW w:w="420" w:type="pct"/>
            <w:vAlign w:val="center"/>
          </w:tcPr>
          <w:p>
            <w:pPr>
              <w:jc w:val="center"/>
              <w:rPr>
                <w:szCs w:val="21"/>
              </w:rPr>
            </w:pPr>
            <w:r>
              <w:rPr>
                <w:rFonts w:hint="eastAsia"/>
                <w:szCs w:val="21"/>
              </w:rPr>
              <w:t>黄褐色</w:t>
            </w:r>
          </w:p>
        </w:tc>
        <w:tc>
          <w:tcPr>
            <w:tcW w:w="366" w:type="pct"/>
            <w:vAlign w:val="center"/>
          </w:tcPr>
          <w:p>
            <w:pPr>
              <w:jc w:val="center"/>
              <w:rPr>
                <w:szCs w:val="21"/>
              </w:rPr>
            </w:pPr>
            <w:r>
              <w:rPr>
                <w:rFonts w:hint="eastAsia"/>
                <w:szCs w:val="21"/>
              </w:rPr>
              <w:t>黄褐色</w:t>
            </w:r>
          </w:p>
        </w:tc>
        <w:tc>
          <w:tcPr>
            <w:tcW w:w="366" w:type="pct"/>
            <w:vAlign w:val="center"/>
          </w:tcPr>
          <w:p>
            <w:pPr>
              <w:jc w:val="center"/>
              <w:rPr>
                <w:szCs w:val="21"/>
              </w:rPr>
            </w:pPr>
            <w:r>
              <w:rPr>
                <w:szCs w:val="21"/>
              </w:rPr>
              <w:t>黄褐色</w:t>
            </w:r>
          </w:p>
        </w:tc>
        <w:tc>
          <w:tcPr>
            <w:tcW w:w="261" w:type="pct"/>
            <w:vAlign w:val="center"/>
          </w:tcPr>
          <w:p>
            <w:pPr>
              <w:jc w:val="center"/>
              <w:rPr>
                <w:szCs w:val="21"/>
              </w:rPr>
            </w:pPr>
            <w:r>
              <w:rPr>
                <w:szCs w:val="21"/>
              </w:rPr>
              <w:t>黄褐色</w:t>
            </w:r>
          </w:p>
        </w:tc>
        <w:tc>
          <w:tcPr>
            <w:tcW w:w="364" w:type="pct"/>
            <w:vAlign w:val="center"/>
          </w:tcPr>
          <w:p>
            <w:pPr>
              <w:jc w:val="center"/>
              <w:rPr>
                <w:szCs w:val="21"/>
              </w:rPr>
            </w:pPr>
            <w:r>
              <w:rPr>
                <w:szCs w:val="21"/>
              </w:rPr>
              <w:t>黄褐色</w:t>
            </w:r>
          </w:p>
        </w:tc>
        <w:tc>
          <w:tcPr>
            <w:tcW w:w="366" w:type="pct"/>
            <w:vAlign w:val="center"/>
          </w:tcPr>
          <w:p>
            <w:pPr>
              <w:jc w:val="center"/>
              <w:rPr>
                <w:szCs w:val="21"/>
              </w:rPr>
            </w:pPr>
            <w:r>
              <w:rPr>
                <w:szCs w:val="21"/>
              </w:rPr>
              <w:t>黄褐色</w:t>
            </w:r>
          </w:p>
        </w:tc>
        <w:tc>
          <w:tcPr>
            <w:tcW w:w="300" w:type="pct"/>
            <w:vAlign w:val="center"/>
          </w:tcPr>
          <w:p>
            <w:pPr>
              <w:jc w:val="center"/>
              <w:rPr>
                <w:szCs w:val="21"/>
              </w:rPr>
            </w:pPr>
            <w:r>
              <w:rPr>
                <w:szCs w:val="21"/>
              </w:rPr>
              <w:t>黄褐色</w:t>
            </w:r>
          </w:p>
        </w:tc>
        <w:tc>
          <w:tcPr>
            <w:tcW w:w="420" w:type="pct"/>
            <w:vAlign w:val="center"/>
          </w:tcPr>
          <w:p>
            <w:pPr>
              <w:jc w:val="center"/>
              <w:rPr>
                <w:szCs w:val="21"/>
              </w:rPr>
            </w:pPr>
            <w:r>
              <w:rPr>
                <w:rFonts w:hint="eastAsia"/>
                <w:szCs w:val="21"/>
              </w:rPr>
              <w:t>黄褐色</w:t>
            </w:r>
          </w:p>
        </w:tc>
        <w:tc>
          <w:tcPr>
            <w:tcW w:w="420" w:type="pct"/>
            <w:vAlign w:val="center"/>
          </w:tcPr>
          <w:p>
            <w:pPr>
              <w:jc w:val="center"/>
              <w:rPr>
                <w:szCs w:val="21"/>
              </w:rPr>
            </w:pPr>
            <w:r>
              <w:rPr>
                <w:rFonts w:hint="eastAsia"/>
                <w:szCs w:val="21"/>
              </w:rPr>
              <w:t>黄褐色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52" w:type="pct"/>
            <w:vMerge w:val="continue"/>
            <w:vAlign w:val="center"/>
          </w:tcPr>
          <w:p>
            <w:pPr>
              <w:pStyle w:val="41"/>
              <w:spacing w:after="0" w:line="240" w:lineRule="auto"/>
              <w:jc w:val="center"/>
              <w:rPr>
                <w:b/>
                <w:bCs/>
                <w:szCs w:val="21"/>
              </w:rPr>
            </w:pPr>
          </w:p>
        </w:tc>
        <w:tc>
          <w:tcPr>
            <w:tcW w:w="520" w:type="pct"/>
            <w:vAlign w:val="center"/>
          </w:tcPr>
          <w:p>
            <w:pPr>
              <w:pStyle w:val="41"/>
              <w:spacing w:after="0" w:line="240" w:lineRule="auto"/>
              <w:jc w:val="center"/>
              <w:rPr>
                <w:b/>
                <w:bCs/>
                <w:szCs w:val="21"/>
              </w:rPr>
            </w:pPr>
            <w:r>
              <w:rPr>
                <w:b/>
                <w:bCs/>
                <w:szCs w:val="21"/>
              </w:rPr>
              <w:t>质地</w:t>
            </w:r>
          </w:p>
        </w:tc>
        <w:tc>
          <w:tcPr>
            <w:tcW w:w="431" w:type="pct"/>
            <w:vAlign w:val="center"/>
          </w:tcPr>
          <w:p>
            <w:pPr>
              <w:jc w:val="center"/>
              <w:rPr>
                <w:szCs w:val="21"/>
              </w:rPr>
            </w:pPr>
            <w:r>
              <w:rPr>
                <w:szCs w:val="21"/>
              </w:rPr>
              <w:t>壤土</w:t>
            </w:r>
          </w:p>
        </w:tc>
        <w:tc>
          <w:tcPr>
            <w:tcW w:w="372" w:type="pct"/>
            <w:vAlign w:val="center"/>
          </w:tcPr>
          <w:p>
            <w:pPr>
              <w:jc w:val="center"/>
              <w:rPr>
                <w:szCs w:val="21"/>
              </w:rPr>
            </w:pPr>
            <w:r>
              <w:rPr>
                <w:szCs w:val="21"/>
              </w:rPr>
              <w:t>壤土</w:t>
            </w:r>
          </w:p>
        </w:tc>
        <w:tc>
          <w:tcPr>
            <w:tcW w:w="242" w:type="pct"/>
            <w:vAlign w:val="center"/>
          </w:tcPr>
          <w:p>
            <w:pPr>
              <w:jc w:val="center"/>
              <w:rPr>
                <w:szCs w:val="21"/>
              </w:rPr>
            </w:pPr>
            <w:r>
              <w:rPr>
                <w:szCs w:val="21"/>
              </w:rPr>
              <w:t>壤土</w:t>
            </w:r>
          </w:p>
        </w:tc>
        <w:tc>
          <w:tcPr>
            <w:tcW w:w="420" w:type="pct"/>
            <w:vAlign w:val="center"/>
          </w:tcPr>
          <w:p>
            <w:pPr>
              <w:jc w:val="center"/>
              <w:rPr>
                <w:szCs w:val="21"/>
              </w:rPr>
            </w:pPr>
            <w:r>
              <w:rPr>
                <w:rFonts w:hint="eastAsia"/>
                <w:szCs w:val="21"/>
              </w:rPr>
              <w:t>壤土</w:t>
            </w:r>
          </w:p>
        </w:tc>
        <w:tc>
          <w:tcPr>
            <w:tcW w:w="366" w:type="pct"/>
            <w:vAlign w:val="center"/>
          </w:tcPr>
          <w:p>
            <w:pPr>
              <w:jc w:val="center"/>
              <w:rPr>
                <w:szCs w:val="21"/>
              </w:rPr>
            </w:pPr>
            <w:r>
              <w:rPr>
                <w:rFonts w:hint="eastAsia"/>
                <w:szCs w:val="21"/>
              </w:rPr>
              <w:t>壤土</w:t>
            </w:r>
          </w:p>
        </w:tc>
        <w:tc>
          <w:tcPr>
            <w:tcW w:w="366" w:type="pct"/>
            <w:vAlign w:val="center"/>
          </w:tcPr>
          <w:p>
            <w:pPr>
              <w:jc w:val="center"/>
              <w:rPr>
                <w:szCs w:val="21"/>
              </w:rPr>
            </w:pPr>
            <w:r>
              <w:rPr>
                <w:szCs w:val="21"/>
              </w:rPr>
              <w:t>壤土</w:t>
            </w:r>
          </w:p>
        </w:tc>
        <w:tc>
          <w:tcPr>
            <w:tcW w:w="261" w:type="pct"/>
            <w:vAlign w:val="center"/>
          </w:tcPr>
          <w:p>
            <w:pPr>
              <w:jc w:val="center"/>
              <w:rPr>
                <w:szCs w:val="21"/>
              </w:rPr>
            </w:pPr>
            <w:r>
              <w:rPr>
                <w:szCs w:val="21"/>
              </w:rPr>
              <w:t>壤土</w:t>
            </w:r>
          </w:p>
        </w:tc>
        <w:tc>
          <w:tcPr>
            <w:tcW w:w="364" w:type="pct"/>
            <w:vAlign w:val="center"/>
          </w:tcPr>
          <w:p>
            <w:pPr>
              <w:jc w:val="center"/>
              <w:rPr>
                <w:szCs w:val="21"/>
              </w:rPr>
            </w:pPr>
            <w:r>
              <w:rPr>
                <w:szCs w:val="21"/>
              </w:rPr>
              <w:t>壤土</w:t>
            </w:r>
          </w:p>
        </w:tc>
        <w:tc>
          <w:tcPr>
            <w:tcW w:w="366" w:type="pct"/>
            <w:vAlign w:val="center"/>
          </w:tcPr>
          <w:p>
            <w:pPr>
              <w:jc w:val="center"/>
              <w:rPr>
                <w:szCs w:val="21"/>
              </w:rPr>
            </w:pPr>
            <w:r>
              <w:rPr>
                <w:szCs w:val="21"/>
              </w:rPr>
              <w:t>壤土</w:t>
            </w:r>
          </w:p>
        </w:tc>
        <w:tc>
          <w:tcPr>
            <w:tcW w:w="300" w:type="pct"/>
            <w:vAlign w:val="center"/>
          </w:tcPr>
          <w:p>
            <w:pPr>
              <w:jc w:val="center"/>
              <w:rPr>
                <w:szCs w:val="21"/>
              </w:rPr>
            </w:pPr>
            <w:r>
              <w:rPr>
                <w:szCs w:val="21"/>
              </w:rPr>
              <w:t>壤土</w:t>
            </w:r>
          </w:p>
        </w:tc>
        <w:tc>
          <w:tcPr>
            <w:tcW w:w="420" w:type="pct"/>
            <w:vAlign w:val="center"/>
          </w:tcPr>
          <w:p>
            <w:pPr>
              <w:jc w:val="center"/>
              <w:rPr>
                <w:szCs w:val="21"/>
              </w:rPr>
            </w:pPr>
            <w:r>
              <w:rPr>
                <w:szCs w:val="21"/>
              </w:rPr>
              <w:t>壤土</w:t>
            </w:r>
          </w:p>
        </w:tc>
        <w:tc>
          <w:tcPr>
            <w:tcW w:w="420" w:type="pct"/>
            <w:vAlign w:val="center"/>
          </w:tcPr>
          <w:p>
            <w:pPr>
              <w:jc w:val="center"/>
              <w:rPr>
                <w:szCs w:val="21"/>
              </w:rPr>
            </w:pPr>
            <w:r>
              <w:rPr>
                <w:szCs w:val="21"/>
              </w:rPr>
              <w:t>壤土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52" w:type="pct"/>
            <w:vMerge w:val="continue"/>
            <w:vAlign w:val="center"/>
          </w:tcPr>
          <w:p>
            <w:pPr>
              <w:pStyle w:val="41"/>
              <w:spacing w:after="0" w:line="240" w:lineRule="auto"/>
              <w:jc w:val="center"/>
              <w:rPr>
                <w:b/>
                <w:bCs/>
                <w:szCs w:val="21"/>
              </w:rPr>
            </w:pPr>
          </w:p>
        </w:tc>
        <w:tc>
          <w:tcPr>
            <w:tcW w:w="520" w:type="pct"/>
            <w:vAlign w:val="center"/>
          </w:tcPr>
          <w:p>
            <w:pPr>
              <w:pStyle w:val="41"/>
              <w:spacing w:after="0" w:line="240" w:lineRule="auto"/>
              <w:jc w:val="center"/>
              <w:rPr>
                <w:b/>
                <w:bCs/>
                <w:szCs w:val="21"/>
              </w:rPr>
            </w:pPr>
            <w:r>
              <w:rPr>
                <w:b/>
                <w:bCs/>
                <w:szCs w:val="21"/>
              </w:rPr>
              <w:t>砂砾含量</w:t>
            </w:r>
          </w:p>
        </w:tc>
        <w:tc>
          <w:tcPr>
            <w:tcW w:w="431" w:type="pct"/>
            <w:vAlign w:val="center"/>
          </w:tcPr>
          <w:p>
            <w:pPr>
              <w:pStyle w:val="41"/>
              <w:spacing w:after="0" w:line="240" w:lineRule="auto"/>
              <w:jc w:val="center"/>
              <w:rPr>
                <w:szCs w:val="21"/>
              </w:rPr>
            </w:pPr>
            <w:r>
              <w:rPr>
                <w:szCs w:val="21"/>
              </w:rPr>
              <w:t>12%</w:t>
            </w:r>
          </w:p>
        </w:tc>
        <w:tc>
          <w:tcPr>
            <w:tcW w:w="372" w:type="pct"/>
            <w:vAlign w:val="center"/>
          </w:tcPr>
          <w:p>
            <w:pPr>
              <w:pStyle w:val="41"/>
              <w:spacing w:after="0" w:line="240" w:lineRule="auto"/>
              <w:jc w:val="center"/>
              <w:rPr>
                <w:szCs w:val="21"/>
              </w:rPr>
            </w:pPr>
            <w:r>
              <w:rPr>
                <w:szCs w:val="21"/>
              </w:rPr>
              <w:t>11%</w:t>
            </w:r>
          </w:p>
        </w:tc>
        <w:tc>
          <w:tcPr>
            <w:tcW w:w="242" w:type="pct"/>
            <w:vAlign w:val="center"/>
          </w:tcPr>
          <w:p>
            <w:pPr>
              <w:pStyle w:val="41"/>
              <w:spacing w:after="0" w:line="240" w:lineRule="auto"/>
              <w:jc w:val="center"/>
              <w:rPr>
                <w:szCs w:val="21"/>
              </w:rPr>
            </w:pPr>
            <w:r>
              <w:rPr>
                <w:szCs w:val="21"/>
              </w:rPr>
              <w:t>10%</w:t>
            </w:r>
          </w:p>
        </w:tc>
        <w:tc>
          <w:tcPr>
            <w:tcW w:w="420" w:type="pct"/>
            <w:vAlign w:val="center"/>
          </w:tcPr>
          <w:p>
            <w:pPr>
              <w:pStyle w:val="41"/>
              <w:spacing w:after="0" w:line="240" w:lineRule="auto"/>
              <w:jc w:val="center"/>
              <w:rPr>
                <w:szCs w:val="21"/>
              </w:rPr>
            </w:pPr>
            <w:r>
              <w:rPr>
                <w:rFonts w:hint="eastAsia"/>
                <w:szCs w:val="21"/>
              </w:rPr>
              <w:t>1</w:t>
            </w:r>
            <w:r>
              <w:rPr>
                <w:szCs w:val="21"/>
              </w:rPr>
              <w:t>3</w:t>
            </w:r>
            <w:r>
              <w:rPr>
                <w:rFonts w:hint="eastAsia"/>
                <w:szCs w:val="21"/>
              </w:rPr>
              <w:t>%</w:t>
            </w:r>
          </w:p>
        </w:tc>
        <w:tc>
          <w:tcPr>
            <w:tcW w:w="366" w:type="pct"/>
            <w:vAlign w:val="center"/>
          </w:tcPr>
          <w:p>
            <w:pPr>
              <w:pStyle w:val="41"/>
              <w:spacing w:after="0" w:line="240" w:lineRule="auto"/>
              <w:jc w:val="center"/>
              <w:rPr>
                <w:szCs w:val="21"/>
              </w:rPr>
            </w:pPr>
            <w:r>
              <w:rPr>
                <w:rFonts w:hint="eastAsia"/>
                <w:szCs w:val="21"/>
              </w:rPr>
              <w:t>1</w:t>
            </w:r>
            <w:r>
              <w:rPr>
                <w:szCs w:val="21"/>
              </w:rPr>
              <w:t>0</w:t>
            </w:r>
            <w:r>
              <w:rPr>
                <w:rFonts w:hint="eastAsia"/>
                <w:szCs w:val="21"/>
              </w:rPr>
              <w:t>%</w:t>
            </w:r>
          </w:p>
        </w:tc>
        <w:tc>
          <w:tcPr>
            <w:tcW w:w="366" w:type="pct"/>
            <w:vAlign w:val="center"/>
          </w:tcPr>
          <w:p>
            <w:pPr>
              <w:pStyle w:val="41"/>
              <w:spacing w:after="0" w:line="240" w:lineRule="auto"/>
              <w:jc w:val="center"/>
              <w:rPr>
                <w:szCs w:val="21"/>
              </w:rPr>
            </w:pPr>
            <w:r>
              <w:rPr>
                <w:szCs w:val="21"/>
              </w:rPr>
              <w:t>11%</w:t>
            </w:r>
          </w:p>
        </w:tc>
        <w:tc>
          <w:tcPr>
            <w:tcW w:w="261" w:type="pct"/>
            <w:vAlign w:val="center"/>
          </w:tcPr>
          <w:p>
            <w:pPr>
              <w:pStyle w:val="41"/>
              <w:spacing w:after="0" w:line="240" w:lineRule="auto"/>
              <w:jc w:val="center"/>
              <w:rPr>
                <w:szCs w:val="21"/>
              </w:rPr>
            </w:pPr>
            <w:r>
              <w:rPr>
                <w:szCs w:val="21"/>
              </w:rPr>
              <w:t>9%</w:t>
            </w:r>
          </w:p>
        </w:tc>
        <w:tc>
          <w:tcPr>
            <w:tcW w:w="364" w:type="pct"/>
            <w:vAlign w:val="center"/>
          </w:tcPr>
          <w:p>
            <w:pPr>
              <w:pStyle w:val="41"/>
              <w:spacing w:line="240" w:lineRule="auto"/>
              <w:jc w:val="center"/>
              <w:rPr>
                <w:szCs w:val="21"/>
              </w:rPr>
            </w:pPr>
            <w:r>
              <w:rPr>
                <w:rFonts w:hint="eastAsia"/>
                <w:szCs w:val="21"/>
              </w:rPr>
              <w:t>14%</w:t>
            </w:r>
          </w:p>
        </w:tc>
        <w:tc>
          <w:tcPr>
            <w:tcW w:w="366" w:type="pct"/>
            <w:vAlign w:val="center"/>
          </w:tcPr>
          <w:p>
            <w:pPr>
              <w:pStyle w:val="41"/>
              <w:spacing w:line="240" w:lineRule="auto"/>
              <w:jc w:val="center"/>
              <w:rPr>
                <w:szCs w:val="21"/>
              </w:rPr>
            </w:pPr>
            <w:r>
              <w:rPr>
                <w:rFonts w:hint="eastAsia"/>
                <w:szCs w:val="21"/>
              </w:rPr>
              <w:t>12%</w:t>
            </w:r>
          </w:p>
        </w:tc>
        <w:tc>
          <w:tcPr>
            <w:tcW w:w="300" w:type="pct"/>
            <w:vAlign w:val="center"/>
          </w:tcPr>
          <w:p>
            <w:pPr>
              <w:pStyle w:val="41"/>
              <w:spacing w:line="240" w:lineRule="auto"/>
              <w:jc w:val="center"/>
              <w:rPr>
                <w:szCs w:val="21"/>
              </w:rPr>
            </w:pPr>
            <w:r>
              <w:rPr>
                <w:rFonts w:hint="eastAsia"/>
                <w:szCs w:val="21"/>
              </w:rPr>
              <w:t>11%</w:t>
            </w:r>
          </w:p>
        </w:tc>
        <w:tc>
          <w:tcPr>
            <w:tcW w:w="420" w:type="pct"/>
            <w:vAlign w:val="center"/>
          </w:tcPr>
          <w:p>
            <w:pPr>
              <w:pStyle w:val="41"/>
              <w:spacing w:line="240" w:lineRule="auto"/>
              <w:jc w:val="center"/>
              <w:rPr>
                <w:szCs w:val="21"/>
              </w:rPr>
            </w:pPr>
            <w:r>
              <w:rPr>
                <w:rFonts w:hint="eastAsia"/>
                <w:szCs w:val="21"/>
              </w:rPr>
              <w:t>12%</w:t>
            </w:r>
          </w:p>
        </w:tc>
        <w:tc>
          <w:tcPr>
            <w:tcW w:w="420" w:type="pct"/>
            <w:vAlign w:val="center"/>
          </w:tcPr>
          <w:p>
            <w:pPr>
              <w:pStyle w:val="41"/>
              <w:spacing w:line="240" w:lineRule="auto"/>
              <w:jc w:val="center"/>
              <w:rPr>
                <w:szCs w:val="21"/>
              </w:rPr>
            </w:pPr>
            <w:r>
              <w:rPr>
                <w:rFonts w:hint="eastAsia"/>
                <w:szCs w:val="21"/>
              </w:rPr>
              <w:t>1</w:t>
            </w:r>
            <w:r>
              <w:rPr>
                <w:szCs w:val="21"/>
              </w:rPr>
              <w:t>3</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52" w:type="pct"/>
            <w:vMerge w:val="continue"/>
            <w:vAlign w:val="center"/>
          </w:tcPr>
          <w:p>
            <w:pPr>
              <w:pStyle w:val="41"/>
              <w:spacing w:after="0" w:line="240" w:lineRule="auto"/>
              <w:jc w:val="center"/>
              <w:rPr>
                <w:b/>
                <w:bCs/>
                <w:szCs w:val="21"/>
              </w:rPr>
            </w:pPr>
          </w:p>
        </w:tc>
        <w:tc>
          <w:tcPr>
            <w:tcW w:w="520" w:type="pct"/>
            <w:vAlign w:val="center"/>
          </w:tcPr>
          <w:p>
            <w:pPr>
              <w:pStyle w:val="41"/>
              <w:spacing w:after="0" w:line="240" w:lineRule="auto"/>
              <w:jc w:val="center"/>
              <w:rPr>
                <w:b/>
                <w:bCs/>
                <w:szCs w:val="21"/>
              </w:rPr>
            </w:pPr>
            <w:r>
              <w:rPr>
                <w:b/>
                <w:bCs/>
                <w:szCs w:val="21"/>
              </w:rPr>
              <w:t>其他异物</w:t>
            </w:r>
          </w:p>
        </w:tc>
        <w:tc>
          <w:tcPr>
            <w:tcW w:w="431" w:type="pct"/>
            <w:vAlign w:val="center"/>
          </w:tcPr>
          <w:p>
            <w:pPr>
              <w:widowControl/>
              <w:jc w:val="center"/>
              <w:rPr>
                <w:szCs w:val="21"/>
              </w:rPr>
            </w:pPr>
            <w:r>
              <w:rPr>
                <w:szCs w:val="21"/>
              </w:rPr>
              <w:t>植物根系、枝叶</w:t>
            </w:r>
          </w:p>
        </w:tc>
        <w:tc>
          <w:tcPr>
            <w:tcW w:w="372" w:type="pct"/>
            <w:vAlign w:val="center"/>
          </w:tcPr>
          <w:p>
            <w:pPr>
              <w:widowControl/>
              <w:jc w:val="center"/>
              <w:rPr>
                <w:szCs w:val="21"/>
              </w:rPr>
            </w:pPr>
            <w:r>
              <w:rPr>
                <w:szCs w:val="21"/>
              </w:rPr>
              <w:t>植物根系、枝叶</w:t>
            </w:r>
          </w:p>
        </w:tc>
        <w:tc>
          <w:tcPr>
            <w:tcW w:w="242" w:type="pct"/>
            <w:vAlign w:val="center"/>
          </w:tcPr>
          <w:p>
            <w:pPr>
              <w:widowControl/>
              <w:jc w:val="center"/>
              <w:rPr>
                <w:szCs w:val="21"/>
              </w:rPr>
            </w:pPr>
            <w:r>
              <w:rPr>
                <w:szCs w:val="21"/>
              </w:rPr>
              <w:t>植物根系</w:t>
            </w:r>
          </w:p>
        </w:tc>
        <w:tc>
          <w:tcPr>
            <w:tcW w:w="420" w:type="pct"/>
            <w:vAlign w:val="center"/>
          </w:tcPr>
          <w:p>
            <w:pPr>
              <w:widowControl/>
              <w:jc w:val="center"/>
              <w:rPr>
                <w:szCs w:val="21"/>
              </w:rPr>
            </w:pPr>
            <w:r>
              <w:rPr>
                <w:szCs w:val="21"/>
              </w:rPr>
              <w:t>植物根系、枝叶</w:t>
            </w:r>
          </w:p>
        </w:tc>
        <w:tc>
          <w:tcPr>
            <w:tcW w:w="366" w:type="pct"/>
            <w:vAlign w:val="center"/>
          </w:tcPr>
          <w:p>
            <w:pPr>
              <w:widowControl/>
              <w:jc w:val="center"/>
              <w:rPr>
                <w:szCs w:val="21"/>
              </w:rPr>
            </w:pPr>
            <w:r>
              <w:rPr>
                <w:szCs w:val="21"/>
              </w:rPr>
              <w:t>植物根系、枝叶</w:t>
            </w:r>
          </w:p>
        </w:tc>
        <w:tc>
          <w:tcPr>
            <w:tcW w:w="366" w:type="pct"/>
            <w:vAlign w:val="center"/>
          </w:tcPr>
          <w:p>
            <w:pPr>
              <w:widowControl/>
              <w:jc w:val="center"/>
              <w:rPr>
                <w:szCs w:val="21"/>
              </w:rPr>
            </w:pPr>
            <w:r>
              <w:rPr>
                <w:szCs w:val="21"/>
              </w:rPr>
              <w:t>植物根系、枝叶</w:t>
            </w:r>
          </w:p>
        </w:tc>
        <w:tc>
          <w:tcPr>
            <w:tcW w:w="261" w:type="pct"/>
            <w:vAlign w:val="center"/>
          </w:tcPr>
          <w:p>
            <w:pPr>
              <w:widowControl/>
              <w:jc w:val="center"/>
              <w:rPr>
                <w:szCs w:val="21"/>
              </w:rPr>
            </w:pPr>
            <w:r>
              <w:rPr>
                <w:szCs w:val="21"/>
              </w:rPr>
              <w:t>植物根系</w:t>
            </w:r>
          </w:p>
        </w:tc>
        <w:tc>
          <w:tcPr>
            <w:tcW w:w="364" w:type="pct"/>
            <w:vAlign w:val="center"/>
          </w:tcPr>
          <w:p>
            <w:pPr>
              <w:widowControl/>
              <w:jc w:val="center"/>
              <w:rPr>
                <w:szCs w:val="21"/>
              </w:rPr>
            </w:pPr>
            <w:r>
              <w:rPr>
                <w:rFonts w:hint="eastAsia"/>
                <w:szCs w:val="21"/>
              </w:rPr>
              <w:t>植物根系、枝叶</w:t>
            </w:r>
          </w:p>
        </w:tc>
        <w:tc>
          <w:tcPr>
            <w:tcW w:w="366" w:type="pct"/>
            <w:vAlign w:val="center"/>
          </w:tcPr>
          <w:p>
            <w:pPr>
              <w:widowControl/>
              <w:jc w:val="center"/>
              <w:rPr>
                <w:szCs w:val="21"/>
              </w:rPr>
            </w:pPr>
            <w:r>
              <w:rPr>
                <w:rFonts w:hint="eastAsia"/>
                <w:szCs w:val="21"/>
              </w:rPr>
              <w:t>植物根系、枝叶</w:t>
            </w:r>
          </w:p>
        </w:tc>
        <w:tc>
          <w:tcPr>
            <w:tcW w:w="300" w:type="pct"/>
            <w:vAlign w:val="center"/>
          </w:tcPr>
          <w:p>
            <w:pPr>
              <w:widowControl/>
              <w:jc w:val="center"/>
              <w:rPr>
                <w:szCs w:val="21"/>
              </w:rPr>
            </w:pPr>
            <w:r>
              <w:rPr>
                <w:rFonts w:hint="eastAsia"/>
                <w:szCs w:val="21"/>
              </w:rPr>
              <w:t>植物根系</w:t>
            </w:r>
          </w:p>
        </w:tc>
        <w:tc>
          <w:tcPr>
            <w:tcW w:w="420" w:type="pct"/>
            <w:vAlign w:val="center"/>
          </w:tcPr>
          <w:p>
            <w:pPr>
              <w:widowControl/>
              <w:jc w:val="center"/>
              <w:rPr>
                <w:szCs w:val="21"/>
              </w:rPr>
            </w:pPr>
            <w:r>
              <w:rPr>
                <w:rFonts w:hint="eastAsia"/>
                <w:szCs w:val="21"/>
              </w:rPr>
              <w:t>植物根系、枝叶</w:t>
            </w:r>
          </w:p>
        </w:tc>
        <w:tc>
          <w:tcPr>
            <w:tcW w:w="420" w:type="pct"/>
            <w:vAlign w:val="center"/>
          </w:tcPr>
          <w:p>
            <w:pPr>
              <w:widowControl/>
              <w:jc w:val="center"/>
              <w:rPr>
                <w:szCs w:val="21"/>
              </w:rPr>
            </w:pPr>
            <w:r>
              <w:rPr>
                <w:rFonts w:hint="eastAsia"/>
                <w:szCs w:val="21"/>
              </w:rPr>
              <w:t>植物根系、枝叶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52" w:type="pct"/>
            <w:vMerge w:val="restart"/>
            <w:textDirection w:val="tbRlV"/>
            <w:vAlign w:val="center"/>
          </w:tcPr>
          <w:p>
            <w:pPr>
              <w:pStyle w:val="41"/>
              <w:spacing w:after="0" w:line="240" w:lineRule="auto"/>
              <w:jc w:val="center"/>
              <w:rPr>
                <w:b/>
                <w:bCs/>
                <w:szCs w:val="21"/>
              </w:rPr>
            </w:pPr>
            <w:r>
              <w:rPr>
                <w:b/>
                <w:bCs/>
                <w:szCs w:val="21"/>
              </w:rPr>
              <w:t>实 验 室 测 定</w:t>
            </w:r>
          </w:p>
        </w:tc>
        <w:tc>
          <w:tcPr>
            <w:tcW w:w="520" w:type="pct"/>
            <w:vAlign w:val="center"/>
          </w:tcPr>
          <w:p>
            <w:pPr>
              <w:pStyle w:val="41"/>
              <w:spacing w:after="0" w:line="240" w:lineRule="auto"/>
              <w:jc w:val="center"/>
              <w:rPr>
                <w:b/>
                <w:bCs/>
                <w:szCs w:val="21"/>
              </w:rPr>
            </w:pPr>
            <w:r>
              <w:rPr>
                <w:b/>
                <w:bCs/>
                <w:szCs w:val="21"/>
              </w:rPr>
              <w:t>阳离子交换量（cmol</w:t>
            </w:r>
            <w:r>
              <w:rPr>
                <w:b/>
                <w:bCs/>
                <w:szCs w:val="21"/>
                <w:vertAlign w:val="superscript"/>
              </w:rPr>
              <w:t>+</w:t>
            </w:r>
            <w:r>
              <w:rPr>
                <w:b/>
                <w:bCs/>
                <w:szCs w:val="21"/>
              </w:rPr>
              <w:t>/kg）</w:t>
            </w:r>
          </w:p>
        </w:tc>
        <w:tc>
          <w:tcPr>
            <w:tcW w:w="431" w:type="pct"/>
            <w:vAlign w:val="center"/>
          </w:tcPr>
          <w:p>
            <w:pPr>
              <w:widowControl/>
              <w:jc w:val="center"/>
              <w:textAlignment w:val="center"/>
              <w:rPr>
                <w:color w:val="000000"/>
                <w:szCs w:val="21"/>
              </w:rPr>
            </w:pPr>
            <w:r>
              <w:rPr>
                <w:color w:val="000000"/>
                <w:kern w:val="0"/>
                <w:szCs w:val="21"/>
                <w:lang w:bidi="ar"/>
              </w:rPr>
              <w:t>14.7</w:t>
            </w:r>
          </w:p>
        </w:tc>
        <w:tc>
          <w:tcPr>
            <w:tcW w:w="372" w:type="pct"/>
            <w:vAlign w:val="center"/>
          </w:tcPr>
          <w:p>
            <w:pPr>
              <w:widowControl/>
              <w:jc w:val="center"/>
              <w:textAlignment w:val="center"/>
              <w:rPr>
                <w:color w:val="000000"/>
                <w:szCs w:val="21"/>
              </w:rPr>
            </w:pPr>
            <w:r>
              <w:rPr>
                <w:color w:val="000000"/>
                <w:kern w:val="0"/>
                <w:szCs w:val="21"/>
                <w:lang w:bidi="ar"/>
              </w:rPr>
              <w:t>16.0</w:t>
            </w:r>
          </w:p>
        </w:tc>
        <w:tc>
          <w:tcPr>
            <w:tcW w:w="242" w:type="pct"/>
            <w:vAlign w:val="center"/>
          </w:tcPr>
          <w:p>
            <w:pPr>
              <w:widowControl/>
              <w:jc w:val="center"/>
              <w:textAlignment w:val="center"/>
              <w:rPr>
                <w:szCs w:val="21"/>
              </w:rPr>
            </w:pPr>
            <w:r>
              <w:rPr>
                <w:color w:val="000000"/>
                <w:kern w:val="0"/>
                <w:szCs w:val="21"/>
                <w:lang w:bidi="ar"/>
              </w:rPr>
              <w:t>14.1</w:t>
            </w:r>
          </w:p>
        </w:tc>
        <w:tc>
          <w:tcPr>
            <w:tcW w:w="420" w:type="pct"/>
            <w:vAlign w:val="center"/>
          </w:tcPr>
          <w:p>
            <w:pPr>
              <w:widowControl/>
              <w:jc w:val="center"/>
              <w:textAlignment w:val="center"/>
              <w:rPr>
                <w:szCs w:val="21"/>
              </w:rPr>
            </w:pPr>
            <w:r>
              <w:rPr>
                <w:color w:val="000000"/>
                <w:kern w:val="0"/>
                <w:szCs w:val="21"/>
                <w:lang w:bidi="ar"/>
              </w:rPr>
              <w:t>11.2</w:t>
            </w:r>
          </w:p>
        </w:tc>
        <w:tc>
          <w:tcPr>
            <w:tcW w:w="366" w:type="pct"/>
            <w:vAlign w:val="center"/>
          </w:tcPr>
          <w:p>
            <w:pPr>
              <w:widowControl/>
              <w:jc w:val="center"/>
              <w:textAlignment w:val="center"/>
              <w:rPr>
                <w:szCs w:val="21"/>
              </w:rPr>
            </w:pPr>
            <w:r>
              <w:rPr>
                <w:color w:val="000000"/>
                <w:kern w:val="0"/>
                <w:szCs w:val="21"/>
                <w:lang w:bidi="ar"/>
              </w:rPr>
              <w:t>11.7</w:t>
            </w:r>
          </w:p>
        </w:tc>
        <w:tc>
          <w:tcPr>
            <w:tcW w:w="366" w:type="pct"/>
            <w:vAlign w:val="center"/>
          </w:tcPr>
          <w:p>
            <w:pPr>
              <w:widowControl/>
              <w:jc w:val="center"/>
              <w:textAlignment w:val="center"/>
              <w:rPr>
                <w:szCs w:val="21"/>
              </w:rPr>
            </w:pPr>
            <w:r>
              <w:rPr>
                <w:color w:val="000000"/>
                <w:kern w:val="0"/>
                <w:szCs w:val="21"/>
                <w:lang w:bidi="ar"/>
              </w:rPr>
              <w:t>13.3</w:t>
            </w:r>
          </w:p>
        </w:tc>
        <w:tc>
          <w:tcPr>
            <w:tcW w:w="261" w:type="pct"/>
            <w:vAlign w:val="center"/>
          </w:tcPr>
          <w:p>
            <w:pPr>
              <w:widowControl/>
              <w:jc w:val="center"/>
              <w:textAlignment w:val="center"/>
              <w:rPr>
                <w:szCs w:val="21"/>
              </w:rPr>
            </w:pPr>
            <w:r>
              <w:rPr>
                <w:color w:val="000000"/>
                <w:kern w:val="0"/>
                <w:szCs w:val="21"/>
                <w:lang w:bidi="ar"/>
              </w:rPr>
              <w:t>12.8</w:t>
            </w:r>
          </w:p>
        </w:tc>
        <w:tc>
          <w:tcPr>
            <w:tcW w:w="364" w:type="pct"/>
            <w:vAlign w:val="center"/>
          </w:tcPr>
          <w:p>
            <w:pPr>
              <w:widowControl/>
              <w:jc w:val="center"/>
              <w:textAlignment w:val="center"/>
              <w:rPr>
                <w:color w:val="000000"/>
                <w:kern w:val="0"/>
                <w:szCs w:val="21"/>
                <w:lang w:bidi="ar"/>
              </w:rPr>
            </w:pPr>
            <w:r>
              <w:rPr>
                <w:rFonts w:hint="eastAsia"/>
                <w:color w:val="000000"/>
                <w:kern w:val="0"/>
                <w:szCs w:val="21"/>
                <w:lang w:bidi="ar"/>
              </w:rPr>
              <w:t>13.0</w:t>
            </w:r>
          </w:p>
        </w:tc>
        <w:tc>
          <w:tcPr>
            <w:tcW w:w="366" w:type="pct"/>
            <w:vAlign w:val="center"/>
          </w:tcPr>
          <w:p>
            <w:pPr>
              <w:widowControl/>
              <w:jc w:val="center"/>
              <w:textAlignment w:val="center"/>
              <w:rPr>
                <w:color w:val="000000"/>
                <w:kern w:val="0"/>
                <w:szCs w:val="21"/>
                <w:lang w:bidi="ar"/>
              </w:rPr>
            </w:pPr>
            <w:r>
              <w:rPr>
                <w:rFonts w:hint="eastAsia"/>
                <w:color w:val="000000"/>
                <w:kern w:val="0"/>
                <w:szCs w:val="21"/>
                <w:lang w:bidi="ar"/>
              </w:rPr>
              <w:t>15.8</w:t>
            </w:r>
          </w:p>
        </w:tc>
        <w:tc>
          <w:tcPr>
            <w:tcW w:w="300" w:type="pct"/>
            <w:vAlign w:val="center"/>
          </w:tcPr>
          <w:p>
            <w:pPr>
              <w:widowControl/>
              <w:jc w:val="center"/>
              <w:textAlignment w:val="center"/>
              <w:rPr>
                <w:color w:val="000000"/>
                <w:kern w:val="0"/>
                <w:szCs w:val="21"/>
                <w:lang w:bidi="ar"/>
              </w:rPr>
            </w:pPr>
            <w:r>
              <w:rPr>
                <w:rFonts w:hint="eastAsia"/>
                <w:color w:val="000000"/>
                <w:kern w:val="0"/>
                <w:szCs w:val="21"/>
                <w:lang w:bidi="ar"/>
              </w:rPr>
              <w:t>11.2</w:t>
            </w:r>
          </w:p>
        </w:tc>
        <w:tc>
          <w:tcPr>
            <w:tcW w:w="420" w:type="pct"/>
            <w:vAlign w:val="center"/>
          </w:tcPr>
          <w:p>
            <w:pPr>
              <w:widowControl/>
              <w:jc w:val="center"/>
              <w:textAlignment w:val="center"/>
              <w:rPr>
                <w:color w:val="000000"/>
                <w:kern w:val="0"/>
                <w:szCs w:val="21"/>
                <w:lang w:bidi="ar"/>
              </w:rPr>
            </w:pPr>
            <w:r>
              <w:rPr>
                <w:rFonts w:hint="eastAsia"/>
                <w:color w:val="000000"/>
                <w:kern w:val="0"/>
                <w:szCs w:val="21"/>
                <w:lang w:bidi="ar"/>
              </w:rPr>
              <w:t>14.5</w:t>
            </w:r>
          </w:p>
        </w:tc>
        <w:tc>
          <w:tcPr>
            <w:tcW w:w="420" w:type="pct"/>
            <w:vAlign w:val="center"/>
          </w:tcPr>
          <w:p>
            <w:pPr>
              <w:widowControl/>
              <w:jc w:val="center"/>
              <w:textAlignment w:val="center"/>
              <w:rPr>
                <w:color w:val="000000"/>
                <w:kern w:val="0"/>
                <w:szCs w:val="21"/>
                <w:lang w:bidi="ar"/>
              </w:rPr>
            </w:pPr>
            <w:r>
              <w:rPr>
                <w:rFonts w:hint="eastAsia"/>
                <w:color w:val="000000"/>
                <w:kern w:val="0"/>
                <w:szCs w:val="21"/>
                <w:lang w:bidi="ar"/>
              </w:rPr>
              <w:t>11.5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52" w:type="pct"/>
            <w:vMerge w:val="continue"/>
            <w:vAlign w:val="center"/>
          </w:tcPr>
          <w:p>
            <w:pPr>
              <w:pStyle w:val="41"/>
              <w:spacing w:after="0" w:line="240" w:lineRule="auto"/>
              <w:jc w:val="center"/>
              <w:rPr>
                <w:b/>
                <w:bCs/>
                <w:szCs w:val="21"/>
              </w:rPr>
            </w:pPr>
          </w:p>
        </w:tc>
        <w:tc>
          <w:tcPr>
            <w:tcW w:w="520" w:type="pct"/>
            <w:vAlign w:val="center"/>
          </w:tcPr>
          <w:p>
            <w:pPr>
              <w:pStyle w:val="41"/>
              <w:spacing w:line="240" w:lineRule="auto"/>
              <w:jc w:val="center"/>
              <w:rPr>
                <w:b/>
                <w:bCs/>
                <w:szCs w:val="21"/>
              </w:rPr>
            </w:pPr>
            <w:r>
              <w:rPr>
                <w:b/>
                <w:bCs/>
                <w:szCs w:val="21"/>
              </w:rPr>
              <w:t>氧化还原电位（mv）</w:t>
            </w:r>
          </w:p>
        </w:tc>
        <w:tc>
          <w:tcPr>
            <w:tcW w:w="431" w:type="pct"/>
            <w:vAlign w:val="center"/>
          </w:tcPr>
          <w:p>
            <w:pPr>
              <w:widowControl/>
              <w:jc w:val="center"/>
              <w:textAlignment w:val="center"/>
              <w:rPr>
                <w:color w:val="000000"/>
                <w:kern w:val="0"/>
                <w:szCs w:val="21"/>
                <w:lang w:bidi="ar"/>
              </w:rPr>
            </w:pPr>
            <w:r>
              <w:rPr>
                <w:color w:val="000000"/>
                <w:kern w:val="0"/>
                <w:szCs w:val="21"/>
                <w:lang w:bidi="ar"/>
              </w:rPr>
              <w:t>324</w:t>
            </w:r>
          </w:p>
        </w:tc>
        <w:tc>
          <w:tcPr>
            <w:tcW w:w="372" w:type="pct"/>
            <w:vAlign w:val="center"/>
          </w:tcPr>
          <w:p>
            <w:pPr>
              <w:widowControl/>
              <w:jc w:val="center"/>
              <w:textAlignment w:val="center"/>
              <w:rPr>
                <w:color w:val="000000"/>
                <w:kern w:val="0"/>
                <w:szCs w:val="21"/>
                <w:lang w:bidi="ar"/>
              </w:rPr>
            </w:pPr>
            <w:r>
              <w:rPr>
                <w:color w:val="000000"/>
                <w:kern w:val="0"/>
                <w:szCs w:val="21"/>
                <w:lang w:bidi="ar"/>
              </w:rPr>
              <w:t>325</w:t>
            </w:r>
          </w:p>
        </w:tc>
        <w:tc>
          <w:tcPr>
            <w:tcW w:w="242" w:type="pct"/>
            <w:vAlign w:val="center"/>
          </w:tcPr>
          <w:p>
            <w:pPr>
              <w:widowControl/>
              <w:jc w:val="center"/>
              <w:textAlignment w:val="center"/>
              <w:rPr>
                <w:szCs w:val="21"/>
              </w:rPr>
            </w:pPr>
            <w:r>
              <w:rPr>
                <w:color w:val="000000"/>
                <w:kern w:val="0"/>
                <w:szCs w:val="21"/>
                <w:lang w:bidi="ar"/>
              </w:rPr>
              <w:t>330</w:t>
            </w:r>
          </w:p>
        </w:tc>
        <w:tc>
          <w:tcPr>
            <w:tcW w:w="420" w:type="pct"/>
            <w:vAlign w:val="center"/>
          </w:tcPr>
          <w:p>
            <w:pPr>
              <w:widowControl/>
              <w:jc w:val="center"/>
              <w:textAlignment w:val="center"/>
              <w:rPr>
                <w:szCs w:val="21"/>
              </w:rPr>
            </w:pPr>
            <w:r>
              <w:rPr>
                <w:color w:val="000000"/>
                <w:kern w:val="0"/>
                <w:szCs w:val="21"/>
                <w:lang w:bidi="ar"/>
              </w:rPr>
              <w:t>320</w:t>
            </w:r>
          </w:p>
        </w:tc>
        <w:tc>
          <w:tcPr>
            <w:tcW w:w="366" w:type="pct"/>
            <w:vAlign w:val="center"/>
          </w:tcPr>
          <w:p>
            <w:pPr>
              <w:widowControl/>
              <w:jc w:val="center"/>
              <w:textAlignment w:val="center"/>
              <w:rPr>
                <w:szCs w:val="21"/>
              </w:rPr>
            </w:pPr>
            <w:r>
              <w:rPr>
                <w:color w:val="000000"/>
                <w:kern w:val="0"/>
                <w:szCs w:val="21"/>
                <w:lang w:bidi="ar"/>
              </w:rPr>
              <w:t>324</w:t>
            </w:r>
          </w:p>
        </w:tc>
        <w:tc>
          <w:tcPr>
            <w:tcW w:w="366" w:type="pct"/>
            <w:vAlign w:val="center"/>
          </w:tcPr>
          <w:p>
            <w:pPr>
              <w:widowControl/>
              <w:jc w:val="center"/>
              <w:textAlignment w:val="center"/>
              <w:rPr>
                <w:szCs w:val="21"/>
              </w:rPr>
            </w:pPr>
            <w:r>
              <w:rPr>
                <w:color w:val="000000"/>
                <w:kern w:val="0"/>
                <w:szCs w:val="21"/>
                <w:lang w:bidi="ar"/>
              </w:rPr>
              <w:t>316</w:t>
            </w:r>
          </w:p>
        </w:tc>
        <w:tc>
          <w:tcPr>
            <w:tcW w:w="261" w:type="pct"/>
            <w:vAlign w:val="center"/>
          </w:tcPr>
          <w:p>
            <w:pPr>
              <w:widowControl/>
              <w:jc w:val="center"/>
              <w:textAlignment w:val="center"/>
              <w:rPr>
                <w:szCs w:val="21"/>
              </w:rPr>
            </w:pPr>
            <w:r>
              <w:rPr>
                <w:color w:val="000000"/>
                <w:kern w:val="0"/>
                <w:szCs w:val="21"/>
                <w:lang w:bidi="ar"/>
              </w:rPr>
              <w:t>323</w:t>
            </w:r>
          </w:p>
        </w:tc>
        <w:tc>
          <w:tcPr>
            <w:tcW w:w="364" w:type="pct"/>
            <w:vAlign w:val="center"/>
          </w:tcPr>
          <w:p>
            <w:pPr>
              <w:widowControl/>
              <w:jc w:val="center"/>
              <w:textAlignment w:val="center"/>
              <w:rPr>
                <w:color w:val="000000"/>
                <w:kern w:val="0"/>
                <w:szCs w:val="21"/>
                <w:lang w:bidi="ar"/>
              </w:rPr>
            </w:pPr>
            <w:r>
              <w:rPr>
                <w:rFonts w:hint="eastAsia"/>
                <w:color w:val="000000"/>
                <w:kern w:val="0"/>
                <w:szCs w:val="21"/>
                <w:lang w:bidi="ar"/>
              </w:rPr>
              <w:t>320</w:t>
            </w:r>
          </w:p>
        </w:tc>
        <w:tc>
          <w:tcPr>
            <w:tcW w:w="366" w:type="pct"/>
            <w:vAlign w:val="center"/>
          </w:tcPr>
          <w:p>
            <w:pPr>
              <w:widowControl/>
              <w:jc w:val="center"/>
              <w:textAlignment w:val="center"/>
              <w:rPr>
                <w:color w:val="000000"/>
                <w:kern w:val="0"/>
                <w:szCs w:val="21"/>
                <w:lang w:bidi="ar"/>
              </w:rPr>
            </w:pPr>
            <w:r>
              <w:rPr>
                <w:rFonts w:hint="eastAsia"/>
                <w:color w:val="000000"/>
                <w:kern w:val="0"/>
                <w:szCs w:val="21"/>
                <w:lang w:bidi="ar"/>
              </w:rPr>
              <w:t>327</w:t>
            </w:r>
          </w:p>
        </w:tc>
        <w:tc>
          <w:tcPr>
            <w:tcW w:w="300" w:type="pct"/>
            <w:vAlign w:val="center"/>
          </w:tcPr>
          <w:p>
            <w:pPr>
              <w:widowControl/>
              <w:jc w:val="center"/>
              <w:textAlignment w:val="center"/>
              <w:rPr>
                <w:color w:val="000000"/>
                <w:kern w:val="0"/>
                <w:szCs w:val="21"/>
                <w:lang w:bidi="ar"/>
              </w:rPr>
            </w:pPr>
            <w:r>
              <w:rPr>
                <w:rFonts w:hint="eastAsia"/>
                <w:color w:val="000000"/>
                <w:kern w:val="0"/>
                <w:szCs w:val="21"/>
                <w:lang w:bidi="ar"/>
              </w:rPr>
              <w:t>318</w:t>
            </w:r>
          </w:p>
        </w:tc>
        <w:tc>
          <w:tcPr>
            <w:tcW w:w="420" w:type="pct"/>
            <w:vAlign w:val="center"/>
          </w:tcPr>
          <w:p>
            <w:pPr>
              <w:widowControl/>
              <w:jc w:val="center"/>
              <w:textAlignment w:val="center"/>
              <w:rPr>
                <w:color w:val="000000"/>
                <w:kern w:val="0"/>
                <w:szCs w:val="21"/>
                <w:lang w:bidi="ar"/>
              </w:rPr>
            </w:pPr>
            <w:r>
              <w:rPr>
                <w:rFonts w:hint="eastAsia"/>
                <w:color w:val="000000"/>
                <w:kern w:val="0"/>
                <w:szCs w:val="21"/>
                <w:lang w:bidi="ar"/>
              </w:rPr>
              <w:t>325</w:t>
            </w:r>
          </w:p>
        </w:tc>
        <w:tc>
          <w:tcPr>
            <w:tcW w:w="420" w:type="pct"/>
            <w:vAlign w:val="center"/>
          </w:tcPr>
          <w:p>
            <w:pPr>
              <w:widowControl/>
              <w:jc w:val="center"/>
              <w:textAlignment w:val="center"/>
              <w:rPr>
                <w:color w:val="000000"/>
                <w:kern w:val="0"/>
                <w:szCs w:val="21"/>
                <w:lang w:bidi="ar"/>
              </w:rPr>
            </w:pPr>
            <w:r>
              <w:rPr>
                <w:rFonts w:hint="eastAsia"/>
                <w:color w:val="000000"/>
                <w:kern w:val="0"/>
                <w:szCs w:val="21"/>
                <w:lang w:bidi="ar"/>
              </w:rPr>
              <w:t>322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52" w:type="pct"/>
            <w:vMerge w:val="continue"/>
            <w:vAlign w:val="center"/>
          </w:tcPr>
          <w:p>
            <w:pPr>
              <w:pStyle w:val="41"/>
              <w:spacing w:after="0" w:line="240" w:lineRule="auto"/>
              <w:jc w:val="center"/>
              <w:rPr>
                <w:b/>
                <w:bCs/>
                <w:szCs w:val="21"/>
              </w:rPr>
            </w:pPr>
          </w:p>
        </w:tc>
        <w:tc>
          <w:tcPr>
            <w:tcW w:w="520" w:type="pct"/>
            <w:vAlign w:val="center"/>
          </w:tcPr>
          <w:p>
            <w:pPr>
              <w:pStyle w:val="41"/>
              <w:spacing w:line="240" w:lineRule="auto"/>
              <w:jc w:val="center"/>
              <w:rPr>
                <w:b/>
                <w:bCs/>
                <w:szCs w:val="21"/>
              </w:rPr>
            </w:pPr>
            <w:r>
              <w:rPr>
                <w:b/>
                <w:bCs/>
                <w:szCs w:val="21"/>
              </w:rPr>
              <w:t>饱和导水率</w:t>
            </w:r>
          </w:p>
          <w:p>
            <w:pPr>
              <w:pStyle w:val="41"/>
              <w:spacing w:after="0" w:line="240" w:lineRule="auto"/>
              <w:jc w:val="center"/>
              <w:rPr>
                <w:b/>
                <w:bCs/>
                <w:szCs w:val="21"/>
              </w:rPr>
            </w:pPr>
            <w:r>
              <w:rPr>
                <w:b/>
                <w:bCs/>
                <w:szCs w:val="21"/>
              </w:rPr>
              <w:t>（cm/s）</w:t>
            </w:r>
          </w:p>
        </w:tc>
        <w:tc>
          <w:tcPr>
            <w:tcW w:w="431" w:type="pct"/>
            <w:vAlign w:val="center"/>
          </w:tcPr>
          <w:p>
            <w:pPr>
              <w:widowControl/>
              <w:jc w:val="center"/>
              <w:textAlignment w:val="center"/>
              <w:rPr>
                <w:szCs w:val="21"/>
              </w:rPr>
            </w:pPr>
            <w:r>
              <w:rPr>
                <w:szCs w:val="21"/>
              </w:rPr>
              <w:t>1.03</w:t>
            </w:r>
          </w:p>
        </w:tc>
        <w:tc>
          <w:tcPr>
            <w:tcW w:w="372" w:type="pct"/>
            <w:vAlign w:val="center"/>
          </w:tcPr>
          <w:p>
            <w:pPr>
              <w:widowControl/>
              <w:jc w:val="center"/>
              <w:textAlignment w:val="center"/>
              <w:rPr>
                <w:szCs w:val="21"/>
              </w:rPr>
            </w:pPr>
            <w:r>
              <w:rPr>
                <w:szCs w:val="21"/>
              </w:rPr>
              <w:t>0.96</w:t>
            </w:r>
          </w:p>
        </w:tc>
        <w:tc>
          <w:tcPr>
            <w:tcW w:w="242" w:type="pct"/>
            <w:vAlign w:val="center"/>
          </w:tcPr>
          <w:p>
            <w:pPr>
              <w:widowControl/>
              <w:jc w:val="center"/>
              <w:textAlignment w:val="center"/>
              <w:rPr>
                <w:szCs w:val="21"/>
              </w:rPr>
            </w:pPr>
            <w:r>
              <w:rPr>
                <w:szCs w:val="21"/>
              </w:rPr>
              <w:t>1.05</w:t>
            </w:r>
          </w:p>
        </w:tc>
        <w:tc>
          <w:tcPr>
            <w:tcW w:w="420" w:type="pct"/>
            <w:vAlign w:val="center"/>
          </w:tcPr>
          <w:p>
            <w:pPr>
              <w:widowControl/>
              <w:jc w:val="center"/>
              <w:textAlignment w:val="center"/>
              <w:rPr>
                <w:szCs w:val="21"/>
              </w:rPr>
            </w:pPr>
            <w:r>
              <w:rPr>
                <w:szCs w:val="21"/>
              </w:rPr>
              <w:t>0.87</w:t>
            </w:r>
          </w:p>
        </w:tc>
        <w:tc>
          <w:tcPr>
            <w:tcW w:w="366" w:type="pct"/>
            <w:vAlign w:val="center"/>
          </w:tcPr>
          <w:p>
            <w:pPr>
              <w:widowControl/>
              <w:jc w:val="center"/>
              <w:textAlignment w:val="center"/>
              <w:rPr>
                <w:szCs w:val="21"/>
              </w:rPr>
            </w:pPr>
            <w:r>
              <w:rPr>
                <w:szCs w:val="21"/>
              </w:rPr>
              <w:t>0.93</w:t>
            </w:r>
          </w:p>
        </w:tc>
        <w:tc>
          <w:tcPr>
            <w:tcW w:w="366" w:type="pct"/>
            <w:vAlign w:val="center"/>
          </w:tcPr>
          <w:p>
            <w:pPr>
              <w:widowControl/>
              <w:jc w:val="center"/>
              <w:textAlignment w:val="center"/>
              <w:rPr>
                <w:szCs w:val="21"/>
              </w:rPr>
            </w:pPr>
            <w:r>
              <w:rPr>
                <w:szCs w:val="21"/>
              </w:rPr>
              <w:t>0.79</w:t>
            </w:r>
          </w:p>
        </w:tc>
        <w:tc>
          <w:tcPr>
            <w:tcW w:w="261" w:type="pct"/>
            <w:vAlign w:val="center"/>
          </w:tcPr>
          <w:p>
            <w:pPr>
              <w:widowControl/>
              <w:jc w:val="center"/>
              <w:textAlignment w:val="center"/>
              <w:rPr>
                <w:szCs w:val="21"/>
              </w:rPr>
            </w:pPr>
            <w:r>
              <w:rPr>
                <w:szCs w:val="21"/>
              </w:rPr>
              <w:t>0.97</w:t>
            </w:r>
          </w:p>
        </w:tc>
        <w:tc>
          <w:tcPr>
            <w:tcW w:w="364" w:type="pct"/>
            <w:vAlign w:val="center"/>
          </w:tcPr>
          <w:p>
            <w:pPr>
              <w:widowControl/>
              <w:jc w:val="center"/>
              <w:textAlignment w:val="center"/>
              <w:rPr>
                <w:szCs w:val="21"/>
              </w:rPr>
            </w:pPr>
            <w:r>
              <w:rPr>
                <w:rFonts w:hint="eastAsia"/>
                <w:color w:val="000000"/>
                <w:kern w:val="0"/>
                <w:szCs w:val="21"/>
                <w:lang w:bidi="ar"/>
              </w:rPr>
              <w:t>0.78</w:t>
            </w:r>
          </w:p>
        </w:tc>
        <w:tc>
          <w:tcPr>
            <w:tcW w:w="366" w:type="pct"/>
            <w:vAlign w:val="center"/>
          </w:tcPr>
          <w:p>
            <w:pPr>
              <w:widowControl/>
              <w:jc w:val="center"/>
              <w:textAlignment w:val="center"/>
              <w:rPr>
                <w:szCs w:val="21"/>
              </w:rPr>
            </w:pPr>
            <w:r>
              <w:rPr>
                <w:rFonts w:hint="eastAsia"/>
                <w:color w:val="000000"/>
                <w:kern w:val="0"/>
                <w:szCs w:val="21"/>
                <w:lang w:bidi="ar"/>
              </w:rPr>
              <w:t>0.92</w:t>
            </w:r>
          </w:p>
        </w:tc>
        <w:tc>
          <w:tcPr>
            <w:tcW w:w="300" w:type="pct"/>
            <w:vAlign w:val="center"/>
          </w:tcPr>
          <w:p>
            <w:pPr>
              <w:widowControl/>
              <w:jc w:val="center"/>
              <w:textAlignment w:val="center"/>
              <w:rPr>
                <w:szCs w:val="21"/>
              </w:rPr>
            </w:pPr>
            <w:r>
              <w:rPr>
                <w:rFonts w:hint="eastAsia"/>
                <w:color w:val="000000"/>
                <w:kern w:val="0"/>
                <w:szCs w:val="21"/>
                <w:lang w:bidi="ar"/>
              </w:rPr>
              <w:t>0.95</w:t>
            </w:r>
          </w:p>
        </w:tc>
        <w:tc>
          <w:tcPr>
            <w:tcW w:w="420" w:type="pct"/>
            <w:vAlign w:val="center"/>
          </w:tcPr>
          <w:p>
            <w:pPr>
              <w:widowControl/>
              <w:jc w:val="center"/>
              <w:textAlignment w:val="center"/>
              <w:rPr>
                <w:szCs w:val="21"/>
              </w:rPr>
            </w:pPr>
            <w:r>
              <w:rPr>
                <w:rFonts w:hint="eastAsia"/>
                <w:color w:val="000000"/>
                <w:kern w:val="0"/>
                <w:szCs w:val="21"/>
                <w:lang w:bidi="ar"/>
              </w:rPr>
              <w:t>1.04</w:t>
            </w:r>
          </w:p>
        </w:tc>
        <w:tc>
          <w:tcPr>
            <w:tcW w:w="420" w:type="pct"/>
            <w:vAlign w:val="center"/>
          </w:tcPr>
          <w:p>
            <w:pPr>
              <w:widowControl/>
              <w:jc w:val="center"/>
              <w:textAlignment w:val="center"/>
              <w:rPr>
                <w:szCs w:val="21"/>
              </w:rPr>
            </w:pPr>
            <w:r>
              <w:rPr>
                <w:rFonts w:hint="eastAsia"/>
                <w:color w:val="000000"/>
                <w:kern w:val="0"/>
                <w:szCs w:val="21"/>
                <w:lang w:bidi="ar"/>
              </w:rPr>
              <w:t>0.86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52" w:type="pct"/>
            <w:vMerge w:val="continue"/>
            <w:vAlign w:val="center"/>
          </w:tcPr>
          <w:p>
            <w:pPr>
              <w:pStyle w:val="41"/>
              <w:spacing w:after="0" w:line="240" w:lineRule="auto"/>
              <w:jc w:val="center"/>
              <w:rPr>
                <w:b/>
                <w:bCs/>
                <w:szCs w:val="21"/>
              </w:rPr>
            </w:pPr>
          </w:p>
        </w:tc>
        <w:tc>
          <w:tcPr>
            <w:tcW w:w="520" w:type="pct"/>
            <w:vAlign w:val="center"/>
          </w:tcPr>
          <w:p>
            <w:pPr>
              <w:pStyle w:val="41"/>
              <w:spacing w:line="240" w:lineRule="auto"/>
              <w:jc w:val="center"/>
              <w:rPr>
                <w:b/>
                <w:bCs/>
                <w:szCs w:val="21"/>
              </w:rPr>
            </w:pPr>
            <w:r>
              <w:rPr>
                <w:b/>
                <w:bCs/>
                <w:szCs w:val="21"/>
              </w:rPr>
              <w:t>土壤容重</w:t>
            </w:r>
          </w:p>
          <w:p>
            <w:pPr>
              <w:pStyle w:val="41"/>
              <w:spacing w:after="0" w:line="240" w:lineRule="auto"/>
              <w:jc w:val="center"/>
              <w:rPr>
                <w:b/>
                <w:bCs/>
                <w:szCs w:val="21"/>
              </w:rPr>
            </w:pPr>
            <w:r>
              <w:rPr>
                <w:b/>
                <w:bCs/>
                <w:szCs w:val="21"/>
              </w:rPr>
              <w:t>(g/cm</w:t>
            </w:r>
            <w:r>
              <w:rPr>
                <w:b/>
                <w:bCs/>
                <w:szCs w:val="21"/>
                <w:vertAlign w:val="superscript"/>
              </w:rPr>
              <w:t>3</w:t>
            </w:r>
            <w:r>
              <w:rPr>
                <w:b/>
                <w:bCs/>
                <w:szCs w:val="21"/>
              </w:rPr>
              <w:t>)</w:t>
            </w:r>
          </w:p>
        </w:tc>
        <w:tc>
          <w:tcPr>
            <w:tcW w:w="431" w:type="pct"/>
            <w:vAlign w:val="center"/>
          </w:tcPr>
          <w:p>
            <w:pPr>
              <w:pStyle w:val="41"/>
              <w:spacing w:after="0" w:line="240" w:lineRule="auto"/>
              <w:jc w:val="center"/>
              <w:rPr>
                <w:szCs w:val="21"/>
              </w:rPr>
            </w:pPr>
            <w:r>
              <w:rPr>
                <w:szCs w:val="21"/>
              </w:rPr>
              <w:t>1.61</w:t>
            </w:r>
          </w:p>
        </w:tc>
        <w:tc>
          <w:tcPr>
            <w:tcW w:w="372" w:type="pct"/>
            <w:vAlign w:val="center"/>
          </w:tcPr>
          <w:p>
            <w:pPr>
              <w:pStyle w:val="41"/>
              <w:spacing w:after="0" w:line="240" w:lineRule="auto"/>
              <w:jc w:val="center"/>
              <w:rPr>
                <w:szCs w:val="21"/>
              </w:rPr>
            </w:pPr>
            <w:r>
              <w:rPr>
                <w:szCs w:val="21"/>
              </w:rPr>
              <w:t>1.54</w:t>
            </w:r>
          </w:p>
        </w:tc>
        <w:tc>
          <w:tcPr>
            <w:tcW w:w="242" w:type="pct"/>
            <w:vAlign w:val="center"/>
          </w:tcPr>
          <w:p>
            <w:pPr>
              <w:pStyle w:val="41"/>
              <w:spacing w:after="0" w:line="240" w:lineRule="auto"/>
              <w:jc w:val="center"/>
              <w:rPr>
                <w:szCs w:val="21"/>
              </w:rPr>
            </w:pPr>
            <w:r>
              <w:rPr>
                <w:szCs w:val="21"/>
              </w:rPr>
              <w:t>1.31</w:t>
            </w:r>
          </w:p>
        </w:tc>
        <w:tc>
          <w:tcPr>
            <w:tcW w:w="420" w:type="pct"/>
            <w:vAlign w:val="center"/>
          </w:tcPr>
          <w:p>
            <w:pPr>
              <w:pStyle w:val="41"/>
              <w:spacing w:after="0" w:line="240" w:lineRule="auto"/>
              <w:jc w:val="center"/>
              <w:rPr>
                <w:szCs w:val="21"/>
              </w:rPr>
            </w:pPr>
            <w:r>
              <w:rPr>
                <w:szCs w:val="21"/>
              </w:rPr>
              <w:t>1.58</w:t>
            </w:r>
          </w:p>
        </w:tc>
        <w:tc>
          <w:tcPr>
            <w:tcW w:w="366" w:type="pct"/>
            <w:vAlign w:val="center"/>
          </w:tcPr>
          <w:p>
            <w:pPr>
              <w:pStyle w:val="41"/>
              <w:spacing w:after="0" w:line="240" w:lineRule="auto"/>
              <w:jc w:val="center"/>
              <w:rPr>
                <w:szCs w:val="21"/>
              </w:rPr>
            </w:pPr>
            <w:r>
              <w:rPr>
                <w:szCs w:val="21"/>
              </w:rPr>
              <w:t>1.55</w:t>
            </w:r>
          </w:p>
        </w:tc>
        <w:tc>
          <w:tcPr>
            <w:tcW w:w="366" w:type="pct"/>
            <w:vAlign w:val="center"/>
          </w:tcPr>
          <w:p>
            <w:pPr>
              <w:pStyle w:val="41"/>
              <w:spacing w:after="0" w:line="240" w:lineRule="auto"/>
              <w:jc w:val="center"/>
              <w:rPr>
                <w:szCs w:val="21"/>
              </w:rPr>
            </w:pPr>
            <w:r>
              <w:rPr>
                <w:szCs w:val="21"/>
              </w:rPr>
              <w:t>1.32</w:t>
            </w:r>
          </w:p>
        </w:tc>
        <w:tc>
          <w:tcPr>
            <w:tcW w:w="261" w:type="pct"/>
            <w:vAlign w:val="center"/>
          </w:tcPr>
          <w:p>
            <w:pPr>
              <w:pStyle w:val="41"/>
              <w:spacing w:after="0" w:line="240" w:lineRule="auto"/>
              <w:jc w:val="center"/>
              <w:rPr>
                <w:szCs w:val="21"/>
              </w:rPr>
            </w:pPr>
            <w:r>
              <w:rPr>
                <w:szCs w:val="21"/>
              </w:rPr>
              <w:t>1.34</w:t>
            </w:r>
          </w:p>
        </w:tc>
        <w:tc>
          <w:tcPr>
            <w:tcW w:w="364" w:type="pct"/>
            <w:vAlign w:val="center"/>
          </w:tcPr>
          <w:p>
            <w:pPr>
              <w:pStyle w:val="41"/>
              <w:spacing w:line="240" w:lineRule="auto"/>
              <w:jc w:val="center"/>
              <w:rPr>
                <w:szCs w:val="21"/>
              </w:rPr>
            </w:pPr>
            <w:r>
              <w:rPr>
                <w:rFonts w:hint="eastAsia"/>
                <w:szCs w:val="21"/>
              </w:rPr>
              <w:t>1.43</w:t>
            </w:r>
          </w:p>
        </w:tc>
        <w:tc>
          <w:tcPr>
            <w:tcW w:w="366" w:type="pct"/>
            <w:vAlign w:val="center"/>
          </w:tcPr>
          <w:p>
            <w:pPr>
              <w:pStyle w:val="41"/>
              <w:spacing w:line="240" w:lineRule="auto"/>
              <w:jc w:val="center"/>
              <w:rPr>
                <w:szCs w:val="21"/>
              </w:rPr>
            </w:pPr>
            <w:r>
              <w:rPr>
                <w:rFonts w:hint="eastAsia"/>
                <w:szCs w:val="21"/>
              </w:rPr>
              <w:t>1.51</w:t>
            </w:r>
          </w:p>
        </w:tc>
        <w:tc>
          <w:tcPr>
            <w:tcW w:w="300" w:type="pct"/>
            <w:vAlign w:val="center"/>
          </w:tcPr>
          <w:p>
            <w:pPr>
              <w:pStyle w:val="41"/>
              <w:spacing w:line="240" w:lineRule="auto"/>
              <w:jc w:val="center"/>
              <w:rPr>
                <w:szCs w:val="21"/>
              </w:rPr>
            </w:pPr>
            <w:r>
              <w:rPr>
                <w:rFonts w:hint="eastAsia"/>
                <w:szCs w:val="21"/>
              </w:rPr>
              <w:t>1.55</w:t>
            </w:r>
          </w:p>
        </w:tc>
        <w:tc>
          <w:tcPr>
            <w:tcW w:w="420" w:type="pct"/>
            <w:vAlign w:val="center"/>
          </w:tcPr>
          <w:p>
            <w:pPr>
              <w:pStyle w:val="41"/>
              <w:spacing w:line="240" w:lineRule="auto"/>
              <w:jc w:val="center"/>
              <w:rPr>
                <w:szCs w:val="21"/>
              </w:rPr>
            </w:pPr>
            <w:r>
              <w:rPr>
                <w:rFonts w:hint="eastAsia"/>
                <w:szCs w:val="21"/>
              </w:rPr>
              <w:t>1.44</w:t>
            </w:r>
          </w:p>
        </w:tc>
        <w:tc>
          <w:tcPr>
            <w:tcW w:w="420" w:type="pct"/>
            <w:vAlign w:val="center"/>
          </w:tcPr>
          <w:p>
            <w:pPr>
              <w:pStyle w:val="41"/>
              <w:spacing w:line="240" w:lineRule="auto"/>
              <w:jc w:val="center"/>
              <w:rPr>
                <w:szCs w:val="21"/>
              </w:rPr>
            </w:pPr>
            <w:r>
              <w:rPr>
                <w:rFonts w:hint="eastAsia"/>
                <w:szCs w:val="21"/>
              </w:rPr>
              <w:t>1.47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52" w:type="pct"/>
            <w:vMerge w:val="continue"/>
            <w:vAlign w:val="center"/>
          </w:tcPr>
          <w:p>
            <w:pPr>
              <w:pStyle w:val="41"/>
              <w:spacing w:after="0" w:line="240" w:lineRule="auto"/>
              <w:jc w:val="center"/>
              <w:rPr>
                <w:b/>
                <w:bCs/>
                <w:szCs w:val="21"/>
              </w:rPr>
            </w:pPr>
          </w:p>
        </w:tc>
        <w:tc>
          <w:tcPr>
            <w:tcW w:w="520" w:type="pct"/>
            <w:vAlign w:val="center"/>
          </w:tcPr>
          <w:p>
            <w:pPr>
              <w:pStyle w:val="41"/>
              <w:spacing w:after="0" w:line="240" w:lineRule="auto"/>
              <w:jc w:val="center"/>
              <w:rPr>
                <w:b/>
                <w:bCs/>
                <w:szCs w:val="21"/>
              </w:rPr>
            </w:pPr>
            <w:r>
              <w:rPr>
                <w:b/>
                <w:bCs/>
                <w:szCs w:val="21"/>
              </w:rPr>
              <w:t>孔隙度(%)</w:t>
            </w:r>
          </w:p>
        </w:tc>
        <w:tc>
          <w:tcPr>
            <w:tcW w:w="431" w:type="pct"/>
            <w:vAlign w:val="center"/>
          </w:tcPr>
          <w:p>
            <w:pPr>
              <w:pStyle w:val="41"/>
              <w:spacing w:after="0" w:line="240" w:lineRule="auto"/>
              <w:jc w:val="center"/>
              <w:rPr>
                <w:szCs w:val="21"/>
              </w:rPr>
            </w:pPr>
            <w:r>
              <w:rPr>
                <w:szCs w:val="21"/>
              </w:rPr>
              <w:t>39.2</w:t>
            </w:r>
          </w:p>
        </w:tc>
        <w:tc>
          <w:tcPr>
            <w:tcW w:w="372" w:type="pct"/>
            <w:vAlign w:val="center"/>
          </w:tcPr>
          <w:p>
            <w:pPr>
              <w:pStyle w:val="41"/>
              <w:spacing w:after="0" w:line="240" w:lineRule="auto"/>
              <w:jc w:val="center"/>
              <w:rPr>
                <w:szCs w:val="21"/>
              </w:rPr>
            </w:pPr>
            <w:r>
              <w:rPr>
                <w:szCs w:val="21"/>
              </w:rPr>
              <w:t>41.7</w:t>
            </w:r>
          </w:p>
        </w:tc>
        <w:tc>
          <w:tcPr>
            <w:tcW w:w="242" w:type="pct"/>
            <w:vAlign w:val="center"/>
          </w:tcPr>
          <w:p>
            <w:pPr>
              <w:pStyle w:val="41"/>
              <w:spacing w:after="0" w:line="240" w:lineRule="auto"/>
              <w:jc w:val="center"/>
              <w:rPr>
                <w:szCs w:val="21"/>
              </w:rPr>
            </w:pPr>
            <w:r>
              <w:rPr>
                <w:szCs w:val="21"/>
              </w:rPr>
              <w:t>50.6</w:t>
            </w:r>
          </w:p>
        </w:tc>
        <w:tc>
          <w:tcPr>
            <w:tcW w:w="420" w:type="pct"/>
            <w:vAlign w:val="center"/>
          </w:tcPr>
          <w:p>
            <w:pPr>
              <w:pStyle w:val="41"/>
              <w:spacing w:after="0" w:line="240" w:lineRule="auto"/>
              <w:jc w:val="center"/>
              <w:rPr>
                <w:szCs w:val="21"/>
              </w:rPr>
            </w:pPr>
            <w:r>
              <w:rPr>
                <w:szCs w:val="21"/>
              </w:rPr>
              <w:t>40.2</w:t>
            </w:r>
          </w:p>
        </w:tc>
        <w:tc>
          <w:tcPr>
            <w:tcW w:w="366" w:type="pct"/>
            <w:vAlign w:val="center"/>
          </w:tcPr>
          <w:p>
            <w:pPr>
              <w:pStyle w:val="41"/>
              <w:spacing w:after="0" w:line="240" w:lineRule="auto"/>
              <w:jc w:val="center"/>
              <w:rPr>
                <w:szCs w:val="21"/>
              </w:rPr>
            </w:pPr>
            <w:r>
              <w:rPr>
                <w:szCs w:val="21"/>
              </w:rPr>
              <w:t>41.5</w:t>
            </w:r>
          </w:p>
        </w:tc>
        <w:tc>
          <w:tcPr>
            <w:tcW w:w="366" w:type="pct"/>
            <w:vAlign w:val="center"/>
          </w:tcPr>
          <w:p>
            <w:pPr>
              <w:pStyle w:val="41"/>
              <w:spacing w:after="0" w:line="240" w:lineRule="auto"/>
              <w:jc w:val="center"/>
              <w:rPr>
                <w:szCs w:val="21"/>
              </w:rPr>
            </w:pPr>
            <w:r>
              <w:rPr>
                <w:szCs w:val="21"/>
              </w:rPr>
              <w:t>50.2</w:t>
            </w:r>
          </w:p>
        </w:tc>
        <w:tc>
          <w:tcPr>
            <w:tcW w:w="261" w:type="pct"/>
            <w:vAlign w:val="center"/>
          </w:tcPr>
          <w:p>
            <w:pPr>
              <w:pStyle w:val="41"/>
              <w:spacing w:after="0" w:line="240" w:lineRule="auto"/>
              <w:jc w:val="center"/>
              <w:rPr>
                <w:szCs w:val="21"/>
              </w:rPr>
            </w:pPr>
            <w:r>
              <w:rPr>
                <w:szCs w:val="21"/>
              </w:rPr>
              <w:t>49.4</w:t>
            </w:r>
          </w:p>
        </w:tc>
        <w:tc>
          <w:tcPr>
            <w:tcW w:w="364" w:type="pct"/>
            <w:vAlign w:val="center"/>
          </w:tcPr>
          <w:p>
            <w:pPr>
              <w:pStyle w:val="41"/>
              <w:spacing w:line="240" w:lineRule="auto"/>
              <w:jc w:val="center"/>
              <w:rPr>
                <w:szCs w:val="21"/>
              </w:rPr>
            </w:pPr>
            <w:r>
              <w:rPr>
                <w:rFonts w:hint="eastAsia"/>
                <w:szCs w:val="21"/>
              </w:rPr>
              <w:t>46.0</w:t>
            </w:r>
          </w:p>
        </w:tc>
        <w:tc>
          <w:tcPr>
            <w:tcW w:w="366" w:type="pct"/>
            <w:vAlign w:val="center"/>
          </w:tcPr>
          <w:p>
            <w:pPr>
              <w:pStyle w:val="41"/>
              <w:spacing w:line="240" w:lineRule="auto"/>
              <w:jc w:val="center"/>
              <w:rPr>
                <w:szCs w:val="21"/>
              </w:rPr>
            </w:pPr>
            <w:r>
              <w:rPr>
                <w:rFonts w:hint="eastAsia"/>
                <w:szCs w:val="21"/>
              </w:rPr>
              <w:t>43.0</w:t>
            </w:r>
          </w:p>
        </w:tc>
        <w:tc>
          <w:tcPr>
            <w:tcW w:w="300" w:type="pct"/>
            <w:vAlign w:val="center"/>
          </w:tcPr>
          <w:p>
            <w:pPr>
              <w:pStyle w:val="41"/>
              <w:spacing w:line="240" w:lineRule="auto"/>
              <w:jc w:val="center"/>
              <w:rPr>
                <w:szCs w:val="21"/>
              </w:rPr>
            </w:pPr>
            <w:r>
              <w:rPr>
                <w:rFonts w:hint="eastAsia"/>
                <w:szCs w:val="21"/>
              </w:rPr>
              <w:t>41.5</w:t>
            </w:r>
          </w:p>
        </w:tc>
        <w:tc>
          <w:tcPr>
            <w:tcW w:w="420" w:type="pct"/>
            <w:vAlign w:val="center"/>
          </w:tcPr>
          <w:p>
            <w:pPr>
              <w:pStyle w:val="41"/>
              <w:spacing w:line="240" w:lineRule="auto"/>
              <w:jc w:val="center"/>
              <w:rPr>
                <w:szCs w:val="21"/>
              </w:rPr>
            </w:pPr>
            <w:r>
              <w:rPr>
                <w:rFonts w:hint="eastAsia"/>
                <w:szCs w:val="21"/>
              </w:rPr>
              <w:t>45.7</w:t>
            </w:r>
          </w:p>
        </w:tc>
        <w:tc>
          <w:tcPr>
            <w:tcW w:w="420" w:type="pct"/>
            <w:vAlign w:val="center"/>
          </w:tcPr>
          <w:p>
            <w:pPr>
              <w:pStyle w:val="41"/>
              <w:spacing w:line="240" w:lineRule="auto"/>
              <w:jc w:val="center"/>
              <w:rPr>
                <w:szCs w:val="21"/>
              </w:rPr>
            </w:pPr>
            <w:r>
              <w:rPr>
                <w:rFonts w:hint="eastAsia"/>
                <w:szCs w:val="21"/>
              </w:rPr>
              <w:t>44.5</w:t>
            </w:r>
          </w:p>
        </w:tc>
      </w:tr>
    </w:tbl>
    <w:p>
      <w:pPr>
        <w:pStyle w:val="457"/>
        <w:ind w:firstLine="0" w:firstLineChars="0"/>
        <w:rPr>
          <w:color w:val="000000" w:themeColor="text1"/>
          <w:highlight w:val="yellow"/>
          <w14:textFill>
            <w14:solidFill>
              <w14:schemeClr w14:val="tx1"/>
            </w14:solidFill>
          </w14:textFill>
        </w:rPr>
      </w:pPr>
    </w:p>
    <w:p>
      <w:pPr>
        <w:pStyle w:val="457"/>
        <w:rPr>
          <w:color w:val="000000" w:themeColor="text1"/>
          <w:highlight w:val="yellow"/>
          <w14:textFill>
            <w14:solidFill>
              <w14:schemeClr w14:val="tx1"/>
            </w14:solidFill>
          </w14:textFill>
        </w:rPr>
        <w:sectPr>
          <w:pgSz w:w="16838" w:h="11906" w:orient="landscape"/>
          <w:pgMar w:top="1588" w:right="1701" w:bottom="1588" w:left="1701" w:header="851" w:footer="1134" w:gutter="0"/>
          <w:cols w:space="720" w:num="1"/>
          <w:docGrid w:type="lines" w:linePitch="312" w:charSpace="0"/>
        </w:sectPr>
      </w:pPr>
    </w:p>
    <w:p>
      <w:pPr>
        <w:pStyle w:val="460"/>
      </w:pPr>
      <w:r>
        <w:t>5.7.2.3 土壤影响源和环境质量现状调查</w:t>
      </w:r>
    </w:p>
    <w:p>
      <w:pPr>
        <w:spacing w:line="520" w:lineRule="exact"/>
        <w:ind w:firstLine="480"/>
        <w:rPr>
          <w:color w:val="000000" w:themeColor="text1"/>
          <w:kern w:val="0"/>
          <w:sz w:val="24"/>
          <w:szCs w:val="24"/>
          <w:lang w:val="zh-CN"/>
          <w14:textFill>
            <w14:solidFill>
              <w14:schemeClr w14:val="tx1"/>
            </w14:solidFill>
          </w14:textFill>
        </w:rPr>
      </w:pPr>
      <w:r>
        <w:rPr>
          <w:color w:val="000000" w:themeColor="text1"/>
          <w:kern w:val="0"/>
          <w:sz w:val="24"/>
          <w:szCs w:val="24"/>
          <w:lang w:val="zh-CN"/>
          <w14:textFill>
            <w14:solidFill>
              <w14:schemeClr w14:val="tx1"/>
            </w14:solidFill>
          </w14:textFill>
        </w:rPr>
        <w:t>根据《环境影响评价技术导则 土壤环境（试行）》（HJ 964-2018）相关规定，本项目属于污染影响型项目，评价工作等级为</w:t>
      </w:r>
      <w:r>
        <w:rPr>
          <w:rFonts w:hint="eastAsia"/>
          <w:color w:val="000000" w:themeColor="text1"/>
          <w:kern w:val="0"/>
          <w:sz w:val="24"/>
          <w:szCs w:val="24"/>
          <w:lang w:val="zh-CN"/>
          <w14:textFill>
            <w14:solidFill>
              <w14:schemeClr w14:val="tx1"/>
            </w14:solidFill>
          </w14:textFill>
        </w:rPr>
        <w:t>二</w:t>
      </w:r>
      <w:r>
        <w:rPr>
          <w:color w:val="000000" w:themeColor="text1"/>
          <w:kern w:val="0"/>
          <w:sz w:val="24"/>
          <w:szCs w:val="24"/>
          <w:lang w:val="zh-CN"/>
          <w14:textFill>
            <w14:solidFill>
              <w14:schemeClr w14:val="tx1"/>
            </w14:solidFill>
          </w14:textFill>
        </w:rPr>
        <w:t>级。本次评价</w:t>
      </w:r>
      <w:r>
        <w:rPr>
          <w:rFonts w:hint="eastAsia"/>
          <w:color w:val="000000" w:themeColor="text1"/>
          <w:kern w:val="0"/>
          <w:sz w:val="24"/>
          <w:szCs w:val="24"/>
          <w:lang w:val="zh-CN"/>
          <w14:textFill>
            <w14:solidFill>
              <w14:schemeClr w14:val="tx1"/>
            </w14:solidFill>
          </w14:textFill>
        </w:rPr>
        <w:t>在厂区内</w:t>
      </w:r>
      <w:r>
        <w:rPr>
          <w:color w:val="000000" w:themeColor="text1"/>
          <w:kern w:val="0"/>
          <w:sz w:val="24"/>
          <w:szCs w:val="24"/>
          <w:lang w:val="zh-CN"/>
          <w14:textFill>
            <w14:solidFill>
              <w14:schemeClr w14:val="tx1"/>
            </w14:solidFill>
          </w14:textFill>
        </w:rPr>
        <w:t>设置4个监测点位，</w:t>
      </w:r>
      <w:r>
        <w:rPr>
          <w:rFonts w:hint="eastAsia"/>
          <w:color w:val="000000" w:themeColor="text1"/>
          <w:kern w:val="0"/>
          <w:sz w:val="24"/>
          <w:szCs w:val="24"/>
          <w:lang w:val="zh-CN"/>
          <w14:textFill>
            <w14:solidFill>
              <w14:schemeClr w14:val="tx1"/>
            </w14:solidFill>
          </w14:textFill>
        </w:rPr>
        <w:t>3个为柱状样点，1个为</w:t>
      </w:r>
      <w:r>
        <w:rPr>
          <w:color w:val="000000" w:themeColor="text1"/>
          <w:kern w:val="0"/>
          <w:sz w:val="24"/>
          <w:szCs w:val="24"/>
          <w:lang w:val="zh-CN"/>
          <w14:textFill>
            <w14:solidFill>
              <w14:schemeClr w14:val="tx1"/>
            </w14:solidFill>
          </w14:textFill>
        </w:rPr>
        <w:t>表层样点</w:t>
      </w:r>
      <w:r>
        <w:rPr>
          <w:rFonts w:hint="eastAsia"/>
          <w:color w:val="000000" w:themeColor="text1"/>
          <w:kern w:val="0"/>
          <w:sz w:val="24"/>
          <w:szCs w:val="24"/>
          <w:lang w:val="zh-CN"/>
          <w14:textFill>
            <w14:solidFill>
              <w14:schemeClr w14:val="tx1"/>
            </w14:solidFill>
          </w14:textFill>
        </w:rPr>
        <w:t>，厂区外设置2个监测点位，均为表层样点</w:t>
      </w:r>
      <w:r>
        <w:rPr>
          <w:color w:val="000000" w:themeColor="text1"/>
          <w:kern w:val="0"/>
          <w:sz w:val="24"/>
          <w:szCs w:val="24"/>
          <w:lang w:val="zh-CN"/>
          <w14:textFill>
            <w14:solidFill>
              <w14:schemeClr w14:val="tx1"/>
            </w14:solidFill>
          </w14:textFill>
        </w:rPr>
        <w:t>。</w:t>
      </w:r>
    </w:p>
    <w:p>
      <w:pPr>
        <w:spacing w:line="520" w:lineRule="exact"/>
        <w:ind w:firstLine="480"/>
        <w:rPr>
          <w:color w:val="000000" w:themeColor="text1"/>
          <w:kern w:val="0"/>
          <w:sz w:val="24"/>
          <w:szCs w:val="24"/>
          <w:lang w:val="zh-CN"/>
          <w14:textFill>
            <w14:solidFill>
              <w14:schemeClr w14:val="tx1"/>
            </w14:solidFill>
          </w14:textFill>
        </w:rPr>
      </w:pPr>
      <w:r>
        <w:rPr>
          <w:color w:val="000000" w:themeColor="text1"/>
          <w:kern w:val="0"/>
          <w:sz w:val="24"/>
          <w:szCs w:val="24"/>
          <w:lang w:val="zh-CN"/>
          <w14:textFill>
            <w14:solidFill>
              <w14:schemeClr w14:val="tx1"/>
            </w14:solidFill>
          </w14:textFill>
        </w:rPr>
        <w:t>根据河南永飞检测科技有限公司于2023年7月17日出具的检测报告，厂区占地范围内</w:t>
      </w:r>
      <w:r>
        <w:rPr>
          <w:rFonts w:hint="eastAsia"/>
          <w:color w:val="000000" w:themeColor="text1"/>
          <w:kern w:val="0"/>
          <w:sz w:val="24"/>
          <w:szCs w:val="24"/>
          <w:lang w:val="zh-CN"/>
          <w14:textFill>
            <w14:solidFill>
              <w14:schemeClr w14:val="tx1"/>
            </w14:solidFill>
          </w14:textFill>
        </w:rPr>
        <w:t>各</w:t>
      </w:r>
      <w:r>
        <w:rPr>
          <w:color w:val="000000" w:themeColor="text1"/>
          <w:kern w:val="0"/>
          <w:sz w:val="24"/>
          <w:szCs w:val="24"/>
          <w:lang w:val="zh-CN"/>
          <w14:textFill>
            <w14:solidFill>
              <w14:schemeClr w14:val="tx1"/>
            </w14:solidFill>
          </w14:textFill>
        </w:rPr>
        <w:t>监测点位</w:t>
      </w:r>
      <w:r>
        <w:rPr>
          <w:rFonts w:hint="eastAsia"/>
          <w:color w:val="000000" w:themeColor="text1"/>
          <w:kern w:val="0"/>
          <w:sz w:val="24"/>
          <w:szCs w:val="24"/>
          <w:lang w:val="zh-CN"/>
          <w14:textFill>
            <w14:solidFill>
              <w14:schemeClr w14:val="tx1"/>
            </w14:solidFill>
          </w14:textFill>
        </w:rPr>
        <w:t>和占地范围外小庄村</w:t>
      </w:r>
      <w:r>
        <w:rPr>
          <w:color w:val="000000" w:themeColor="text1"/>
          <w:kern w:val="0"/>
          <w:sz w:val="24"/>
          <w:szCs w:val="24"/>
          <w:lang w:val="zh-CN"/>
          <w14:textFill>
            <w14:solidFill>
              <w14:schemeClr w14:val="tx1"/>
            </w14:solidFill>
          </w14:textFill>
        </w:rPr>
        <w:t>的各监测因子均能满足《土壤环境质量 建设用地土壤污染风险管控标准（试行）》（GB36600-2018）第二类用地筛选值标准要求</w:t>
      </w:r>
      <w:r>
        <w:rPr>
          <w:rFonts w:hint="eastAsia"/>
          <w:color w:val="000000" w:themeColor="text1"/>
          <w:kern w:val="0"/>
          <w:sz w:val="24"/>
          <w:szCs w:val="24"/>
          <w:lang w:val="zh-CN"/>
          <w14:textFill>
            <w14:solidFill>
              <w14:schemeClr w14:val="tx1"/>
            </w14:solidFill>
          </w14:textFill>
        </w:rPr>
        <w:t>，</w:t>
      </w:r>
      <w:r>
        <w:rPr>
          <w:color w:val="000000" w:themeColor="text1"/>
          <w:kern w:val="0"/>
          <w:sz w:val="24"/>
          <w:szCs w:val="24"/>
          <w:lang w:val="zh-CN"/>
          <w14:textFill>
            <w14:solidFill>
              <w14:schemeClr w14:val="tx1"/>
            </w14:solidFill>
          </w14:textFill>
        </w:rPr>
        <w:t>说明厂区内</w:t>
      </w:r>
      <w:r>
        <w:rPr>
          <w:rFonts w:hint="eastAsia"/>
          <w:color w:val="000000" w:themeColor="text1"/>
          <w:kern w:val="0"/>
          <w:sz w:val="24"/>
          <w:lang w:val="zh-CN"/>
          <w14:textFill>
            <w14:solidFill>
              <w14:schemeClr w14:val="tx1"/>
            </w14:solidFill>
          </w14:textFill>
        </w:rPr>
        <w:t>外</w:t>
      </w:r>
      <w:r>
        <w:rPr>
          <w:color w:val="000000" w:themeColor="text1"/>
          <w:kern w:val="0"/>
          <w:sz w:val="24"/>
          <w:szCs w:val="24"/>
          <w:lang w:val="zh-CN"/>
          <w14:textFill>
            <w14:solidFill>
              <w14:schemeClr w14:val="tx1"/>
            </w14:solidFill>
          </w14:textFill>
        </w:rPr>
        <w:t>的土壤质量现状</w:t>
      </w:r>
      <w:r>
        <w:rPr>
          <w:rFonts w:hint="eastAsia"/>
          <w:color w:val="000000" w:themeColor="text1"/>
          <w:kern w:val="0"/>
          <w:sz w:val="24"/>
          <w:szCs w:val="24"/>
          <w:lang w:val="zh-CN"/>
          <w14:textFill>
            <w14:solidFill>
              <w14:schemeClr w14:val="tx1"/>
            </w14:solidFill>
          </w14:textFill>
        </w:rPr>
        <w:t>均</w:t>
      </w:r>
      <w:r>
        <w:rPr>
          <w:color w:val="000000" w:themeColor="text1"/>
          <w:kern w:val="0"/>
          <w:sz w:val="24"/>
          <w:szCs w:val="24"/>
          <w:lang w:val="zh-CN"/>
          <w14:textFill>
            <w14:solidFill>
              <w14:schemeClr w14:val="tx1"/>
            </w14:solidFill>
          </w14:textFill>
        </w:rPr>
        <w:t>良好</w:t>
      </w:r>
      <w:r>
        <w:rPr>
          <w:rFonts w:hint="eastAsia"/>
          <w:color w:val="000000" w:themeColor="text1"/>
          <w:kern w:val="0"/>
          <w:sz w:val="24"/>
          <w:szCs w:val="24"/>
          <w:lang w:val="zh-CN"/>
          <w14:textFill>
            <w14:solidFill>
              <w14:schemeClr w14:val="tx1"/>
            </w14:solidFill>
          </w14:textFill>
        </w:rPr>
        <w:t>。</w:t>
      </w:r>
    </w:p>
    <w:p>
      <w:pPr>
        <w:pStyle w:val="727"/>
        <w:rPr>
          <w:color w:val="000000" w:themeColor="text1"/>
          <w14:textFill>
            <w14:solidFill>
              <w14:schemeClr w14:val="tx1"/>
            </w14:solidFill>
          </w14:textFill>
        </w:rPr>
      </w:pPr>
      <w:r>
        <w:rPr>
          <w:color w:val="000000" w:themeColor="text1"/>
          <w14:textFill>
            <w14:solidFill>
              <w14:schemeClr w14:val="tx1"/>
            </w14:solidFill>
          </w14:textFill>
        </w:rPr>
        <w:t xml:space="preserve">5.7.3 </w:t>
      </w:r>
      <w:r>
        <w:rPr>
          <w:rFonts w:hint="eastAsia"/>
          <w:color w:val="000000" w:themeColor="text1"/>
          <w14:textFill>
            <w14:solidFill>
              <w14:schemeClr w14:val="tx1"/>
            </w14:solidFill>
          </w14:textFill>
        </w:rPr>
        <w:t>预测与评价因子</w:t>
      </w:r>
    </w:p>
    <w:p>
      <w:pPr>
        <w:spacing w:line="520" w:lineRule="exact"/>
        <w:ind w:firstLine="480"/>
        <w:rPr>
          <w:color w:val="000000" w:themeColor="text1"/>
          <w:kern w:val="0"/>
          <w:sz w:val="24"/>
          <w:szCs w:val="24"/>
          <w:lang w:val="zh-CN"/>
          <w14:textFill>
            <w14:solidFill>
              <w14:schemeClr w14:val="tx1"/>
            </w14:solidFill>
          </w14:textFill>
        </w:rPr>
      </w:pPr>
      <w:r>
        <w:rPr>
          <w:rFonts w:hint="eastAsia"/>
          <w:color w:val="000000" w:themeColor="text1"/>
          <w:kern w:val="0"/>
          <w:sz w:val="24"/>
          <w:szCs w:val="24"/>
          <w:lang w:val="zh-CN"/>
          <w14:textFill>
            <w14:solidFill>
              <w14:schemeClr w14:val="tx1"/>
            </w14:solidFill>
          </w14:textFill>
        </w:rPr>
        <w:t>本项目属于污染影响型，大气污染因子主要为氨和硫化氢，以气态形式存在，沉降性较差，且不涉及土壤污染重点污染物，根据上述物质的理化性质可知，其废气排放对土壤环境的影响均较小，故本次不考虑大气沉降造成的土壤环境污染。</w:t>
      </w:r>
    </w:p>
    <w:p>
      <w:pPr>
        <w:spacing w:line="520" w:lineRule="exact"/>
        <w:ind w:firstLine="480"/>
        <w:rPr>
          <w:bCs/>
          <w:color w:val="000000" w:themeColor="text1"/>
          <w:kern w:val="0"/>
          <w:sz w:val="24"/>
          <w:szCs w:val="24"/>
          <w14:textFill>
            <w14:solidFill>
              <w14:schemeClr w14:val="tx1"/>
            </w14:solidFill>
          </w14:textFill>
        </w:rPr>
      </w:pPr>
      <w:r>
        <w:rPr>
          <w:rFonts w:hint="eastAsia"/>
          <w:bCs/>
          <w:color w:val="000000" w:themeColor="text1"/>
          <w:kern w:val="0"/>
          <w:sz w:val="24"/>
          <w:szCs w:val="24"/>
          <w14:textFill>
            <w14:solidFill>
              <w14:schemeClr w14:val="tx1"/>
            </w14:solidFill>
          </w14:textFill>
        </w:rPr>
        <w:t>根据项目特点分析，污水处理站可能会发生地面漫流、污染土壤。建设单位根据相关环保要求，建立从污染源头、过程处理和最终排放的防控体系，其中将污水处理站设置为一级防控系统。本项目通过防控系统，可以将厂区废水控制在场区内，有效避免或减轻污水处理站引起地面漫流、造成土壤污染。</w:t>
      </w:r>
    </w:p>
    <w:p>
      <w:pPr>
        <w:spacing w:line="520" w:lineRule="exact"/>
        <w:ind w:firstLine="480"/>
        <w:rPr>
          <w:bCs/>
          <w:color w:val="000000" w:themeColor="text1"/>
          <w:kern w:val="0"/>
          <w:sz w:val="24"/>
          <w:szCs w:val="24"/>
          <w14:textFill>
            <w14:solidFill>
              <w14:schemeClr w14:val="tx1"/>
            </w14:solidFill>
          </w14:textFill>
        </w:rPr>
      </w:pPr>
      <w:r>
        <w:rPr>
          <w:rFonts w:hint="eastAsia"/>
          <w:bCs/>
          <w:color w:val="000000" w:themeColor="text1"/>
          <w:kern w:val="0"/>
          <w:sz w:val="24"/>
          <w:szCs w:val="24"/>
          <w14:textFill>
            <w14:solidFill>
              <w14:schemeClr w14:val="tx1"/>
            </w14:solidFill>
          </w14:textFill>
        </w:rPr>
        <w:t>根据项目工程分析运营期本项目对土壤环境的影响途经主要为污水处理站污水渗漏对土壤产生的垂直入渗影响。影响与评价因子为C</w:t>
      </w:r>
      <w:r>
        <w:rPr>
          <w:bCs/>
          <w:color w:val="000000" w:themeColor="text1"/>
          <w:kern w:val="0"/>
          <w:sz w:val="24"/>
          <w:szCs w:val="24"/>
          <w14:textFill>
            <w14:solidFill>
              <w14:schemeClr w14:val="tx1"/>
            </w14:solidFill>
          </w14:textFill>
        </w:rPr>
        <w:t>OD</w:t>
      </w:r>
      <w:r>
        <w:rPr>
          <w:rFonts w:hint="eastAsia"/>
          <w:bCs/>
          <w:color w:val="000000" w:themeColor="text1"/>
          <w:kern w:val="0"/>
          <w:sz w:val="24"/>
          <w:szCs w:val="24"/>
          <w14:textFill>
            <w14:solidFill>
              <w14:schemeClr w14:val="tx1"/>
            </w14:solidFill>
          </w14:textFill>
        </w:rPr>
        <w:t>、N</w:t>
      </w:r>
      <w:r>
        <w:rPr>
          <w:bCs/>
          <w:color w:val="000000" w:themeColor="text1"/>
          <w:kern w:val="0"/>
          <w:sz w:val="24"/>
          <w:szCs w:val="24"/>
          <w14:textFill>
            <w14:solidFill>
              <w14:schemeClr w14:val="tx1"/>
            </w14:solidFill>
          </w14:textFill>
        </w:rPr>
        <w:t>H</w:t>
      </w:r>
      <w:r>
        <w:rPr>
          <w:bCs/>
          <w:color w:val="000000" w:themeColor="text1"/>
          <w:kern w:val="0"/>
          <w:sz w:val="24"/>
          <w:szCs w:val="24"/>
          <w:vertAlign w:val="subscript"/>
          <w14:textFill>
            <w14:solidFill>
              <w14:schemeClr w14:val="tx1"/>
            </w14:solidFill>
          </w14:textFill>
        </w:rPr>
        <w:t>3</w:t>
      </w:r>
      <w:r>
        <w:rPr>
          <w:bCs/>
          <w:color w:val="000000" w:themeColor="text1"/>
          <w:kern w:val="0"/>
          <w:sz w:val="24"/>
          <w:szCs w:val="24"/>
          <w14:textFill>
            <w14:solidFill>
              <w14:schemeClr w14:val="tx1"/>
            </w14:solidFill>
          </w14:textFill>
        </w:rPr>
        <w:t>-N</w:t>
      </w:r>
      <w:r>
        <w:rPr>
          <w:rFonts w:hint="eastAsia"/>
          <w:bCs/>
          <w:color w:val="000000" w:themeColor="text1"/>
          <w:kern w:val="0"/>
          <w:sz w:val="24"/>
          <w:szCs w:val="24"/>
          <w14:textFill>
            <w14:solidFill>
              <w14:schemeClr w14:val="tx1"/>
            </w14:solidFill>
          </w14:textFill>
        </w:rPr>
        <w:t>、动植物油。C</w:t>
      </w:r>
      <w:r>
        <w:rPr>
          <w:bCs/>
          <w:color w:val="000000" w:themeColor="text1"/>
          <w:kern w:val="0"/>
          <w:sz w:val="24"/>
          <w:szCs w:val="24"/>
          <w14:textFill>
            <w14:solidFill>
              <w14:schemeClr w14:val="tx1"/>
            </w14:solidFill>
          </w14:textFill>
        </w:rPr>
        <w:t>OD</w:t>
      </w:r>
      <w:r>
        <w:rPr>
          <w:rFonts w:hint="eastAsia"/>
          <w:bCs/>
          <w:color w:val="000000" w:themeColor="text1"/>
          <w:kern w:val="0"/>
          <w:sz w:val="24"/>
          <w:szCs w:val="24"/>
          <w14:textFill>
            <w14:solidFill>
              <w14:schemeClr w14:val="tx1"/>
            </w14:solidFill>
          </w14:textFill>
        </w:rPr>
        <w:t>的源强为3</w:t>
      </w:r>
      <w:r>
        <w:rPr>
          <w:bCs/>
          <w:color w:val="000000" w:themeColor="text1"/>
          <w:kern w:val="0"/>
          <w:sz w:val="24"/>
          <w:szCs w:val="24"/>
          <w14:textFill>
            <w14:solidFill>
              <w14:schemeClr w14:val="tx1"/>
            </w14:solidFill>
          </w14:textFill>
        </w:rPr>
        <w:t>000</w:t>
      </w:r>
      <w:r>
        <w:rPr>
          <w:rFonts w:hint="eastAsia"/>
          <w:bCs/>
          <w:color w:val="000000" w:themeColor="text1"/>
          <w:kern w:val="0"/>
          <w:sz w:val="24"/>
          <w:szCs w:val="24"/>
          <w14:textFill>
            <w14:solidFill>
              <w14:schemeClr w14:val="tx1"/>
            </w14:solidFill>
          </w14:textFill>
        </w:rPr>
        <w:t>mg/L；N</w:t>
      </w:r>
      <w:r>
        <w:rPr>
          <w:bCs/>
          <w:color w:val="000000" w:themeColor="text1"/>
          <w:kern w:val="0"/>
          <w:sz w:val="24"/>
          <w:szCs w:val="24"/>
          <w14:textFill>
            <w14:solidFill>
              <w14:schemeClr w14:val="tx1"/>
            </w14:solidFill>
          </w14:textFill>
        </w:rPr>
        <w:t>H</w:t>
      </w:r>
      <w:r>
        <w:rPr>
          <w:bCs/>
          <w:color w:val="000000" w:themeColor="text1"/>
          <w:kern w:val="0"/>
          <w:sz w:val="24"/>
          <w:szCs w:val="24"/>
          <w:vertAlign w:val="subscript"/>
          <w14:textFill>
            <w14:solidFill>
              <w14:schemeClr w14:val="tx1"/>
            </w14:solidFill>
          </w14:textFill>
        </w:rPr>
        <w:t>3</w:t>
      </w:r>
      <w:r>
        <w:rPr>
          <w:bCs/>
          <w:color w:val="000000" w:themeColor="text1"/>
          <w:kern w:val="0"/>
          <w:sz w:val="24"/>
          <w:szCs w:val="24"/>
          <w14:textFill>
            <w14:solidFill>
              <w14:schemeClr w14:val="tx1"/>
            </w14:solidFill>
          </w14:textFill>
        </w:rPr>
        <w:t>-N</w:t>
      </w:r>
      <w:r>
        <w:rPr>
          <w:rFonts w:hint="eastAsia"/>
          <w:bCs/>
          <w:color w:val="000000" w:themeColor="text1"/>
          <w:kern w:val="0"/>
          <w:sz w:val="24"/>
          <w:szCs w:val="24"/>
          <w14:textFill>
            <w14:solidFill>
              <w14:schemeClr w14:val="tx1"/>
            </w14:solidFill>
          </w14:textFill>
        </w:rPr>
        <w:t>的源强为</w:t>
      </w:r>
      <w:r>
        <w:rPr>
          <w:bCs/>
          <w:color w:val="000000" w:themeColor="text1"/>
          <w:kern w:val="0"/>
          <w:sz w:val="24"/>
          <w:szCs w:val="24"/>
          <w14:textFill>
            <w14:solidFill>
              <w14:schemeClr w14:val="tx1"/>
            </w14:solidFill>
          </w14:textFill>
        </w:rPr>
        <w:t>100</w:t>
      </w:r>
      <w:r>
        <w:rPr>
          <w:rFonts w:hint="eastAsia"/>
          <w:bCs/>
          <w:color w:val="000000" w:themeColor="text1"/>
          <w:kern w:val="0"/>
          <w:sz w:val="24"/>
          <w:szCs w:val="24"/>
          <w14:textFill>
            <w14:solidFill>
              <w14:schemeClr w14:val="tx1"/>
            </w14:solidFill>
          </w14:textFill>
        </w:rPr>
        <w:t>mg/L；动植物油的源强为</w:t>
      </w:r>
      <w:r>
        <w:rPr>
          <w:bCs/>
          <w:color w:val="000000" w:themeColor="text1"/>
          <w:kern w:val="0"/>
          <w:sz w:val="24"/>
          <w:szCs w:val="24"/>
          <w14:textFill>
            <w14:solidFill>
              <w14:schemeClr w14:val="tx1"/>
            </w14:solidFill>
          </w14:textFill>
        </w:rPr>
        <w:t>120</w:t>
      </w:r>
      <w:r>
        <w:rPr>
          <w:rFonts w:hint="eastAsia"/>
          <w:bCs/>
          <w:color w:val="000000" w:themeColor="text1"/>
          <w:kern w:val="0"/>
          <w:sz w:val="24"/>
          <w:szCs w:val="24"/>
          <w14:textFill>
            <w14:solidFill>
              <w14:schemeClr w14:val="tx1"/>
            </w14:solidFill>
          </w14:textFill>
        </w:rPr>
        <w:t>mg/L。本次工程影响类型见下表。</w:t>
      </w:r>
    </w:p>
    <w:p>
      <w:pPr>
        <w:adjustRightInd w:val="0"/>
        <w:snapToGrid w:val="0"/>
        <w:spacing w:line="520" w:lineRule="exact"/>
        <w:ind w:firstLine="480" w:firstLineChars="200"/>
        <w:rPr>
          <w:rFonts w:eastAsia="黑体"/>
          <w:color w:val="000000" w:themeColor="text1"/>
          <w:sz w:val="24"/>
          <w:szCs w:val="24"/>
          <w14:textFill>
            <w14:solidFill>
              <w14:schemeClr w14:val="tx1"/>
            </w14:solidFill>
          </w14:textFill>
        </w:rPr>
      </w:pPr>
      <w:r>
        <w:rPr>
          <w:rFonts w:hint="eastAsia" w:eastAsia="黑体"/>
          <w:color w:val="000000" w:themeColor="text1"/>
          <w:sz w:val="24"/>
          <w:szCs w:val="24"/>
          <w14:textFill>
            <w14:solidFill>
              <w14:schemeClr w14:val="tx1"/>
            </w14:solidFill>
          </w14:textFill>
        </w:rPr>
        <w:t>表</w:t>
      </w:r>
      <w:r>
        <w:rPr>
          <w:rFonts w:eastAsia="黑体"/>
          <w:color w:val="000000" w:themeColor="text1"/>
          <w:sz w:val="24"/>
          <w:szCs w:val="24"/>
          <w14:textFill>
            <w14:solidFill>
              <w14:schemeClr w14:val="tx1"/>
            </w14:solidFill>
          </w14:textFill>
        </w:rPr>
        <w:t>5.7-7</w:t>
      </w:r>
      <w:r>
        <w:rPr>
          <w:rFonts w:hint="eastAsia" w:eastAsia="黑体"/>
          <w:color w:val="000000" w:themeColor="text1"/>
          <w:sz w:val="24"/>
          <w:szCs w:val="24"/>
          <w14:textFill>
            <w14:solidFill>
              <w14:schemeClr w14:val="tx1"/>
            </w14:solidFill>
          </w14:textFill>
        </w:rPr>
        <w:t xml:space="preserve">         本次工程土壤环境影响类型与影响途径表</w:t>
      </w:r>
    </w:p>
    <w:tbl>
      <w:tblPr>
        <w:tblStyle w:val="4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42"/>
        <w:gridCol w:w="1062"/>
        <w:gridCol w:w="1135"/>
        <w:gridCol w:w="1069"/>
        <w:gridCol w:w="686"/>
        <w:gridCol w:w="667"/>
        <w:gridCol w:w="676"/>
        <w:gridCol w:w="648"/>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92" w:type="dxa"/>
            <w:vMerge w:val="restart"/>
            <w:vAlign w:val="center"/>
          </w:tcPr>
          <w:p>
            <w:pPr>
              <w:pStyle w:val="94"/>
              <w:autoSpaceDE w:val="0"/>
              <w:autoSpaceDN w:val="0"/>
              <w:rPr>
                <w:rFonts w:ascii="Calibri" w:hAnsi="Calibri"/>
                <w:color w:val="000000" w:themeColor="text1"/>
                <w:lang w:eastAsia="en-US"/>
                <w14:textFill>
                  <w14:solidFill>
                    <w14:schemeClr w14:val="tx1"/>
                  </w14:solidFill>
                </w14:textFill>
              </w:rPr>
            </w:pPr>
            <w:r>
              <w:rPr>
                <w:rFonts w:hint="eastAsia" w:ascii="Calibri" w:hAnsi="Calibri"/>
                <w:color w:val="000000" w:themeColor="text1"/>
                <w:lang w:eastAsia="en-US"/>
                <w14:textFill>
                  <w14:solidFill>
                    <w14:schemeClr w14:val="tx1"/>
                  </w14:solidFill>
                </w14:textFill>
              </w:rPr>
              <w:t>不同时段</w:t>
            </w:r>
          </w:p>
        </w:tc>
        <w:tc>
          <w:tcPr>
            <w:tcW w:w="4046" w:type="dxa"/>
            <w:gridSpan w:val="4"/>
            <w:vAlign w:val="center"/>
          </w:tcPr>
          <w:p>
            <w:pPr>
              <w:pStyle w:val="94"/>
              <w:autoSpaceDE w:val="0"/>
              <w:autoSpaceDN w:val="0"/>
              <w:rPr>
                <w:rFonts w:ascii="Calibri" w:hAnsi="Calibri"/>
                <w:color w:val="000000" w:themeColor="text1"/>
                <w:lang w:eastAsia="en-US"/>
                <w14:textFill>
                  <w14:solidFill>
                    <w14:schemeClr w14:val="tx1"/>
                  </w14:solidFill>
                </w14:textFill>
              </w:rPr>
            </w:pPr>
            <w:r>
              <w:rPr>
                <w:rFonts w:hint="eastAsia" w:ascii="Calibri" w:hAnsi="Calibri"/>
                <w:color w:val="000000" w:themeColor="text1"/>
                <w:lang w:eastAsia="en-US"/>
                <w14:textFill>
                  <w14:solidFill>
                    <w14:schemeClr w14:val="tx1"/>
                  </w14:solidFill>
                </w14:textFill>
              </w:rPr>
              <w:t>污染影响型</w:t>
            </w:r>
          </w:p>
        </w:tc>
        <w:tc>
          <w:tcPr>
            <w:tcW w:w="2708" w:type="dxa"/>
            <w:gridSpan w:val="4"/>
            <w:vAlign w:val="center"/>
          </w:tcPr>
          <w:p>
            <w:pPr>
              <w:pStyle w:val="94"/>
              <w:autoSpaceDE w:val="0"/>
              <w:autoSpaceDN w:val="0"/>
              <w:rPr>
                <w:rFonts w:ascii="Calibri" w:hAnsi="Calibri"/>
                <w:color w:val="000000" w:themeColor="text1"/>
                <w:lang w:eastAsia="en-US"/>
                <w14:textFill>
                  <w14:solidFill>
                    <w14:schemeClr w14:val="tx1"/>
                  </w14:solidFill>
                </w14:textFill>
              </w:rPr>
            </w:pPr>
            <w:r>
              <w:rPr>
                <w:rFonts w:hint="eastAsia" w:ascii="Calibri" w:hAnsi="Calibri"/>
                <w:color w:val="000000" w:themeColor="text1"/>
                <w:lang w:eastAsia="en-US"/>
                <w14:textFill>
                  <w14:solidFill>
                    <w14:schemeClr w14:val="tx1"/>
                  </w14:solidFill>
                </w14:textFill>
              </w:rPr>
              <w:t>生态影响型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92" w:type="dxa"/>
            <w:vMerge w:val="continue"/>
            <w:vAlign w:val="center"/>
          </w:tcPr>
          <w:p>
            <w:pPr>
              <w:pStyle w:val="94"/>
              <w:autoSpaceDE w:val="0"/>
              <w:autoSpaceDN w:val="0"/>
              <w:rPr>
                <w:rFonts w:ascii="Calibri" w:hAnsi="Calibri"/>
                <w:color w:val="000000" w:themeColor="text1"/>
                <w:lang w:eastAsia="en-US"/>
                <w14:textFill>
                  <w14:solidFill>
                    <w14:schemeClr w14:val="tx1"/>
                  </w14:solidFill>
                </w14:textFill>
              </w:rPr>
            </w:pPr>
          </w:p>
        </w:tc>
        <w:tc>
          <w:tcPr>
            <w:tcW w:w="1088" w:type="dxa"/>
            <w:vAlign w:val="center"/>
          </w:tcPr>
          <w:p>
            <w:pPr>
              <w:pStyle w:val="94"/>
              <w:autoSpaceDE w:val="0"/>
              <w:autoSpaceDN w:val="0"/>
              <w:rPr>
                <w:rFonts w:ascii="Calibri" w:hAnsi="Calibri"/>
                <w:color w:val="000000" w:themeColor="text1"/>
                <w:lang w:eastAsia="en-US"/>
                <w14:textFill>
                  <w14:solidFill>
                    <w14:schemeClr w14:val="tx1"/>
                  </w14:solidFill>
                </w14:textFill>
              </w:rPr>
            </w:pPr>
            <w:r>
              <w:rPr>
                <w:rFonts w:hint="eastAsia" w:ascii="Calibri" w:hAnsi="Calibri"/>
                <w:color w:val="000000" w:themeColor="text1"/>
                <w:lang w:eastAsia="en-US"/>
                <w14:textFill>
                  <w14:solidFill>
                    <w14:schemeClr w14:val="tx1"/>
                  </w14:solidFill>
                </w14:textFill>
              </w:rPr>
              <w:t>大气沉降</w:t>
            </w:r>
          </w:p>
        </w:tc>
        <w:tc>
          <w:tcPr>
            <w:tcW w:w="1161" w:type="dxa"/>
            <w:vAlign w:val="center"/>
          </w:tcPr>
          <w:p>
            <w:pPr>
              <w:pStyle w:val="94"/>
              <w:autoSpaceDE w:val="0"/>
              <w:autoSpaceDN w:val="0"/>
              <w:rPr>
                <w:rFonts w:ascii="Calibri" w:hAnsi="Calibri"/>
                <w:color w:val="000000" w:themeColor="text1"/>
                <w:lang w:eastAsia="en-US"/>
                <w14:textFill>
                  <w14:solidFill>
                    <w14:schemeClr w14:val="tx1"/>
                  </w14:solidFill>
                </w14:textFill>
              </w:rPr>
            </w:pPr>
            <w:r>
              <w:rPr>
                <w:rFonts w:hint="eastAsia" w:ascii="Calibri" w:hAnsi="Calibri"/>
                <w:color w:val="000000" w:themeColor="text1"/>
                <w:lang w:eastAsia="en-US"/>
                <w14:textFill>
                  <w14:solidFill>
                    <w14:schemeClr w14:val="tx1"/>
                  </w14:solidFill>
                </w14:textFill>
              </w:rPr>
              <w:t>地面漫流</w:t>
            </w:r>
          </w:p>
        </w:tc>
        <w:tc>
          <w:tcPr>
            <w:tcW w:w="1095" w:type="dxa"/>
            <w:vAlign w:val="center"/>
          </w:tcPr>
          <w:p>
            <w:pPr>
              <w:pStyle w:val="94"/>
              <w:autoSpaceDE w:val="0"/>
              <w:autoSpaceDN w:val="0"/>
              <w:rPr>
                <w:rFonts w:ascii="Calibri" w:hAnsi="Calibri"/>
                <w:color w:val="000000" w:themeColor="text1"/>
                <w:lang w:eastAsia="en-US"/>
                <w14:textFill>
                  <w14:solidFill>
                    <w14:schemeClr w14:val="tx1"/>
                  </w14:solidFill>
                </w14:textFill>
              </w:rPr>
            </w:pPr>
            <w:r>
              <w:rPr>
                <w:rFonts w:hint="eastAsia" w:ascii="Calibri" w:hAnsi="Calibri"/>
                <w:color w:val="000000" w:themeColor="text1"/>
                <w:lang w:eastAsia="en-US"/>
                <w14:textFill>
                  <w14:solidFill>
                    <w14:schemeClr w14:val="tx1"/>
                  </w14:solidFill>
                </w14:textFill>
              </w:rPr>
              <w:t>垂直入渗</w:t>
            </w:r>
          </w:p>
        </w:tc>
        <w:tc>
          <w:tcPr>
            <w:tcW w:w="702" w:type="dxa"/>
            <w:vAlign w:val="center"/>
          </w:tcPr>
          <w:p>
            <w:pPr>
              <w:pStyle w:val="94"/>
              <w:autoSpaceDE w:val="0"/>
              <w:autoSpaceDN w:val="0"/>
              <w:rPr>
                <w:rFonts w:ascii="Calibri" w:hAnsi="Calibri"/>
                <w:color w:val="000000" w:themeColor="text1"/>
                <w:lang w:eastAsia="en-US"/>
                <w14:textFill>
                  <w14:solidFill>
                    <w14:schemeClr w14:val="tx1"/>
                  </w14:solidFill>
                </w14:textFill>
              </w:rPr>
            </w:pPr>
            <w:r>
              <w:rPr>
                <w:rFonts w:hint="eastAsia" w:ascii="Calibri" w:hAnsi="Calibri"/>
                <w:color w:val="000000" w:themeColor="text1"/>
                <w:lang w:eastAsia="en-US"/>
                <w14:textFill>
                  <w14:solidFill>
                    <w14:schemeClr w14:val="tx1"/>
                  </w14:solidFill>
                </w14:textFill>
              </w:rPr>
              <w:t>其它</w:t>
            </w:r>
          </w:p>
        </w:tc>
        <w:tc>
          <w:tcPr>
            <w:tcW w:w="682" w:type="dxa"/>
            <w:vAlign w:val="center"/>
          </w:tcPr>
          <w:p>
            <w:pPr>
              <w:pStyle w:val="94"/>
              <w:autoSpaceDE w:val="0"/>
              <w:autoSpaceDN w:val="0"/>
              <w:rPr>
                <w:rFonts w:ascii="Calibri" w:hAnsi="Calibri"/>
                <w:color w:val="000000" w:themeColor="text1"/>
                <w:lang w:eastAsia="en-US"/>
                <w14:textFill>
                  <w14:solidFill>
                    <w14:schemeClr w14:val="tx1"/>
                  </w14:solidFill>
                </w14:textFill>
              </w:rPr>
            </w:pPr>
            <w:r>
              <w:rPr>
                <w:rFonts w:hint="eastAsia" w:ascii="Calibri" w:hAnsi="Calibri"/>
                <w:color w:val="000000" w:themeColor="text1"/>
                <w:lang w:eastAsia="en-US"/>
                <w14:textFill>
                  <w14:solidFill>
                    <w14:schemeClr w14:val="tx1"/>
                  </w14:solidFill>
                </w14:textFill>
              </w:rPr>
              <w:t>盐化</w:t>
            </w:r>
          </w:p>
        </w:tc>
        <w:tc>
          <w:tcPr>
            <w:tcW w:w="691" w:type="dxa"/>
            <w:vAlign w:val="center"/>
          </w:tcPr>
          <w:p>
            <w:pPr>
              <w:pStyle w:val="94"/>
              <w:autoSpaceDE w:val="0"/>
              <w:autoSpaceDN w:val="0"/>
              <w:rPr>
                <w:rFonts w:ascii="Calibri" w:hAnsi="Calibri"/>
                <w:color w:val="000000" w:themeColor="text1"/>
                <w:lang w:eastAsia="en-US"/>
                <w14:textFill>
                  <w14:solidFill>
                    <w14:schemeClr w14:val="tx1"/>
                  </w14:solidFill>
                </w14:textFill>
              </w:rPr>
            </w:pPr>
            <w:r>
              <w:rPr>
                <w:rFonts w:hint="eastAsia" w:ascii="Calibri" w:hAnsi="Calibri"/>
                <w:color w:val="000000" w:themeColor="text1"/>
                <w:lang w:eastAsia="en-US"/>
                <w14:textFill>
                  <w14:solidFill>
                    <w14:schemeClr w14:val="tx1"/>
                  </w14:solidFill>
                </w14:textFill>
              </w:rPr>
              <w:t>碱化</w:t>
            </w:r>
          </w:p>
        </w:tc>
        <w:tc>
          <w:tcPr>
            <w:tcW w:w="664" w:type="dxa"/>
            <w:vAlign w:val="center"/>
          </w:tcPr>
          <w:p>
            <w:pPr>
              <w:pStyle w:val="94"/>
              <w:autoSpaceDE w:val="0"/>
              <w:autoSpaceDN w:val="0"/>
              <w:rPr>
                <w:rFonts w:ascii="Calibri" w:hAnsi="Calibri"/>
                <w:color w:val="000000" w:themeColor="text1"/>
                <w:lang w:eastAsia="en-US"/>
                <w14:textFill>
                  <w14:solidFill>
                    <w14:schemeClr w14:val="tx1"/>
                  </w14:solidFill>
                </w14:textFill>
              </w:rPr>
            </w:pPr>
            <w:r>
              <w:rPr>
                <w:rFonts w:hint="eastAsia" w:ascii="Calibri" w:hAnsi="Calibri"/>
                <w:color w:val="000000" w:themeColor="text1"/>
                <w:lang w:eastAsia="en-US"/>
                <w14:textFill>
                  <w14:solidFill>
                    <w14:schemeClr w14:val="tx1"/>
                  </w14:solidFill>
                </w14:textFill>
              </w:rPr>
              <w:t>酸化</w:t>
            </w:r>
          </w:p>
        </w:tc>
        <w:tc>
          <w:tcPr>
            <w:tcW w:w="671" w:type="dxa"/>
            <w:vAlign w:val="center"/>
          </w:tcPr>
          <w:p>
            <w:pPr>
              <w:pStyle w:val="94"/>
              <w:autoSpaceDE w:val="0"/>
              <w:autoSpaceDN w:val="0"/>
              <w:rPr>
                <w:rFonts w:ascii="Calibri" w:hAnsi="Calibri"/>
                <w:color w:val="000000" w:themeColor="text1"/>
                <w:lang w:eastAsia="en-US"/>
                <w14:textFill>
                  <w14:solidFill>
                    <w14:schemeClr w14:val="tx1"/>
                  </w14:solidFill>
                </w14:textFill>
              </w:rPr>
            </w:pPr>
            <w:r>
              <w:rPr>
                <w:rFonts w:hint="eastAsia" w:ascii="Calibri" w:hAnsi="Calibri"/>
                <w:color w:val="000000" w:themeColor="text1"/>
                <w:lang w:eastAsia="en-US"/>
                <w14:textFill>
                  <w14:solidFill>
                    <w14:schemeClr w14:val="tx1"/>
                  </w14:solidFill>
                </w14:textFill>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92" w:type="dxa"/>
            <w:vAlign w:val="center"/>
          </w:tcPr>
          <w:p>
            <w:pPr>
              <w:pStyle w:val="90"/>
              <w:autoSpaceDE w:val="0"/>
              <w:autoSpaceDN w:val="0"/>
              <w:rPr>
                <w:rFonts w:ascii="宋体" w:hAnsi="Calibri"/>
                <w:color w:val="000000" w:themeColor="text1"/>
                <w:lang w:eastAsia="en-US"/>
                <w14:textFill>
                  <w14:solidFill>
                    <w14:schemeClr w14:val="tx1"/>
                  </w14:solidFill>
                </w14:textFill>
              </w:rPr>
            </w:pPr>
            <w:r>
              <w:rPr>
                <w:rFonts w:hint="eastAsia" w:ascii="宋体" w:hAnsi="宋体" w:cs="宋体"/>
                <w:color w:val="000000" w:themeColor="text1"/>
                <w:lang w:eastAsia="en-US"/>
                <w14:textFill>
                  <w14:solidFill>
                    <w14:schemeClr w14:val="tx1"/>
                  </w14:solidFill>
                </w14:textFill>
              </w:rPr>
              <w:t>建设期</w:t>
            </w:r>
          </w:p>
        </w:tc>
        <w:tc>
          <w:tcPr>
            <w:tcW w:w="1088"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1161"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1095"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702"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682"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691"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664"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671"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92" w:type="dxa"/>
            <w:vAlign w:val="center"/>
          </w:tcPr>
          <w:p>
            <w:pPr>
              <w:pStyle w:val="90"/>
              <w:autoSpaceDE w:val="0"/>
              <w:autoSpaceDN w:val="0"/>
              <w:rPr>
                <w:rFonts w:ascii="宋体" w:hAnsi="Calibri"/>
                <w:color w:val="000000" w:themeColor="text1"/>
                <w:lang w:eastAsia="en-US"/>
                <w14:textFill>
                  <w14:solidFill>
                    <w14:schemeClr w14:val="tx1"/>
                  </w14:solidFill>
                </w14:textFill>
              </w:rPr>
            </w:pPr>
            <w:r>
              <w:rPr>
                <w:rFonts w:hint="eastAsia" w:ascii="宋体" w:hAnsi="宋体" w:cs="宋体"/>
                <w:color w:val="000000" w:themeColor="text1"/>
                <w:lang w:eastAsia="en-US"/>
                <w14:textFill>
                  <w14:solidFill>
                    <w14:schemeClr w14:val="tx1"/>
                  </w14:solidFill>
                </w14:textFill>
              </w:rPr>
              <w:t>营运期</w:t>
            </w:r>
          </w:p>
        </w:tc>
        <w:tc>
          <w:tcPr>
            <w:tcW w:w="1088"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1161"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1095" w:type="dxa"/>
            <w:vAlign w:val="center"/>
          </w:tcPr>
          <w:p>
            <w:pPr>
              <w:pStyle w:val="90"/>
              <w:autoSpaceDE w:val="0"/>
              <w:autoSpaceDN w:val="0"/>
              <w:rPr>
                <w:rFonts w:ascii="Calibri" w:hAnsi="Calibri"/>
                <w:color w:val="000000" w:themeColor="text1"/>
                <w:lang w:eastAsia="en-US"/>
                <w14:textFill>
                  <w14:solidFill>
                    <w14:schemeClr w14:val="tx1"/>
                  </w14:solidFill>
                </w14:textFill>
              </w:rPr>
            </w:pPr>
            <w:r>
              <w:rPr>
                <w:rFonts w:ascii="Calibri" w:hAnsi="Calibri"/>
                <w:color w:val="000000" w:themeColor="text1"/>
                <w:lang w:eastAsia="en-US"/>
                <w14:textFill>
                  <w14:solidFill>
                    <w14:schemeClr w14:val="tx1"/>
                  </w14:solidFill>
                </w14:textFill>
              </w:rPr>
              <w:t>√</w:t>
            </w:r>
          </w:p>
        </w:tc>
        <w:tc>
          <w:tcPr>
            <w:tcW w:w="702"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682"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691"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664"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671"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92" w:type="dxa"/>
            <w:vAlign w:val="center"/>
          </w:tcPr>
          <w:p>
            <w:pPr>
              <w:pStyle w:val="90"/>
              <w:autoSpaceDE w:val="0"/>
              <w:autoSpaceDN w:val="0"/>
              <w:rPr>
                <w:rFonts w:ascii="宋体" w:hAnsi="Calibri"/>
                <w:color w:val="000000" w:themeColor="text1"/>
                <w:lang w:eastAsia="en-US"/>
                <w14:textFill>
                  <w14:solidFill>
                    <w14:schemeClr w14:val="tx1"/>
                  </w14:solidFill>
                </w14:textFill>
              </w:rPr>
            </w:pPr>
            <w:r>
              <w:rPr>
                <w:rFonts w:hint="eastAsia" w:ascii="宋体" w:hAnsi="宋体" w:cs="宋体"/>
                <w:color w:val="000000" w:themeColor="text1"/>
                <w:lang w:eastAsia="en-US"/>
                <w14:textFill>
                  <w14:solidFill>
                    <w14:schemeClr w14:val="tx1"/>
                  </w14:solidFill>
                </w14:textFill>
              </w:rPr>
              <w:t>服务期满后</w:t>
            </w:r>
          </w:p>
        </w:tc>
        <w:tc>
          <w:tcPr>
            <w:tcW w:w="1088"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1161"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1095"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702"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682"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691"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664"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c>
          <w:tcPr>
            <w:tcW w:w="671" w:type="dxa"/>
            <w:vAlign w:val="center"/>
          </w:tcPr>
          <w:p>
            <w:pPr>
              <w:pStyle w:val="90"/>
              <w:autoSpaceDE w:val="0"/>
              <w:autoSpaceDN w:val="0"/>
              <w:rPr>
                <w:rFonts w:ascii="Calibri" w:hAnsi="Calibri"/>
                <w:color w:val="000000" w:themeColor="text1"/>
                <w:lang w:eastAsia="en-US"/>
                <w14:textFill>
                  <w14:solidFill>
                    <w14:schemeClr w14:val="tx1"/>
                  </w14:solidFill>
                </w14:textFill>
              </w:rPr>
            </w:pPr>
          </w:p>
        </w:tc>
      </w:tr>
    </w:tbl>
    <w:p>
      <w:pPr>
        <w:spacing w:line="520" w:lineRule="exact"/>
        <w:ind w:firstLine="480"/>
        <w:rPr>
          <w:bCs/>
          <w:color w:val="000000" w:themeColor="text1"/>
          <w:kern w:val="0"/>
          <w:sz w:val="24"/>
          <w:szCs w:val="24"/>
          <w14:textFill>
            <w14:solidFill>
              <w14:schemeClr w14:val="tx1"/>
            </w14:solidFill>
          </w14:textFill>
        </w:rPr>
      </w:pPr>
    </w:p>
    <w:p>
      <w:pPr>
        <w:pStyle w:val="727"/>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.7.4 </w:t>
      </w:r>
      <w:r>
        <w:rPr>
          <w:rFonts w:hint="eastAsia"/>
          <w:color w:val="000000" w:themeColor="text1"/>
          <w14:textFill>
            <w14:solidFill>
              <w14:schemeClr w14:val="tx1"/>
            </w14:solidFill>
          </w14:textFill>
        </w:rPr>
        <w:t>预测与评价标准</w:t>
      </w:r>
    </w:p>
    <w:p>
      <w:pPr>
        <w:spacing w:line="520" w:lineRule="exact"/>
        <w:ind w:firstLine="480"/>
        <w:rPr>
          <w:color w:val="000000" w:themeColor="text1"/>
          <w:kern w:val="0"/>
          <w:sz w:val="24"/>
          <w:szCs w:val="24"/>
          <w:lang w:val="zh-CN"/>
          <w14:textFill>
            <w14:solidFill>
              <w14:schemeClr w14:val="tx1"/>
            </w14:solidFill>
          </w14:textFill>
        </w:rPr>
      </w:pPr>
      <w:r>
        <w:rPr>
          <w:rFonts w:hint="eastAsia"/>
          <w:color w:val="000000" w:themeColor="text1"/>
          <w:kern w:val="0"/>
          <w:sz w:val="24"/>
          <w:szCs w:val="24"/>
          <w:lang w:val="zh-CN"/>
          <w14:textFill>
            <w14:solidFill>
              <w14:schemeClr w14:val="tx1"/>
            </w14:solidFill>
          </w14:textFill>
        </w:rPr>
        <w:t>项目厂区土壤执行</w:t>
      </w:r>
      <w:r>
        <w:rPr>
          <w:color w:val="000000" w:themeColor="text1"/>
          <w:kern w:val="0"/>
          <w:sz w:val="24"/>
          <w:szCs w:val="24"/>
          <w:lang w:val="zh-CN"/>
          <w14:textFill>
            <w14:solidFill>
              <w14:schemeClr w14:val="tx1"/>
            </w14:solidFill>
          </w14:textFill>
        </w:rPr>
        <w:t>《土壤环境质量 建设用地土壤污染风险管控标准（试行）》（GB36600-2018）第二类用地筛选值标准</w:t>
      </w:r>
      <w:r>
        <w:rPr>
          <w:rFonts w:hint="eastAsia"/>
          <w:color w:val="000000" w:themeColor="text1"/>
          <w:kern w:val="0"/>
          <w:sz w:val="24"/>
          <w:szCs w:val="24"/>
          <w:lang w:val="zh-CN"/>
          <w14:textFill>
            <w14:solidFill>
              <w14:schemeClr w14:val="tx1"/>
            </w14:solidFill>
          </w14:textFill>
        </w:rPr>
        <w:t>。</w:t>
      </w:r>
    </w:p>
    <w:p>
      <w:pPr>
        <w:pStyle w:val="727"/>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.7.5</w:t>
      </w:r>
      <w:r>
        <w:rPr>
          <w:rFonts w:hint="eastAsia"/>
          <w:color w:val="000000" w:themeColor="text1"/>
          <w14:textFill>
            <w14:solidFill>
              <w14:schemeClr w14:val="tx1"/>
            </w14:solidFill>
          </w14:textFill>
        </w:rPr>
        <w:t>预测与评价方法</w:t>
      </w:r>
    </w:p>
    <w:p>
      <w:pPr>
        <w:spacing w:line="520" w:lineRule="exact"/>
        <w:ind w:firstLine="48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本项目为污染影响型项目，评价等级为二级，根据《环境影响评价技术导则 土壤环境（试行）》（HJ 964-2018）8</w:t>
      </w:r>
      <w:r>
        <w:rPr>
          <w:color w:val="000000" w:themeColor="text1"/>
          <w:kern w:val="0"/>
          <w:sz w:val="24"/>
          <w:szCs w:val="24"/>
          <w14:textFill>
            <w14:solidFill>
              <w14:schemeClr w14:val="tx1"/>
            </w14:solidFill>
          </w14:textFill>
        </w:rPr>
        <w:t>.7.3</w:t>
      </w:r>
      <w:r>
        <w:rPr>
          <w:rFonts w:hint="eastAsia"/>
          <w:color w:val="000000" w:themeColor="text1"/>
          <w:kern w:val="0"/>
          <w:sz w:val="24"/>
          <w:szCs w:val="24"/>
          <w14:textFill>
            <w14:solidFill>
              <w14:schemeClr w14:val="tx1"/>
            </w14:solidFill>
          </w14:textFill>
        </w:rPr>
        <w:t>，污染影响型建设项目，其评价等级为一级、二级的，预测方法可参见附录E或进行类比分析。本次评价选择类比分析。</w:t>
      </w:r>
    </w:p>
    <w:p>
      <w:pPr>
        <w:pStyle w:val="727"/>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.7.6</w:t>
      </w:r>
      <w:r>
        <w:rPr>
          <w:rFonts w:hint="eastAsia"/>
          <w:color w:val="000000" w:themeColor="text1"/>
          <w14:textFill>
            <w14:solidFill>
              <w14:schemeClr w14:val="tx1"/>
            </w14:solidFill>
          </w14:textFill>
        </w:rPr>
        <w:t>影响分析</w:t>
      </w:r>
    </w:p>
    <w:p>
      <w:pPr>
        <w:spacing w:line="520" w:lineRule="exact"/>
        <w:ind w:firstLine="480"/>
        <w:rPr>
          <w:color w:val="000000" w:themeColor="text1"/>
          <w:kern w:val="0"/>
          <w:sz w:val="24"/>
          <w:szCs w:val="24"/>
          <w14:textFill>
            <w14:solidFill>
              <w14:schemeClr w14:val="tx1"/>
            </w14:solidFill>
          </w14:textFill>
        </w:rPr>
      </w:pPr>
      <w:r>
        <w:rPr>
          <w:rFonts w:hint="eastAsia"/>
          <w:bCs/>
          <w:color w:val="000000" w:themeColor="text1"/>
          <w:kern w:val="0"/>
          <w:sz w:val="24"/>
          <w:szCs w:val="24"/>
          <w14:textFill>
            <w14:solidFill>
              <w14:schemeClr w14:val="tx1"/>
            </w14:solidFill>
          </w14:textFill>
        </w:rPr>
        <w:t>本项目与河南餐饮中央厨房产业园均位于原阳县产业集聚区内的农副产品深加工产业区，相距约5</w:t>
      </w:r>
      <w:r>
        <w:rPr>
          <w:bCs/>
          <w:color w:val="000000" w:themeColor="text1"/>
          <w:kern w:val="0"/>
          <w:sz w:val="24"/>
          <w:szCs w:val="24"/>
          <w14:textFill>
            <w14:solidFill>
              <w14:schemeClr w14:val="tx1"/>
            </w14:solidFill>
          </w14:textFill>
        </w:rPr>
        <w:t>60m</w:t>
      </w:r>
      <w:r>
        <w:rPr>
          <w:rFonts w:hint="eastAsia"/>
          <w:bCs/>
          <w:color w:val="000000" w:themeColor="text1"/>
          <w:kern w:val="0"/>
          <w:sz w:val="24"/>
          <w:szCs w:val="24"/>
          <w14:textFill>
            <w14:solidFill>
              <w14:schemeClr w14:val="tx1"/>
            </w14:solidFill>
          </w14:textFill>
        </w:rPr>
        <w:t>，入驻的企业类型均主要为食品加工和预制菜生产加工企业及相关配套企业，入驻企业生产工艺均主要为蔬菜挑拣、清洗、切配等，面粉和面、搅拌、醒发、蒸制等，肉类切割腌制、熟化等，故</w:t>
      </w:r>
      <w:r>
        <w:rPr>
          <w:bCs/>
          <w:color w:val="000000" w:themeColor="text1"/>
          <w:kern w:val="0"/>
          <w:sz w:val="24"/>
          <w:szCs w:val="24"/>
          <w14:textFill>
            <w14:solidFill>
              <w14:schemeClr w14:val="tx1"/>
            </w14:solidFill>
          </w14:textFill>
        </w:rPr>
        <w:t>河南餐饮中央厨房产业园</w:t>
      </w:r>
      <w:r>
        <w:rPr>
          <w:rFonts w:hint="eastAsia"/>
          <w:bCs/>
          <w:color w:val="000000" w:themeColor="text1"/>
          <w:kern w:val="0"/>
          <w:sz w:val="24"/>
          <w:szCs w:val="24"/>
          <w14:textFill>
            <w14:solidFill>
              <w14:schemeClr w14:val="tx1"/>
            </w14:solidFill>
          </w14:textFill>
        </w:rPr>
        <w:t>园区污水处理站处理废水水质相对于本项目具有可类比性。另外，</w:t>
      </w:r>
      <w:r>
        <w:rPr>
          <w:color w:val="000000" w:themeColor="text1"/>
          <w:kern w:val="0"/>
          <w:sz w:val="24"/>
          <w:szCs w:val="24"/>
          <w14:textFill>
            <w14:solidFill>
              <w14:schemeClr w14:val="tx1"/>
            </w14:solidFill>
          </w14:textFill>
        </w:rPr>
        <w:t>中央厨房产业园</w:t>
      </w:r>
      <w:r>
        <w:rPr>
          <w:rFonts w:hint="eastAsia"/>
          <w:color w:val="000000" w:themeColor="text1"/>
          <w:kern w:val="0"/>
          <w:sz w:val="24"/>
          <w:szCs w:val="24"/>
          <w14:textFill>
            <w14:solidFill>
              <w14:schemeClr w14:val="tx1"/>
            </w14:solidFill>
          </w14:textFill>
        </w:rPr>
        <w:t>园区污水处理站污水处理工艺为“</w:t>
      </w:r>
      <w:r>
        <w:rPr>
          <w:color w:val="000000" w:themeColor="text1"/>
          <w:kern w:val="0"/>
          <w:sz w:val="24"/>
          <w:szCs w:val="24"/>
          <w14:textFill>
            <w14:solidFill>
              <w14:schemeClr w14:val="tx1"/>
            </w14:solidFill>
          </w14:textFill>
        </w:rPr>
        <w:t>超滤格栅+集水</w:t>
      </w:r>
      <w:r>
        <w:rPr>
          <w:rFonts w:hint="eastAsia"/>
          <w:color w:val="000000" w:themeColor="text1"/>
          <w:kern w:val="0"/>
          <w:sz w:val="24"/>
          <w:szCs w:val="24"/>
          <w14:textFill>
            <w14:solidFill>
              <w14:schemeClr w14:val="tx1"/>
            </w14:solidFill>
          </w14:textFill>
        </w:rPr>
        <w:t>池</w:t>
      </w:r>
      <w:r>
        <w:rPr>
          <w:color w:val="000000" w:themeColor="text1"/>
          <w:kern w:val="0"/>
          <w:sz w:val="24"/>
          <w:szCs w:val="24"/>
          <w14:textFill>
            <w14:solidFill>
              <w14:schemeClr w14:val="tx1"/>
            </w14:solidFill>
          </w14:textFill>
        </w:rPr>
        <w:t>+调节</w:t>
      </w:r>
      <w:r>
        <w:rPr>
          <w:rFonts w:hint="eastAsia"/>
          <w:color w:val="000000" w:themeColor="text1"/>
          <w:kern w:val="0"/>
          <w:sz w:val="24"/>
          <w:szCs w:val="24"/>
          <w14:textFill>
            <w14:solidFill>
              <w14:schemeClr w14:val="tx1"/>
            </w14:solidFill>
          </w14:textFill>
        </w:rPr>
        <w:t>池</w:t>
      </w:r>
      <w:r>
        <w:rPr>
          <w:color w:val="000000" w:themeColor="text1"/>
          <w:kern w:val="0"/>
          <w:sz w:val="24"/>
          <w:szCs w:val="24"/>
          <w14:textFill>
            <w14:solidFill>
              <w14:schemeClr w14:val="tx1"/>
            </w14:solidFill>
          </w14:textFill>
        </w:rPr>
        <w:t>+初沉</w:t>
      </w:r>
      <w:r>
        <w:rPr>
          <w:rFonts w:hint="eastAsia"/>
          <w:color w:val="000000" w:themeColor="text1"/>
          <w:kern w:val="0"/>
          <w:sz w:val="24"/>
          <w:szCs w:val="24"/>
          <w14:textFill>
            <w14:solidFill>
              <w14:schemeClr w14:val="tx1"/>
            </w14:solidFill>
          </w14:textFill>
        </w:rPr>
        <w:t>池</w:t>
      </w:r>
      <w:r>
        <w:rPr>
          <w:color w:val="000000" w:themeColor="text1"/>
          <w:kern w:val="0"/>
          <w:sz w:val="24"/>
          <w:szCs w:val="24"/>
          <w14:textFill>
            <w14:solidFill>
              <w14:schemeClr w14:val="tx1"/>
            </w14:solidFill>
          </w14:textFill>
        </w:rPr>
        <w:t>+水解酸化</w:t>
      </w:r>
      <w:r>
        <w:rPr>
          <w:rFonts w:hint="eastAsia"/>
          <w:color w:val="000000" w:themeColor="text1"/>
          <w:kern w:val="0"/>
          <w:sz w:val="24"/>
          <w:szCs w:val="24"/>
          <w14:textFill>
            <w14:solidFill>
              <w14:schemeClr w14:val="tx1"/>
            </w14:solidFill>
          </w14:textFill>
        </w:rPr>
        <w:t>池</w:t>
      </w:r>
      <w:r>
        <w:rPr>
          <w:color w:val="000000" w:themeColor="text1"/>
          <w:kern w:val="0"/>
          <w:sz w:val="24"/>
          <w:szCs w:val="24"/>
          <w14:textFill>
            <w14:solidFill>
              <w14:schemeClr w14:val="tx1"/>
            </w14:solidFill>
          </w14:textFill>
        </w:rPr>
        <w:t>+</w:t>
      </w:r>
      <w:r>
        <w:rPr>
          <w:rFonts w:hint="eastAsia"/>
          <w:color w:val="000000" w:themeColor="text1"/>
          <w:kern w:val="0"/>
          <w:sz w:val="24"/>
          <w:szCs w:val="24"/>
          <w14:textFill>
            <w14:solidFill>
              <w14:schemeClr w14:val="tx1"/>
            </w14:solidFill>
          </w14:textFill>
        </w:rPr>
        <w:t>一级</w:t>
      </w:r>
      <w:r>
        <w:rPr>
          <w:color w:val="000000" w:themeColor="text1"/>
          <w:kern w:val="0"/>
          <w:sz w:val="24"/>
          <w:szCs w:val="24"/>
          <w14:textFill>
            <w14:solidFill>
              <w14:schemeClr w14:val="tx1"/>
            </w14:solidFill>
          </w14:textFill>
        </w:rPr>
        <w:t>A/O+</w:t>
      </w:r>
      <w:r>
        <w:rPr>
          <w:rFonts w:hint="eastAsia"/>
          <w:color w:val="000000" w:themeColor="text1"/>
          <w:kern w:val="0"/>
          <w:sz w:val="24"/>
          <w:szCs w:val="24"/>
          <w14:textFill>
            <w14:solidFill>
              <w14:schemeClr w14:val="tx1"/>
            </w14:solidFill>
          </w14:textFill>
        </w:rPr>
        <w:t>二级A</w:t>
      </w:r>
      <w:r>
        <w:rPr>
          <w:color w:val="000000" w:themeColor="text1"/>
          <w:kern w:val="0"/>
          <w:sz w:val="24"/>
          <w:szCs w:val="24"/>
          <w14:textFill>
            <w14:solidFill>
              <w14:schemeClr w14:val="tx1"/>
            </w14:solidFill>
          </w14:textFill>
        </w:rPr>
        <w:t>/O+</w:t>
      </w:r>
      <w:r>
        <w:rPr>
          <w:rFonts w:hint="eastAsia"/>
          <w:color w:val="000000" w:themeColor="text1"/>
          <w:kern w:val="0"/>
          <w:sz w:val="24"/>
          <w:szCs w:val="24"/>
          <w14:textFill>
            <w14:solidFill>
              <w14:schemeClr w14:val="tx1"/>
            </w14:solidFill>
          </w14:textFill>
        </w:rPr>
        <w:t>二次</w:t>
      </w:r>
      <w:r>
        <w:rPr>
          <w:color w:val="000000" w:themeColor="text1"/>
          <w:kern w:val="0"/>
          <w:sz w:val="24"/>
          <w:szCs w:val="24"/>
          <w14:textFill>
            <w14:solidFill>
              <w14:schemeClr w14:val="tx1"/>
            </w14:solidFill>
          </w14:textFill>
        </w:rPr>
        <w:t>沉淀</w:t>
      </w:r>
      <w:r>
        <w:rPr>
          <w:rFonts w:hint="eastAsia"/>
          <w:color w:val="000000" w:themeColor="text1"/>
          <w:kern w:val="0"/>
          <w:sz w:val="24"/>
          <w:szCs w:val="24"/>
          <w14:textFill>
            <w14:solidFill>
              <w14:schemeClr w14:val="tx1"/>
            </w14:solidFill>
          </w14:textFill>
        </w:rPr>
        <w:t>+三次沉淀”，与本项目园区污水处理站污水处理工艺类似，故本项目营运期污水处理站对土壤环境的影响类比中央厨房</w:t>
      </w:r>
      <w:r>
        <w:rPr>
          <w:color w:val="000000" w:themeColor="text1"/>
          <w:kern w:val="0"/>
          <w:sz w:val="24"/>
          <w:szCs w:val="24"/>
          <w14:textFill>
            <w14:solidFill>
              <w14:schemeClr w14:val="tx1"/>
            </w14:solidFill>
          </w14:textFill>
        </w:rPr>
        <w:t>产业园</w:t>
      </w:r>
      <w:r>
        <w:rPr>
          <w:rFonts w:hint="eastAsia"/>
          <w:color w:val="000000" w:themeColor="text1"/>
          <w:kern w:val="0"/>
          <w:sz w:val="24"/>
          <w:szCs w:val="24"/>
          <w14:textFill>
            <w14:solidFill>
              <w14:schemeClr w14:val="tx1"/>
            </w14:solidFill>
          </w14:textFill>
        </w:rPr>
        <w:t>园区目前污水处理站附近土壤环境现状。</w:t>
      </w:r>
    </w:p>
    <w:p>
      <w:pPr>
        <w:spacing w:line="520" w:lineRule="exact"/>
        <w:ind w:firstLine="48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中央厨房</w:t>
      </w:r>
      <w:r>
        <w:rPr>
          <w:color w:val="000000" w:themeColor="text1"/>
          <w:kern w:val="0"/>
          <w:sz w:val="24"/>
          <w:szCs w:val="24"/>
          <w14:textFill>
            <w14:solidFill>
              <w14:schemeClr w14:val="tx1"/>
            </w14:solidFill>
          </w14:textFill>
        </w:rPr>
        <w:t>产业园</w:t>
      </w:r>
      <w:r>
        <w:rPr>
          <w:rFonts w:hint="eastAsia"/>
          <w:color w:val="000000" w:themeColor="text1"/>
          <w:kern w:val="0"/>
          <w:sz w:val="24"/>
          <w:szCs w:val="24"/>
          <w14:textFill>
            <w14:solidFill>
              <w14:schemeClr w14:val="tx1"/>
            </w14:solidFill>
          </w14:textFill>
        </w:rPr>
        <w:t>园区污水处理站于2</w:t>
      </w:r>
      <w:r>
        <w:rPr>
          <w:color w:val="000000" w:themeColor="text1"/>
          <w:kern w:val="0"/>
          <w:sz w:val="24"/>
          <w:szCs w:val="24"/>
          <w14:textFill>
            <w14:solidFill>
              <w14:schemeClr w14:val="tx1"/>
            </w14:solidFill>
          </w14:textFill>
        </w:rPr>
        <w:t>016</w:t>
      </w:r>
      <w:r>
        <w:rPr>
          <w:rFonts w:hint="eastAsia"/>
          <w:color w:val="000000" w:themeColor="text1"/>
          <w:kern w:val="0"/>
          <w:sz w:val="24"/>
          <w:szCs w:val="24"/>
          <w14:textFill>
            <w14:solidFill>
              <w14:schemeClr w14:val="tx1"/>
            </w14:solidFill>
          </w14:textFill>
        </w:rPr>
        <w:t>年建成，河南羽佳金门实业</w:t>
      </w:r>
      <w:r>
        <w:rPr>
          <w:color w:val="000000" w:themeColor="text1"/>
          <w:kern w:val="0"/>
          <w:sz w:val="24"/>
          <w:szCs w:val="24"/>
          <w14:textFill>
            <w14:solidFill>
              <w14:schemeClr w14:val="tx1"/>
            </w14:solidFill>
          </w14:textFill>
        </w:rPr>
        <w:t>有限公司</w:t>
      </w:r>
      <w:r>
        <w:rPr>
          <w:rFonts w:hint="eastAsia"/>
          <w:color w:val="000000" w:themeColor="text1"/>
          <w:kern w:val="0"/>
          <w:sz w:val="24"/>
          <w:szCs w:val="24"/>
          <w14:textFill>
            <w14:solidFill>
              <w14:schemeClr w14:val="tx1"/>
            </w14:solidFill>
          </w14:textFill>
        </w:rPr>
        <w:t>委托河南永飞检测科技有限公司于2</w:t>
      </w:r>
      <w:r>
        <w:rPr>
          <w:color w:val="000000" w:themeColor="text1"/>
          <w:kern w:val="0"/>
          <w:sz w:val="24"/>
          <w:szCs w:val="24"/>
          <w14:textFill>
            <w14:solidFill>
              <w14:schemeClr w14:val="tx1"/>
            </w14:solidFill>
          </w14:textFill>
        </w:rPr>
        <w:t>023</w:t>
      </w:r>
      <w:r>
        <w:rPr>
          <w:rFonts w:hint="eastAsia"/>
          <w:color w:val="000000" w:themeColor="text1"/>
          <w:kern w:val="0"/>
          <w:sz w:val="24"/>
          <w:szCs w:val="24"/>
          <w14:textFill>
            <w14:solidFill>
              <w14:schemeClr w14:val="tx1"/>
            </w14:solidFill>
          </w14:textFill>
        </w:rPr>
        <w:t>年7月1日对中央厨房</w:t>
      </w:r>
      <w:r>
        <w:rPr>
          <w:color w:val="000000" w:themeColor="text1"/>
          <w:kern w:val="0"/>
          <w:sz w:val="24"/>
          <w:szCs w:val="24"/>
          <w14:textFill>
            <w14:solidFill>
              <w14:schemeClr w14:val="tx1"/>
            </w14:solidFill>
          </w14:textFill>
        </w:rPr>
        <w:t>产业园</w:t>
      </w:r>
      <w:r>
        <w:rPr>
          <w:rFonts w:hint="eastAsia"/>
          <w:color w:val="000000" w:themeColor="text1"/>
          <w:kern w:val="0"/>
          <w:sz w:val="24"/>
          <w:szCs w:val="24"/>
          <w14:textFill>
            <w14:solidFill>
              <w14:schemeClr w14:val="tx1"/>
            </w14:solidFill>
          </w14:textFill>
        </w:rPr>
        <w:t>园区污水处理站处土壤取样点的监测数据，详情见下表。</w:t>
      </w:r>
    </w:p>
    <w:p>
      <w:pPr>
        <w:spacing w:line="520" w:lineRule="exact"/>
        <w:ind w:firstLine="480"/>
        <w:rPr>
          <w:color w:val="000000" w:themeColor="text1"/>
          <w:kern w:val="0"/>
          <w:sz w:val="24"/>
          <w:szCs w:val="24"/>
          <w14:textFill>
            <w14:solidFill>
              <w14:schemeClr w14:val="tx1"/>
            </w14:solidFill>
          </w14:textFill>
        </w:rPr>
      </w:pPr>
    </w:p>
    <w:p>
      <w:pPr>
        <w:spacing w:line="520" w:lineRule="exact"/>
        <w:ind w:firstLine="480"/>
        <w:rPr>
          <w:color w:val="000000" w:themeColor="text1"/>
          <w:kern w:val="0"/>
          <w:sz w:val="24"/>
          <w:szCs w:val="24"/>
          <w14:textFill>
            <w14:solidFill>
              <w14:schemeClr w14:val="tx1"/>
            </w14:solidFill>
          </w14:textFill>
        </w:rPr>
      </w:pPr>
    </w:p>
    <w:p>
      <w:pPr>
        <w:spacing w:line="520" w:lineRule="exact"/>
        <w:ind w:firstLine="480"/>
        <w:rPr>
          <w:color w:val="000000" w:themeColor="text1"/>
          <w:kern w:val="0"/>
          <w:sz w:val="24"/>
          <w:szCs w:val="24"/>
          <w14:textFill>
            <w14:solidFill>
              <w14:schemeClr w14:val="tx1"/>
            </w14:solidFill>
          </w14:textFill>
        </w:rPr>
      </w:pPr>
    </w:p>
    <w:p>
      <w:pPr>
        <w:spacing w:line="520" w:lineRule="exact"/>
        <w:ind w:firstLine="480"/>
        <w:rPr>
          <w:color w:val="000000" w:themeColor="text1"/>
          <w:kern w:val="0"/>
          <w:sz w:val="24"/>
          <w:szCs w:val="24"/>
          <w14:textFill>
            <w14:solidFill>
              <w14:schemeClr w14:val="tx1"/>
            </w14:solidFill>
          </w14:textFill>
        </w:rPr>
      </w:pPr>
    </w:p>
    <w:p>
      <w:pPr>
        <w:spacing w:line="520" w:lineRule="exact"/>
        <w:ind w:firstLine="480"/>
        <w:rPr>
          <w:color w:val="000000" w:themeColor="text1"/>
          <w:kern w:val="0"/>
          <w:sz w:val="24"/>
          <w:szCs w:val="24"/>
          <w14:textFill>
            <w14:solidFill>
              <w14:schemeClr w14:val="tx1"/>
            </w14:solidFill>
          </w14:textFill>
        </w:rPr>
      </w:pPr>
      <w:r>
        <w:rPr>
          <w:rFonts w:hint="eastAsia" w:eastAsia="黑体"/>
          <w:color w:val="000000" w:themeColor="text1"/>
          <w:sz w:val="24"/>
          <w:szCs w:val="24"/>
          <w14:textFill>
            <w14:solidFill>
              <w14:schemeClr w14:val="tx1"/>
            </w14:solidFill>
          </w14:textFill>
        </w:rPr>
        <w:t>表</w:t>
      </w:r>
      <w:r>
        <w:rPr>
          <w:rFonts w:eastAsia="黑体"/>
          <w:color w:val="000000" w:themeColor="text1"/>
          <w:sz w:val="24"/>
          <w:szCs w:val="24"/>
          <w14:textFill>
            <w14:solidFill>
              <w14:schemeClr w14:val="tx1"/>
            </w14:solidFill>
          </w14:textFill>
        </w:rPr>
        <w:t>5.7-8</w:t>
      </w:r>
      <w:r>
        <w:rPr>
          <w:rFonts w:hint="eastAsia" w:eastAsia="黑体"/>
          <w:color w:val="000000" w:themeColor="text1"/>
          <w:sz w:val="24"/>
          <w:szCs w:val="24"/>
          <w14:textFill>
            <w14:solidFill>
              <w14:schemeClr w14:val="tx1"/>
            </w14:solidFill>
          </w14:textFill>
        </w:rPr>
        <w:t xml:space="preserve">   中央厨房</w:t>
      </w:r>
      <w:r>
        <w:rPr>
          <w:rFonts w:eastAsia="黑体"/>
          <w:color w:val="000000" w:themeColor="text1"/>
          <w:sz w:val="24"/>
          <w:szCs w:val="24"/>
          <w14:textFill>
            <w14:solidFill>
              <w14:schemeClr w14:val="tx1"/>
            </w14:solidFill>
          </w14:textFill>
        </w:rPr>
        <w:t>产业园</w:t>
      </w:r>
      <w:r>
        <w:rPr>
          <w:rFonts w:hint="eastAsia" w:eastAsia="黑体"/>
          <w:color w:val="000000" w:themeColor="text1"/>
          <w:sz w:val="24"/>
          <w:szCs w:val="24"/>
          <w14:textFill>
            <w14:solidFill>
              <w14:schemeClr w14:val="tx1"/>
            </w14:solidFill>
          </w14:textFill>
        </w:rPr>
        <w:t>园区污水处理站处土壤检测结果一览表</w:t>
      </w:r>
    </w:p>
    <w:tbl>
      <w:tblPr>
        <w:tblStyle w:val="5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2038"/>
        <w:gridCol w:w="1893"/>
        <w:gridCol w:w="1583"/>
        <w:gridCol w:w="1269"/>
        <w:gridCol w:w="12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83" w:type="pct"/>
            <w:vMerge w:val="restart"/>
            <w:vAlign w:val="center"/>
          </w:tcPr>
          <w:p>
            <w:pPr>
              <w:widowControl/>
              <w:snapToGrid w:val="0"/>
              <w:jc w:val="center"/>
              <w:rPr>
                <w:rFonts w:ascii="Calibri" w:hAnsi="Calibri"/>
                <w:b/>
                <w:bCs/>
                <w:szCs w:val="21"/>
              </w:rPr>
            </w:pPr>
            <w:r>
              <w:rPr>
                <w:rFonts w:ascii="Calibri" w:hAnsi="Calibri"/>
                <w:b/>
                <w:bCs/>
                <w:szCs w:val="21"/>
              </w:rPr>
              <w:t>序号</w:t>
            </w:r>
          </w:p>
        </w:tc>
        <w:tc>
          <w:tcPr>
            <w:tcW w:w="1139" w:type="pct"/>
            <w:vMerge w:val="restart"/>
            <w:vAlign w:val="center"/>
          </w:tcPr>
          <w:p>
            <w:pPr>
              <w:widowControl/>
              <w:snapToGrid w:val="0"/>
              <w:jc w:val="center"/>
              <w:rPr>
                <w:rFonts w:ascii="Calibri" w:hAnsi="Calibri"/>
                <w:b/>
                <w:bCs/>
                <w:szCs w:val="21"/>
              </w:rPr>
            </w:pPr>
            <w:r>
              <w:rPr>
                <w:rFonts w:ascii="Calibri" w:hAnsi="Calibri"/>
                <w:b/>
                <w:bCs/>
                <w:szCs w:val="21"/>
              </w:rPr>
              <w:t>检测因子</w:t>
            </w:r>
          </w:p>
        </w:tc>
        <w:tc>
          <w:tcPr>
            <w:tcW w:w="1058" w:type="pct"/>
            <w:vMerge w:val="restart"/>
            <w:vAlign w:val="center"/>
          </w:tcPr>
          <w:p>
            <w:pPr>
              <w:widowControl/>
              <w:snapToGrid w:val="0"/>
              <w:jc w:val="center"/>
              <w:rPr>
                <w:rFonts w:ascii="Calibri" w:hAnsi="Calibri"/>
                <w:b/>
                <w:bCs/>
                <w:szCs w:val="21"/>
              </w:rPr>
            </w:pPr>
            <w:r>
              <w:rPr>
                <w:rFonts w:ascii="Calibri" w:hAnsi="Calibri"/>
                <w:b/>
                <w:bCs/>
                <w:szCs w:val="21"/>
              </w:rPr>
              <w:t>采样时间</w:t>
            </w:r>
          </w:p>
        </w:tc>
        <w:tc>
          <w:tcPr>
            <w:tcW w:w="2320" w:type="pct"/>
            <w:gridSpan w:val="3"/>
            <w:vAlign w:val="center"/>
          </w:tcPr>
          <w:p>
            <w:pPr>
              <w:widowControl/>
              <w:jc w:val="center"/>
              <w:textAlignment w:val="center"/>
              <w:rPr>
                <w:rFonts w:ascii="Calibri" w:hAnsi="Calibri"/>
                <w:b/>
                <w:bCs/>
                <w:color w:val="000000"/>
                <w:kern w:val="0"/>
                <w:szCs w:val="21"/>
                <w:lang w:bidi="ar"/>
              </w:rPr>
            </w:pPr>
            <w:r>
              <w:rPr>
                <w:rFonts w:ascii="Calibri" w:hAnsi="Calibri"/>
                <w:b/>
                <w:bCs/>
                <w:color w:val="000000"/>
                <w:kern w:val="0"/>
                <w:szCs w:val="21"/>
                <w:lang w:bidi="ar"/>
              </w:rPr>
              <w:t>检测结果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83" w:type="pct"/>
            <w:vMerge w:val="continue"/>
            <w:vAlign w:val="center"/>
          </w:tcPr>
          <w:p>
            <w:pPr>
              <w:pStyle w:val="30"/>
              <w:jc w:val="center"/>
              <w:rPr>
                <w:rFonts w:ascii="Calibri" w:hAnsi="Calibri"/>
              </w:rPr>
            </w:pPr>
          </w:p>
        </w:tc>
        <w:tc>
          <w:tcPr>
            <w:tcW w:w="1139" w:type="pct"/>
            <w:vMerge w:val="continue"/>
            <w:vAlign w:val="center"/>
          </w:tcPr>
          <w:p>
            <w:pPr>
              <w:pStyle w:val="30"/>
              <w:jc w:val="center"/>
              <w:rPr>
                <w:rFonts w:ascii="Calibri" w:hAnsi="Calibri"/>
              </w:rPr>
            </w:pPr>
          </w:p>
        </w:tc>
        <w:tc>
          <w:tcPr>
            <w:tcW w:w="1058" w:type="pct"/>
            <w:vMerge w:val="continue"/>
            <w:vAlign w:val="center"/>
          </w:tcPr>
          <w:p>
            <w:pPr>
              <w:pStyle w:val="30"/>
              <w:jc w:val="center"/>
              <w:rPr>
                <w:rFonts w:ascii="Calibri" w:hAnsi="Calibri"/>
              </w:rPr>
            </w:pPr>
          </w:p>
        </w:tc>
        <w:tc>
          <w:tcPr>
            <w:tcW w:w="885" w:type="pct"/>
            <w:tcMar>
              <w:top w:w="0" w:type="dxa"/>
              <w:left w:w="6" w:type="dxa"/>
              <w:bottom w:w="0" w:type="dxa"/>
              <w:right w:w="6" w:type="dxa"/>
            </w:tcMar>
            <w:vAlign w:val="center"/>
          </w:tcPr>
          <w:p>
            <w:pPr>
              <w:pStyle w:val="30"/>
              <w:jc w:val="center"/>
              <w:rPr>
                <w:rFonts w:ascii="Calibri" w:hAnsi="Calibri"/>
                <w:b/>
                <w:bCs/>
                <w:sz w:val="21"/>
                <w:szCs w:val="21"/>
                <w:lang w:val="en-US"/>
              </w:rPr>
            </w:pPr>
            <w:r>
              <w:rPr>
                <w:rFonts w:ascii="Calibri" w:hAnsi="Calibri"/>
                <w:b/>
                <w:bCs/>
                <w:sz w:val="21"/>
                <w:szCs w:val="21"/>
                <w:lang w:val="en-US"/>
              </w:rPr>
              <w:t>0~0.5m</w:t>
            </w:r>
          </w:p>
        </w:tc>
        <w:tc>
          <w:tcPr>
            <w:tcW w:w="709" w:type="pct"/>
            <w:tcMar>
              <w:top w:w="0" w:type="dxa"/>
              <w:left w:w="6" w:type="dxa"/>
              <w:bottom w:w="0" w:type="dxa"/>
              <w:right w:w="6" w:type="dxa"/>
            </w:tcMar>
            <w:vAlign w:val="center"/>
          </w:tcPr>
          <w:p>
            <w:pPr>
              <w:pStyle w:val="30"/>
              <w:jc w:val="center"/>
              <w:rPr>
                <w:rFonts w:ascii="Calibri" w:hAnsi="Calibri"/>
                <w:b/>
                <w:bCs/>
                <w:sz w:val="21"/>
                <w:szCs w:val="21"/>
                <w:lang w:val="en-US"/>
              </w:rPr>
            </w:pPr>
            <w:r>
              <w:rPr>
                <w:rFonts w:ascii="Calibri" w:hAnsi="Calibri"/>
                <w:b/>
                <w:bCs/>
                <w:sz w:val="21"/>
                <w:szCs w:val="21"/>
                <w:lang w:val="en-US"/>
              </w:rPr>
              <w:t>0.5~1.5m</w:t>
            </w:r>
          </w:p>
        </w:tc>
        <w:tc>
          <w:tcPr>
            <w:tcW w:w="726" w:type="pct"/>
            <w:tcMar>
              <w:top w:w="0" w:type="dxa"/>
              <w:left w:w="6" w:type="dxa"/>
              <w:bottom w:w="0" w:type="dxa"/>
              <w:right w:w="6" w:type="dxa"/>
            </w:tcMar>
            <w:vAlign w:val="center"/>
          </w:tcPr>
          <w:p>
            <w:pPr>
              <w:pStyle w:val="30"/>
              <w:jc w:val="center"/>
              <w:rPr>
                <w:rFonts w:ascii="Calibri" w:hAnsi="Calibri"/>
                <w:b/>
                <w:bCs/>
                <w:sz w:val="21"/>
                <w:szCs w:val="21"/>
                <w:lang w:val="en-US"/>
              </w:rPr>
            </w:pPr>
            <w:r>
              <w:rPr>
                <w:rFonts w:ascii="Calibri" w:hAnsi="Calibri"/>
                <w:b/>
                <w:bCs/>
                <w:sz w:val="21"/>
                <w:szCs w:val="21"/>
                <w:lang w:val="en-US"/>
              </w:rPr>
              <w:t>1.5~3m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1</w:t>
            </w:r>
          </w:p>
        </w:tc>
        <w:tc>
          <w:tcPr>
            <w:tcW w:w="1139" w:type="pct"/>
            <w:vAlign w:val="center"/>
          </w:tcPr>
          <w:p>
            <w:pPr>
              <w:widowControl/>
              <w:snapToGrid w:val="0"/>
              <w:jc w:val="center"/>
              <w:rPr>
                <w:rFonts w:ascii="Calibri" w:hAnsi="Calibri"/>
                <w:szCs w:val="21"/>
              </w:rPr>
            </w:pPr>
            <w:r>
              <w:rPr>
                <w:rFonts w:ascii="Calibri" w:hAnsi="Calibri"/>
                <w:szCs w:val="21"/>
              </w:rPr>
              <w:t>pH值（无量纲）</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7.78</w:t>
            </w:r>
          </w:p>
        </w:tc>
        <w:tc>
          <w:tcPr>
            <w:tcW w:w="709" w:type="pct"/>
            <w:vAlign w:val="center"/>
          </w:tcPr>
          <w:p>
            <w:pPr>
              <w:jc w:val="center"/>
              <w:rPr>
                <w:rFonts w:ascii="Calibri" w:hAnsi="Calibri"/>
                <w:color w:val="000000"/>
                <w:szCs w:val="21"/>
              </w:rPr>
            </w:pPr>
            <w:r>
              <w:rPr>
                <w:rFonts w:ascii="Calibri" w:hAnsi="Calibri"/>
                <w:color w:val="000000"/>
                <w:szCs w:val="21"/>
              </w:rPr>
              <w:t>7.72</w:t>
            </w:r>
          </w:p>
        </w:tc>
        <w:tc>
          <w:tcPr>
            <w:tcW w:w="726" w:type="pct"/>
            <w:vAlign w:val="center"/>
          </w:tcPr>
          <w:p>
            <w:pPr>
              <w:jc w:val="center"/>
              <w:rPr>
                <w:rFonts w:ascii="Calibri" w:hAnsi="Calibri"/>
                <w:color w:val="000000"/>
                <w:szCs w:val="21"/>
              </w:rPr>
            </w:pPr>
            <w:r>
              <w:rPr>
                <w:rFonts w:ascii="Calibri" w:hAnsi="Calibri"/>
                <w:color w:val="000000"/>
                <w:szCs w:val="21"/>
              </w:rPr>
              <w:t>7.69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2</w:t>
            </w:r>
          </w:p>
        </w:tc>
        <w:tc>
          <w:tcPr>
            <w:tcW w:w="1139" w:type="pct"/>
            <w:vAlign w:val="center"/>
          </w:tcPr>
          <w:p>
            <w:pPr>
              <w:widowControl/>
              <w:snapToGrid w:val="0"/>
              <w:jc w:val="center"/>
              <w:rPr>
                <w:rFonts w:ascii="Calibri" w:hAnsi="Calibri"/>
                <w:szCs w:val="21"/>
              </w:rPr>
            </w:pPr>
            <w:r>
              <w:rPr>
                <w:rFonts w:ascii="Calibri" w:hAnsi="Calibri"/>
                <w:szCs w:val="21"/>
              </w:rPr>
              <w:t>镉</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widowControl/>
              <w:jc w:val="center"/>
              <w:rPr>
                <w:rFonts w:ascii="Calibri" w:hAnsi="Calibri"/>
                <w:szCs w:val="21"/>
              </w:rPr>
            </w:pPr>
            <w:r>
              <w:rPr>
                <w:rFonts w:ascii="Calibri" w:hAnsi="Calibri"/>
                <w:color w:val="000000"/>
                <w:szCs w:val="21"/>
              </w:rPr>
              <w:t>0.18</w:t>
            </w:r>
          </w:p>
        </w:tc>
        <w:tc>
          <w:tcPr>
            <w:tcW w:w="709" w:type="pct"/>
            <w:vAlign w:val="center"/>
          </w:tcPr>
          <w:p>
            <w:pPr>
              <w:widowControl/>
              <w:jc w:val="center"/>
              <w:rPr>
                <w:rFonts w:ascii="Calibri" w:hAnsi="Calibri"/>
                <w:szCs w:val="21"/>
              </w:rPr>
            </w:pPr>
            <w:r>
              <w:rPr>
                <w:rFonts w:ascii="Calibri" w:hAnsi="Calibri"/>
                <w:color w:val="000000"/>
                <w:szCs w:val="21"/>
              </w:rPr>
              <w:t>0.15</w:t>
            </w:r>
          </w:p>
        </w:tc>
        <w:tc>
          <w:tcPr>
            <w:tcW w:w="726" w:type="pct"/>
            <w:vAlign w:val="center"/>
          </w:tcPr>
          <w:p>
            <w:pPr>
              <w:widowControl/>
              <w:jc w:val="center"/>
              <w:rPr>
                <w:rFonts w:ascii="Calibri" w:hAnsi="Calibri"/>
                <w:szCs w:val="21"/>
              </w:rPr>
            </w:pPr>
            <w:r>
              <w:rPr>
                <w:rFonts w:ascii="Calibri" w:hAnsi="Calibri"/>
                <w:color w:val="000000"/>
                <w:szCs w:val="21"/>
              </w:rPr>
              <w:t>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3</w:t>
            </w:r>
          </w:p>
        </w:tc>
        <w:tc>
          <w:tcPr>
            <w:tcW w:w="1139" w:type="pct"/>
            <w:vAlign w:val="center"/>
          </w:tcPr>
          <w:p>
            <w:pPr>
              <w:widowControl/>
              <w:snapToGrid w:val="0"/>
              <w:jc w:val="center"/>
              <w:rPr>
                <w:rFonts w:ascii="Calibri" w:hAnsi="Calibri"/>
                <w:szCs w:val="21"/>
              </w:rPr>
            </w:pPr>
            <w:r>
              <w:rPr>
                <w:rFonts w:ascii="Calibri" w:hAnsi="Calibri"/>
                <w:szCs w:val="21"/>
              </w:rPr>
              <w:t>镍</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szCs w:val="21"/>
              </w:rPr>
            </w:pPr>
            <w:r>
              <w:rPr>
                <w:rFonts w:ascii="Calibri" w:hAnsi="Calibri"/>
                <w:color w:val="000000"/>
                <w:szCs w:val="21"/>
              </w:rPr>
              <w:t>79</w:t>
            </w:r>
          </w:p>
        </w:tc>
        <w:tc>
          <w:tcPr>
            <w:tcW w:w="709" w:type="pct"/>
            <w:vAlign w:val="center"/>
          </w:tcPr>
          <w:p>
            <w:pPr>
              <w:jc w:val="center"/>
              <w:rPr>
                <w:rFonts w:ascii="Calibri" w:hAnsi="Calibri"/>
                <w:szCs w:val="21"/>
              </w:rPr>
            </w:pPr>
            <w:r>
              <w:rPr>
                <w:rFonts w:ascii="Calibri" w:hAnsi="Calibri"/>
                <w:color w:val="000000"/>
                <w:szCs w:val="21"/>
              </w:rPr>
              <w:t>68</w:t>
            </w:r>
          </w:p>
        </w:tc>
        <w:tc>
          <w:tcPr>
            <w:tcW w:w="726" w:type="pct"/>
            <w:vAlign w:val="center"/>
          </w:tcPr>
          <w:p>
            <w:pPr>
              <w:jc w:val="center"/>
              <w:rPr>
                <w:rFonts w:ascii="Calibri" w:hAnsi="Calibri"/>
                <w:szCs w:val="21"/>
              </w:rPr>
            </w:pPr>
            <w:r>
              <w:rPr>
                <w:rFonts w:ascii="Calibri" w:hAnsi="Calibri"/>
                <w:color w:val="000000"/>
                <w:szCs w:val="21"/>
              </w:rPr>
              <w:t>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4</w:t>
            </w:r>
          </w:p>
        </w:tc>
        <w:tc>
          <w:tcPr>
            <w:tcW w:w="1139" w:type="pct"/>
            <w:vAlign w:val="center"/>
          </w:tcPr>
          <w:p>
            <w:pPr>
              <w:widowControl/>
              <w:snapToGrid w:val="0"/>
              <w:jc w:val="center"/>
              <w:rPr>
                <w:rFonts w:ascii="Calibri" w:hAnsi="Calibri"/>
                <w:szCs w:val="21"/>
              </w:rPr>
            </w:pPr>
            <w:r>
              <w:rPr>
                <w:rFonts w:ascii="Calibri" w:hAnsi="Calibri"/>
                <w:szCs w:val="21"/>
              </w:rPr>
              <w:t>铅</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szCs w:val="21"/>
              </w:rPr>
            </w:pPr>
            <w:r>
              <w:rPr>
                <w:rFonts w:ascii="Calibri" w:hAnsi="Calibri"/>
                <w:color w:val="000000"/>
                <w:szCs w:val="21"/>
              </w:rPr>
              <w:t>77</w:t>
            </w:r>
          </w:p>
        </w:tc>
        <w:tc>
          <w:tcPr>
            <w:tcW w:w="709" w:type="pct"/>
            <w:vAlign w:val="center"/>
          </w:tcPr>
          <w:p>
            <w:pPr>
              <w:jc w:val="center"/>
              <w:rPr>
                <w:rFonts w:ascii="Calibri" w:hAnsi="Calibri"/>
                <w:szCs w:val="21"/>
              </w:rPr>
            </w:pPr>
            <w:r>
              <w:rPr>
                <w:rFonts w:ascii="Calibri" w:hAnsi="Calibri"/>
                <w:color w:val="000000"/>
                <w:szCs w:val="21"/>
              </w:rPr>
              <w:t>74</w:t>
            </w:r>
          </w:p>
        </w:tc>
        <w:tc>
          <w:tcPr>
            <w:tcW w:w="726" w:type="pct"/>
            <w:vAlign w:val="center"/>
          </w:tcPr>
          <w:p>
            <w:pPr>
              <w:jc w:val="center"/>
              <w:rPr>
                <w:rFonts w:ascii="Calibri" w:hAnsi="Calibri"/>
                <w:szCs w:val="21"/>
              </w:rPr>
            </w:pPr>
            <w:r>
              <w:rPr>
                <w:rFonts w:ascii="Calibri" w:hAnsi="Calibri"/>
                <w:color w:val="000000"/>
                <w:szCs w:val="21"/>
              </w:rPr>
              <w:t>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5</w:t>
            </w:r>
          </w:p>
        </w:tc>
        <w:tc>
          <w:tcPr>
            <w:tcW w:w="1139" w:type="pct"/>
            <w:vAlign w:val="center"/>
          </w:tcPr>
          <w:p>
            <w:pPr>
              <w:widowControl/>
              <w:snapToGrid w:val="0"/>
              <w:jc w:val="center"/>
              <w:rPr>
                <w:rFonts w:ascii="Calibri" w:hAnsi="Calibri"/>
                <w:szCs w:val="21"/>
              </w:rPr>
            </w:pPr>
            <w:r>
              <w:rPr>
                <w:rFonts w:ascii="Calibri" w:hAnsi="Calibri"/>
                <w:szCs w:val="21"/>
              </w:rPr>
              <w:t>铜</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szCs w:val="21"/>
              </w:rPr>
            </w:pPr>
            <w:r>
              <w:rPr>
                <w:rFonts w:ascii="Calibri" w:hAnsi="Calibri"/>
                <w:color w:val="000000"/>
                <w:szCs w:val="21"/>
              </w:rPr>
              <w:t>68</w:t>
            </w:r>
          </w:p>
        </w:tc>
        <w:tc>
          <w:tcPr>
            <w:tcW w:w="709" w:type="pct"/>
            <w:vAlign w:val="center"/>
          </w:tcPr>
          <w:p>
            <w:pPr>
              <w:jc w:val="center"/>
              <w:rPr>
                <w:rFonts w:ascii="Calibri" w:hAnsi="Calibri"/>
                <w:szCs w:val="21"/>
              </w:rPr>
            </w:pPr>
            <w:r>
              <w:rPr>
                <w:rFonts w:ascii="Calibri" w:hAnsi="Calibri"/>
                <w:color w:val="000000"/>
                <w:szCs w:val="21"/>
              </w:rPr>
              <w:t>55</w:t>
            </w:r>
          </w:p>
        </w:tc>
        <w:tc>
          <w:tcPr>
            <w:tcW w:w="726" w:type="pct"/>
            <w:vAlign w:val="center"/>
          </w:tcPr>
          <w:p>
            <w:pPr>
              <w:jc w:val="center"/>
              <w:rPr>
                <w:rFonts w:ascii="Calibri" w:hAnsi="Calibri"/>
                <w:szCs w:val="21"/>
              </w:rPr>
            </w:pPr>
            <w:r>
              <w:rPr>
                <w:rFonts w:ascii="Calibri" w:hAnsi="Calibri"/>
                <w:color w:val="000000"/>
                <w:szCs w:val="21"/>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6</w:t>
            </w:r>
          </w:p>
        </w:tc>
        <w:tc>
          <w:tcPr>
            <w:tcW w:w="1139" w:type="pct"/>
            <w:vAlign w:val="center"/>
          </w:tcPr>
          <w:p>
            <w:pPr>
              <w:widowControl/>
              <w:snapToGrid w:val="0"/>
              <w:jc w:val="center"/>
              <w:rPr>
                <w:rFonts w:ascii="Calibri" w:hAnsi="Calibri"/>
                <w:szCs w:val="21"/>
              </w:rPr>
            </w:pPr>
            <w:r>
              <w:rPr>
                <w:rFonts w:ascii="Calibri" w:hAnsi="Calibri"/>
                <w:szCs w:val="21"/>
              </w:rPr>
              <w:t>砷</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szCs w:val="21"/>
              </w:rPr>
            </w:pPr>
            <w:r>
              <w:rPr>
                <w:rFonts w:ascii="Calibri" w:hAnsi="Calibri"/>
                <w:color w:val="000000"/>
                <w:szCs w:val="21"/>
              </w:rPr>
              <w:t>8.62</w:t>
            </w:r>
          </w:p>
        </w:tc>
        <w:tc>
          <w:tcPr>
            <w:tcW w:w="709" w:type="pct"/>
            <w:vAlign w:val="center"/>
          </w:tcPr>
          <w:p>
            <w:pPr>
              <w:jc w:val="center"/>
              <w:rPr>
                <w:rFonts w:ascii="Calibri" w:hAnsi="Calibri"/>
                <w:szCs w:val="21"/>
              </w:rPr>
            </w:pPr>
            <w:r>
              <w:rPr>
                <w:rFonts w:ascii="Calibri" w:hAnsi="Calibri"/>
                <w:color w:val="000000"/>
                <w:szCs w:val="21"/>
              </w:rPr>
              <w:t>7.71</w:t>
            </w:r>
          </w:p>
        </w:tc>
        <w:tc>
          <w:tcPr>
            <w:tcW w:w="726" w:type="pct"/>
            <w:vAlign w:val="center"/>
          </w:tcPr>
          <w:p>
            <w:pPr>
              <w:jc w:val="center"/>
              <w:rPr>
                <w:rFonts w:ascii="Calibri" w:hAnsi="Calibri"/>
                <w:szCs w:val="21"/>
              </w:rPr>
            </w:pPr>
            <w:r>
              <w:rPr>
                <w:rFonts w:ascii="Calibri" w:hAnsi="Calibri"/>
                <w:color w:val="000000"/>
                <w:szCs w:val="21"/>
              </w:rPr>
              <w:t>6.33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7</w:t>
            </w:r>
          </w:p>
        </w:tc>
        <w:tc>
          <w:tcPr>
            <w:tcW w:w="1139" w:type="pct"/>
            <w:vAlign w:val="center"/>
          </w:tcPr>
          <w:p>
            <w:pPr>
              <w:widowControl/>
              <w:snapToGrid w:val="0"/>
              <w:jc w:val="center"/>
              <w:rPr>
                <w:rFonts w:ascii="Calibri" w:hAnsi="Calibri"/>
                <w:szCs w:val="21"/>
              </w:rPr>
            </w:pPr>
            <w:r>
              <w:rPr>
                <w:rFonts w:ascii="Calibri" w:hAnsi="Calibri"/>
                <w:szCs w:val="21"/>
              </w:rPr>
              <w:t>汞</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szCs w:val="21"/>
              </w:rPr>
            </w:pPr>
            <w:r>
              <w:rPr>
                <w:rFonts w:ascii="Calibri" w:hAnsi="Calibri"/>
                <w:color w:val="000000"/>
                <w:szCs w:val="21"/>
              </w:rPr>
              <w:t>0.087</w:t>
            </w:r>
          </w:p>
        </w:tc>
        <w:tc>
          <w:tcPr>
            <w:tcW w:w="709" w:type="pct"/>
            <w:vAlign w:val="center"/>
          </w:tcPr>
          <w:p>
            <w:pPr>
              <w:jc w:val="center"/>
              <w:rPr>
                <w:rFonts w:ascii="Calibri" w:hAnsi="Calibri"/>
                <w:szCs w:val="21"/>
              </w:rPr>
            </w:pPr>
            <w:r>
              <w:rPr>
                <w:rFonts w:ascii="Calibri" w:hAnsi="Calibri"/>
                <w:color w:val="000000"/>
                <w:szCs w:val="21"/>
              </w:rPr>
              <w:t>0.074</w:t>
            </w:r>
          </w:p>
        </w:tc>
        <w:tc>
          <w:tcPr>
            <w:tcW w:w="726" w:type="pct"/>
            <w:vAlign w:val="center"/>
          </w:tcPr>
          <w:p>
            <w:pPr>
              <w:jc w:val="center"/>
              <w:rPr>
                <w:rFonts w:ascii="Calibri" w:hAnsi="Calibri"/>
                <w:szCs w:val="21"/>
              </w:rPr>
            </w:pPr>
            <w:r>
              <w:rPr>
                <w:rFonts w:ascii="Calibri" w:hAnsi="Calibri"/>
                <w:color w:val="000000"/>
                <w:szCs w:val="21"/>
              </w:rPr>
              <w:t>0.062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8</w:t>
            </w:r>
          </w:p>
        </w:tc>
        <w:tc>
          <w:tcPr>
            <w:tcW w:w="1139" w:type="pct"/>
            <w:vAlign w:val="center"/>
          </w:tcPr>
          <w:p>
            <w:pPr>
              <w:widowControl/>
              <w:snapToGrid w:val="0"/>
              <w:jc w:val="center"/>
              <w:rPr>
                <w:rFonts w:ascii="Calibri" w:hAnsi="Calibri"/>
                <w:szCs w:val="21"/>
              </w:rPr>
            </w:pPr>
            <w:r>
              <w:rPr>
                <w:rFonts w:ascii="Calibri" w:hAnsi="Calibri"/>
                <w:szCs w:val="21"/>
              </w:rPr>
              <w:t>六价铬</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9</w:t>
            </w:r>
          </w:p>
        </w:tc>
        <w:tc>
          <w:tcPr>
            <w:tcW w:w="1139" w:type="pct"/>
            <w:vAlign w:val="center"/>
          </w:tcPr>
          <w:p>
            <w:pPr>
              <w:widowControl/>
              <w:snapToGrid w:val="0"/>
              <w:jc w:val="center"/>
              <w:rPr>
                <w:rFonts w:ascii="Calibri" w:hAnsi="Calibri"/>
                <w:szCs w:val="21"/>
              </w:rPr>
            </w:pPr>
            <w:r>
              <w:rPr>
                <w:rFonts w:ascii="Calibri" w:hAnsi="Calibri"/>
                <w:szCs w:val="21"/>
              </w:rPr>
              <w:t>四氯化碳</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10</w:t>
            </w:r>
          </w:p>
        </w:tc>
        <w:tc>
          <w:tcPr>
            <w:tcW w:w="1139" w:type="pct"/>
            <w:vAlign w:val="center"/>
          </w:tcPr>
          <w:p>
            <w:pPr>
              <w:snapToGrid w:val="0"/>
              <w:jc w:val="center"/>
              <w:rPr>
                <w:rFonts w:ascii="Calibri" w:hAnsi="Calibri"/>
                <w:szCs w:val="21"/>
              </w:rPr>
            </w:pPr>
            <w:r>
              <w:rPr>
                <w:rFonts w:ascii="Calibri" w:hAnsi="Calibri"/>
                <w:szCs w:val="21"/>
              </w:rPr>
              <w:t>氯仿</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11</w:t>
            </w:r>
          </w:p>
        </w:tc>
        <w:tc>
          <w:tcPr>
            <w:tcW w:w="1139" w:type="pct"/>
            <w:vAlign w:val="center"/>
          </w:tcPr>
          <w:p>
            <w:pPr>
              <w:snapToGrid w:val="0"/>
              <w:jc w:val="center"/>
              <w:rPr>
                <w:rFonts w:ascii="Calibri" w:hAnsi="Calibri"/>
                <w:szCs w:val="21"/>
              </w:rPr>
            </w:pPr>
            <w:r>
              <w:rPr>
                <w:rFonts w:ascii="Calibri" w:hAnsi="Calibri"/>
                <w:szCs w:val="21"/>
              </w:rPr>
              <w:t>1,1-二氯乙烷</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12</w:t>
            </w:r>
          </w:p>
        </w:tc>
        <w:tc>
          <w:tcPr>
            <w:tcW w:w="1139" w:type="pct"/>
            <w:vAlign w:val="center"/>
          </w:tcPr>
          <w:p>
            <w:pPr>
              <w:snapToGrid w:val="0"/>
              <w:jc w:val="center"/>
              <w:rPr>
                <w:rFonts w:ascii="Calibri" w:hAnsi="Calibri"/>
                <w:szCs w:val="21"/>
              </w:rPr>
            </w:pPr>
            <w:r>
              <w:rPr>
                <w:rFonts w:ascii="Calibri" w:hAnsi="Calibri"/>
                <w:szCs w:val="21"/>
              </w:rPr>
              <w:t>1,2-二氯乙烷</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13</w:t>
            </w:r>
          </w:p>
        </w:tc>
        <w:tc>
          <w:tcPr>
            <w:tcW w:w="1139" w:type="pct"/>
            <w:vAlign w:val="center"/>
          </w:tcPr>
          <w:p>
            <w:pPr>
              <w:snapToGrid w:val="0"/>
              <w:jc w:val="center"/>
              <w:rPr>
                <w:rFonts w:ascii="Calibri" w:hAnsi="Calibri"/>
                <w:szCs w:val="21"/>
              </w:rPr>
            </w:pPr>
            <w:r>
              <w:rPr>
                <w:rFonts w:ascii="Calibri" w:hAnsi="Calibri"/>
                <w:szCs w:val="21"/>
              </w:rPr>
              <w:t>1,1-二氯乙烯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14</w:t>
            </w:r>
          </w:p>
        </w:tc>
        <w:tc>
          <w:tcPr>
            <w:tcW w:w="1139" w:type="pct"/>
            <w:vAlign w:val="center"/>
          </w:tcPr>
          <w:p>
            <w:pPr>
              <w:snapToGrid w:val="0"/>
              <w:jc w:val="center"/>
              <w:rPr>
                <w:rFonts w:ascii="Calibri" w:hAnsi="Calibri"/>
                <w:szCs w:val="21"/>
              </w:rPr>
            </w:pPr>
            <w:r>
              <w:rPr>
                <w:rFonts w:ascii="Calibri" w:hAnsi="Calibri"/>
                <w:szCs w:val="21"/>
              </w:rPr>
              <w:t>顺-1,2-二氯乙烯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15</w:t>
            </w:r>
          </w:p>
        </w:tc>
        <w:tc>
          <w:tcPr>
            <w:tcW w:w="1139" w:type="pct"/>
            <w:vAlign w:val="center"/>
          </w:tcPr>
          <w:p>
            <w:pPr>
              <w:snapToGrid w:val="0"/>
              <w:jc w:val="center"/>
              <w:rPr>
                <w:rFonts w:ascii="Calibri" w:hAnsi="Calibri"/>
                <w:szCs w:val="21"/>
              </w:rPr>
            </w:pPr>
            <w:r>
              <w:rPr>
                <w:rFonts w:ascii="Calibri" w:hAnsi="Calibri"/>
                <w:szCs w:val="21"/>
              </w:rPr>
              <w:t>反-1,2-二氯乙烯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16</w:t>
            </w:r>
          </w:p>
        </w:tc>
        <w:tc>
          <w:tcPr>
            <w:tcW w:w="1139" w:type="pct"/>
            <w:vAlign w:val="center"/>
          </w:tcPr>
          <w:p>
            <w:pPr>
              <w:snapToGrid w:val="0"/>
              <w:jc w:val="center"/>
              <w:rPr>
                <w:rFonts w:ascii="Calibri" w:hAnsi="Calibri"/>
                <w:szCs w:val="21"/>
              </w:rPr>
            </w:pPr>
            <w:r>
              <w:rPr>
                <w:rFonts w:ascii="Calibri" w:hAnsi="Calibri"/>
                <w:szCs w:val="21"/>
              </w:rPr>
              <w:t>二氯甲烷</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17</w:t>
            </w:r>
          </w:p>
        </w:tc>
        <w:tc>
          <w:tcPr>
            <w:tcW w:w="1139" w:type="pct"/>
            <w:vAlign w:val="center"/>
          </w:tcPr>
          <w:p>
            <w:pPr>
              <w:snapToGrid w:val="0"/>
              <w:jc w:val="center"/>
              <w:rPr>
                <w:rFonts w:ascii="Calibri" w:hAnsi="Calibri"/>
                <w:szCs w:val="21"/>
              </w:rPr>
            </w:pPr>
            <w:r>
              <w:rPr>
                <w:rFonts w:ascii="Calibri" w:hAnsi="Calibri"/>
                <w:szCs w:val="21"/>
              </w:rPr>
              <w:t>1,2-二氯丙烷</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18</w:t>
            </w:r>
          </w:p>
        </w:tc>
        <w:tc>
          <w:tcPr>
            <w:tcW w:w="1139" w:type="pct"/>
            <w:vAlign w:val="center"/>
          </w:tcPr>
          <w:p>
            <w:pPr>
              <w:snapToGrid w:val="0"/>
              <w:jc w:val="center"/>
              <w:rPr>
                <w:rFonts w:ascii="Calibri" w:hAnsi="Calibri"/>
                <w:szCs w:val="21"/>
              </w:rPr>
            </w:pPr>
            <w:r>
              <w:rPr>
                <w:rFonts w:ascii="Calibri" w:hAnsi="Calibri"/>
                <w:szCs w:val="21"/>
              </w:rPr>
              <w:t>1,1,1,2-四氯乙烷</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19</w:t>
            </w:r>
          </w:p>
        </w:tc>
        <w:tc>
          <w:tcPr>
            <w:tcW w:w="1139" w:type="pct"/>
            <w:vAlign w:val="center"/>
          </w:tcPr>
          <w:p>
            <w:pPr>
              <w:snapToGrid w:val="0"/>
              <w:jc w:val="center"/>
              <w:rPr>
                <w:rFonts w:ascii="Calibri" w:hAnsi="Calibri"/>
                <w:szCs w:val="21"/>
              </w:rPr>
            </w:pPr>
            <w:r>
              <w:rPr>
                <w:rFonts w:ascii="Calibri" w:hAnsi="Calibri"/>
                <w:szCs w:val="21"/>
              </w:rPr>
              <w:t>1,1,2,2-四氯乙烷</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20</w:t>
            </w:r>
          </w:p>
        </w:tc>
        <w:tc>
          <w:tcPr>
            <w:tcW w:w="1139" w:type="pct"/>
            <w:vAlign w:val="center"/>
          </w:tcPr>
          <w:p>
            <w:pPr>
              <w:snapToGrid w:val="0"/>
              <w:jc w:val="center"/>
              <w:rPr>
                <w:rFonts w:ascii="Calibri" w:hAnsi="Calibri"/>
                <w:szCs w:val="21"/>
              </w:rPr>
            </w:pPr>
            <w:r>
              <w:rPr>
                <w:rFonts w:ascii="Calibri" w:hAnsi="Calibri"/>
                <w:szCs w:val="21"/>
              </w:rPr>
              <w:t>四氯乙烯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21</w:t>
            </w:r>
          </w:p>
        </w:tc>
        <w:tc>
          <w:tcPr>
            <w:tcW w:w="1139" w:type="pct"/>
            <w:vAlign w:val="center"/>
          </w:tcPr>
          <w:p>
            <w:pPr>
              <w:snapToGrid w:val="0"/>
              <w:jc w:val="center"/>
              <w:rPr>
                <w:rFonts w:ascii="Calibri" w:hAnsi="Calibri"/>
                <w:szCs w:val="21"/>
              </w:rPr>
            </w:pPr>
            <w:r>
              <w:rPr>
                <w:rFonts w:ascii="Calibri" w:hAnsi="Calibri"/>
                <w:szCs w:val="21"/>
              </w:rPr>
              <w:t>1,1,1-三氯乙烷</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22</w:t>
            </w:r>
          </w:p>
        </w:tc>
        <w:tc>
          <w:tcPr>
            <w:tcW w:w="1139" w:type="pct"/>
            <w:vAlign w:val="center"/>
          </w:tcPr>
          <w:p>
            <w:pPr>
              <w:snapToGrid w:val="0"/>
              <w:jc w:val="center"/>
              <w:rPr>
                <w:rFonts w:ascii="Calibri" w:hAnsi="Calibri"/>
                <w:szCs w:val="21"/>
              </w:rPr>
            </w:pPr>
            <w:r>
              <w:rPr>
                <w:rFonts w:ascii="Calibri" w:hAnsi="Calibri"/>
                <w:szCs w:val="21"/>
              </w:rPr>
              <w:t>1,1,2-三氯乙烷</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23</w:t>
            </w:r>
          </w:p>
        </w:tc>
        <w:tc>
          <w:tcPr>
            <w:tcW w:w="1139" w:type="pct"/>
            <w:vAlign w:val="center"/>
          </w:tcPr>
          <w:p>
            <w:pPr>
              <w:snapToGrid w:val="0"/>
              <w:jc w:val="center"/>
              <w:rPr>
                <w:rFonts w:ascii="Calibri" w:hAnsi="Calibri"/>
                <w:szCs w:val="21"/>
              </w:rPr>
            </w:pPr>
            <w:r>
              <w:rPr>
                <w:rFonts w:ascii="Calibri" w:hAnsi="Calibri"/>
                <w:szCs w:val="21"/>
              </w:rPr>
              <w:t>三氯乙烯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24</w:t>
            </w:r>
          </w:p>
        </w:tc>
        <w:tc>
          <w:tcPr>
            <w:tcW w:w="1139" w:type="pct"/>
            <w:vAlign w:val="center"/>
          </w:tcPr>
          <w:p>
            <w:pPr>
              <w:snapToGrid w:val="0"/>
              <w:jc w:val="center"/>
              <w:rPr>
                <w:rFonts w:ascii="Calibri" w:hAnsi="Calibri"/>
                <w:szCs w:val="21"/>
              </w:rPr>
            </w:pPr>
            <w:r>
              <w:rPr>
                <w:rFonts w:ascii="Calibri" w:hAnsi="Calibri"/>
                <w:szCs w:val="21"/>
              </w:rPr>
              <w:t>1,2,3-三氯丙烷</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25</w:t>
            </w:r>
          </w:p>
        </w:tc>
        <w:tc>
          <w:tcPr>
            <w:tcW w:w="1139" w:type="pct"/>
            <w:vAlign w:val="center"/>
          </w:tcPr>
          <w:p>
            <w:pPr>
              <w:snapToGrid w:val="0"/>
              <w:jc w:val="center"/>
              <w:rPr>
                <w:rFonts w:ascii="Calibri" w:hAnsi="Calibri"/>
                <w:szCs w:val="21"/>
              </w:rPr>
            </w:pPr>
            <w:r>
              <w:rPr>
                <w:rFonts w:ascii="Calibri" w:hAnsi="Calibri"/>
                <w:szCs w:val="21"/>
              </w:rPr>
              <w:t>氯乙烯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26</w:t>
            </w:r>
          </w:p>
        </w:tc>
        <w:tc>
          <w:tcPr>
            <w:tcW w:w="1139" w:type="pct"/>
            <w:vAlign w:val="center"/>
          </w:tcPr>
          <w:p>
            <w:pPr>
              <w:snapToGrid w:val="0"/>
              <w:jc w:val="center"/>
              <w:rPr>
                <w:rFonts w:ascii="Calibri" w:hAnsi="Calibri"/>
                <w:szCs w:val="21"/>
              </w:rPr>
            </w:pPr>
            <w:r>
              <w:rPr>
                <w:rFonts w:ascii="Calibri" w:hAnsi="Calibri"/>
                <w:szCs w:val="21"/>
              </w:rPr>
              <w:t>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27</w:t>
            </w:r>
          </w:p>
        </w:tc>
        <w:tc>
          <w:tcPr>
            <w:tcW w:w="1139" w:type="pct"/>
            <w:vAlign w:val="center"/>
          </w:tcPr>
          <w:p>
            <w:pPr>
              <w:snapToGrid w:val="0"/>
              <w:jc w:val="center"/>
              <w:rPr>
                <w:rFonts w:ascii="Calibri" w:hAnsi="Calibri"/>
                <w:szCs w:val="21"/>
              </w:rPr>
            </w:pPr>
            <w:r>
              <w:rPr>
                <w:rFonts w:ascii="Calibri" w:hAnsi="Calibri"/>
                <w:szCs w:val="21"/>
              </w:rPr>
              <w:t>氯苯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28</w:t>
            </w:r>
          </w:p>
        </w:tc>
        <w:tc>
          <w:tcPr>
            <w:tcW w:w="1139" w:type="pct"/>
            <w:vAlign w:val="center"/>
          </w:tcPr>
          <w:p>
            <w:pPr>
              <w:snapToGrid w:val="0"/>
              <w:jc w:val="center"/>
              <w:rPr>
                <w:rFonts w:ascii="Calibri" w:hAnsi="Calibri"/>
                <w:szCs w:val="21"/>
              </w:rPr>
            </w:pPr>
            <w:r>
              <w:rPr>
                <w:rFonts w:ascii="Calibri" w:hAnsi="Calibri"/>
                <w:szCs w:val="21"/>
              </w:rPr>
              <w:t>1,2-二氯苯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29</w:t>
            </w:r>
          </w:p>
        </w:tc>
        <w:tc>
          <w:tcPr>
            <w:tcW w:w="1139" w:type="pct"/>
            <w:vAlign w:val="center"/>
          </w:tcPr>
          <w:p>
            <w:pPr>
              <w:snapToGrid w:val="0"/>
              <w:jc w:val="center"/>
              <w:rPr>
                <w:rFonts w:ascii="Calibri" w:hAnsi="Calibri"/>
                <w:szCs w:val="21"/>
              </w:rPr>
            </w:pPr>
            <w:r>
              <w:rPr>
                <w:rFonts w:ascii="Calibri" w:hAnsi="Calibri"/>
                <w:szCs w:val="21"/>
              </w:rPr>
              <w:t>1,4-二氯苯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30</w:t>
            </w:r>
          </w:p>
        </w:tc>
        <w:tc>
          <w:tcPr>
            <w:tcW w:w="1139" w:type="pct"/>
            <w:vAlign w:val="center"/>
          </w:tcPr>
          <w:p>
            <w:pPr>
              <w:snapToGrid w:val="0"/>
              <w:jc w:val="center"/>
              <w:rPr>
                <w:rFonts w:ascii="Calibri" w:hAnsi="Calibri"/>
                <w:szCs w:val="21"/>
              </w:rPr>
            </w:pPr>
            <w:r>
              <w:rPr>
                <w:rFonts w:ascii="Calibri" w:hAnsi="Calibri"/>
                <w:szCs w:val="21"/>
              </w:rPr>
              <w:t>乙苯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31</w:t>
            </w:r>
          </w:p>
        </w:tc>
        <w:tc>
          <w:tcPr>
            <w:tcW w:w="1139" w:type="pct"/>
            <w:vAlign w:val="center"/>
          </w:tcPr>
          <w:p>
            <w:pPr>
              <w:snapToGrid w:val="0"/>
              <w:jc w:val="center"/>
              <w:rPr>
                <w:rFonts w:ascii="Calibri" w:hAnsi="Calibri"/>
                <w:szCs w:val="21"/>
              </w:rPr>
            </w:pPr>
            <w:r>
              <w:rPr>
                <w:rFonts w:ascii="Calibri" w:hAnsi="Calibri"/>
                <w:szCs w:val="21"/>
              </w:rPr>
              <w:t>苯乙烯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32</w:t>
            </w:r>
          </w:p>
        </w:tc>
        <w:tc>
          <w:tcPr>
            <w:tcW w:w="1139" w:type="pct"/>
            <w:vAlign w:val="center"/>
          </w:tcPr>
          <w:p>
            <w:pPr>
              <w:snapToGrid w:val="0"/>
              <w:jc w:val="center"/>
              <w:rPr>
                <w:rFonts w:ascii="Calibri" w:hAnsi="Calibri"/>
                <w:szCs w:val="21"/>
              </w:rPr>
            </w:pPr>
            <w:r>
              <w:rPr>
                <w:rFonts w:ascii="Calibri" w:hAnsi="Calibri"/>
                <w:szCs w:val="21"/>
              </w:rPr>
              <w:t>甲苯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33</w:t>
            </w:r>
          </w:p>
        </w:tc>
        <w:tc>
          <w:tcPr>
            <w:tcW w:w="1139" w:type="pct"/>
            <w:vAlign w:val="center"/>
          </w:tcPr>
          <w:p>
            <w:pPr>
              <w:snapToGrid w:val="0"/>
              <w:jc w:val="center"/>
              <w:rPr>
                <w:rFonts w:ascii="Calibri" w:hAnsi="Calibri"/>
                <w:szCs w:val="21"/>
              </w:rPr>
            </w:pPr>
            <w:r>
              <w:rPr>
                <w:rFonts w:ascii="Calibri" w:hAnsi="Calibri"/>
                <w:szCs w:val="21"/>
              </w:rPr>
              <w:t>间+对-二甲苯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34</w:t>
            </w:r>
          </w:p>
        </w:tc>
        <w:tc>
          <w:tcPr>
            <w:tcW w:w="1139" w:type="pct"/>
            <w:vAlign w:val="center"/>
          </w:tcPr>
          <w:p>
            <w:pPr>
              <w:snapToGrid w:val="0"/>
              <w:jc w:val="center"/>
              <w:rPr>
                <w:rFonts w:ascii="Calibri" w:hAnsi="Calibri"/>
                <w:szCs w:val="21"/>
              </w:rPr>
            </w:pPr>
            <w:r>
              <w:rPr>
                <w:rFonts w:ascii="Calibri" w:hAnsi="Calibri"/>
                <w:szCs w:val="21"/>
              </w:rPr>
              <w:t>邻-二甲苯</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35</w:t>
            </w:r>
          </w:p>
        </w:tc>
        <w:tc>
          <w:tcPr>
            <w:tcW w:w="1139" w:type="pct"/>
            <w:vAlign w:val="center"/>
          </w:tcPr>
          <w:p>
            <w:pPr>
              <w:snapToGrid w:val="0"/>
              <w:jc w:val="center"/>
              <w:rPr>
                <w:rFonts w:ascii="Calibri" w:hAnsi="Calibri"/>
                <w:szCs w:val="21"/>
              </w:rPr>
            </w:pPr>
            <w:r>
              <w:rPr>
                <w:rFonts w:ascii="Calibri" w:hAnsi="Calibri"/>
                <w:szCs w:val="21"/>
              </w:rPr>
              <w:t>氯甲烷</w:t>
            </w:r>
            <w:r>
              <w:rPr>
                <w:rFonts w:ascii="Calibri" w:hAnsi="Calibri"/>
                <w:szCs w:val="21"/>
                <w:vertAlign w:val="superscript"/>
              </w:rPr>
              <w:t>@</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36</w:t>
            </w:r>
          </w:p>
        </w:tc>
        <w:tc>
          <w:tcPr>
            <w:tcW w:w="1139" w:type="pct"/>
            <w:vAlign w:val="center"/>
          </w:tcPr>
          <w:p>
            <w:pPr>
              <w:snapToGrid w:val="0"/>
              <w:jc w:val="center"/>
              <w:rPr>
                <w:rFonts w:ascii="Calibri" w:hAnsi="Calibri"/>
                <w:szCs w:val="21"/>
              </w:rPr>
            </w:pPr>
            <w:r>
              <w:rPr>
                <w:rFonts w:ascii="Calibri" w:hAnsi="Calibri"/>
                <w:szCs w:val="21"/>
              </w:rPr>
              <w:t>硝基苯</w:t>
            </w:r>
            <w:r>
              <w:rPr>
                <w:rFonts w:ascii="Calibri" w:hAnsi="Calibri"/>
                <w:szCs w:val="21"/>
                <w:vertAlign w:val="superscript"/>
              </w:rPr>
              <w:t>@</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37</w:t>
            </w:r>
          </w:p>
        </w:tc>
        <w:tc>
          <w:tcPr>
            <w:tcW w:w="1139" w:type="pct"/>
            <w:vAlign w:val="center"/>
          </w:tcPr>
          <w:p>
            <w:pPr>
              <w:jc w:val="center"/>
              <w:rPr>
                <w:rFonts w:ascii="Calibri" w:hAnsi="Calibri"/>
                <w:szCs w:val="21"/>
              </w:rPr>
            </w:pPr>
            <w:r>
              <w:rPr>
                <w:rFonts w:ascii="Calibri" w:hAnsi="Calibri"/>
                <w:szCs w:val="21"/>
              </w:rPr>
              <w:t>苯胺</w:t>
            </w:r>
            <w:r>
              <w:rPr>
                <w:rFonts w:ascii="Calibri" w:hAnsi="Calibri"/>
                <w:szCs w:val="21"/>
                <w:vertAlign w:val="superscript"/>
              </w:rPr>
              <w:t>@</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38</w:t>
            </w:r>
          </w:p>
        </w:tc>
        <w:tc>
          <w:tcPr>
            <w:tcW w:w="1139" w:type="pct"/>
            <w:vAlign w:val="center"/>
          </w:tcPr>
          <w:p>
            <w:pPr>
              <w:snapToGrid w:val="0"/>
              <w:jc w:val="center"/>
              <w:rPr>
                <w:rFonts w:ascii="Calibri" w:hAnsi="Calibri"/>
                <w:szCs w:val="21"/>
              </w:rPr>
            </w:pPr>
            <w:r>
              <w:rPr>
                <w:rFonts w:ascii="Calibri" w:hAnsi="Calibri"/>
                <w:szCs w:val="21"/>
              </w:rPr>
              <w:t>2-氯酚</w:t>
            </w:r>
            <w:r>
              <w:rPr>
                <w:rFonts w:ascii="Calibri" w:hAnsi="Calibri"/>
                <w:szCs w:val="21"/>
                <w:vertAlign w:val="superscript"/>
              </w:rPr>
              <w:t>@</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widowControl/>
              <w:snapToGrid w:val="0"/>
              <w:jc w:val="center"/>
              <w:rPr>
                <w:rFonts w:ascii="Calibri" w:hAnsi="Calibri"/>
                <w:szCs w:val="21"/>
              </w:rPr>
            </w:pPr>
            <w:r>
              <w:rPr>
                <w:rFonts w:ascii="Calibri" w:hAnsi="Calibri"/>
                <w:szCs w:val="21"/>
              </w:rPr>
              <w:t>39</w:t>
            </w:r>
          </w:p>
        </w:tc>
        <w:tc>
          <w:tcPr>
            <w:tcW w:w="1139" w:type="pct"/>
            <w:vAlign w:val="center"/>
          </w:tcPr>
          <w:p>
            <w:pPr>
              <w:snapToGrid w:val="0"/>
              <w:jc w:val="center"/>
              <w:rPr>
                <w:rFonts w:ascii="Calibri" w:hAnsi="Calibri"/>
                <w:szCs w:val="21"/>
              </w:rPr>
            </w:pPr>
            <w:r>
              <w:rPr>
                <w:rFonts w:ascii="Calibri" w:hAnsi="Calibri"/>
                <w:szCs w:val="21"/>
              </w:rPr>
              <w:t>苯并[a]蒽</w:t>
            </w:r>
            <w:r>
              <w:rPr>
                <w:rFonts w:ascii="Calibri" w:hAnsi="Calibri"/>
                <w:szCs w:val="21"/>
                <w:vertAlign w:val="superscript"/>
              </w:rPr>
              <w:t>@</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snapToGrid w:val="0"/>
              <w:jc w:val="center"/>
              <w:rPr>
                <w:rFonts w:ascii="Calibri" w:hAnsi="Calibri"/>
                <w:szCs w:val="21"/>
              </w:rPr>
            </w:pPr>
            <w:r>
              <w:rPr>
                <w:rFonts w:ascii="Calibri" w:hAnsi="Calibri"/>
                <w:szCs w:val="21"/>
              </w:rPr>
              <w:t>40</w:t>
            </w:r>
          </w:p>
        </w:tc>
        <w:tc>
          <w:tcPr>
            <w:tcW w:w="1139" w:type="pct"/>
            <w:vAlign w:val="center"/>
          </w:tcPr>
          <w:p>
            <w:pPr>
              <w:snapToGrid w:val="0"/>
              <w:jc w:val="center"/>
              <w:rPr>
                <w:rFonts w:ascii="Calibri" w:hAnsi="Calibri"/>
                <w:szCs w:val="21"/>
              </w:rPr>
            </w:pPr>
            <w:r>
              <w:rPr>
                <w:rFonts w:ascii="Calibri" w:hAnsi="Calibri"/>
                <w:szCs w:val="21"/>
              </w:rPr>
              <w:t>苯并[a]芘</w:t>
            </w:r>
            <w:r>
              <w:rPr>
                <w:rFonts w:ascii="Calibri" w:hAnsi="Calibri"/>
                <w:szCs w:val="21"/>
                <w:vertAlign w:val="superscript"/>
              </w:rPr>
              <w:t>@</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snapToGrid w:val="0"/>
              <w:jc w:val="center"/>
              <w:rPr>
                <w:rFonts w:ascii="Calibri" w:hAnsi="Calibri"/>
                <w:szCs w:val="21"/>
              </w:rPr>
            </w:pPr>
            <w:r>
              <w:rPr>
                <w:rFonts w:ascii="Calibri" w:hAnsi="Calibri"/>
                <w:szCs w:val="21"/>
              </w:rPr>
              <w:t>41</w:t>
            </w:r>
          </w:p>
        </w:tc>
        <w:tc>
          <w:tcPr>
            <w:tcW w:w="1139" w:type="pct"/>
            <w:vAlign w:val="center"/>
          </w:tcPr>
          <w:p>
            <w:pPr>
              <w:snapToGrid w:val="0"/>
              <w:jc w:val="center"/>
              <w:rPr>
                <w:rFonts w:ascii="Calibri" w:hAnsi="Calibri"/>
                <w:szCs w:val="21"/>
              </w:rPr>
            </w:pPr>
            <w:r>
              <w:rPr>
                <w:rFonts w:ascii="Calibri" w:hAnsi="Calibri"/>
                <w:szCs w:val="21"/>
              </w:rPr>
              <w:t>苯并[b]荧蒽</w:t>
            </w:r>
            <w:r>
              <w:rPr>
                <w:rFonts w:ascii="Calibri" w:hAnsi="Calibri"/>
                <w:szCs w:val="21"/>
                <w:vertAlign w:val="superscript"/>
              </w:rPr>
              <w:t>@</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snapToGrid w:val="0"/>
              <w:jc w:val="center"/>
              <w:rPr>
                <w:rFonts w:ascii="Calibri" w:hAnsi="Calibri"/>
                <w:szCs w:val="21"/>
              </w:rPr>
            </w:pPr>
            <w:r>
              <w:rPr>
                <w:rFonts w:ascii="Calibri" w:hAnsi="Calibri"/>
                <w:szCs w:val="21"/>
              </w:rPr>
              <w:t>42</w:t>
            </w:r>
          </w:p>
        </w:tc>
        <w:tc>
          <w:tcPr>
            <w:tcW w:w="1139" w:type="pct"/>
            <w:vAlign w:val="center"/>
          </w:tcPr>
          <w:p>
            <w:pPr>
              <w:snapToGrid w:val="0"/>
              <w:jc w:val="center"/>
              <w:rPr>
                <w:rFonts w:ascii="Calibri" w:hAnsi="Calibri"/>
                <w:szCs w:val="21"/>
              </w:rPr>
            </w:pPr>
            <w:r>
              <w:rPr>
                <w:rFonts w:ascii="Calibri" w:hAnsi="Calibri"/>
                <w:szCs w:val="21"/>
              </w:rPr>
              <w:t>苯并[k]荧蒽</w:t>
            </w:r>
            <w:r>
              <w:rPr>
                <w:rFonts w:ascii="Calibri" w:hAnsi="Calibri"/>
                <w:szCs w:val="21"/>
                <w:vertAlign w:val="superscript"/>
              </w:rPr>
              <w:t>@</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snapToGrid w:val="0"/>
              <w:jc w:val="center"/>
              <w:rPr>
                <w:rFonts w:ascii="Calibri" w:hAnsi="Calibri"/>
                <w:szCs w:val="21"/>
              </w:rPr>
            </w:pPr>
            <w:r>
              <w:rPr>
                <w:rFonts w:ascii="Calibri" w:hAnsi="Calibri"/>
                <w:szCs w:val="21"/>
              </w:rPr>
              <w:t>43</w:t>
            </w:r>
          </w:p>
        </w:tc>
        <w:tc>
          <w:tcPr>
            <w:tcW w:w="1139" w:type="pct"/>
            <w:vAlign w:val="center"/>
          </w:tcPr>
          <w:p>
            <w:pPr>
              <w:snapToGrid w:val="0"/>
              <w:jc w:val="center"/>
              <w:rPr>
                <w:rFonts w:ascii="Calibri" w:hAnsi="Calibri"/>
                <w:szCs w:val="21"/>
              </w:rPr>
            </w:pPr>
            <w:r>
              <w:rPr>
                <w:rFonts w:ascii="Calibri" w:hAnsi="Calibri"/>
                <w:szCs w:val="21"/>
              </w:rPr>
              <w:t>䓛</w:t>
            </w:r>
            <w:r>
              <w:rPr>
                <w:rFonts w:ascii="Calibri" w:hAnsi="Calibri"/>
                <w:szCs w:val="21"/>
                <w:vertAlign w:val="superscript"/>
              </w:rPr>
              <w:t>@</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snapToGrid w:val="0"/>
              <w:jc w:val="center"/>
              <w:rPr>
                <w:rFonts w:ascii="Calibri" w:hAnsi="Calibri"/>
                <w:szCs w:val="21"/>
              </w:rPr>
            </w:pPr>
            <w:r>
              <w:rPr>
                <w:rFonts w:ascii="Calibri" w:hAnsi="Calibri"/>
                <w:szCs w:val="21"/>
              </w:rPr>
              <w:t>44</w:t>
            </w:r>
          </w:p>
        </w:tc>
        <w:tc>
          <w:tcPr>
            <w:tcW w:w="1139" w:type="pct"/>
            <w:vAlign w:val="center"/>
          </w:tcPr>
          <w:p>
            <w:pPr>
              <w:snapToGrid w:val="0"/>
              <w:jc w:val="center"/>
              <w:rPr>
                <w:rFonts w:ascii="Calibri" w:hAnsi="Calibri"/>
                <w:szCs w:val="21"/>
              </w:rPr>
            </w:pPr>
            <w:r>
              <w:rPr>
                <w:rFonts w:ascii="Calibri" w:hAnsi="Calibri"/>
                <w:szCs w:val="21"/>
              </w:rPr>
              <w:t>二苯并[a,h]蒽</w:t>
            </w:r>
            <w:r>
              <w:rPr>
                <w:rFonts w:ascii="Calibri" w:hAnsi="Calibri"/>
                <w:szCs w:val="21"/>
                <w:vertAlign w:val="superscript"/>
              </w:rPr>
              <w:t>@</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snapToGrid w:val="0"/>
              <w:jc w:val="center"/>
              <w:rPr>
                <w:rFonts w:ascii="Calibri" w:hAnsi="Calibri"/>
                <w:szCs w:val="21"/>
              </w:rPr>
            </w:pPr>
            <w:r>
              <w:rPr>
                <w:rFonts w:ascii="Calibri" w:hAnsi="Calibri"/>
                <w:szCs w:val="21"/>
              </w:rPr>
              <w:t>45</w:t>
            </w:r>
          </w:p>
        </w:tc>
        <w:tc>
          <w:tcPr>
            <w:tcW w:w="1139" w:type="pct"/>
            <w:vAlign w:val="center"/>
          </w:tcPr>
          <w:p>
            <w:pPr>
              <w:snapToGrid w:val="0"/>
              <w:jc w:val="center"/>
              <w:rPr>
                <w:rFonts w:ascii="Calibri" w:hAnsi="Calibri"/>
                <w:szCs w:val="21"/>
              </w:rPr>
            </w:pPr>
            <w:r>
              <w:rPr>
                <w:rFonts w:ascii="Calibri" w:hAnsi="Calibri"/>
                <w:szCs w:val="21"/>
              </w:rPr>
              <w:t>茚并[1,2,3-cd]芘</w:t>
            </w:r>
            <w:r>
              <w:rPr>
                <w:rFonts w:ascii="Calibri" w:hAnsi="Calibri"/>
                <w:szCs w:val="21"/>
                <w:vertAlign w:val="superscript"/>
              </w:rPr>
              <w:t>@</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snapToGrid w:val="0"/>
              <w:jc w:val="center"/>
              <w:rPr>
                <w:rFonts w:ascii="Calibri" w:hAnsi="Calibri"/>
                <w:szCs w:val="21"/>
              </w:rPr>
            </w:pPr>
            <w:r>
              <w:rPr>
                <w:rFonts w:ascii="Calibri" w:hAnsi="Calibri"/>
                <w:szCs w:val="21"/>
              </w:rPr>
              <w:t>46</w:t>
            </w:r>
          </w:p>
        </w:tc>
        <w:tc>
          <w:tcPr>
            <w:tcW w:w="1139" w:type="pct"/>
            <w:vAlign w:val="center"/>
          </w:tcPr>
          <w:p>
            <w:pPr>
              <w:snapToGrid w:val="0"/>
              <w:jc w:val="center"/>
              <w:rPr>
                <w:rFonts w:ascii="Calibri" w:hAnsi="Calibri"/>
                <w:szCs w:val="21"/>
              </w:rPr>
            </w:pPr>
            <w:r>
              <w:rPr>
                <w:rFonts w:ascii="Calibri" w:hAnsi="Calibri"/>
                <w:szCs w:val="21"/>
              </w:rPr>
              <w:t>萘</w:t>
            </w:r>
            <w:r>
              <w:rPr>
                <w:rFonts w:ascii="Calibri" w:hAnsi="Calibri"/>
                <w:szCs w:val="21"/>
                <w:vertAlign w:val="superscript"/>
              </w:rPr>
              <w:t>@</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color w:val="000000"/>
                <w:szCs w:val="21"/>
              </w:rPr>
            </w:pPr>
            <w:r>
              <w:rPr>
                <w:rFonts w:ascii="Calibri" w:hAnsi="Calibri"/>
                <w:color w:val="000000"/>
                <w:szCs w:val="21"/>
              </w:rPr>
              <w:t>未检出</w:t>
            </w:r>
          </w:p>
        </w:tc>
        <w:tc>
          <w:tcPr>
            <w:tcW w:w="709" w:type="pct"/>
            <w:vAlign w:val="center"/>
          </w:tcPr>
          <w:p>
            <w:pPr>
              <w:jc w:val="center"/>
              <w:rPr>
                <w:rFonts w:ascii="Calibri" w:hAnsi="Calibri"/>
                <w:color w:val="000000"/>
                <w:szCs w:val="21"/>
              </w:rPr>
            </w:pPr>
            <w:r>
              <w:rPr>
                <w:rFonts w:ascii="Calibri" w:hAnsi="Calibri"/>
                <w:color w:val="000000"/>
                <w:szCs w:val="21"/>
              </w:rPr>
              <w:t>未检出</w:t>
            </w:r>
          </w:p>
        </w:tc>
        <w:tc>
          <w:tcPr>
            <w:tcW w:w="726" w:type="pct"/>
            <w:vAlign w:val="center"/>
          </w:tcPr>
          <w:p>
            <w:pPr>
              <w:jc w:val="center"/>
              <w:rPr>
                <w:rFonts w:ascii="Calibri" w:hAnsi="Calibri"/>
                <w:color w:val="000000"/>
                <w:szCs w:val="21"/>
              </w:rPr>
            </w:pPr>
            <w:r>
              <w:rPr>
                <w:rFonts w:ascii="Calibri" w:hAnsi="Calibri"/>
                <w:color w:val="000000"/>
                <w:szCs w:val="21"/>
              </w:rPr>
              <w:t>未检出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3" w:type="pct"/>
            <w:vAlign w:val="center"/>
          </w:tcPr>
          <w:p>
            <w:pPr>
              <w:snapToGrid w:val="0"/>
              <w:jc w:val="center"/>
              <w:rPr>
                <w:rFonts w:ascii="Calibri" w:hAnsi="Calibri"/>
                <w:szCs w:val="21"/>
              </w:rPr>
            </w:pPr>
            <w:r>
              <w:rPr>
                <w:rFonts w:ascii="Calibri" w:hAnsi="Calibri"/>
                <w:szCs w:val="21"/>
              </w:rPr>
              <w:t>47</w:t>
            </w:r>
          </w:p>
        </w:tc>
        <w:tc>
          <w:tcPr>
            <w:tcW w:w="1139" w:type="pct"/>
            <w:vAlign w:val="center"/>
          </w:tcPr>
          <w:p>
            <w:pPr>
              <w:pStyle w:val="86"/>
              <w:jc w:val="center"/>
              <w:rPr>
                <w:rFonts w:ascii="Times New Roman" w:hAnsi="Calibri" w:cs="Times New Roman"/>
                <w:sz w:val="21"/>
                <w:szCs w:val="21"/>
              </w:rPr>
            </w:pPr>
            <w:r>
              <w:rPr>
                <w:rFonts w:ascii="Times New Roman" w:hAnsi="Calibri" w:cs="Times New Roman"/>
                <w:sz w:val="21"/>
                <w:szCs w:val="21"/>
              </w:rPr>
              <w:t>石油烃（C</w:t>
            </w:r>
            <w:r>
              <w:rPr>
                <w:rFonts w:ascii="Times New Roman" w:hAnsi="Calibri" w:cs="Times New Roman"/>
                <w:sz w:val="21"/>
                <w:szCs w:val="21"/>
                <w:vertAlign w:val="subscript"/>
              </w:rPr>
              <w:t>10</w:t>
            </w:r>
            <w:r>
              <w:rPr>
                <w:rFonts w:ascii="Times New Roman" w:hAnsi="Calibri" w:cs="Times New Roman"/>
                <w:sz w:val="21"/>
                <w:szCs w:val="21"/>
              </w:rPr>
              <w:t>~C</w:t>
            </w:r>
            <w:r>
              <w:rPr>
                <w:rFonts w:ascii="Times New Roman" w:hAnsi="Calibri" w:cs="Times New Roman"/>
                <w:sz w:val="21"/>
                <w:szCs w:val="21"/>
                <w:vertAlign w:val="subscript"/>
              </w:rPr>
              <w:t>40</w:t>
            </w:r>
            <w:r>
              <w:rPr>
                <w:rFonts w:ascii="Times New Roman" w:hAnsi="Calibri" w:cs="Times New Roman"/>
                <w:sz w:val="21"/>
                <w:szCs w:val="21"/>
              </w:rPr>
              <w:t>）</w:t>
            </w:r>
          </w:p>
        </w:tc>
        <w:tc>
          <w:tcPr>
            <w:tcW w:w="1058" w:type="pct"/>
            <w:vAlign w:val="center"/>
          </w:tcPr>
          <w:p>
            <w:pPr>
              <w:jc w:val="center"/>
              <w:rPr>
                <w:rFonts w:ascii="Calibri" w:hAnsi="Calibri"/>
                <w:szCs w:val="21"/>
              </w:rPr>
            </w:pPr>
            <w:r>
              <w:rPr>
                <w:rFonts w:ascii="Calibri" w:hAnsi="Calibri"/>
                <w:szCs w:val="21"/>
              </w:rPr>
              <w:t>2023.07.01</w:t>
            </w:r>
          </w:p>
        </w:tc>
        <w:tc>
          <w:tcPr>
            <w:tcW w:w="885" w:type="pct"/>
            <w:vAlign w:val="center"/>
          </w:tcPr>
          <w:p>
            <w:pPr>
              <w:jc w:val="center"/>
              <w:rPr>
                <w:rFonts w:ascii="Calibri" w:hAnsi="Calibri"/>
                <w:szCs w:val="21"/>
              </w:rPr>
            </w:pPr>
            <w:r>
              <w:rPr>
                <w:rFonts w:ascii="Calibri" w:hAnsi="Calibri"/>
                <w:szCs w:val="21"/>
              </w:rPr>
              <w:t>123</w:t>
            </w:r>
          </w:p>
        </w:tc>
        <w:tc>
          <w:tcPr>
            <w:tcW w:w="709" w:type="pct"/>
            <w:vAlign w:val="center"/>
          </w:tcPr>
          <w:p>
            <w:pPr>
              <w:jc w:val="center"/>
              <w:rPr>
                <w:rFonts w:ascii="Calibri" w:hAnsi="Calibri"/>
                <w:szCs w:val="21"/>
              </w:rPr>
            </w:pPr>
            <w:r>
              <w:rPr>
                <w:rFonts w:ascii="Calibri" w:hAnsi="Calibri"/>
                <w:szCs w:val="21"/>
              </w:rPr>
              <w:t>110</w:t>
            </w:r>
          </w:p>
        </w:tc>
        <w:tc>
          <w:tcPr>
            <w:tcW w:w="726" w:type="pct"/>
            <w:vAlign w:val="center"/>
          </w:tcPr>
          <w:p>
            <w:pPr>
              <w:jc w:val="center"/>
              <w:rPr>
                <w:rFonts w:ascii="Calibri" w:hAnsi="Calibri"/>
                <w:szCs w:val="21"/>
              </w:rPr>
            </w:pPr>
            <w:r>
              <w:rPr>
                <w:rFonts w:ascii="Calibri" w:hAnsi="Calibri"/>
                <w:szCs w:val="21"/>
              </w:rPr>
              <w:t>97</w:t>
            </w:r>
          </w:p>
        </w:tc>
      </w:tr>
    </w:tbl>
    <w:p>
      <w:pPr>
        <w:spacing w:line="520" w:lineRule="exact"/>
        <w:ind w:firstLine="48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根据上表，中央厨房污水处理站运行7年后各监测因子均能够满足</w:t>
      </w:r>
      <w:r>
        <w:rPr>
          <w:color w:val="000000" w:themeColor="text1"/>
          <w:kern w:val="0"/>
          <w:sz w:val="24"/>
          <w:szCs w:val="24"/>
          <w14:textFill>
            <w14:solidFill>
              <w14:schemeClr w14:val="tx1"/>
            </w14:solidFill>
          </w14:textFill>
        </w:rPr>
        <w:t>《土壤环境质量 建设用地土壤污染风险管控标准（试行）》（GB36600-2018）</w:t>
      </w:r>
      <w:r>
        <w:rPr>
          <w:rFonts w:hint="eastAsia"/>
          <w:color w:val="000000" w:themeColor="text1"/>
          <w:kern w:val="0"/>
          <w:sz w:val="24"/>
          <w:szCs w:val="24"/>
          <w14:textFill>
            <w14:solidFill>
              <w14:schemeClr w14:val="tx1"/>
            </w14:solidFill>
          </w14:textFill>
        </w:rPr>
        <w:t>中标准要求，说明污水处理站附近土壤环境质量良好，污水处理站运行期间正常工况下不会对土壤造成不良影响。</w:t>
      </w:r>
    </w:p>
    <w:p>
      <w:pPr>
        <w:spacing w:line="520" w:lineRule="exact"/>
        <w:ind w:firstLine="48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项目营运过程中，场区内除绿化用地外，均进行地面硬化防渗处理，因此产生的泄漏物料等污染物，不会直接与土壤接触下渗或随雨水外流污染土壤环境。</w:t>
      </w:r>
    </w:p>
    <w:p>
      <w:pPr>
        <w:spacing w:line="520" w:lineRule="exact"/>
        <w:ind w:firstLine="48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本项目采取分区防渗的措施，根据项目可能泄漏至地面区域污染物的性质和生产单元的构筑方式，将评价区域划分为重点防渗区和一般防渗区。</w:t>
      </w:r>
      <w:r>
        <w:rPr>
          <w:rFonts w:hint="eastAsia"/>
          <w:bCs/>
          <w:color w:val="000000" w:themeColor="text1"/>
          <w:kern w:val="0"/>
          <w:sz w:val="24"/>
          <w:szCs w:val="24"/>
          <w14:textFill>
            <w14:solidFill>
              <w14:schemeClr w14:val="tx1"/>
            </w14:solidFill>
          </w14:textFill>
        </w:rPr>
        <w:t>项目建成后主要入驻的企业为食品加工和预制菜生产加工企业及相关配套企业，污水处理站主要收集其生产工业废水，主要污染物为C</w:t>
      </w:r>
      <w:r>
        <w:rPr>
          <w:bCs/>
          <w:color w:val="000000" w:themeColor="text1"/>
          <w:kern w:val="0"/>
          <w:sz w:val="24"/>
          <w:szCs w:val="24"/>
          <w14:textFill>
            <w14:solidFill>
              <w14:schemeClr w14:val="tx1"/>
            </w14:solidFill>
          </w14:textFill>
        </w:rPr>
        <w:t>OD</w:t>
      </w:r>
      <w:r>
        <w:rPr>
          <w:rFonts w:hint="eastAsia"/>
          <w:bCs/>
          <w:color w:val="000000" w:themeColor="text1"/>
          <w:kern w:val="0"/>
          <w:sz w:val="24"/>
          <w:szCs w:val="24"/>
          <w14:textFill>
            <w14:solidFill>
              <w14:schemeClr w14:val="tx1"/>
            </w14:solidFill>
          </w14:textFill>
        </w:rPr>
        <w:t>、B</w:t>
      </w:r>
      <w:r>
        <w:rPr>
          <w:bCs/>
          <w:color w:val="000000" w:themeColor="text1"/>
          <w:kern w:val="0"/>
          <w:sz w:val="24"/>
          <w:szCs w:val="24"/>
          <w14:textFill>
            <w14:solidFill>
              <w14:schemeClr w14:val="tx1"/>
            </w14:solidFill>
          </w14:textFill>
        </w:rPr>
        <w:t>OD</w:t>
      </w:r>
      <w:r>
        <w:rPr>
          <w:bCs/>
          <w:color w:val="000000" w:themeColor="text1"/>
          <w:kern w:val="0"/>
          <w:sz w:val="24"/>
          <w:szCs w:val="24"/>
          <w:vertAlign w:val="subscript"/>
          <w14:textFill>
            <w14:solidFill>
              <w14:schemeClr w14:val="tx1"/>
            </w14:solidFill>
          </w14:textFill>
        </w:rPr>
        <w:t>5</w:t>
      </w:r>
      <w:r>
        <w:rPr>
          <w:rFonts w:hint="eastAsia"/>
          <w:bCs/>
          <w:color w:val="000000" w:themeColor="text1"/>
          <w:kern w:val="0"/>
          <w:sz w:val="24"/>
          <w:szCs w:val="24"/>
          <w14:textFill>
            <w14:solidFill>
              <w14:schemeClr w14:val="tx1"/>
            </w14:solidFill>
          </w14:textFill>
        </w:rPr>
        <w:t>、S</w:t>
      </w:r>
      <w:r>
        <w:rPr>
          <w:bCs/>
          <w:color w:val="000000" w:themeColor="text1"/>
          <w:kern w:val="0"/>
          <w:sz w:val="24"/>
          <w:szCs w:val="24"/>
          <w14:textFill>
            <w14:solidFill>
              <w14:schemeClr w14:val="tx1"/>
            </w14:solidFill>
          </w14:textFill>
        </w:rPr>
        <w:t>S</w:t>
      </w:r>
      <w:r>
        <w:rPr>
          <w:rFonts w:hint="eastAsia"/>
          <w:bCs/>
          <w:color w:val="000000" w:themeColor="text1"/>
          <w:kern w:val="0"/>
          <w:sz w:val="24"/>
          <w:szCs w:val="24"/>
          <w14:textFill>
            <w14:solidFill>
              <w14:schemeClr w14:val="tx1"/>
            </w14:solidFill>
          </w14:textFill>
        </w:rPr>
        <w:t>、氨氮、T</w:t>
      </w:r>
      <w:r>
        <w:rPr>
          <w:bCs/>
          <w:color w:val="000000" w:themeColor="text1"/>
          <w:kern w:val="0"/>
          <w:sz w:val="24"/>
          <w:szCs w:val="24"/>
          <w14:textFill>
            <w14:solidFill>
              <w14:schemeClr w14:val="tx1"/>
            </w14:solidFill>
          </w14:textFill>
        </w:rPr>
        <w:t>N</w:t>
      </w:r>
      <w:r>
        <w:rPr>
          <w:rFonts w:hint="eastAsia"/>
          <w:bCs/>
          <w:color w:val="000000" w:themeColor="text1"/>
          <w:kern w:val="0"/>
          <w:sz w:val="24"/>
          <w:szCs w:val="24"/>
          <w14:textFill>
            <w14:solidFill>
              <w14:schemeClr w14:val="tx1"/>
            </w14:solidFill>
          </w14:textFill>
        </w:rPr>
        <w:t>、T</w:t>
      </w:r>
      <w:r>
        <w:rPr>
          <w:bCs/>
          <w:color w:val="000000" w:themeColor="text1"/>
          <w:kern w:val="0"/>
          <w:sz w:val="24"/>
          <w:szCs w:val="24"/>
          <w14:textFill>
            <w14:solidFill>
              <w14:schemeClr w14:val="tx1"/>
            </w14:solidFill>
          </w14:textFill>
        </w:rPr>
        <w:t>P</w:t>
      </w:r>
      <w:r>
        <w:rPr>
          <w:rFonts w:hint="eastAsia"/>
          <w:bCs/>
          <w:color w:val="000000" w:themeColor="text1"/>
          <w:kern w:val="0"/>
          <w:sz w:val="24"/>
          <w:szCs w:val="24"/>
          <w14:textFill>
            <w14:solidFill>
              <w14:schemeClr w14:val="tx1"/>
            </w14:solidFill>
          </w14:textFill>
        </w:rPr>
        <w:t>、动植物油，污水若直接、连续、过量泄露接触土壤，则会对土壤环境质量造成不良影响。该项目正常情况下，</w:t>
      </w:r>
      <w:r>
        <w:rPr>
          <w:bCs/>
          <w:color w:val="000000" w:themeColor="text1"/>
          <w:kern w:val="0"/>
          <w:sz w:val="24"/>
          <w:szCs w:val="24"/>
          <w14:textFill>
            <w14:solidFill>
              <w14:schemeClr w14:val="tx1"/>
            </w14:solidFill>
          </w14:textFill>
        </w:rPr>
        <w:t>污水处理设施等采取严格防渗措施，日常运营过程中加强管理，</w:t>
      </w:r>
      <w:r>
        <w:rPr>
          <w:color w:val="000000" w:themeColor="text1"/>
          <w:kern w:val="0"/>
          <w:sz w:val="24"/>
          <w:szCs w:val="24"/>
          <w14:textFill>
            <w14:solidFill>
              <w14:schemeClr w14:val="tx1"/>
            </w14:solidFill>
          </w14:textFill>
        </w:rPr>
        <w:t>定期维护检修，保证防渗措施的有效性和安全性；定期检查、排查问题，及时发现问题并采取措施阻隔污染源，防止进一步污染；同时，定期对附近土壤进行跟踪监测，及时掌握了解土壤变化状况，以便及时发现问题并及时采取措施。在上述各措施落实到位的情况下，不会对土壤造成重大不可逆影响</w:t>
      </w:r>
      <w:r>
        <w:rPr>
          <w:bCs/>
          <w:color w:val="000000" w:themeColor="text1"/>
          <w:kern w:val="0"/>
          <w:sz w:val="24"/>
          <w:szCs w:val="24"/>
          <w14:textFill>
            <w14:solidFill>
              <w14:schemeClr w14:val="tx1"/>
            </w14:solidFill>
          </w14:textFill>
        </w:rPr>
        <w:t>。</w:t>
      </w:r>
    </w:p>
    <w:p>
      <w:pPr>
        <w:pStyle w:val="727"/>
        <w:rPr>
          <w:color w:val="000000" w:themeColor="text1"/>
          <w14:textFill>
            <w14:solidFill>
              <w14:schemeClr w14:val="tx1"/>
            </w14:solidFill>
          </w14:textFill>
        </w:rPr>
      </w:pPr>
      <w:r>
        <w:rPr>
          <w:color w:val="000000" w:themeColor="text1"/>
          <w14:textFill>
            <w14:solidFill>
              <w14:schemeClr w14:val="tx1"/>
            </w14:solidFill>
          </w14:textFill>
        </w:rPr>
        <w:t xml:space="preserve">5.7.7 </w:t>
      </w:r>
      <w:r>
        <w:rPr>
          <w:rFonts w:hint="eastAsia"/>
          <w:color w:val="000000" w:themeColor="text1"/>
          <w14:textFill>
            <w14:solidFill>
              <w14:schemeClr w14:val="tx1"/>
            </w14:solidFill>
          </w14:textFill>
        </w:rPr>
        <w:t>土壤环境保护措施及对策</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（1）源头控制措施</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①厂区污水管、闸阀等严格把控质量关，定期由专人负责厂区管路、闸阀检修，使设备一直处于安全状态，避免发生废水因管道泄漏发生事故排放而影响周围土壤环境。</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②厂区采区分区防渗，污泥池、污泥脱水间、落泥间设置“三防”设施，避免污泥在堆放、运输过程中通过扩散、降水淋洗等直接或间接的影响土壤。</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（2）过程放控措施</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①针对厂区污水管、闸阀等可能发生泄漏造成污水漫流影响土壤的区域，设计进行地面硬化措施。</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②对于污泥池、污泥脱水间、落泥间等可能在堆放、运输过程中通过扩散、降水淋洗等直接或间接的影响土壤的区域，采区分区防渗，并设计“三防”设施，防止污染土壤。</w:t>
      </w:r>
    </w:p>
    <w:p>
      <w:pPr>
        <w:pStyle w:val="727"/>
        <w:rPr>
          <w:color w:val="000000" w:themeColor="text1"/>
          <w14:textFill>
            <w14:solidFill>
              <w14:schemeClr w14:val="tx1"/>
            </w14:solidFill>
          </w14:textFill>
        </w:rPr>
      </w:pPr>
      <w:r>
        <w:rPr>
          <w:color w:val="000000" w:themeColor="text1"/>
          <w14:textFill>
            <w14:solidFill>
              <w14:schemeClr w14:val="tx1"/>
            </w14:solidFill>
          </w14:textFill>
        </w:rPr>
        <w:t xml:space="preserve">5.7.8 </w:t>
      </w:r>
      <w:r>
        <w:rPr>
          <w:rFonts w:hint="eastAsia"/>
          <w:color w:val="000000" w:themeColor="text1"/>
          <w14:textFill>
            <w14:solidFill>
              <w14:schemeClr w14:val="tx1"/>
            </w14:solidFill>
          </w14:textFill>
        </w:rPr>
        <w:t>结论</w:t>
      </w:r>
    </w:p>
    <w:p>
      <w:pPr>
        <w:spacing w:line="52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综上所述，</w:t>
      </w:r>
      <w:r>
        <w:rPr>
          <w:color w:val="000000" w:themeColor="text1"/>
          <w:kern w:val="0"/>
          <w:sz w:val="24"/>
          <w:szCs w:val="24"/>
          <w14:textFill>
            <w14:solidFill>
              <w14:schemeClr w14:val="tx1"/>
            </w14:solidFill>
          </w14:textFill>
        </w:rPr>
        <w:t>在上述各措施落实到位的情况下，</w:t>
      </w:r>
      <w:r>
        <w:rPr>
          <w:rFonts w:hint="eastAsia"/>
          <w:color w:val="000000" w:themeColor="text1"/>
          <w:kern w:val="0"/>
          <w:sz w:val="24"/>
          <w:szCs w:val="24"/>
          <w14:textFill>
            <w14:solidFill>
              <w14:schemeClr w14:val="tx1"/>
            </w14:solidFill>
          </w14:textFill>
        </w:rPr>
        <w:t>本项目</w:t>
      </w:r>
      <w:r>
        <w:rPr>
          <w:color w:val="000000" w:themeColor="text1"/>
          <w:kern w:val="0"/>
          <w:sz w:val="24"/>
          <w:szCs w:val="24"/>
          <w14:textFill>
            <w14:solidFill>
              <w14:schemeClr w14:val="tx1"/>
            </w14:solidFill>
          </w14:textFill>
        </w:rPr>
        <w:t>不会对土壤造成重大不可逆影响</w:t>
      </w:r>
      <w:r>
        <w:rPr>
          <w:bCs/>
          <w:color w:val="000000" w:themeColor="text1"/>
          <w:kern w:val="0"/>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本项目对区域土壤环境的影响较小，在可接受范围内。</w:t>
      </w: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sectPr>
          <w:pgSz w:w="11906" w:h="16838"/>
          <w:pgMar w:top="1701" w:right="1588" w:bottom="1701" w:left="1588" w:header="851" w:footer="1134" w:gutter="0"/>
          <w:cols w:space="720" w:num="1"/>
          <w:docGrid w:type="lines" w:linePitch="312" w:charSpace="0"/>
        </w:sectPr>
      </w:pPr>
    </w:p>
    <w:p>
      <w:pPr>
        <w:spacing w:line="360" w:lineRule="auto"/>
        <w:jc w:val="center"/>
        <w:outlineLvl w:val="0"/>
        <w:rPr>
          <w:rFonts w:eastAsia="黑体"/>
          <w:sz w:val="44"/>
          <w:szCs w:val="44"/>
        </w:rPr>
      </w:pPr>
      <w:bookmarkStart w:id="149" w:name="_Toc30819"/>
      <w:r>
        <w:rPr>
          <w:rFonts w:eastAsia="黑体"/>
          <w:sz w:val="44"/>
          <w:szCs w:val="44"/>
        </w:rPr>
        <w:t>第6章  环境</w:t>
      </w:r>
      <w:r>
        <w:rPr>
          <w:rFonts w:hint="eastAsia" w:eastAsia="黑体"/>
          <w:sz w:val="44"/>
          <w:szCs w:val="44"/>
        </w:rPr>
        <w:t>风险</w:t>
      </w:r>
      <w:r>
        <w:rPr>
          <w:rFonts w:eastAsia="黑体"/>
          <w:sz w:val="44"/>
          <w:szCs w:val="44"/>
        </w:rPr>
        <w:t>分析</w:t>
      </w:r>
      <w:bookmarkEnd w:id="149"/>
    </w:p>
    <w:p>
      <w:pPr>
        <w:spacing w:line="360" w:lineRule="auto"/>
        <w:ind w:firstLine="480"/>
        <w:jc w:val="center"/>
        <w:rPr>
          <w:sz w:val="24"/>
          <w:szCs w:val="24"/>
          <w:highlight w:val="yellow"/>
          <w:lang w:val="zh-CN"/>
        </w:rPr>
      </w:pPr>
    </w:p>
    <w:p>
      <w:pPr>
        <w:keepNext/>
        <w:keepLines/>
        <w:spacing w:line="520" w:lineRule="exact"/>
        <w:outlineLvl w:val="1"/>
        <w:rPr>
          <w:sz w:val="24"/>
          <w:szCs w:val="24"/>
        </w:rPr>
      </w:pPr>
      <w:bookmarkStart w:id="150" w:name="_Toc8459"/>
      <w:r>
        <w:rPr>
          <w:rFonts w:eastAsia="黑体"/>
          <w:bCs/>
          <w:sz w:val="28"/>
          <w:szCs w:val="28"/>
        </w:rPr>
        <w:t xml:space="preserve">6.1 </w:t>
      </w:r>
      <w:r>
        <w:rPr>
          <w:rFonts w:hint="eastAsia" w:eastAsia="黑体"/>
          <w:bCs/>
          <w:sz w:val="28"/>
          <w:szCs w:val="28"/>
        </w:rPr>
        <w:t>评价工作程序</w:t>
      </w:r>
      <w:bookmarkEnd w:id="150"/>
    </w:p>
    <w:p>
      <w:pPr>
        <w:spacing w:line="520" w:lineRule="exact"/>
        <w:ind w:firstLine="480" w:firstLineChars="200"/>
        <w:rPr>
          <w:sz w:val="24"/>
          <w:szCs w:val="24"/>
        </w:rPr>
      </w:pPr>
      <w:r>
        <w:rPr>
          <w:sz w:val="24"/>
          <w:szCs w:val="24"/>
        </w:rPr>
        <w:t>根据《建设项目环境风险评价技术导则》（HJ169-2018），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环境风险评价的工作程序见下图：</w:t>
      </w:r>
    </w:p>
    <w:p>
      <w:pPr>
        <w:spacing w:line="360" w:lineRule="auto"/>
        <w:jc w:val="center"/>
        <w:rPr>
          <w:sz w:val="28"/>
          <w:szCs w:val="24"/>
        </w:rPr>
      </w:pPr>
      <w:r>
        <w:rPr>
          <w:sz w:val="28"/>
          <w:szCs w:val="24"/>
        </w:rPr>
        <w:drawing>
          <wp:inline distT="0" distB="0" distL="0" distR="0">
            <wp:extent cx="4910455" cy="5347970"/>
            <wp:effectExtent l="0" t="0" r="4445" b="5080"/>
            <wp:docPr id="397182933" name="图片 3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82933" name="图片 38" descr="图示&#10;&#10;描述已自动生成"/>
                    <pic:cNvPicPr>
                      <a:picLocks noChangeAspect="1" noChangeArrowheads="1"/>
                    </pic:cNvPicPr>
                  </pic:nvPicPr>
                  <pic:blipFill>
                    <a:blip r:embed="rId201"/>
                    <a:srcRect/>
                    <a:stretch>
                      <a:fillRect/>
                    </a:stretch>
                  </pic:blipFill>
                  <pic:spPr>
                    <a:xfrm>
                      <a:off x="0" y="0"/>
                      <a:ext cx="4910455" cy="5347970"/>
                    </a:xfrm>
                    <a:prstGeom prst="rect">
                      <a:avLst/>
                    </a:prstGeom>
                    <a:noFill/>
                    <a:ln>
                      <a:noFill/>
                    </a:ln>
                  </pic:spPr>
                </pic:pic>
              </a:graphicData>
            </a:graphic>
          </wp:inline>
        </w:drawing>
      </w:r>
    </w:p>
    <w:p>
      <w:pPr>
        <w:jc w:val="center"/>
        <w:rPr>
          <w:rFonts w:eastAsia="黑体"/>
          <w:sz w:val="24"/>
          <w:szCs w:val="20"/>
        </w:rPr>
      </w:pPr>
      <w:r>
        <w:rPr>
          <w:rFonts w:eastAsia="黑体"/>
          <w:sz w:val="24"/>
          <w:szCs w:val="20"/>
        </w:rPr>
        <w:t>图6.1-1 环境风险评价工作顺序图</w:t>
      </w:r>
    </w:p>
    <w:p>
      <w:pPr>
        <w:keepNext/>
        <w:keepLines/>
        <w:spacing w:line="520" w:lineRule="exact"/>
        <w:outlineLvl w:val="1"/>
        <w:rPr>
          <w:rFonts w:eastAsia="黑体"/>
          <w:bCs/>
          <w:sz w:val="28"/>
          <w:szCs w:val="28"/>
        </w:rPr>
      </w:pPr>
      <w:bookmarkStart w:id="151" w:name="_Toc7805"/>
      <w:r>
        <w:rPr>
          <w:rFonts w:eastAsia="黑体"/>
          <w:bCs/>
          <w:sz w:val="28"/>
          <w:szCs w:val="28"/>
        </w:rPr>
        <w:t xml:space="preserve">6.2 </w:t>
      </w:r>
      <w:r>
        <w:rPr>
          <w:rFonts w:hint="eastAsia" w:eastAsia="黑体"/>
          <w:bCs/>
          <w:sz w:val="28"/>
          <w:szCs w:val="28"/>
        </w:rPr>
        <w:t>风险调查</w:t>
      </w:r>
      <w:bookmarkEnd w:id="151"/>
    </w:p>
    <w:p>
      <w:pPr>
        <w:keepNext/>
        <w:keepLines/>
        <w:spacing w:line="520" w:lineRule="exact"/>
        <w:outlineLvl w:val="2"/>
        <w:rPr>
          <w:rFonts w:eastAsia="黑体"/>
          <w:bCs/>
          <w:sz w:val="28"/>
          <w:szCs w:val="28"/>
        </w:rPr>
      </w:pPr>
      <w:r>
        <w:rPr>
          <w:rFonts w:hint="eastAsia" w:eastAsia="黑体"/>
          <w:bCs/>
          <w:sz w:val="28"/>
          <w:szCs w:val="28"/>
        </w:rPr>
        <w:t>6</w:t>
      </w:r>
      <w:r>
        <w:rPr>
          <w:rFonts w:eastAsia="黑体"/>
          <w:bCs/>
          <w:sz w:val="28"/>
          <w:szCs w:val="28"/>
        </w:rPr>
        <w:t>.2.1</w:t>
      </w:r>
      <w:r>
        <w:rPr>
          <w:rFonts w:hint="eastAsia" w:eastAsia="黑体"/>
          <w:bCs/>
          <w:sz w:val="28"/>
          <w:szCs w:val="28"/>
        </w:rPr>
        <w:t>建设项目风险源调查</w:t>
      </w:r>
    </w:p>
    <w:p>
      <w:pPr>
        <w:spacing w:line="500" w:lineRule="exact"/>
        <w:ind w:firstLine="482"/>
        <w:contextualSpacing/>
        <w:rPr>
          <w:kern w:val="0"/>
          <w:sz w:val="24"/>
          <w:szCs w:val="28"/>
        </w:rPr>
      </w:pPr>
      <w:r>
        <w:rPr>
          <w:kern w:val="0"/>
          <w:sz w:val="24"/>
          <w:szCs w:val="28"/>
        </w:rPr>
        <w:t>根据本项目的工艺特点及原辅料的使用情况，在生产过程中污水在运输、储存、</w:t>
      </w:r>
      <w:r>
        <w:rPr>
          <w:rFonts w:hint="eastAsia"/>
          <w:kern w:val="0"/>
          <w:sz w:val="24"/>
          <w:szCs w:val="28"/>
        </w:rPr>
        <w:t>处理</w:t>
      </w:r>
      <w:r>
        <w:rPr>
          <w:kern w:val="0"/>
          <w:sz w:val="24"/>
          <w:szCs w:val="28"/>
        </w:rPr>
        <w:t xml:space="preserve">的过程中，可能对环境造成影响。 </w:t>
      </w:r>
    </w:p>
    <w:p>
      <w:pPr>
        <w:spacing w:line="500" w:lineRule="exact"/>
        <w:ind w:firstLine="482"/>
        <w:contextualSpacing/>
        <w:rPr>
          <w:bCs/>
          <w:kern w:val="0"/>
          <w:sz w:val="24"/>
          <w:szCs w:val="28"/>
        </w:rPr>
      </w:pPr>
      <w:r>
        <w:rPr>
          <w:kern w:val="0"/>
          <w:sz w:val="24"/>
          <w:szCs w:val="28"/>
        </w:rPr>
        <w:t>项目</w:t>
      </w:r>
      <w:r>
        <w:rPr>
          <w:rFonts w:hint="eastAsia"/>
          <w:kern w:val="0"/>
          <w:sz w:val="24"/>
          <w:szCs w:val="28"/>
        </w:rPr>
        <w:t>主要涉及风险物料基本情况</w:t>
      </w:r>
      <w:r>
        <w:rPr>
          <w:kern w:val="0"/>
          <w:sz w:val="24"/>
          <w:szCs w:val="28"/>
        </w:rPr>
        <w:t>见下表：</w:t>
      </w:r>
    </w:p>
    <w:p>
      <w:pPr>
        <w:spacing w:line="520" w:lineRule="exact"/>
        <w:ind w:firstLine="480" w:firstLineChars="200"/>
        <w:rPr>
          <w:rFonts w:eastAsia="黑体"/>
          <w:sz w:val="24"/>
          <w:szCs w:val="24"/>
        </w:rPr>
      </w:pPr>
      <w:r>
        <w:rPr>
          <w:rFonts w:eastAsia="黑体"/>
          <w:sz w:val="24"/>
          <w:szCs w:val="24"/>
        </w:rPr>
        <w:t xml:space="preserve">表6.2-1            </w:t>
      </w:r>
      <w:r>
        <w:rPr>
          <w:rFonts w:hint="eastAsia" w:eastAsia="黑体"/>
          <w:sz w:val="24"/>
          <w:szCs w:val="24"/>
        </w:rPr>
        <w:t>项目主要涉及风险物料一览表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706"/>
        <w:gridCol w:w="1341"/>
        <w:gridCol w:w="1678"/>
        <w:gridCol w:w="1740"/>
        <w:gridCol w:w="1956"/>
        <w:gridCol w:w="136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402" w:type="pct"/>
            <w:tcBorders>
              <w:top w:val="single" w:color="auto" w:sz="8" w:space="0"/>
              <w:left w:val="single" w:color="auto" w:sz="8" w:space="0"/>
              <w:bottom w:val="single" w:color="auto" w:sz="6" w:space="0"/>
              <w:right w:val="single" w:color="auto" w:sz="6" w:space="0"/>
            </w:tcBorders>
            <w:vAlign w:val="center"/>
          </w:tcPr>
          <w:p>
            <w:pPr>
              <w:jc w:val="center"/>
              <w:rPr>
                <w:b/>
                <w:szCs w:val="21"/>
              </w:rPr>
            </w:pPr>
            <w:r>
              <w:rPr>
                <w:rFonts w:hint="eastAsia"/>
                <w:b/>
                <w:szCs w:val="21"/>
              </w:rPr>
              <w:t>序号</w:t>
            </w:r>
          </w:p>
        </w:tc>
        <w:tc>
          <w:tcPr>
            <w:tcW w:w="763" w:type="pct"/>
            <w:tcBorders>
              <w:top w:val="single" w:color="auto" w:sz="8" w:space="0"/>
              <w:left w:val="single" w:color="auto" w:sz="6" w:space="0"/>
              <w:bottom w:val="single" w:color="auto" w:sz="6" w:space="0"/>
              <w:right w:val="single" w:color="auto" w:sz="4" w:space="0"/>
            </w:tcBorders>
            <w:vAlign w:val="center"/>
          </w:tcPr>
          <w:p>
            <w:pPr>
              <w:jc w:val="center"/>
              <w:rPr>
                <w:b/>
                <w:szCs w:val="21"/>
              </w:rPr>
            </w:pPr>
            <w:r>
              <w:rPr>
                <w:rFonts w:hint="eastAsia"/>
                <w:b/>
                <w:szCs w:val="21"/>
              </w:rPr>
              <w:t>物料/燃料</w:t>
            </w:r>
          </w:p>
        </w:tc>
        <w:tc>
          <w:tcPr>
            <w:tcW w:w="955" w:type="pct"/>
            <w:tcBorders>
              <w:top w:val="single" w:color="auto" w:sz="8" w:space="0"/>
              <w:left w:val="single" w:color="auto" w:sz="4" w:space="0"/>
              <w:bottom w:val="single" w:color="auto" w:sz="6" w:space="0"/>
              <w:right w:val="single" w:color="auto" w:sz="4" w:space="0"/>
            </w:tcBorders>
            <w:vAlign w:val="center"/>
          </w:tcPr>
          <w:p>
            <w:pPr>
              <w:jc w:val="center"/>
              <w:rPr>
                <w:b/>
                <w:szCs w:val="21"/>
              </w:rPr>
            </w:pPr>
            <w:r>
              <w:rPr>
                <w:rFonts w:hint="eastAsia"/>
                <w:b/>
                <w:szCs w:val="21"/>
              </w:rPr>
              <w:t>年产生量t/a</w:t>
            </w:r>
          </w:p>
        </w:tc>
        <w:tc>
          <w:tcPr>
            <w:tcW w:w="990" w:type="pct"/>
            <w:tcBorders>
              <w:top w:val="single" w:color="auto" w:sz="8" w:space="0"/>
              <w:left w:val="single" w:color="auto" w:sz="4" w:space="0"/>
              <w:bottom w:val="single" w:color="auto" w:sz="6" w:space="0"/>
              <w:right w:val="single" w:color="auto" w:sz="4" w:space="0"/>
            </w:tcBorders>
            <w:vAlign w:val="center"/>
          </w:tcPr>
          <w:p>
            <w:pPr>
              <w:jc w:val="center"/>
              <w:rPr>
                <w:b/>
                <w:szCs w:val="21"/>
              </w:rPr>
            </w:pPr>
            <w:r>
              <w:rPr>
                <w:rFonts w:hint="eastAsia"/>
                <w:b/>
                <w:szCs w:val="21"/>
              </w:rPr>
              <w:t>最大暂存量t</w:t>
            </w:r>
          </w:p>
        </w:tc>
        <w:tc>
          <w:tcPr>
            <w:tcW w:w="1113" w:type="pct"/>
            <w:tcBorders>
              <w:top w:val="single" w:color="auto" w:sz="8" w:space="0"/>
              <w:left w:val="single" w:color="auto" w:sz="4" w:space="0"/>
              <w:bottom w:val="single" w:color="auto" w:sz="6" w:space="0"/>
              <w:right w:val="single" w:color="auto" w:sz="4" w:space="0"/>
            </w:tcBorders>
            <w:vAlign w:val="center"/>
          </w:tcPr>
          <w:p>
            <w:pPr>
              <w:jc w:val="center"/>
              <w:rPr>
                <w:b/>
                <w:szCs w:val="21"/>
              </w:rPr>
            </w:pPr>
            <w:r>
              <w:rPr>
                <w:rFonts w:hint="eastAsia"/>
                <w:b/>
                <w:szCs w:val="21"/>
              </w:rPr>
              <w:t>临界量t</w:t>
            </w:r>
          </w:p>
        </w:tc>
        <w:tc>
          <w:tcPr>
            <w:tcW w:w="777" w:type="pct"/>
            <w:tcBorders>
              <w:top w:val="single" w:color="auto" w:sz="8" w:space="0"/>
              <w:left w:val="single" w:color="auto" w:sz="4" w:space="0"/>
              <w:bottom w:val="single" w:color="auto" w:sz="6" w:space="0"/>
              <w:right w:val="single" w:color="auto" w:sz="4" w:space="0"/>
            </w:tcBorders>
            <w:vAlign w:val="center"/>
          </w:tcPr>
          <w:p>
            <w:pPr>
              <w:jc w:val="center"/>
              <w:rPr>
                <w:b/>
                <w:szCs w:val="21"/>
              </w:rPr>
            </w:pPr>
            <w:r>
              <w:rPr>
                <w:rFonts w:hint="eastAsia"/>
                <w:b/>
                <w:szCs w:val="21"/>
              </w:rPr>
              <w:t>危险性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2" w:type="pct"/>
            <w:tcBorders>
              <w:top w:val="single" w:color="auto" w:sz="8" w:space="0"/>
              <w:left w:val="single" w:color="auto" w:sz="8" w:space="0"/>
              <w:bottom w:val="single" w:color="auto" w:sz="8" w:space="0"/>
              <w:right w:val="single" w:color="auto" w:sz="6" w:space="0"/>
            </w:tcBorders>
            <w:vAlign w:val="center"/>
          </w:tcPr>
          <w:p>
            <w:pPr>
              <w:jc w:val="center"/>
              <w:rPr>
                <w:szCs w:val="21"/>
              </w:rPr>
            </w:pPr>
            <w:r>
              <w:rPr>
                <w:rFonts w:hint="eastAsia"/>
                <w:szCs w:val="21"/>
              </w:rPr>
              <w:t>1</w:t>
            </w:r>
          </w:p>
        </w:tc>
        <w:tc>
          <w:tcPr>
            <w:tcW w:w="763" w:type="pct"/>
            <w:tcBorders>
              <w:top w:val="single" w:color="auto" w:sz="8" w:space="0"/>
              <w:left w:val="single" w:color="auto" w:sz="6" w:space="0"/>
              <w:bottom w:val="single" w:color="auto" w:sz="8" w:space="0"/>
              <w:right w:val="single" w:color="auto" w:sz="4" w:space="0"/>
            </w:tcBorders>
            <w:vAlign w:val="center"/>
          </w:tcPr>
          <w:p>
            <w:pPr>
              <w:jc w:val="center"/>
              <w:rPr>
                <w:szCs w:val="21"/>
              </w:rPr>
            </w:pPr>
            <w:r>
              <w:rPr>
                <w:rFonts w:hint="eastAsia"/>
                <w:szCs w:val="21"/>
              </w:rPr>
              <w:t>污水</w:t>
            </w:r>
          </w:p>
        </w:tc>
        <w:tc>
          <w:tcPr>
            <w:tcW w:w="955" w:type="pct"/>
            <w:tcBorders>
              <w:top w:val="single" w:color="auto" w:sz="8" w:space="0"/>
              <w:left w:val="single" w:color="auto" w:sz="4" w:space="0"/>
              <w:bottom w:val="single" w:color="auto" w:sz="8" w:space="0"/>
              <w:right w:val="single" w:color="auto" w:sz="4" w:space="0"/>
            </w:tcBorders>
            <w:vAlign w:val="center"/>
          </w:tcPr>
          <w:p>
            <w:pPr>
              <w:jc w:val="center"/>
              <w:rPr>
                <w:szCs w:val="21"/>
              </w:rPr>
            </w:pPr>
            <w:r>
              <w:rPr>
                <w:szCs w:val="21"/>
              </w:rPr>
              <w:t>60</w:t>
            </w:r>
            <w:r>
              <w:rPr>
                <w:rFonts w:hint="eastAsia"/>
                <w:szCs w:val="21"/>
              </w:rPr>
              <w:t>万</w:t>
            </w:r>
            <w:r>
              <w:rPr>
                <w:szCs w:val="21"/>
              </w:rPr>
              <w:t>m</w:t>
            </w:r>
            <w:r>
              <w:rPr>
                <w:szCs w:val="21"/>
                <w:vertAlign w:val="superscript"/>
              </w:rPr>
              <w:t>3</w:t>
            </w:r>
          </w:p>
        </w:tc>
        <w:tc>
          <w:tcPr>
            <w:tcW w:w="990" w:type="pct"/>
            <w:tcBorders>
              <w:top w:val="single" w:color="auto" w:sz="8" w:space="0"/>
              <w:left w:val="single" w:color="auto" w:sz="4" w:space="0"/>
              <w:bottom w:val="single" w:color="auto" w:sz="8" w:space="0"/>
              <w:right w:val="single" w:color="auto" w:sz="4" w:space="0"/>
            </w:tcBorders>
            <w:vAlign w:val="center"/>
          </w:tcPr>
          <w:p>
            <w:pPr>
              <w:jc w:val="center"/>
              <w:rPr>
                <w:szCs w:val="21"/>
              </w:rPr>
            </w:pPr>
            <w:r>
              <w:rPr>
                <w:rFonts w:hint="eastAsia"/>
                <w:szCs w:val="21"/>
              </w:rPr>
              <w:t>/</w:t>
            </w:r>
          </w:p>
        </w:tc>
        <w:tc>
          <w:tcPr>
            <w:tcW w:w="1113" w:type="pct"/>
            <w:tcBorders>
              <w:top w:val="single" w:color="auto" w:sz="8" w:space="0"/>
              <w:left w:val="single" w:color="auto" w:sz="4" w:space="0"/>
              <w:bottom w:val="single" w:color="auto" w:sz="8" w:space="0"/>
              <w:right w:val="single" w:color="auto" w:sz="4" w:space="0"/>
            </w:tcBorders>
            <w:vAlign w:val="center"/>
          </w:tcPr>
          <w:p>
            <w:pPr>
              <w:jc w:val="center"/>
              <w:rPr>
                <w:szCs w:val="21"/>
              </w:rPr>
            </w:pPr>
            <w:r>
              <w:rPr>
                <w:rFonts w:hint="eastAsia"/>
                <w:szCs w:val="21"/>
              </w:rPr>
              <w:t>/</w:t>
            </w:r>
          </w:p>
        </w:tc>
        <w:tc>
          <w:tcPr>
            <w:tcW w:w="777" w:type="pct"/>
            <w:tcBorders>
              <w:left w:val="single" w:color="auto" w:sz="4" w:space="0"/>
              <w:right w:val="single" w:color="auto" w:sz="4" w:space="0"/>
            </w:tcBorders>
            <w:vAlign w:val="center"/>
          </w:tcPr>
          <w:p>
            <w:pPr>
              <w:widowControl/>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2" w:type="pct"/>
            <w:tcBorders>
              <w:top w:val="single" w:color="auto" w:sz="8" w:space="0"/>
              <w:left w:val="single" w:color="auto" w:sz="8" w:space="0"/>
              <w:bottom w:val="single" w:color="auto" w:sz="8" w:space="0"/>
              <w:right w:val="single" w:color="auto" w:sz="6" w:space="0"/>
            </w:tcBorders>
            <w:vAlign w:val="center"/>
          </w:tcPr>
          <w:p>
            <w:pPr>
              <w:jc w:val="center"/>
              <w:rPr>
                <w:szCs w:val="21"/>
              </w:rPr>
            </w:pPr>
            <w:r>
              <w:rPr>
                <w:rFonts w:hint="eastAsia"/>
                <w:szCs w:val="21"/>
              </w:rPr>
              <w:t>2</w:t>
            </w:r>
          </w:p>
        </w:tc>
        <w:tc>
          <w:tcPr>
            <w:tcW w:w="763" w:type="pct"/>
            <w:tcBorders>
              <w:top w:val="single" w:color="auto" w:sz="8" w:space="0"/>
              <w:left w:val="single" w:color="auto" w:sz="6" w:space="0"/>
              <w:bottom w:val="single" w:color="auto" w:sz="8" w:space="0"/>
              <w:right w:val="single" w:color="auto" w:sz="4" w:space="0"/>
            </w:tcBorders>
            <w:vAlign w:val="center"/>
          </w:tcPr>
          <w:p>
            <w:pPr>
              <w:jc w:val="center"/>
              <w:rPr>
                <w:szCs w:val="21"/>
              </w:rPr>
            </w:pPr>
            <w:r>
              <w:rPr>
                <w:rFonts w:hint="eastAsia"/>
                <w:szCs w:val="21"/>
              </w:rPr>
              <w:t>硫化氢</w:t>
            </w:r>
          </w:p>
        </w:tc>
        <w:tc>
          <w:tcPr>
            <w:tcW w:w="955" w:type="pct"/>
            <w:tcBorders>
              <w:top w:val="single" w:color="auto" w:sz="8" w:space="0"/>
              <w:left w:val="single" w:color="auto" w:sz="4" w:space="0"/>
              <w:bottom w:val="single" w:color="auto" w:sz="8" w:space="0"/>
              <w:right w:val="single" w:color="auto" w:sz="4" w:space="0"/>
            </w:tcBorders>
            <w:vAlign w:val="center"/>
          </w:tcPr>
          <w:p>
            <w:pPr>
              <w:jc w:val="center"/>
              <w:rPr>
                <w:szCs w:val="21"/>
              </w:rPr>
            </w:pPr>
            <w:r>
              <w:rPr>
                <w:szCs w:val="21"/>
              </w:rPr>
              <w:t>0.0851</w:t>
            </w:r>
          </w:p>
        </w:tc>
        <w:tc>
          <w:tcPr>
            <w:tcW w:w="990" w:type="pct"/>
            <w:tcBorders>
              <w:top w:val="single" w:color="auto" w:sz="8" w:space="0"/>
              <w:left w:val="single" w:color="auto" w:sz="4" w:space="0"/>
              <w:bottom w:val="single" w:color="auto" w:sz="8" w:space="0"/>
              <w:right w:val="single" w:color="auto" w:sz="4" w:space="0"/>
            </w:tcBorders>
            <w:vAlign w:val="center"/>
          </w:tcPr>
          <w:p>
            <w:pPr>
              <w:jc w:val="center"/>
              <w:rPr>
                <w:szCs w:val="21"/>
              </w:rPr>
            </w:pPr>
            <w:r>
              <w:rPr>
                <w:szCs w:val="21"/>
              </w:rPr>
              <w:t>0.0851</w:t>
            </w:r>
          </w:p>
        </w:tc>
        <w:tc>
          <w:tcPr>
            <w:tcW w:w="1113" w:type="pct"/>
            <w:tcBorders>
              <w:top w:val="single" w:color="auto" w:sz="8" w:space="0"/>
              <w:left w:val="single" w:color="auto" w:sz="4" w:space="0"/>
              <w:bottom w:val="single" w:color="auto" w:sz="8" w:space="0"/>
              <w:right w:val="single" w:color="auto" w:sz="4" w:space="0"/>
            </w:tcBorders>
            <w:vAlign w:val="center"/>
          </w:tcPr>
          <w:p>
            <w:pPr>
              <w:jc w:val="center"/>
              <w:rPr>
                <w:szCs w:val="21"/>
              </w:rPr>
            </w:pPr>
            <w:r>
              <w:rPr>
                <w:rFonts w:hint="eastAsia"/>
                <w:szCs w:val="21"/>
              </w:rPr>
              <w:t>2</w:t>
            </w:r>
            <w:r>
              <w:rPr>
                <w:szCs w:val="21"/>
              </w:rPr>
              <w:t>.5</w:t>
            </w:r>
          </w:p>
        </w:tc>
        <w:tc>
          <w:tcPr>
            <w:tcW w:w="777" w:type="pct"/>
            <w:tcBorders>
              <w:left w:val="single" w:color="auto" w:sz="4" w:space="0"/>
              <w:right w:val="single" w:color="auto" w:sz="4" w:space="0"/>
            </w:tcBorders>
            <w:vAlign w:val="center"/>
          </w:tcPr>
          <w:p>
            <w:pPr>
              <w:widowControl/>
              <w:jc w:val="center"/>
              <w:rPr>
                <w:szCs w:val="21"/>
              </w:rPr>
            </w:pPr>
            <w:r>
              <w:rPr>
                <w:rFonts w:hint="eastAsia"/>
                <w:szCs w:val="21"/>
              </w:rPr>
              <w:t>易燃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02" w:type="pct"/>
            <w:tcBorders>
              <w:top w:val="single" w:color="auto" w:sz="8" w:space="0"/>
              <w:left w:val="single" w:color="auto" w:sz="8" w:space="0"/>
              <w:bottom w:val="single" w:color="auto" w:sz="8" w:space="0"/>
              <w:right w:val="single" w:color="auto" w:sz="6" w:space="0"/>
            </w:tcBorders>
            <w:vAlign w:val="center"/>
          </w:tcPr>
          <w:p>
            <w:pPr>
              <w:jc w:val="center"/>
              <w:rPr>
                <w:szCs w:val="21"/>
              </w:rPr>
            </w:pPr>
            <w:r>
              <w:rPr>
                <w:rFonts w:hint="eastAsia"/>
                <w:szCs w:val="21"/>
              </w:rPr>
              <w:t>3</w:t>
            </w:r>
          </w:p>
        </w:tc>
        <w:tc>
          <w:tcPr>
            <w:tcW w:w="763" w:type="pct"/>
            <w:tcBorders>
              <w:top w:val="single" w:color="auto" w:sz="8" w:space="0"/>
              <w:left w:val="single" w:color="auto" w:sz="6" w:space="0"/>
              <w:bottom w:val="single" w:color="auto" w:sz="8" w:space="0"/>
              <w:right w:val="single" w:color="auto" w:sz="4" w:space="0"/>
            </w:tcBorders>
            <w:vAlign w:val="center"/>
          </w:tcPr>
          <w:p>
            <w:pPr>
              <w:jc w:val="center"/>
              <w:rPr>
                <w:szCs w:val="21"/>
              </w:rPr>
            </w:pPr>
            <w:r>
              <w:rPr>
                <w:rFonts w:hint="eastAsia"/>
                <w:szCs w:val="21"/>
              </w:rPr>
              <w:t>氨气</w:t>
            </w:r>
          </w:p>
        </w:tc>
        <w:tc>
          <w:tcPr>
            <w:tcW w:w="955" w:type="pct"/>
            <w:tcBorders>
              <w:top w:val="single" w:color="auto" w:sz="8" w:space="0"/>
              <w:left w:val="single" w:color="auto" w:sz="4" w:space="0"/>
              <w:bottom w:val="single" w:color="auto" w:sz="8" w:space="0"/>
              <w:right w:val="single" w:color="auto" w:sz="4" w:space="0"/>
            </w:tcBorders>
            <w:vAlign w:val="center"/>
          </w:tcPr>
          <w:p>
            <w:pPr>
              <w:jc w:val="center"/>
              <w:rPr>
                <w:szCs w:val="21"/>
              </w:rPr>
            </w:pPr>
            <w:r>
              <w:rPr>
                <w:rFonts w:hint="eastAsia"/>
                <w:szCs w:val="21"/>
              </w:rPr>
              <w:t>2</w:t>
            </w:r>
            <w:r>
              <w:rPr>
                <w:szCs w:val="21"/>
              </w:rPr>
              <w:t>.1993</w:t>
            </w:r>
          </w:p>
        </w:tc>
        <w:tc>
          <w:tcPr>
            <w:tcW w:w="990" w:type="pct"/>
            <w:tcBorders>
              <w:top w:val="single" w:color="auto" w:sz="8" w:space="0"/>
              <w:left w:val="single" w:color="auto" w:sz="4" w:space="0"/>
              <w:bottom w:val="single" w:color="auto" w:sz="8" w:space="0"/>
              <w:right w:val="single" w:color="auto" w:sz="4" w:space="0"/>
            </w:tcBorders>
            <w:vAlign w:val="center"/>
          </w:tcPr>
          <w:p>
            <w:pPr>
              <w:jc w:val="center"/>
              <w:rPr>
                <w:szCs w:val="21"/>
              </w:rPr>
            </w:pPr>
            <w:r>
              <w:rPr>
                <w:rFonts w:hint="eastAsia"/>
                <w:szCs w:val="21"/>
              </w:rPr>
              <w:t>2</w:t>
            </w:r>
            <w:r>
              <w:rPr>
                <w:szCs w:val="21"/>
              </w:rPr>
              <w:t>.1993</w:t>
            </w:r>
          </w:p>
        </w:tc>
        <w:tc>
          <w:tcPr>
            <w:tcW w:w="1113" w:type="pct"/>
            <w:tcBorders>
              <w:top w:val="single" w:color="auto" w:sz="8" w:space="0"/>
              <w:left w:val="single" w:color="auto" w:sz="4" w:space="0"/>
              <w:bottom w:val="single" w:color="auto" w:sz="8" w:space="0"/>
              <w:right w:val="single" w:color="auto" w:sz="4" w:space="0"/>
            </w:tcBorders>
            <w:vAlign w:val="center"/>
          </w:tcPr>
          <w:p>
            <w:pPr>
              <w:jc w:val="center"/>
              <w:rPr>
                <w:szCs w:val="21"/>
              </w:rPr>
            </w:pPr>
            <w:r>
              <w:rPr>
                <w:rFonts w:hint="eastAsia"/>
                <w:szCs w:val="21"/>
              </w:rPr>
              <w:t>5</w:t>
            </w:r>
          </w:p>
        </w:tc>
        <w:tc>
          <w:tcPr>
            <w:tcW w:w="777" w:type="pct"/>
            <w:tcBorders>
              <w:left w:val="single" w:color="auto" w:sz="4" w:space="0"/>
              <w:right w:val="single" w:color="auto" w:sz="4" w:space="0"/>
            </w:tcBorders>
            <w:vAlign w:val="center"/>
          </w:tcPr>
          <w:p>
            <w:pPr>
              <w:widowControl/>
              <w:jc w:val="center"/>
              <w:rPr>
                <w:szCs w:val="21"/>
              </w:rPr>
            </w:pPr>
            <w:r>
              <w:rPr>
                <w:rFonts w:hint="eastAsia"/>
                <w:szCs w:val="21"/>
              </w:rPr>
              <w:t>有毒</w:t>
            </w:r>
          </w:p>
        </w:tc>
      </w:tr>
    </w:tbl>
    <w:p>
      <w:pPr>
        <w:ind w:firstLine="482"/>
        <w:contextualSpacing/>
        <w:rPr>
          <w:rFonts w:eastAsia="黑体"/>
          <w:kern w:val="0"/>
          <w:szCs w:val="21"/>
          <w:lang w:val="zh-CN"/>
        </w:rPr>
      </w:pPr>
      <w:r>
        <w:rPr>
          <w:rFonts w:eastAsia="黑体"/>
          <w:kern w:val="0"/>
          <w:szCs w:val="21"/>
          <w:lang w:val="zh-CN"/>
        </w:rPr>
        <w:t>注：</w:t>
      </w:r>
      <w:r>
        <w:rPr>
          <w:rFonts w:hint="eastAsia" w:eastAsia="黑体"/>
          <w:kern w:val="0"/>
          <w:szCs w:val="21"/>
          <w:lang w:val="zh-CN"/>
        </w:rPr>
        <w:t>①</w:t>
      </w:r>
      <w:r>
        <w:rPr>
          <w:rFonts w:eastAsia="黑体"/>
          <w:kern w:val="0"/>
          <w:szCs w:val="21"/>
          <w:lang w:val="zh-CN"/>
        </w:rPr>
        <w:t>根据《企业突发环境事件风险分级方法》（HJ 941-2018）附录A，COD</w:t>
      </w:r>
      <w:r>
        <w:rPr>
          <w:rFonts w:eastAsia="黑体"/>
          <w:kern w:val="0"/>
          <w:szCs w:val="21"/>
          <w:vertAlign w:val="subscript"/>
          <w:lang w:val="zh-CN"/>
        </w:rPr>
        <w:t>Cr</w:t>
      </w:r>
      <w:r>
        <w:rPr>
          <w:rFonts w:eastAsia="黑体"/>
          <w:kern w:val="0"/>
          <w:szCs w:val="21"/>
          <w:lang w:val="zh-CN"/>
        </w:rPr>
        <w:t>浓度≥10000mg/L 的有机废液临界量为10t，NH</w:t>
      </w:r>
      <w:r>
        <w:rPr>
          <w:rFonts w:eastAsia="黑体"/>
          <w:kern w:val="0"/>
          <w:szCs w:val="21"/>
          <w:vertAlign w:val="subscript"/>
          <w:lang w:val="zh-CN"/>
        </w:rPr>
        <w:t>3</w:t>
      </w:r>
      <w:r>
        <w:rPr>
          <w:rFonts w:eastAsia="黑体"/>
          <w:kern w:val="0"/>
          <w:szCs w:val="21"/>
          <w:lang w:val="zh-CN"/>
        </w:rPr>
        <w:t>-N浓度≥2000mg/L的废液临界量为5t，</w:t>
      </w:r>
      <w:r>
        <w:rPr>
          <w:rFonts w:hint="eastAsia" w:eastAsia="黑体"/>
          <w:kern w:val="0"/>
          <w:szCs w:val="21"/>
          <w:lang w:val="zh-CN"/>
        </w:rPr>
        <w:t>本项目废水浓度为</w:t>
      </w:r>
      <w:r>
        <w:rPr>
          <w:rFonts w:eastAsia="黑体"/>
          <w:kern w:val="0"/>
          <w:szCs w:val="21"/>
          <w:lang w:val="zh-CN"/>
        </w:rPr>
        <w:t>COD 3000</w:t>
      </w:r>
      <w:r>
        <w:rPr>
          <w:rFonts w:hint="eastAsia" w:eastAsia="黑体"/>
          <w:kern w:val="0"/>
          <w:szCs w:val="21"/>
          <w:lang w:val="zh-CN"/>
        </w:rPr>
        <w:t>mg/L＜</w:t>
      </w:r>
      <w:r>
        <w:rPr>
          <w:rFonts w:eastAsia="黑体"/>
          <w:kern w:val="0"/>
          <w:szCs w:val="21"/>
          <w:lang w:val="zh-CN"/>
        </w:rPr>
        <w:t>10000mg/L</w:t>
      </w:r>
      <w:r>
        <w:rPr>
          <w:rFonts w:hint="eastAsia" w:eastAsia="黑体"/>
          <w:kern w:val="0"/>
          <w:szCs w:val="21"/>
          <w:lang w:val="zh-CN"/>
        </w:rPr>
        <w:t xml:space="preserve">、氨氮 </w:t>
      </w:r>
      <w:r>
        <w:rPr>
          <w:rFonts w:eastAsia="黑体"/>
          <w:kern w:val="0"/>
          <w:szCs w:val="21"/>
          <w:lang w:val="zh-CN"/>
        </w:rPr>
        <w:t>100</w:t>
      </w:r>
      <w:r>
        <w:rPr>
          <w:rFonts w:hint="eastAsia" w:eastAsia="黑体"/>
          <w:kern w:val="0"/>
          <w:szCs w:val="21"/>
          <w:lang w:val="zh-CN"/>
        </w:rPr>
        <w:t>mg/L＜</w:t>
      </w:r>
      <w:r>
        <w:rPr>
          <w:rFonts w:eastAsia="黑体"/>
          <w:kern w:val="0"/>
          <w:szCs w:val="21"/>
          <w:lang w:val="zh-CN"/>
        </w:rPr>
        <w:t>2000mg/L</w:t>
      </w:r>
      <w:r>
        <w:rPr>
          <w:rFonts w:hint="eastAsia" w:eastAsia="黑体"/>
          <w:kern w:val="0"/>
          <w:szCs w:val="21"/>
          <w:lang w:val="zh-CN"/>
        </w:rPr>
        <w:t>，故本项目仅考虑废水事故排放风险，不将其作为风险物质考虑。</w:t>
      </w:r>
    </w:p>
    <w:p>
      <w:pPr>
        <w:ind w:firstLine="482"/>
        <w:contextualSpacing/>
        <w:rPr>
          <w:rFonts w:ascii="黑体" w:hAnsi="黑体" w:eastAsia="黑体"/>
          <w:kern w:val="0"/>
          <w:szCs w:val="21"/>
          <w:lang w:val="zh-CN"/>
        </w:rPr>
      </w:pPr>
      <w:r>
        <w:rPr>
          <w:rFonts w:hint="eastAsia" w:ascii="黑体" w:hAnsi="黑体" w:eastAsia="黑体"/>
          <w:kern w:val="0"/>
          <w:szCs w:val="21"/>
          <w:lang w:val="zh-CN"/>
        </w:rPr>
        <w:t>②硫化氢及氨气在厂区内产生后立即收集处理，考虑环评最不利环评原则，最大暂存量以产生量计。</w:t>
      </w:r>
    </w:p>
    <w:p>
      <w:pPr>
        <w:spacing w:line="520" w:lineRule="exact"/>
        <w:ind w:firstLine="482"/>
        <w:contextualSpacing/>
        <w:rPr>
          <w:kern w:val="0"/>
          <w:sz w:val="24"/>
          <w:szCs w:val="28"/>
          <w:lang w:val="zh-CN"/>
        </w:rPr>
      </w:pPr>
      <w:r>
        <w:rPr>
          <w:kern w:val="0"/>
          <w:sz w:val="24"/>
          <w:szCs w:val="28"/>
          <w:lang w:val="zh-CN"/>
        </w:rPr>
        <w:t>经查阅《建设项目环境风险评价技术导则》（HJ/T169-2018）</w:t>
      </w:r>
      <w:r>
        <w:rPr>
          <w:rFonts w:hint="eastAsia"/>
          <w:kern w:val="0"/>
          <w:sz w:val="24"/>
          <w:szCs w:val="28"/>
          <w:lang w:val="zh-CN"/>
        </w:rPr>
        <w:t>等文件，确定本项目</w:t>
      </w:r>
      <w:r>
        <w:rPr>
          <w:kern w:val="0"/>
          <w:sz w:val="24"/>
          <w:szCs w:val="28"/>
          <w:lang w:val="zh-CN"/>
        </w:rPr>
        <w:t>生产过程中涉及的风险物质</w:t>
      </w:r>
      <w:r>
        <w:rPr>
          <w:rFonts w:hint="eastAsia"/>
          <w:kern w:val="0"/>
          <w:sz w:val="24"/>
          <w:szCs w:val="28"/>
          <w:lang w:val="zh-CN"/>
        </w:rPr>
        <w:t>主要</w:t>
      </w:r>
      <w:r>
        <w:rPr>
          <w:kern w:val="0"/>
          <w:sz w:val="24"/>
          <w:szCs w:val="28"/>
          <w:lang w:val="zh-CN"/>
        </w:rPr>
        <w:t>为</w:t>
      </w:r>
      <w:r>
        <w:rPr>
          <w:rFonts w:hint="eastAsia"/>
          <w:kern w:val="0"/>
          <w:sz w:val="24"/>
          <w:szCs w:val="28"/>
          <w:lang w:val="zh-CN"/>
        </w:rPr>
        <w:t>污水处理站产生的硫化氢、氨气。</w:t>
      </w:r>
    </w:p>
    <w:p>
      <w:pPr>
        <w:keepNext/>
        <w:keepLines/>
        <w:spacing w:line="520" w:lineRule="exact"/>
        <w:outlineLvl w:val="2"/>
        <w:rPr>
          <w:rFonts w:eastAsia="黑体"/>
          <w:bCs/>
          <w:sz w:val="28"/>
          <w:szCs w:val="28"/>
        </w:rPr>
      </w:pPr>
      <w:r>
        <w:rPr>
          <w:rFonts w:hint="eastAsia" w:eastAsia="黑体"/>
          <w:bCs/>
          <w:sz w:val="28"/>
          <w:szCs w:val="28"/>
        </w:rPr>
        <w:t>6</w:t>
      </w:r>
      <w:r>
        <w:rPr>
          <w:rFonts w:eastAsia="黑体"/>
          <w:bCs/>
          <w:sz w:val="28"/>
          <w:szCs w:val="28"/>
        </w:rPr>
        <w:t>.2.2</w:t>
      </w:r>
      <w:r>
        <w:rPr>
          <w:rFonts w:hint="eastAsia" w:eastAsia="黑体"/>
          <w:bCs/>
          <w:sz w:val="28"/>
          <w:szCs w:val="28"/>
        </w:rPr>
        <w:t>环境风险潜势初判</w:t>
      </w:r>
    </w:p>
    <w:p>
      <w:pPr>
        <w:spacing w:line="520" w:lineRule="exact"/>
        <w:ind w:firstLine="482"/>
        <w:contextualSpacing/>
        <w:rPr>
          <w:kern w:val="0"/>
          <w:sz w:val="24"/>
          <w:szCs w:val="28"/>
          <w:lang w:val="zh-CN"/>
        </w:rPr>
      </w:pPr>
      <w:r>
        <w:rPr>
          <w:rFonts w:hint="eastAsia"/>
          <w:kern w:val="0"/>
          <w:sz w:val="24"/>
          <w:szCs w:val="28"/>
          <w:lang w:val="zh-CN"/>
        </w:rPr>
        <w:t>本项目污水处理站运行过程中会产生氨和硫化氢气体，废气收集后引入</w:t>
      </w:r>
      <w:r>
        <w:rPr>
          <w:rFonts w:hint="eastAsia"/>
          <w:bCs/>
          <w:kern w:val="0"/>
          <w:sz w:val="24"/>
          <w:szCs w:val="28"/>
        </w:rPr>
        <w:t>洗涤除臭装置（碱喷淋+生物除臭剂喷淋）处理，处理后经1</w:t>
      </w:r>
      <w:r>
        <w:rPr>
          <w:bCs/>
          <w:kern w:val="0"/>
          <w:sz w:val="24"/>
          <w:szCs w:val="28"/>
        </w:rPr>
        <w:t>5</w:t>
      </w:r>
      <w:r>
        <w:rPr>
          <w:rFonts w:hint="eastAsia"/>
          <w:bCs/>
          <w:kern w:val="0"/>
          <w:sz w:val="24"/>
          <w:szCs w:val="28"/>
        </w:rPr>
        <w:t>m高排气筒排放。考虑环评最不利原则，将氨和硫化氢的产生量作为最大暂存量。</w:t>
      </w:r>
      <w:r>
        <w:rPr>
          <w:kern w:val="0"/>
          <w:sz w:val="24"/>
          <w:szCs w:val="28"/>
        </w:rPr>
        <w:t>根据《建设项目环境风险评价技术导则》（HJ169</w:t>
      </w:r>
      <w:r>
        <w:rPr>
          <w:rFonts w:hint="eastAsia"/>
          <w:kern w:val="0"/>
          <w:sz w:val="24"/>
          <w:szCs w:val="28"/>
        </w:rPr>
        <w:t>-</w:t>
      </w:r>
      <w:r>
        <w:rPr>
          <w:kern w:val="0"/>
          <w:sz w:val="24"/>
          <w:szCs w:val="28"/>
        </w:rPr>
        <w:t>2018），</w:t>
      </w:r>
      <w:r>
        <w:rPr>
          <w:rFonts w:hint="eastAsia"/>
          <w:kern w:val="0"/>
          <w:sz w:val="24"/>
          <w:szCs w:val="28"/>
        </w:rPr>
        <w:t>硫化氢</w:t>
      </w:r>
      <w:r>
        <w:rPr>
          <w:kern w:val="0"/>
          <w:sz w:val="24"/>
          <w:szCs w:val="28"/>
        </w:rPr>
        <w:t>的临界量为2.5t</w:t>
      </w:r>
      <w:r>
        <w:rPr>
          <w:rFonts w:hint="eastAsia"/>
          <w:kern w:val="0"/>
          <w:sz w:val="24"/>
          <w:szCs w:val="28"/>
        </w:rPr>
        <w:t>，氨的临界量为5</w:t>
      </w:r>
      <w:r>
        <w:rPr>
          <w:kern w:val="0"/>
          <w:sz w:val="24"/>
          <w:szCs w:val="28"/>
        </w:rPr>
        <w:t>t。</w:t>
      </w:r>
      <w:r>
        <w:rPr>
          <w:rFonts w:hint="eastAsia"/>
          <w:kern w:val="0"/>
          <w:sz w:val="24"/>
          <w:szCs w:val="28"/>
          <w:lang w:val="zh-CN"/>
        </w:rPr>
        <w:t>根据</w:t>
      </w:r>
      <w:r>
        <w:rPr>
          <w:kern w:val="0"/>
          <w:sz w:val="24"/>
          <w:szCs w:val="28"/>
          <w:lang w:val="zh-CN"/>
        </w:rPr>
        <w:t>《建设项目环境风险评价技术导则》（HJ/T169-2018）附录C</w:t>
      </w:r>
      <w:r>
        <w:rPr>
          <w:rFonts w:hint="eastAsia"/>
          <w:kern w:val="0"/>
          <w:sz w:val="24"/>
          <w:szCs w:val="28"/>
          <w:lang w:val="zh-CN"/>
        </w:rPr>
        <w:t>，</w:t>
      </w:r>
      <w:r>
        <w:rPr>
          <w:rFonts w:hint="eastAsia"/>
          <w:kern w:val="0"/>
          <w:sz w:val="24"/>
          <w:szCs w:val="28"/>
        </w:rPr>
        <w:t>计算所涉及的每种危险物质在厂界内的最大存在总量与其在附录</w:t>
      </w:r>
      <w:r>
        <w:rPr>
          <w:kern w:val="0"/>
          <w:sz w:val="24"/>
          <w:szCs w:val="28"/>
        </w:rPr>
        <w:t>B</w:t>
      </w:r>
      <w:r>
        <w:rPr>
          <w:rFonts w:hint="eastAsia"/>
          <w:kern w:val="0"/>
          <w:sz w:val="24"/>
          <w:szCs w:val="28"/>
        </w:rPr>
        <w:t>中对应临界量的比值</w:t>
      </w:r>
      <w:r>
        <w:rPr>
          <w:kern w:val="0"/>
          <w:sz w:val="24"/>
          <w:szCs w:val="28"/>
        </w:rPr>
        <w:t>Q</w:t>
      </w:r>
      <w:r>
        <w:rPr>
          <w:rFonts w:hint="eastAsia"/>
          <w:kern w:val="0"/>
          <w:sz w:val="24"/>
          <w:szCs w:val="28"/>
        </w:rPr>
        <w:t>。</w:t>
      </w:r>
    </w:p>
    <w:p>
      <w:pPr>
        <w:spacing w:line="520" w:lineRule="exact"/>
        <w:ind w:firstLine="482"/>
        <w:contextualSpacing/>
        <w:rPr>
          <w:kern w:val="0"/>
          <w:sz w:val="24"/>
          <w:szCs w:val="28"/>
          <w:highlight w:val="yellow"/>
          <w:lang w:val="zh-CN"/>
        </w:rPr>
      </w:pPr>
      <w:r>
        <w:rPr>
          <w:rFonts w:hint="eastAsia"/>
          <w:kern w:val="0"/>
          <w:sz w:val="24"/>
          <w:szCs w:val="28"/>
          <w:lang w:val="zh-CN"/>
        </w:rPr>
        <w:t>当只涉及一种危险物质时，计算该物质的总量与其临界量比值，即为Q。则</w:t>
      </w:r>
      <w:r>
        <w:rPr>
          <w:kern w:val="0"/>
          <w:sz w:val="24"/>
          <w:szCs w:val="28"/>
          <w:lang w:val="zh-CN"/>
        </w:rPr>
        <w:t>本项目物质总量与临界量比值：Q=0.4739＜1</w:t>
      </w:r>
      <w:r>
        <w:rPr>
          <w:rFonts w:hint="eastAsia"/>
          <w:kern w:val="0"/>
          <w:sz w:val="24"/>
          <w:szCs w:val="28"/>
          <w:lang w:val="zh-CN"/>
        </w:rPr>
        <w:t>，</w:t>
      </w:r>
      <w:r>
        <w:rPr>
          <w:kern w:val="0"/>
          <w:sz w:val="24"/>
          <w:szCs w:val="28"/>
        </w:rPr>
        <w:t>因此，本项目环境风险潜势为Ⅰ。</w:t>
      </w:r>
    </w:p>
    <w:p>
      <w:pPr>
        <w:keepNext/>
        <w:keepLines/>
        <w:spacing w:line="520" w:lineRule="exact"/>
        <w:outlineLvl w:val="2"/>
        <w:rPr>
          <w:rFonts w:eastAsia="黑体"/>
          <w:bCs/>
          <w:sz w:val="28"/>
          <w:szCs w:val="28"/>
        </w:rPr>
      </w:pPr>
      <w:r>
        <w:rPr>
          <w:rFonts w:hint="eastAsia" w:eastAsia="黑体"/>
          <w:bCs/>
          <w:sz w:val="28"/>
          <w:szCs w:val="28"/>
        </w:rPr>
        <w:t>6</w:t>
      </w:r>
      <w:r>
        <w:rPr>
          <w:rFonts w:eastAsia="黑体"/>
          <w:bCs/>
          <w:sz w:val="28"/>
          <w:szCs w:val="28"/>
        </w:rPr>
        <w:t>.2.3</w:t>
      </w:r>
      <w:r>
        <w:rPr>
          <w:rFonts w:hint="eastAsia" w:eastAsia="黑体"/>
          <w:bCs/>
          <w:sz w:val="28"/>
          <w:szCs w:val="28"/>
        </w:rPr>
        <w:t>评价等级</w:t>
      </w:r>
    </w:p>
    <w:p>
      <w:pPr>
        <w:spacing w:line="500" w:lineRule="exact"/>
        <w:ind w:firstLine="482"/>
        <w:contextualSpacing/>
        <w:rPr>
          <w:kern w:val="0"/>
          <w:sz w:val="24"/>
          <w:szCs w:val="28"/>
        </w:rPr>
      </w:pPr>
      <w:r>
        <w:rPr>
          <w:kern w:val="0"/>
          <w:sz w:val="24"/>
          <w:szCs w:val="28"/>
        </w:rPr>
        <w:t>根据《建设项目环境风险评价技术导则》（HJ169-2018）中</w:t>
      </w:r>
      <w:r>
        <w:rPr>
          <w:rFonts w:hint="eastAsia"/>
          <w:kern w:val="0"/>
          <w:sz w:val="24"/>
          <w:szCs w:val="28"/>
        </w:rPr>
        <w:t>4</w:t>
      </w:r>
      <w:r>
        <w:rPr>
          <w:kern w:val="0"/>
          <w:sz w:val="24"/>
          <w:szCs w:val="28"/>
        </w:rPr>
        <w:t>.3评价工作等级划分依据如下：</w:t>
      </w:r>
    </w:p>
    <w:p>
      <w:pPr>
        <w:spacing w:line="520" w:lineRule="exact"/>
        <w:ind w:firstLine="482"/>
        <w:rPr>
          <w:rFonts w:eastAsia="黑体"/>
          <w:sz w:val="24"/>
          <w:szCs w:val="24"/>
        </w:rPr>
      </w:pPr>
      <w:r>
        <w:rPr>
          <w:rFonts w:eastAsia="黑体"/>
          <w:sz w:val="24"/>
          <w:szCs w:val="24"/>
        </w:rPr>
        <w:t>表6.2-2               评价区域敏感点情况</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789"/>
        <w:gridCol w:w="1788"/>
        <w:gridCol w:w="1790"/>
        <w:gridCol w:w="17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789" w:type="dxa"/>
            <w:shd w:val="clear" w:color="auto" w:fill="auto"/>
            <w:vAlign w:val="center"/>
          </w:tcPr>
          <w:p>
            <w:pPr>
              <w:autoSpaceDE w:val="0"/>
              <w:autoSpaceDN w:val="0"/>
              <w:adjustRightInd w:val="0"/>
              <w:spacing w:before="62" w:after="62"/>
              <w:jc w:val="center"/>
              <w:rPr>
                <w:kern w:val="0"/>
                <w:szCs w:val="21"/>
              </w:rPr>
            </w:pPr>
            <w:r>
              <w:rPr>
                <w:kern w:val="0"/>
                <w:szCs w:val="21"/>
              </w:rPr>
              <w:t>环境风险潜势</w:t>
            </w:r>
          </w:p>
        </w:tc>
        <w:tc>
          <w:tcPr>
            <w:tcW w:w="1789" w:type="dxa"/>
            <w:shd w:val="clear" w:color="auto" w:fill="auto"/>
            <w:vAlign w:val="center"/>
          </w:tcPr>
          <w:p>
            <w:pPr>
              <w:autoSpaceDE w:val="0"/>
              <w:autoSpaceDN w:val="0"/>
              <w:adjustRightInd w:val="0"/>
              <w:spacing w:before="62" w:after="62"/>
              <w:jc w:val="center"/>
              <w:rPr>
                <w:kern w:val="0"/>
                <w:szCs w:val="21"/>
              </w:rPr>
            </w:pPr>
            <w:r>
              <w:rPr>
                <w:kern w:val="0"/>
                <w:szCs w:val="21"/>
              </w:rPr>
              <w:t>Ⅳ、Ⅳ</w:t>
            </w:r>
            <w:r>
              <w:rPr>
                <w:kern w:val="0"/>
                <w:szCs w:val="21"/>
                <w:vertAlign w:val="superscript"/>
              </w:rPr>
              <w:t>+</w:t>
            </w:r>
          </w:p>
        </w:tc>
        <w:tc>
          <w:tcPr>
            <w:tcW w:w="1788" w:type="dxa"/>
            <w:shd w:val="clear" w:color="auto" w:fill="auto"/>
            <w:vAlign w:val="center"/>
          </w:tcPr>
          <w:p>
            <w:pPr>
              <w:autoSpaceDE w:val="0"/>
              <w:autoSpaceDN w:val="0"/>
              <w:adjustRightInd w:val="0"/>
              <w:spacing w:before="62" w:after="62"/>
              <w:jc w:val="center"/>
              <w:rPr>
                <w:kern w:val="0"/>
                <w:szCs w:val="21"/>
              </w:rPr>
            </w:pPr>
            <w:r>
              <w:rPr>
                <w:kern w:val="0"/>
                <w:szCs w:val="21"/>
              </w:rPr>
              <w:t>Ⅲ</w:t>
            </w:r>
          </w:p>
        </w:tc>
        <w:tc>
          <w:tcPr>
            <w:tcW w:w="1790" w:type="dxa"/>
            <w:shd w:val="clear" w:color="auto" w:fill="auto"/>
            <w:vAlign w:val="center"/>
          </w:tcPr>
          <w:p>
            <w:pPr>
              <w:autoSpaceDE w:val="0"/>
              <w:autoSpaceDN w:val="0"/>
              <w:adjustRightInd w:val="0"/>
              <w:spacing w:before="62" w:after="62"/>
              <w:jc w:val="center"/>
              <w:rPr>
                <w:kern w:val="0"/>
                <w:szCs w:val="21"/>
              </w:rPr>
            </w:pPr>
            <w:r>
              <w:rPr>
                <w:kern w:val="0"/>
                <w:szCs w:val="21"/>
              </w:rPr>
              <w:t>Ⅱ</w:t>
            </w:r>
          </w:p>
        </w:tc>
        <w:tc>
          <w:tcPr>
            <w:tcW w:w="1790" w:type="dxa"/>
            <w:shd w:val="clear" w:color="auto" w:fill="auto"/>
            <w:vAlign w:val="center"/>
          </w:tcPr>
          <w:p>
            <w:pPr>
              <w:autoSpaceDE w:val="0"/>
              <w:autoSpaceDN w:val="0"/>
              <w:adjustRightInd w:val="0"/>
              <w:spacing w:before="62" w:after="62"/>
              <w:jc w:val="center"/>
              <w:rPr>
                <w:kern w:val="0"/>
                <w:szCs w:val="21"/>
              </w:rPr>
            </w:pPr>
            <w:r>
              <w:rPr>
                <w:kern w:val="0"/>
                <w:szCs w:val="21"/>
              </w:rPr>
              <w:t>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shd w:val="clear" w:color="auto" w:fill="auto"/>
            <w:vAlign w:val="center"/>
          </w:tcPr>
          <w:p>
            <w:pPr>
              <w:autoSpaceDE w:val="0"/>
              <w:autoSpaceDN w:val="0"/>
              <w:adjustRightInd w:val="0"/>
              <w:spacing w:before="62" w:after="62"/>
              <w:jc w:val="center"/>
              <w:rPr>
                <w:kern w:val="0"/>
                <w:szCs w:val="21"/>
              </w:rPr>
            </w:pPr>
            <w:r>
              <w:rPr>
                <w:kern w:val="0"/>
                <w:szCs w:val="21"/>
              </w:rPr>
              <w:t>评价工作等级</w:t>
            </w:r>
          </w:p>
        </w:tc>
        <w:tc>
          <w:tcPr>
            <w:tcW w:w="1789" w:type="dxa"/>
            <w:shd w:val="clear" w:color="auto" w:fill="auto"/>
            <w:vAlign w:val="center"/>
          </w:tcPr>
          <w:p>
            <w:pPr>
              <w:autoSpaceDE w:val="0"/>
              <w:autoSpaceDN w:val="0"/>
              <w:adjustRightInd w:val="0"/>
              <w:spacing w:before="62" w:after="62"/>
              <w:jc w:val="center"/>
              <w:rPr>
                <w:kern w:val="0"/>
                <w:szCs w:val="21"/>
              </w:rPr>
            </w:pPr>
            <w:r>
              <w:rPr>
                <w:kern w:val="0"/>
                <w:szCs w:val="21"/>
              </w:rPr>
              <w:t>一</w:t>
            </w:r>
          </w:p>
        </w:tc>
        <w:tc>
          <w:tcPr>
            <w:tcW w:w="1788" w:type="dxa"/>
            <w:shd w:val="clear" w:color="auto" w:fill="auto"/>
            <w:vAlign w:val="center"/>
          </w:tcPr>
          <w:p>
            <w:pPr>
              <w:autoSpaceDE w:val="0"/>
              <w:autoSpaceDN w:val="0"/>
              <w:adjustRightInd w:val="0"/>
              <w:spacing w:before="62" w:after="62"/>
              <w:jc w:val="center"/>
              <w:rPr>
                <w:kern w:val="0"/>
                <w:szCs w:val="21"/>
              </w:rPr>
            </w:pPr>
            <w:r>
              <w:rPr>
                <w:kern w:val="0"/>
                <w:szCs w:val="21"/>
              </w:rPr>
              <w:t>二</w:t>
            </w:r>
          </w:p>
        </w:tc>
        <w:tc>
          <w:tcPr>
            <w:tcW w:w="1790" w:type="dxa"/>
            <w:shd w:val="clear" w:color="auto" w:fill="auto"/>
            <w:vAlign w:val="center"/>
          </w:tcPr>
          <w:p>
            <w:pPr>
              <w:autoSpaceDE w:val="0"/>
              <w:autoSpaceDN w:val="0"/>
              <w:adjustRightInd w:val="0"/>
              <w:spacing w:before="62" w:after="62"/>
              <w:jc w:val="center"/>
              <w:rPr>
                <w:kern w:val="0"/>
                <w:szCs w:val="21"/>
              </w:rPr>
            </w:pPr>
            <w:r>
              <w:rPr>
                <w:kern w:val="0"/>
                <w:szCs w:val="21"/>
              </w:rPr>
              <w:t>三</w:t>
            </w:r>
          </w:p>
        </w:tc>
        <w:tc>
          <w:tcPr>
            <w:tcW w:w="1790" w:type="dxa"/>
            <w:shd w:val="clear" w:color="auto" w:fill="auto"/>
            <w:vAlign w:val="center"/>
          </w:tcPr>
          <w:p>
            <w:pPr>
              <w:autoSpaceDE w:val="0"/>
              <w:autoSpaceDN w:val="0"/>
              <w:adjustRightInd w:val="0"/>
              <w:spacing w:before="62" w:after="62"/>
              <w:jc w:val="center"/>
              <w:rPr>
                <w:kern w:val="0"/>
                <w:szCs w:val="21"/>
              </w:rPr>
            </w:pPr>
            <w:r>
              <w:rPr>
                <w:kern w:val="0"/>
                <w:szCs w:val="21"/>
              </w:rPr>
              <w:t>简单分析</w:t>
            </w:r>
            <w:r>
              <w:rPr>
                <w:rFonts w:hint="eastAsia"/>
                <w:kern w:val="0"/>
                <w:szCs w:val="21"/>
                <w:vertAlign w:val="superscript"/>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6" w:type="dxa"/>
            <w:gridSpan w:val="5"/>
            <w:shd w:val="clear" w:color="auto" w:fill="auto"/>
            <w:vAlign w:val="center"/>
          </w:tcPr>
          <w:p>
            <w:pPr>
              <w:widowControl/>
              <w:jc w:val="left"/>
              <w:rPr>
                <w:szCs w:val="21"/>
              </w:rPr>
            </w:pPr>
            <w:r>
              <w:rPr>
                <w:kern w:val="0"/>
                <w:szCs w:val="21"/>
                <w:lang w:bidi="ar"/>
              </w:rPr>
              <w:t xml:space="preserve">a </w:t>
            </w:r>
            <w:r>
              <w:rPr>
                <w:rFonts w:hint="eastAsia" w:ascii="宋体" w:hAnsi="宋体" w:cs="宋体"/>
                <w:kern w:val="0"/>
                <w:szCs w:val="21"/>
                <w:lang w:bidi="ar"/>
              </w:rPr>
              <w:t>是相对于详细评价工作内容而言，在描述危险物质、环境影响途径、环境危害后果、风险防范措施等方面给出定性说明。见附录</w:t>
            </w:r>
            <w:r>
              <w:rPr>
                <w:kern w:val="0"/>
                <w:szCs w:val="21"/>
                <w:lang w:bidi="ar"/>
              </w:rPr>
              <w:t>A</w:t>
            </w:r>
            <w:r>
              <w:rPr>
                <w:rFonts w:hint="eastAsia" w:ascii="宋体" w:hAnsi="宋体" w:cs="宋体"/>
                <w:kern w:val="0"/>
                <w:szCs w:val="21"/>
                <w:lang w:bidi="ar"/>
              </w:rPr>
              <w:t>。</w:t>
            </w:r>
          </w:p>
        </w:tc>
      </w:tr>
    </w:tbl>
    <w:p>
      <w:pPr>
        <w:spacing w:line="520" w:lineRule="exact"/>
        <w:ind w:firstLine="480" w:firstLineChars="200"/>
        <w:contextualSpacing/>
        <w:rPr>
          <w:kern w:val="0"/>
          <w:sz w:val="24"/>
          <w:szCs w:val="28"/>
        </w:rPr>
      </w:pPr>
      <w:r>
        <w:rPr>
          <w:rFonts w:hint="eastAsia"/>
          <w:kern w:val="0"/>
          <w:sz w:val="24"/>
          <w:szCs w:val="28"/>
        </w:rPr>
        <w:t>因此，</w:t>
      </w:r>
      <w:r>
        <w:rPr>
          <w:kern w:val="0"/>
          <w:sz w:val="24"/>
          <w:szCs w:val="28"/>
        </w:rPr>
        <w:t>本项目评价工作等级为简单分析。</w:t>
      </w:r>
    </w:p>
    <w:p>
      <w:pPr>
        <w:keepNext/>
        <w:keepLines/>
        <w:spacing w:line="520" w:lineRule="exact"/>
        <w:outlineLvl w:val="1"/>
        <w:rPr>
          <w:rFonts w:eastAsia="黑体"/>
          <w:bCs/>
          <w:sz w:val="28"/>
          <w:szCs w:val="28"/>
        </w:rPr>
      </w:pPr>
      <w:bookmarkStart w:id="152" w:name="_Toc25943"/>
      <w:r>
        <w:rPr>
          <w:rFonts w:hint="eastAsia" w:eastAsia="黑体"/>
          <w:bCs/>
          <w:sz w:val="28"/>
          <w:szCs w:val="28"/>
        </w:rPr>
        <w:t>6</w:t>
      </w:r>
      <w:r>
        <w:rPr>
          <w:rFonts w:eastAsia="黑体"/>
          <w:bCs/>
          <w:sz w:val="28"/>
          <w:szCs w:val="28"/>
        </w:rPr>
        <w:t xml:space="preserve">.3 </w:t>
      </w:r>
      <w:r>
        <w:rPr>
          <w:rFonts w:hint="eastAsia" w:eastAsia="黑体"/>
          <w:bCs/>
          <w:sz w:val="28"/>
          <w:szCs w:val="28"/>
        </w:rPr>
        <w:t>环境敏感目标概况</w:t>
      </w:r>
      <w:bookmarkEnd w:id="152"/>
    </w:p>
    <w:p>
      <w:pPr>
        <w:spacing w:before="120" w:line="520" w:lineRule="exact"/>
        <w:ind w:firstLine="480"/>
        <w:contextualSpacing/>
        <w:rPr>
          <w:kern w:val="0"/>
          <w:sz w:val="28"/>
          <w:szCs w:val="28"/>
          <w:highlight w:val="yellow"/>
          <w:lang w:val="zh-CN"/>
        </w:rPr>
      </w:pPr>
      <w:r>
        <w:rPr>
          <w:kern w:val="0"/>
          <w:sz w:val="24"/>
          <w:szCs w:val="28"/>
          <w:lang w:val="zh-CN"/>
        </w:rPr>
        <w:t>本项目周边</w:t>
      </w:r>
      <w:r>
        <w:rPr>
          <w:rFonts w:hint="eastAsia"/>
          <w:kern w:val="0"/>
          <w:sz w:val="24"/>
          <w:szCs w:val="28"/>
          <w:lang w:val="zh-CN"/>
        </w:rPr>
        <w:t>5</w:t>
      </w:r>
      <w:r>
        <w:rPr>
          <w:kern w:val="0"/>
          <w:sz w:val="24"/>
          <w:szCs w:val="28"/>
          <w:lang w:val="zh-CN"/>
        </w:rPr>
        <w:t>km</w:t>
      </w:r>
      <w:r>
        <w:rPr>
          <w:rFonts w:hint="eastAsia"/>
          <w:kern w:val="0"/>
          <w:sz w:val="24"/>
          <w:szCs w:val="28"/>
          <w:lang w:val="zh-CN"/>
        </w:rPr>
        <w:t>范围内</w:t>
      </w:r>
      <w:r>
        <w:rPr>
          <w:kern w:val="0"/>
          <w:sz w:val="24"/>
          <w:szCs w:val="28"/>
          <w:lang w:val="zh-CN"/>
        </w:rPr>
        <w:t>环境敏感目标</w:t>
      </w:r>
      <w:r>
        <w:rPr>
          <w:rFonts w:hint="eastAsia"/>
          <w:kern w:val="0"/>
          <w:sz w:val="24"/>
          <w:szCs w:val="28"/>
          <w:lang w:val="zh-CN"/>
        </w:rPr>
        <w:t>示意图见下图，敏感目标</w:t>
      </w:r>
      <w:r>
        <w:rPr>
          <w:kern w:val="0"/>
          <w:sz w:val="24"/>
          <w:szCs w:val="28"/>
          <w:lang w:val="zh-CN"/>
        </w:rPr>
        <w:t>相关信息见下表。</w:t>
      </w:r>
    </w:p>
    <w:p>
      <w:pPr>
        <w:ind w:left="-99" w:leftChars="-59" w:hanging="25" w:hangingChars="9"/>
        <w:jc w:val="center"/>
        <w:rPr>
          <w:rFonts w:eastAsia="黑体"/>
          <w:b/>
          <w:sz w:val="28"/>
          <w:szCs w:val="24"/>
          <w:highlight w:val="yellow"/>
        </w:rPr>
      </w:pPr>
      <w:r>
        <w:rPr>
          <w:sz w:val="28"/>
          <w:szCs w:val="24"/>
        </w:rPr>
        <w:drawing>
          <wp:inline distT="0" distB="0" distL="0" distR="0">
            <wp:extent cx="4625340" cy="4511040"/>
            <wp:effectExtent l="0" t="0" r="3810" b="3810"/>
            <wp:docPr id="204790373" name="图片 37"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0373" name="图片 37" descr="地图&#10;&#10;描述已自动生成"/>
                    <pic:cNvPicPr>
                      <a:picLocks noChangeAspect="1" noChangeArrowheads="1"/>
                    </pic:cNvPicPr>
                  </pic:nvPicPr>
                  <pic:blipFill>
                    <a:blip r:embed="rId202"/>
                    <a:srcRect/>
                    <a:stretch>
                      <a:fillRect/>
                    </a:stretch>
                  </pic:blipFill>
                  <pic:spPr>
                    <a:xfrm>
                      <a:off x="0" y="0"/>
                      <a:ext cx="4625340" cy="4511040"/>
                    </a:xfrm>
                    <a:prstGeom prst="rect">
                      <a:avLst/>
                    </a:prstGeom>
                    <a:noFill/>
                    <a:ln>
                      <a:noFill/>
                    </a:ln>
                  </pic:spPr>
                </pic:pic>
              </a:graphicData>
            </a:graphic>
          </wp:inline>
        </w:drawing>
      </w:r>
    </w:p>
    <w:p>
      <w:pPr>
        <w:jc w:val="center"/>
        <w:rPr>
          <w:rFonts w:eastAsia="黑体"/>
          <w:sz w:val="24"/>
          <w:szCs w:val="24"/>
        </w:rPr>
      </w:pPr>
      <w:r>
        <w:rPr>
          <w:rFonts w:eastAsia="黑体"/>
          <w:sz w:val="24"/>
          <w:szCs w:val="24"/>
        </w:rPr>
        <w:t>图6.3-1   本项目四周环境敏感点示意图</w:t>
      </w:r>
    </w:p>
    <w:p>
      <w:pPr>
        <w:spacing w:line="520" w:lineRule="exact"/>
        <w:ind w:firstLine="482"/>
        <w:rPr>
          <w:rFonts w:eastAsia="黑体"/>
          <w:sz w:val="24"/>
          <w:szCs w:val="24"/>
        </w:rPr>
      </w:pPr>
      <w:r>
        <w:rPr>
          <w:rFonts w:eastAsia="黑体"/>
          <w:sz w:val="24"/>
          <w:szCs w:val="24"/>
        </w:rPr>
        <w:t>表6.3-1               评价区域敏感点情况</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691"/>
        <w:gridCol w:w="696"/>
        <w:gridCol w:w="2269"/>
        <w:gridCol w:w="1684"/>
        <w:gridCol w:w="1074"/>
        <w:gridCol w:w="1224"/>
        <w:gridCol w:w="130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tcBorders>
              <w:top w:val="single" w:color="auto" w:sz="8" w:space="0"/>
              <w:left w:val="single" w:color="auto" w:sz="8" w:space="0"/>
              <w:bottom w:val="single" w:color="auto" w:sz="4" w:space="0"/>
              <w:right w:val="single" w:color="auto" w:sz="4" w:space="0"/>
            </w:tcBorders>
            <w:vAlign w:val="center"/>
          </w:tcPr>
          <w:p>
            <w:pPr>
              <w:jc w:val="center"/>
              <w:rPr>
                <w:b/>
                <w:szCs w:val="21"/>
              </w:rPr>
            </w:pPr>
            <w:r>
              <w:rPr>
                <w:b/>
                <w:szCs w:val="21"/>
              </w:rPr>
              <w:t>类别</w:t>
            </w:r>
          </w:p>
        </w:tc>
        <w:tc>
          <w:tcPr>
            <w:tcW w:w="4613" w:type="pct"/>
            <w:gridSpan w:val="6"/>
            <w:tcBorders>
              <w:top w:val="single" w:color="auto" w:sz="8" w:space="0"/>
              <w:left w:val="single" w:color="auto" w:sz="8" w:space="0"/>
              <w:bottom w:val="single" w:color="auto" w:sz="4" w:space="0"/>
              <w:right w:val="single" w:color="auto" w:sz="8" w:space="0"/>
            </w:tcBorders>
            <w:vAlign w:val="center"/>
          </w:tcPr>
          <w:p>
            <w:pPr>
              <w:jc w:val="center"/>
              <w:rPr>
                <w:b/>
                <w:szCs w:val="21"/>
              </w:rPr>
            </w:pPr>
            <w:r>
              <w:rPr>
                <w:b/>
                <w:szCs w:val="21"/>
              </w:rPr>
              <w:t>环境敏感特征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restart"/>
            <w:tcBorders>
              <w:top w:val="single" w:color="auto" w:sz="8" w:space="0"/>
              <w:left w:val="single" w:color="auto" w:sz="8" w:space="0"/>
              <w:right w:val="single" w:color="auto" w:sz="4" w:space="0"/>
            </w:tcBorders>
            <w:vAlign w:val="center"/>
          </w:tcPr>
          <w:p>
            <w:pPr>
              <w:jc w:val="center"/>
              <w:rPr>
                <w:b/>
                <w:szCs w:val="21"/>
              </w:rPr>
            </w:pPr>
            <w:r>
              <w:rPr>
                <w:b/>
                <w:szCs w:val="21"/>
              </w:rPr>
              <w:t>环境空气</w:t>
            </w:r>
          </w:p>
        </w:tc>
        <w:tc>
          <w:tcPr>
            <w:tcW w:w="4613" w:type="pct"/>
            <w:gridSpan w:val="6"/>
            <w:tcBorders>
              <w:top w:val="single" w:color="auto" w:sz="8" w:space="0"/>
              <w:left w:val="single" w:color="auto" w:sz="8" w:space="0"/>
              <w:bottom w:val="single" w:color="auto" w:sz="4" w:space="0"/>
              <w:right w:val="single" w:color="auto" w:sz="8" w:space="0"/>
            </w:tcBorders>
            <w:vAlign w:val="center"/>
          </w:tcPr>
          <w:p>
            <w:pPr>
              <w:jc w:val="center"/>
              <w:rPr>
                <w:b/>
                <w:szCs w:val="21"/>
              </w:rPr>
            </w:pPr>
            <w:r>
              <w:rPr>
                <w:b/>
                <w:szCs w:val="21"/>
              </w:rPr>
              <w:t>厂址周边</w:t>
            </w:r>
            <w:r>
              <w:rPr>
                <w:b/>
                <w:szCs w:val="21"/>
                <w:lang w:bidi="en-US"/>
              </w:rPr>
              <w:t>5km</w:t>
            </w:r>
            <w:r>
              <w:rPr>
                <w:b/>
                <w:szCs w:val="21"/>
              </w:rPr>
              <w:t>范围内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
                <w:szCs w:val="21"/>
              </w:rPr>
            </w:pPr>
          </w:p>
        </w:tc>
        <w:tc>
          <w:tcPr>
            <w:tcW w:w="389" w:type="pct"/>
            <w:tcBorders>
              <w:top w:val="single" w:color="auto" w:sz="8" w:space="0"/>
              <w:left w:val="single" w:color="auto" w:sz="8" w:space="0"/>
              <w:bottom w:val="single" w:color="auto" w:sz="4" w:space="0"/>
              <w:right w:val="single" w:color="auto" w:sz="4" w:space="0"/>
            </w:tcBorders>
            <w:vAlign w:val="center"/>
          </w:tcPr>
          <w:p>
            <w:pPr>
              <w:jc w:val="center"/>
              <w:rPr>
                <w:b/>
                <w:szCs w:val="21"/>
              </w:rPr>
            </w:pPr>
            <w:r>
              <w:rPr>
                <w:b/>
                <w:szCs w:val="21"/>
              </w:rPr>
              <w:t>序列</w:t>
            </w:r>
          </w:p>
        </w:tc>
        <w:tc>
          <w:tcPr>
            <w:tcW w:w="1268" w:type="pct"/>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保护目标</w:t>
            </w:r>
          </w:p>
        </w:tc>
        <w:tc>
          <w:tcPr>
            <w:tcW w:w="941" w:type="pct"/>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相对方位</w:t>
            </w:r>
          </w:p>
        </w:tc>
        <w:tc>
          <w:tcPr>
            <w:tcW w:w="600" w:type="pct"/>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距离(m)</w:t>
            </w:r>
          </w:p>
        </w:tc>
        <w:tc>
          <w:tcPr>
            <w:tcW w:w="684" w:type="pct"/>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属性</w:t>
            </w:r>
          </w:p>
        </w:tc>
        <w:tc>
          <w:tcPr>
            <w:tcW w:w="730" w:type="pct"/>
            <w:tcBorders>
              <w:top w:val="single" w:color="auto" w:sz="8" w:space="0"/>
              <w:left w:val="single" w:color="auto" w:sz="4" w:space="0"/>
              <w:bottom w:val="single" w:color="auto" w:sz="4" w:space="0"/>
              <w:right w:val="single" w:color="auto" w:sz="8" w:space="0"/>
            </w:tcBorders>
            <w:vAlign w:val="center"/>
          </w:tcPr>
          <w:p>
            <w:pPr>
              <w:jc w:val="center"/>
              <w:rPr>
                <w:b/>
                <w:szCs w:val="21"/>
              </w:rPr>
            </w:pPr>
            <w:r>
              <w:rPr>
                <w:b/>
                <w:szCs w:val="21"/>
              </w:rPr>
              <w:t>人口</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1</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小庄村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东</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kern w:val="0"/>
                <w:szCs w:val="21"/>
              </w:rPr>
              <w:t>紧邻</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1774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2</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袁庄</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东南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370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3540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3</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李学彦村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东南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1770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1010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4</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魏店村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1740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3000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5</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毛庄</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2480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330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6</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小李庄村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2330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885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7</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丁庄村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1550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750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8</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天润中学</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520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文化教育区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3128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9</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棘针坟村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1890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1935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10</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尹圪垱村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1740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3543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11</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葛庄村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1860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2490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12</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樊庄村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西北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940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2700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13</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胡庄村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西北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1550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1904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14</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安庄村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西北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690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2128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15</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胡沙窝村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西北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1240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3137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16</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朱柳园村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西北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2230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3194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17</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娄庄村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2330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2345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18</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范堤口村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1970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3018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19</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张庄村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1590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3224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20</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东辉 蓝堡湾</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2250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4872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21</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东辉 理想城</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2320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4658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22</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聚龙社区</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870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3600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23</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原阳县第三完全小学</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1150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文化教育区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470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24</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葛埠口乡二中</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1580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文化教育区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320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25</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原阳县人民医院</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1280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bCs/>
                <w:szCs w:val="21"/>
              </w:rPr>
              <w:t>医疗卫生区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kern w:val="0"/>
                <w:szCs w:val="21"/>
              </w:rPr>
              <w:t>4325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26</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大张寨村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2910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4160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27</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卢圪垱村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4020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2355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28</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游堂村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2790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1000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29</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路胡同村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4360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30</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娄新庄</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4710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31</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小王庄村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3960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330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32</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靳庄村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4150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455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33</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郭庄</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4630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270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34</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东合角村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3600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2120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35</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西合角村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4500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800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36</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小徐庄村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4540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430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37</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邢庄村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4010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540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38</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大徐庄村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2870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1660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39</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何店村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3660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2846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40</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五柳集村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3720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3683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41</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姬庄村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3490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360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42</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西白庙</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3300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2697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43</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新白庙</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4230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375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44</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东白庙</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3750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180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45</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原阳县第一中学</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3910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文化教育区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4100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46</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华龙 壹号院</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3320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2460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47</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祥云花园</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2950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560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48</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福祥名都</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3780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2800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49</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三鑫和谐社区</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2530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1500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50</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乾华怡心园</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2720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1800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51</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龙辉 家天下</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2520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3500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52</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上宅公园世纪</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2700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6500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53</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华龙尚郡</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3020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4700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54</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原阳县中医院</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3450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医疗卫生区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2236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55</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名门府邸</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3550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3600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56</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名门世家</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3820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3700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57</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盛世佳苑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3440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4800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58</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鑫源花园</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3740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4200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59</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翰林华府</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4070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1000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60</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原阳县新城思谦学校</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4290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文化教育区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4600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61</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阳光新城</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4390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2400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62</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阳光新天地</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4070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2400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63</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阳光珑府</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3880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1800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64</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建业城</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4300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3200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65</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华龙澜园</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4470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66</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锦绣华城</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4400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3000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67</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富盛维多利亚</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4090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3600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68</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任庄村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3290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2545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69</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薛庄村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2660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955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70</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马庄村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3200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1070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71</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祖师庙村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3210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2740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72</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夏庄村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3590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770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73</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毛魁吾庄</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3880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1715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74</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曹庄村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4450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690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75</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毛西城庄</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4530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716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76</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城关镇</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3220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17700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77</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安阳学院（原阳校区）</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2600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文化教育区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18000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78</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原阳正商金域世家</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2570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2530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79</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汤庄村</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东南</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4450</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kern w:val="0"/>
                <w:szCs w:val="21"/>
              </w:rPr>
              <w:t>居住区</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780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bottom w:val="single" w:color="auto" w:sz="4"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合计</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w:t>
            </w:r>
          </w:p>
        </w:tc>
        <w:tc>
          <w:tcPr>
            <w:tcW w:w="600"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w:t>
            </w:r>
          </w:p>
        </w:tc>
        <w:tc>
          <w:tcPr>
            <w:tcW w:w="684"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207548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restart"/>
            <w:tcBorders>
              <w:top w:val="single" w:color="auto" w:sz="4" w:space="0"/>
              <w:left w:val="single" w:color="auto" w:sz="8" w:space="0"/>
              <w:right w:val="single" w:color="auto" w:sz="4" w:space="0"/>
            </w:tcBorders>
            <w:vAlign w:val="center"/>
          </w:tcPr>
          <w:p>
            <w:pPr>
              <w:jc w:val="center"/>
              <w:rPr>
                <w:bCs/>
                <w:szCs w:val="21"/>
              </w:rPr>
            </w:pPr>
            <w:r>
              <w:rPr>
                <w:bCs/>
                <w:szCs w:val="21"/>
              </w:rPr>
              <w:t>地表水</w:t>
            </w:r>
          </w:p>
        </w:tc>
        <w:tc>
          <w:tcPr>
            <w:tcW w:w="4613" w:type="pct"/>
            <w:gridSpan w:val="6"/>
            <w:tcBorders>
              <w:top w:val="single" w:color="auto" w:sz="4" w:space="0"/>
              <w:left w:val="single" w:color="auto" w:sz="8" w:space="0"/>
              <w:bottom w:val="single" w:color="auto" w:sz="4" w:space="0"/>
              <w:right w:val="single" w:color="auto" w:sz="8" w:space="0"/>
            </w:tcBorders>
            <w:vAlign w:val="center"/>
          </w:tcPr>
          <w:p>
            <w:pPr>
              <w:jc w:val="center"/>
              <w:rPr>
                <w:bCs/>
                <w:szCs w:val="21"/>
              </w:rPr>
            </w:pPr>
            <w:r>
              <w:rPr>
                <w:bCs/>
                <w:szCs w:val="21"/>
              </w:rPr>
              <w:t>受纳水体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序号</w:t>
            </w:r>
          </w:p>
        </w:tc>
        <w:tc>
          <w:tcPr>
            <w:tcW w:w="2209" w:type="pct"/>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受纳水体名称</w:t>
            </w:r>
          </w:p>
        </w:tc>
        <w:tc>
          <w:tcPr>
            <w:tcW w:w="1284" w:type="pct"/>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排放点水域环境功能</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距离/m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bottom w:val="single" w:color="auto" w:sz="4" w:space="0"/>
              <w:right w:val="single" w:color="auto" w:sz="4" w:space="0"/>
            </w:tcBorders>
            <w:vAlign w:val="center"/>
          </w:tcPr>
          <w:p>
            <w:pPr>
              <w:jc w:val="center"/>
              <w:rPr>
                <w:bCs/>
                <w:szCs w:val="21"/>
              </w:rPr>
            </w:pP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1</w:t>
            </w:r>
          </w:p>
        </w:tc>
        <w:tc>
          <w:tcPr>
            <w:tcW w:w="2209" w:type="pct"/>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东关排</w:t>
            </w:r>
          </w:p>
        </w:tc>
        <w:tc>
          <w:tcPr>
            <w:tcW w:w="1284" w:type="pct"/>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Ⅲ类</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4380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restart"/>
            <w:tcBorders>
              <w:top w:val="single" w:color="auto" w:sz="4" w:space="0"/>
              <w:left w:val="single" w:color="auto" w:sz="8" w:space="0"/>
              <w:right w:val="single" w:color="auto" w:sz="4" w:space="0"/>
            </w:tcBorders>
            <w:vAlign w:val="center"/>
          </w:tcPr>
          <w:p>
            <w:pPr>
              <w:jc w:val="center"/>
              <w:rPr>
                <w:bCs/>
                <w:szCs w:val="21"/>
              </w:rPr>
            </w:pPr>
            <w:r>
              <w:rPr>
                <w:bCs/>
                <w:szCs w:val="21"/>
              </w:rPr>
              <w:t>地下水</w:t>
            </w:r>
          </w:p>
        </w:tc>
        <w:tc>
          <w:tcPr>
            <w:tcW w:w="389" w:type="pct"/>
            <w:tcBorders>
              <w:top w:val="single" w:color="auto" w:sz="4" w:space="0"/>
              <w:left w:val="single" w:color="auto" w:sz="8" w:space="0"/>
              <w:bottom w:val="single" w:color="auto" w:sz="4" w:space="0"/>
              <w:right w:val="single" w:color="auto" w:sz="4" w:space="0"/>
            </w:tcBorders>
            <w:vAlign w:val="center"/>
          </w:tcPr>
          <w:p>
            <w:pPr>
              <w:jc w:val="center"/>
              <w:rPr>
                <w:bCs/>
                <w:szCs w:val="21"/>
              </w:rPr>
            </w:pPr>
            <w:r>
              <w:rPr>
                <w:bCs/>
                <w:szCs w:val="21"/>
              </w:rPr>
              <w:t>序号</w:t>
            </w:r>
          </w:p>
        </w:tc>
        <w:tc>
          <w:tcPr>
            <w:tcW w:w="1268"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环境敏感区名称</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环境敏感特征</w:t>
            </w:r>
          </w:p>
        </w:tc>
        <w:tc>
          <w:tcPr>
            <w:tcW w:w="1284" w:type="pct"/>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方位</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距离/m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vMerge w:val="restart"/>
            <w:tcBorders>
              <w:top w:val="single" w:color="auto" w:sz="4" w:space="0"/>
              <w:left w:val="single" w:color="auto" w:sz="8" w:space="0"/>
              <w:right w:val="single" w:color="auto" w:sz="4" w:space="0"/>
            </w:tcBorders>
            <w:vAlign w:val="center"/>
          </w:tcPr>
          <w:p>
            <w:pPr>
              <w:jc w:val="center"/>
              <w:rPr>
                <w:bCs/>
                <w:szCs w:val="21"/>
              </w:rPr>
            </w:pPr>
            <w:r>
              <w:rPr>
                <w:bCs/>
                <w:szCs w:val="21"/>
              </w:rPr>
              <w:t>1</w:t>
            </w:r>
          </w:p>
        </w:tc>
        <w:tc>
          <w:tcPr>
            <w:tcW w:w="1268" w:type="pct"/>
            <w:vMerge w:val="restart"/>
            <w:tcBorders>
              <w:top w:val="single" w:color="auto" w:sz="4" w:space="0"/>
              <w:left w:val="single" w:color="auto" w:sz="4" w:space="0"/>
              <w:right w:val="single" w:color="auto" w:sz="4" w:space="0"/>
            </w:tcBorders>
            <w:vAlign w:val="center"/>
          </w:tcPr>
          <w:p>
            <w:pPr>
              <w:jc w:val="center"/>
              <w:rPr>
                <w:bCs/>
                <w:szCs w:val="21"/>
              </w:rPr>
            </w:pPr>
            <w:r>
              <w:rPr>
                <w:bCs/>
                <w:szCs w:val="21"/>
              </w:rPr>
              <w:t>原阳县水厂地下水井群二级保护区</w:t>
            </w:r>
          </w:p>
        </w:tc>
        <w:tc>
          <w:tcPr>
            <w:tcW w:w="941" w:type="pct"/>
            <w:vMerge w:val="restart"/>
            <w:tcBorders>
              <w:top w:val="single" w:color="auto" w:sz="4" w:space="0"/>
              <w:left w:val="single" w:color="auto" w:sz="4" w:space="0"/>
              <w:right w:val="single" w:color="auto" w:sz="4" w:space="0"/>
            </w:tcBorders>
            <w:vAlign w:val="center"/>
          </w:tcPr>
          <w:p>
            <w:pPr>
              <w:jc w:val="center"/>
              <w:rPr>
                <w:bCs/>
                <w:szCs w:val="21"/>
              </w:rPr>
            </w:pPr>
            <w:r>
              <w:rPr>
                <w:bCs/>
                <w:szCs w:val="21"/>
              </w:rPr>
              <w:t>饮用水源地</w:t>
            </w:r>
          </w:p>
        </w:tc>
        <w:tc>
          <w:tcPr>
            <w:tcW w:w="1284" w:type="pct"/>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东</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1540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vMerge w:val="continue"/>
            <w:tcBorders>
              <w:top w:val="single" w:color="auto" w:sz="4" w:space="0"/>
              <w:left w:val="single" w:color="auto" w:sz="8" w:space="0"/>
              <w:right w:val="single" w:color="auto" w:sz="4" w:space="0"/>
            </w:tcBorders>
            <w:vAlign w:val="center"/>
          </w:tcPr>
          <w:p>
            <w:pPr>
              <w:jc w:val="center"/>
              <w:rPr>
                <w:bCs/>
                <w:szCs w:val="21"/>
              </w:rPr>
            </w:pPr>
          </w:p>
        </w:tc>
        <w:tc>
          <w:tcPr>
            <w:tcW w:w="1268" w:type="pct"/>
            <w:vMerge w:val="continue"/>
            <w:tcBorders>
              <w:top w:val="single" w:color="auto" w:sz="4" w:space="0"/>
              <w:left w:val="single" w:color="auto" w:sz="4" w:space="0"/>
              <w:right w:val="single" w:color="auto" w:sz="4" w:space="0"/>
            </w:tcBorders>
            <w:vAlign w:val="center"/>
          </w:tcPr>
          <w:p>
            <w:pPr>
              <w:jc w:val="center"/>
              <w:rPr>
                <w:bCs/>
                <w:szCs w:val="21"/>
              </w:rPr>
            </w:pPr>
          </w:p>
        </w:tc>
        <w:tc>
          <w:tcPr>
            <w:tcW w:w="941" w:type="pct"/>
            <w:vMerge w:val="continue"/>
            <w:tcBorders>
              <w:top w:val="single" w:color="auto" w:sz="4" w:space="0"/>
              <w:left w:val="single" w:color="auto" w:sz="4" w:space="0"/>
              <w:right w:val="single" w:color="auto" w:sz="4" w:space="0"/>
            </w:tcBorders>
            <w:vAlign w:val="center"/>
          </w:tcPr>
          <w:p>
            <w:pPr>
              <w:jc w:val="center"/>
              <w:rPr>
                <w:bCs/>
                <w:szCs w:val="21"/>
              </w:rPr>
            </w:pPr>
          </w:p>
        </w:tc>
        <w:tc>
          <w:tcPr>
            <w:tcW w:w="1284" w:type="pct"/>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kern w:val="0"/>
                <w:szCs w:val="21"/>
              </w:rPr>
              <w:t>东北</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rFonts w:hint="eastAsia"/>
                <w:kern w:val="0"/>
                <w:szCs w:val="21"/>
              </w:rPr>
              <w:t>3</w:t>
            </w:r>
            <w:r>
              <w:rPr>
                <w:kern w:val="0"/>
                <w:szCs w:val="21"/>
              </w:rPr>
              <w:t>990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right w:val="single" w:color="auto" w:sz="4" w:space="0"/>
            </w:tcBorders>
            <w:vAlign w:val="center"/>
          </w:tcPr>
          <w:p>
            <w:pPr>
              <w:jc w:val="center"/>
              <w:rPr>
                <w:bCs/>
                <w:szCs w:val="21"/>
              </w:rPr>
            </w:pPr>
          </w:p>
        </w:tc>
        <w:tc>
          <w:tcPr>
            <w:tcW w:w="389" w:type="pct"/>
            <w:vMerge w:val="continue"/>
            <w:tcBorders>
              <w:top w:val="single" w:color="auto" w:sz="4" w:space="0"/>
              <w:left w:val="single" w:color="auto" w:sz="8" w:space="0"/>
              <w:right w:val="single" w:color="auto" w:sz="4" w:space="0"/>
            </w:tcBorders>
            <w:vAlign w:val="center"/>
          </w:tcPr>
          <w:p>
            <w:pPr>
              <w:jc w:val="center"/>
              <w:rPr>
                <w:bCs/>
                <w:szCs w:val="21"/>
              </w:rPr>
            </w:pPr>
          </w:p>
        </w:tc>
        <w:tc>
          <w:tcPr>
            <w:tcW w:w="1268" w:type="pct"/>
            <w:vMerge w:val="continue"/>
            <w:tcBorders>
              <w:top w:val="single" w:color="auto" w:sz="4" w:space="0"/>
              <w:left w:val="single" w:color="auto" w:sz="4" w:space="0"/>
              <w:right w:val="single" w:color="auto" w:sz="4" w:space="0"/>
            </w:tcBorders>
            <w:vAlign w:val="center"/>
          </w:tcPr>
          <w:p>
            <w:pPr>
              <w:jc w:val="center"/>
              <w:rPr>
                <w:bCs/>
                <w:szCs w:val="21"/>
              </w:rPr>
            </w:pPr>
          </w:p>
        </w:tc>
        <w:tc>
          <w:tcPr>
            <w:tcW w:w="941" w:type="pct"/>
            <w:vMerge w:val="continue"/>
            <w:tcBorders>
              <w:top w:val="single" w:color="auto" w:sz="4" w:space="0"/>
              <w:left w:val="single" w:color="auto" w:sz="4" w:space="0"/>
              <w:right w:val="single" w:color="auto" w:sz="4" w:space="0"/>
            </w:tcBorders>
            <w:vAlign w:val="center"/>
          </w:tcPr>
          <w:p>
            <w:pPr>
              <w:jc w:val="center"/>
              <w:rPr>
                <w:bCs/>
                <w:szCs w:val="21"/>
              </w:rPr>
            </w:pPr>
          </w:p>
        </w:tc>
        <w:tc>
          <w:tcPr>
            <w:tcW w:w="1284" w:type="pct"/>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rFonts w:hint="eastAsia"/>
                <w:kern w:val="0"/>
                <w:szCs w:val="21"/>
              </w:rPr>
              <w:t>东北</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rFonts w:hint="eastAsia"/>
                <w:kern w:val="0"/>
                <w:szCs w:val="21"/>
              </w:rPr>
              <w:t>6</w:t>
            </w:r>
            <w:r>
              <w:rPr>
                <w:kern w:val="0"/>
                <w:szCs w:val="21"/>
              </w:rPr>
              <w:t>200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87" w:type="pct"/>
            <w:vMerge w:val="continue"/>
            <w:tcBorders>
              <w:left w:val="single" w:color="auto" w:sz="8" w:space="0"/>
              <w:bottom w:val="single" w:color="auto" w:sz="4" w:space="0"/>
              <w:right w:val="single" w:color="auto" w:sz="4" w:space="0"/>
            </w:tcBorders>
            <w:vAlign w:val="center"/>
          </w:tcPr>
          <w:p>
            <w:pPr>
              <w:jc w:val="center"/>
              <w:rPr>
                <w:bCs/>
                <w:szCs w:val="21"/>
              </w:rPr>
            </w:pPr>
          </w:p>
        </w:tc>
        <w:tc>
          <w:tcPr>
            <w:tcW w:w="389" w:type="pct"/>
            <w:vMerge w:val="continue"/>
            <w:tcBorders>
              <w:left w:val="single" w:color="auto" w:sz="8" w:space="0"/>
              <w:bottom w:val="single" w:color="auto" w:sz="4" w:space="0"/>
              <w:right w:val="single" w:color="auto" w:sz="4" w:space="0"/>
            </w:tcBorders>
            <w:vAlign w:val="center"/>
          </w:tcPr>
          <w:p>
            <w:pPr>
              <w:jc w:val="center"/>
              <w:rPr>
                <w:bCs/>
                <w:szCs w:val="21"/>
              </w:rPr>
            </w:pPr>
          </w:p>
        </w:tc>
        <w:tc>
          <w:tcPr>
            <w:tcW w:w="1268" w:type="pct"/>
            <w:vMerge w:val="continue"/>
            <w:tcBorders>
              <w:left w:val="single" w:color="auto" w:sz="4" w:space="0"/>
              <w:bottom w:val="single" w:color="auto" w:sz="4" w:space="0"/>
              <w:right w:val="single" w:color="auto" w:sz="4" w:space="0"/>
            </w:tcBorders>
            <w:vAlign w:val="center"/>
          </w:tcPr>
          <w:p>
            <w:pPr>
              <w:jc w:val="center"/>
              <w:rPr>
                <w:bCs/>
                <w:szCs w:val="21"/>
              </w:rPr>
            </w:pPr>
          </w:p>
        </w:tc>
        <w:tc>
          <w:tcPr>
            <w:tcW w:w="941" w:type="pct"/>
            <w:vMerge w:val="continue"/>
            <w:tcBorders>
              <w:left w:val="single" w:color="auto" w:sz="4" w:space="0"/>
              <w:bottom w:val="single" w:color="auto" w:sz="4" w:space="0"/>
              <w:right w:val="single" w:color="auto" w:sz="4" w:space="0"/>
            </w:tcBorders>
            <w:vAlign w:val="center"/>
          </w:tcPr>
          <w:p>
            <w:pPr>
              <w:jc w:val="center"/>
              <w:rPr>
                <w:bCs/>
                <w:szCs w:val="21"/>
              </w:rPr>
            </w:pPr>
          </w:p>
        </w:tc>
        <w:tc>
          <w:tcPr>
            <w:tcW w:w="1284" w:type="pct"/>
            <w:gridSpan w:val="2"/>
            <w:tcBorders>
              <w:top w:val="single" w:color="auto" w:sz="4" w:space="0"/>
              <w:left w:val="single" w:color="auto" w:sz="4" w:space="0"/>
              <w:bottom w:val="single" w:color="auto" w:sz="4" w:space="0"/>
              <w:right w:val="single" w:color="auto" w:sz="4" w:space="0"/>
            </w:tcBorders>
            <w:vAlign w:val="center"/>
          </w:tcPr>
          <w:p>
            <w:pPr>
              <w:jc w:val="center"/>
              <w:rPr>
                <w:bCs/>
                <w:szCs w:val="21"/>
              </w:rPr>
            </w:pPr>
            <w:r>
              <w:rPr>
                <w:bCs/>
                <w:szCs w:val="21"/>
              </w:rPr>
              <w:t>西南</w:t>
            </w:r>
          </w:p>
        </w:tc>
        <w:tc>
          <w:tcPr>
            <w:tcW w:w="730" w:type="pct"/>
            <w:tcBorders>
              <w:top w:val="single" w:color="auto" w:sz="4" w:space="0"/>
              <w:left w:val="single" w:color="auto" w:sz="4" w:space="0"/>
              <w:bottom w:val="single" w:color="auto" w:sz="4" w:space="0"/>
              <w:right w:val="single" w:color="auto" w:sz="8" w:space="0"/>
            </w:tcBorders>
            <w:vAlign w:val="center"/>
          </w:tcPr>
          <w:p>
            <w:pPr>
              <w:jc w:val="center"/>
              <w:rPr>
                <w:bCs/>
                <w:szCs w:val="21"/>
              </w:rPr>
            </w:pPr>
            <w:r>
              <w:rPr>
                <w:bCs/>
                <w:szCs w:val="21"/>
              </w:rPr>
              <w:t>460</w:t>
            </w:r>
          </w:p>
        </w:tc>
      </w:tr>
    </w:tbl>
    <w:p>
      <w:pPr>
        <w:spacing w:line="520" w:lineRule="exact"/>
        <w:ind w:firstLine="480" w:firstLineChars="200"/>
        <w:rPr>
          <w:rFonts w:eastAsia="黑体"/>
          <w:bCs/>
          <w:sz w:val="28"/>
          <w:szCs w:val="28"/>
        </w:rPr>
      </w:pPr>
      <w:r>
        <w:rPr>
          <w:rFonts w:hint="eastAsia"/>
          <w:sz w:val="24"/>
          <w:szCs w:val="24"/>
        </w:rPr>
        <w:t>注：</w:t>
      </w:r>
      <w:r>
        <w:rPr>
          <w:sz w:val="24"/>
          <w:szCs w:val="24"/>
        </w:rPr>
        <w:t>根据现场实地踏勘，</w:t>
      </w:r>
      <w:r>
        <w:rPr>
          <w:rFonts w:hint="eastAsia"/>
          <w:sz w:val="24"/>
          <w:szCs w:val="24"/>
        </w:rPr>
        <w:t>目前厂区东侧紧邻的小庄村，待金祥南街建成后，小庄村则位于厂区东侧</w:t>
      </w:r>
      <w:r>
        <w:rPr>
          <w:sz w:val="24"/>
          <w:szCs w:val="24"/>
        </w:rPr>
        <w:t>50m处</w:t>
      </w:r>
      <w:r>
        <w:rPr>
          <w:rFonts w:hint="eastAsia"/>
          <w:sz w:val="24"/>
          <w:szCs w:val="24"/>
        </w:rPr>
        <w:t>。</w:t>
      </w:r>
    </w:p>
    <w:p>
      <w:pPr>
        <w:keepNext/>
        <w:keepLines/>
        <w:spacing w:line="520" w:lineRule="exact"/>
        <w:outlineLvl w:val="1"/>
        <w:rPr>
          <w:rFonts w:eastAsia="黑体"/>
          <w:bCs/>
          <w:sz w:val="28"/>
          <w:szCs w:val="28"/>
        </w:rPr>
      </w:pPr>
      <w:bookmarkStart w:id="153" w:name="_Toc8935"/>
      <w:r>
        <w:rPr>
          <w:rFonts w:eastAsia="黑体"/>
          <w:bCs/>
          <w:sz w:val="28"/>
          <w:szCs w:val="28"/>
        </w:rPr>
        <w:t>6.4 风险</w:t>
      </w:r>
      <w:r>
        <w:rPr>
          <w:rFonts w:hint="eastAsia" w:eastAsia="黑体"/>
          <w:bCs/>
          <w:sz w:val="28"/>
          <w:szCs w:val="28"/>
        </w:rPr>
        <w:t>识别</w:t>
      </w:r>
      <w:bookmarkEnd w:id="153"/>
    </w:p>
    <w:p>
      <w:pPr>
        <w:keepNext/>
        <w:keepLines/>
        <w:spacing w:line="520" w:lineRule="exact"/>
        <w:outlineLvl w:val="2"/>
        <w:rPr>
          <w:rFonts w:eastAsia="黑体"/>
          <w:bCs/>
          <w:sz w:val="28"/>
          <w:szCs w:val="28"/>
        </w:rPr>
      </w:pPr>
      <w:r>
        <w:rPr>
          <w:rFonts w:hint="eastAsia" w:eastAsia="黑体"/>
          <w:bCs/>
          <w:sz w:val="28"/>
          <w:szCs w:val="28"/>
        </w:rPr>
        <w:t>6</w:t>
      </w:r>
      <w:r>
        <w:rPr>
          <w:rFonts w:eastAsia="黑体"/>
          <w:bCs/>
          <w:sz w:val="28"/>
          <w:szCs w:val="28"/>
        </w:rPr>
        <w:t xml:space="preserve">.4.1 </w:t>
      </w:r>
      <w:r>
        <w:rPr>
          <w:rFonts w:hint="eastAsia" w:eastAsia="黑体"/>
          <w:bCs/>
          <w:sz w:val="28"/>
          <w:szCs w:val="28"/>
        </w:rPr>
        <w:t>建设项目风险源调查</w:t>
      </w:r>
    </w:p>
    <w:p>
      <w:pPr>
        <w:spacing w:line="520" w:lineRule="exact"/>
        <w:ind w:firstLine="482"/>
        <w:contextualSpacing/>
        <w:rPr>
          <w:kern w:val="0"/>
          <w:sz w:val="24"/>
          <w:szCs w:val="28"/>
        </w:rPr>
      </w:pPr>
      <w:r>
        <w:rPr>
          <w:rFonts w:hint="eastAsia"/>
          <w:kern w:val="0"/>
          <w:sz w:val="24"/>
          <w:szCs w:val="28"/>
        </w:rPr>
        <w:t>本项目污水处理站废气主要为硫化氢、氨气，阀门、管道维护不及时或遇外力冲击可能会造成破裂或泄露，泄露的硫化氢、氨气如遇明火可能会造成火灾和爆炸。硫化氢、氨气的理化性质和危险特性详见下表。</w:t>
      </w:r>
    </w:p>
    <w:p>
      <w:pPr>
        <w:adjustRightInd w:val="0"/>
        <w:snapToGrid w:val="0"/>
        <w:spacing w:line="520" w:lineRule="exact"/>
        <w:ind w:firstLine="480" w:firstLineChars="200"/>
        <w:rPr>
          <w:rFonts w:eastAsia="黑体"/>
          <w:sz w:val="24"/>
        </w:rPr>
      </w:pPr>
      <w:r>
        <w:rPr>
          <w:rFonts w:eastAsia="黑体"/>
          <w:sz w:val="24"/>
        </w:rPr>
        <w:t>表6.4-1           NH</w:t>
      </w:r>
      <w:r>
        <w:rPr>
          <w:rFonts w:eastAsia="黑体"/>
          <w:sz w:val="24"/>
          <w:vertAlign w:val="subscript"/>
        </w:rPr>
        <w:t>3</w:t>
      </w:r>
      <w:r>
        <w:rPr>
          <w:rFonts w:eastAsia="黑体"/>
          <w:sz w:val="24"/>
        </w:rPr>
        <w:t>理化性质、毒性及危害性</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2823"/>
        <w:gridCol w:w="2409"/>
        <w:gridCol w:w="21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6" w:type="dxa"/>
            <w:gridSpan w:val="4"/>
            <w:vAlign w:val="center"/>
          </w:tcPr>
          <w:p>
            <w:pPr>
              <w:autoSpaceDE w:val="0"/>
              <w:autoSpaceDN w:val="0"/>
              <w:adjustRightInd w:val="0"/>
              <w:snapToGrid w:val="0"/>
              <w:jc w:val="center"/>
              <w:rPr>
                <w:b/>
                <w:kern w:val="0"/>
                <w:szCs w:val="21"/>
              </w:rPr>
            </w:pPr>
            <w:r>
              <w:rPr>
                <w:b/>
                <w:kern w:val="0"/>
                <w:szCs w:val="21"/>
              </w:rPr>
              <w:t>第一部分化学品标识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0" w:type="dxa"/>
            <w:vAlign w:val="center"/>
          </w:tcPr>
          <w:p>
            <w:pPr>
              <w:autoSpaceDE w:val="0"/>
              <w:autoSpaceDN w:val="0"/>
              <w:adjustRightInd w:val="0"/>
              <w:snapToGrid w:val="0"/>
              <w:jc w:val="center"/>
              <w:rPr>
                <w:b/>
                <w:bCs/>
                <w:kern w:val="0"/>
                <w:szCs w:val="21"/>
              </w:rPr>
            </w:pPr>
            <w:r>
              <w:rPr>
                <w:b/>
                <w:bCs/>
                <w:kern w:val="0"/>
                <w:szCs w:val="21"/>
              </w:rPr>
              <w:t>中文名称</w:t>
            </w:r>
          </w:p>
        </w:tc>
        <w:tc>
          <w:tcPr>
            <w:tcW w:w="2825" w:type="dxa"/>
            <w:vAlign w:val="center"/>
          </w:tcPr>
          <w:p>
            <w:pPr>
              <w:autoSpaceDE w:val="0"/>
              <w:autoSpaceDN w:val="0"/>
              <w:adjustRightInd w:val="0"/>
              <w:snapToGrid w:val="0"/>
              <w:jc w:val="center"/>
              <w:rPr>
                <w:kern w:val="0"/>
                <w:szCs w:val="21"/>
              </w:rPr>
            </w:pPr>
            <w:r>
              <w:rPr>
                <w:kern w:val="0"/>
                <w:szCs w:val="21"/>
              </w:rPr>
              <w:t>氨</w:t>
            </w:r>
          </w:p>
        </w:tc>
        <w:tc>
          <w:tcPr>
            <w:tcW w:w="2409" w:type="dxa"/>
            <w:vAlign w:val="center"/>
          </w:tcPr>
          <w:p>
            <w:pPr>
              <w:autoSpaceDE w:val="0"/>
              <w:autoSpaceDN w:val="0"/>
              <w:adjustRightInd w:val="0"/>
              <w:snapToGrid w:val="0"/>
              <w:jc w:val="center"/>
              <w:rPr>
                <w:b/>
                <w:bCs/>
                <w:kern w:val="0"/>
                <w:szCs w:val="21"/>
              </w:rPr>
            </w:pPr>
            <w:r>
              <w:rPr>
                <w:b/>
                <w:bCs/>
                <w:kern w:val="0"/>
                <w:szCs w:val="21"/>
              </w:rPr>
              <w:t>分子式</w:t>
            </w:r>
          </w:p>
        </w:tc>
        <w:tc>
          <w:tcPr>
            <w:tcW w:w="2112" w:type="dxa"/>
            <w:vAlign w:val="center"/>
          </w:tcPr>
          <w:p>
            <w:pPr>
              <w:autoSpaceDE w:val="0"/>
              <w:autoSpaceDN w:val="0"/>
              <w:adjustRightInd w:val="0"/>
              <w:snapToGrid w:val="0"/>
              <w:jc w:val="center"/>
              <w:rPr>
                <w:kern w:val="0"/>
                <w:szCs w:val="21"/>
              </w:rPr>
            </w:pPr>
            <w:r>
              <w:rPr>
                <w:kern w:val="0"/>
                <w:szCs w:val="21"/>
              </w:rPr>
              <w:t>NH</w:t>
            </w:r>
            <w:r>
              <w:rPr>
                <w:kern w:val="0"/>
                <w:szCs w:val="21"/>
                <w:vertAlign w:val="sub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0" w:type="dxa"/>
            <w:vAlign w:val="center"/>
          </w:tcPr>
          <w:p>
            <w:pPr>
              <w:autoSpaceDE w:val="0"/>
              <w:autoSpaceDN w:val="0"/>
              <w:adjustRightInd w:val="0"/>
              <w:snapToGrid w:val="0"/>
              <w:jc w:val="center"/>
              <w:rPr>
                <w:b/>
                <w:bCs/>
                <w:kern w:val="0"/>
                <w:szCs w:val="21"/>
              </w:rPr>
            </w:pPr>
            <w:r>
              <w:rPr>
                <w:b/>
                <w:bCs/>
                <w:kern w:val="0"/>
                <w:szCs w:val="21"/>
              </w:rPr>
              <w:t>英文名称</w:t>
            </w:r>
          </w:p>
        </w:tc>
        <w:tc>
          <w:tcPr>
            <w:tcW w:w="2825" w:type="dxa"/>
            <w:vAlign w:val="center"/>
          </w:tcPr>
          <w:p>
            <w:pPr>
              <w:autoSpaceDE w:val="0"/>
              <w:autoSpaceDN w:val="0"/>
              <w:adjustRightInd w:val="0"/>
              <w:snapToGrid w:val="0"/>
              <w:jc w:val="center"/>
              <w:rPr>
                <w:kern w:val="0"/>
                <w:szCs w:val="21"/>
              </w:rPr>
            </w:pPr>
            <w:r>
              <w:rPr>
                <w:kern w:val="0"/>
                <w:szCs w:val="21"/>
              </w:rPr>
              <w:t>Ammonia</w:t>
            </w:r>
          </w:p>
        </w:tc>
        <w:tc>
          <w:tcPr>
            <w:tcW w:w="2409" w:type="dxa"/>
            <w:vAlign w:val="center"/>
          </w:tcPr>
          <w:p>
            <w:pPr>
              <w:autoSpaceDE w:val="0"/>
              <w:autoSpaceDN w:val="0"/>
              <w:adjustRightInd w:val="0"/>
              <w:snapToGrid w:val="0"/>
              <w:jc w:val="center"/>
              <w:rPr>
                <w:b/>
                <w:bCs/>
                <w:kern w:val="0"/>
                <w:szCs w:val="21"/>
              </w:rPr>
            </w:pPr>
            <w:r>
              <w:rPr>
                <w:b/>
                <w:bCs/>
                <w:kern w:val="0"/>
                <w:szCs w:val="21"/>
              </w:rPr>
              <w:t>相对分子量</w:t>
            </w:r>
          </w:p>
        </w:tc>
        <w:tc>
          <w:tcPr>
            <w:tcW w:w="2112" w:type="dxa"/>
            <w:vAlign w:val="center"/>
          </w:tcPr>
          <w:p>
            <w:pPr>
              <w:autoSpaceDE w:val="0"/>
              <w:autoSpaceDN w:val="0"/>
              <w:adjustRightInd w:val="0"/>
              <w:snapToGrid w:val="0"/>
              <w:jc w:val="center"/>
              <w:rPr>
                <w:kern w:val="0"/>
                <w:szCs w:val="21"/>
              </w:rPr>
            </w:pPr>
            <w:r>
              <w:rPr>
                <w:kern w:val="0"/>
                <w:szCs w:val="21"/>
              </w:rPr>
              <w:t>17.03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0" w:type="dxa"/>
            <w:vAlign w:val="center"/>
          </w:tcPr>
          <w:p>
            <w:pPr>
              <w:autoSpaceDE w:val="0"/>
              <w:autoSpaceDN w:val="0"/>
              <w:adjustRightInd w:val="0"/>
              <w:snapToGrid w:val="0"/>
              <w:jc w:val="center"/>
              <w:rPr>
                <w:b/>
                <w:bCs/>
                <w:kern w:val="0"/>
                <w:szCs w:val="21"/>
              </w:rPr>
            </w:pPr>
            <w:r>
              <w:rPr>
                <w:b/>
                <w:bCs/>
                <w:kern w:val="0"/>
                <w:szCs w:val="21"/>
              </w:rPr>
              <w:t>CAS号码</w:t>
            </w:r>
          </w:p>
        </w:tc>
        <w:tc>
          <w:tcPr>
            <w:tcW w:w="2825" w:type="dxa"/>
            <w:vAlign w:val="center"/>
          </w:tcPr>
          <w:p>
            <w:pPr>
              <w:autoSpaceDE w:val="0"/>
              <w:autoSpaceDN w:val="0"/>
              <w:adjustRightInd w:val="0"/>
              <w:snapToGrid w:val="0"/>
              <w:jc w:val="center"/>
              <w:rPr>
                <w:kern w:val="0"/>
                <w:szCs w:val="21"/>
              </w:rPr>
            </w:pPr>
            <w:r>
              <w:rPr>
                <w:kern w:val="0"/>
                <w:szCs w:val="21"/>
              </w:rPr>
              <w:t>664-41-7</w:t>
            </w:r>
          </w:p>
        </w:tc>
        <w:tc>
          <w:tcPr>
            <w:tcW w:w="2409" w:type="dxa"/>
            <w:vAlign w:val="center"/>
          </w:tcPr>
          <w:p>
            <w:pPr>
              <w:autoSpaceDE w:val="0"/>
              <w:autoSpaceDN w:val="0"/>
              <w:adjustRightInd w:val="0"/>
              <w:snapToGrid w:val="0"/>
              <w:jc w:val="center"/>
              <w:rPr>
                <w:b/>
                <w:bCs/>
                <w:kern w:val="0"/>
                <w:szCs w:val="21"/>
              </w:rPr>
            </w:pPr>
            <w:r>
              <w:rPr>
                <w:b/>
                <w:bCs/>
                <w:kern w:val="0"/>
                <w:szCs w:val="21"/>
              </w:rPr>
              <w:t>UN编号</w:t>
            </w:r>
          </w:p>
        </w:tc>
        <w:tc>
          <w:tcPr>
            <w:tcW w:w="2112" w:type="dxa"/>
            <w:vAlign w:val="center"/>
          </w:tcPr>
          <w:p>
            <w:pPr>
              <w:autoSpaceDE w:val="0"/>
              <w:autoSpaceDN w:val="0"/>
              <w:adjustRightInd w:val="0"/>
              <w:snapToGrid w:val="0"/>
              <w:jc w:val="center"/>
              <w:rPr>
                <w:kern w:val="0"/>
                <w:szCs w:val="21"/>
              </w:rPr>
            </w:pPr>
            <w:r>
              <w:rPr>
                <w:kern w:val="0"/>
                <w:szCs w:val="21"/>
              </w:rPr>
              <w:t>1005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0" w:type="dxa"/>
            <w:vAlign w:val="center"/>
          </w:tcPr>
          <w:p>
            <w:pPr>
              <w:autoSpaceDE w:val="0"/>
              <w:autoSpaceDN w:val="0"/>
              <w:adjustRightInd w:val="0"/>
              <w:snapToGrid w:val="0"/>
              <w:jc w:val="center"/>
              <w:rPr>
                <w:b/>
                <w:bCs/>
                <w:kern w:val="0"/>
                <w:szCs w:val="21"/>
              </w:rPr>
            </w:pPr>
            <w:r>
              <w:rPr>
                <w:b/>
                <w:bCs/>
                <w:kern w:val="0"/>
                <w:szCs w:val="21"/>
              </w:rPr>
              <w:t>危规号码</w:t>
            </w:r>
          </w:p>
        </w:tc>
        <w:tc>
          <w:tcPr>
            <w:tcW w:w="2825" w:type="dxa"/>
            <w:vAlign w:val="center"/>
          </w:tcPr>
          <w:p>
            <w:pPr>
              <w:autoSpaceDE w:val="0"/>
              <w:autoSpaceDN w:val="0"/>
              <w:adjustRightInd w:val="0"/>
              <w:snapToGrid w:val="0"/>
              <w:jc w:val="center"/>
              <w:rPr>
                <w:kern w:val="0"/>
                <w:szCs w:val="21"/>
              </w:rPr>
            </w:pPr>
            <w:r>
              <w:rPr>
                <w:kern w:val="0"/>
                <w:szCs w:val="21"/>
              </w:rPr>
              <w:t>23003</w:t>
            </w:r>
          </w:p>
        </w:tc>
        <w:tc>
          <w:tcPr>
            <w:tcW w:w="2409" w:type="dxa"/>
            <w:vAlign w:val="center"/>
          </w:tcPr>
          <w:p>
            <w:pPr>
              <w:autoSpaceDE w:val="0"/>
              <w:autoSpaceDN w:val="0"/>
              <w:adjustRightInd w:val="0"/>
              <w:snapToGrid w:val="0"/>
              <w:jc w:val="center"/>
              <w:rPr>
                <w:kern w:val="0"/>
                <w:szCs w:val="21"/>
              </w:rPr>
            </w:pPr>
          </w:p>
        </w:tc>
        <w:tc>
          <w:tcPr>
            <w:tcW w:w="2112" w:type="dxa"/>
            <w:vAlign w:val="center"/>
          </w:tcPr>
          <w:p>
            <w:pPr>
              <w:autoSpaceDE w:val="0"/>
              <w:autoSpaceDN w:val="0"/>
              <w:adjustRightInd w:val="0"/>
              <w:snapToGrid w:val="0"/>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6" w:type="dxa"/>
            <w:gridSpan w:val="4"/>
            <w:vAlign w:val="center"/>
          </w:tcPr>
          <w:p>
            <w:pPr>
              <w:autoSpaceDE w:val="0"/>
              <w:autoSpaceDN w:val="0"/>
              <w:adjustRightInd w:val="0"/>
              <w:snapToGrid w:val="0"/>
              <w:jc w:val="center"/>
              <w:rPr>
                <w:b/>
                <w:kern w:val="0"/>
                <w:szCs w:val="21"/>
              </w:rPr>
            </w:pPr>
            <w:r>
              <w:rPr>
                <w:b/>
                <w:kern w:val="0"/>
                <w:szCs w:val="21"/>
              </w:rPr>
              <w:t>第二部分理化性质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0" w:type="dxa"/>
            <w:vAlign w:val="center"/>
          </w:tcPr>
          <w:p>
            <w:pPr>
              <w:autoSpaceDE w:val="0"/>
              <w:autoSpaceDN w:val="0"/>
              <w:adjustRightInd w:val="0"/>
              <w:snapToGrid w:val="0"/>
              <w:jc w:val="center"/>
              <w:rPr>
                <w:b/>
                <w:bCs/>
                <w:kern w:val="0"/>
                <w:szCs w:val="21"/>
              </w:rPr>
            </w:pPr>
            <w:r>
              <w:rPr>
                <w:b/>
                <w:bCs/>
                <w:kern w:val="0"/>
                <w:szCs w:val="21"/>
              </w:rPr>
              <w:t>外观与形状</w:t>
            </w:r>
          </w:p>
        </w:tc>
        <w:tc>
          <w:tcPr>
            <w:tcW w:w="7346" w:type="dxa"/>
            <w:gridSpan w:val="3"/>
            <w:vAlign w:val="center"/>
          </w:tcPr>
          <w:p>
            <w:pPr>
              <w:autoSpaceDE w:val="0"/>
              <w:autoSpaceDN w:val="0"/>
              <w:adjustRightInd w:val="0"/>
              <w:snapToGrid w:val="0"/>
              <w:jc w:val="center"/>
              <w:rPr>
                <w:kern w:val="0"/>
                <w:szCs w:val="21"/>
              </w:rPr>
            </w:pPr>
            <w:r>
              <w:rPr>
                <w:kern w:val="0"/>
                <w:szCs w:val="21"/>
              </w:rPr>
              <w:t>无色、有刺激性恶臭的气体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0" w:type="dxa"/>
            <w:vAlign w:val="center"/>
          </w:tcPr>
          <w:p>
            <w:pPr>
              <w:autoSpaceDE w:val="0"/>
              <w:autoSpaceDN w:val="0"/>
              <w:adjustRightInd w:val="0"/>
              <w:snapToGrid w:val="0"/>
              <w:jc w:val="center"/>
              <w:rPr>
                <w:b/>
                <w:bCs/>
                <w:kern w:val="0"/>
                <w:szCs w:val="21"/>
              </w:rPr>
            </w:pPr>
            <w:r>
              <w:rPr>
                <w:b/>
                <w:bCs/>
                <w:kern w:val="0"/>
                <w:szCs w:val="21"/>
              </w:rPr>
              <w:t>熔点（℃）</w:t>
            </w:r>
          </w:p>
        </w:tc>
        <w:tc>
          <w:tcPr>
            <w:tcW w:w="2825" w:type="dxa"/>
            <w:vAlign w:val="center"/>
          </w:tcPr>
          <w:p>
            <w:pPr>
              <w:autoSpaceDE w:val="0"/>
              <w:autoSpaceDN w:val="0"/>
              <w:adjustRightInd w:val="0"/>
              <w:snapToGrid w:val="0"/>
              <w:jc w:val="center"/>
              <w:rPr>
                <w:kern w:val="0"/>
                <w:szCs w:val="21"/>
              </w:rPr>
            </w:pPr>
            <w:r>
              <w:rPr>
                <w:kern w:val="0"/>
                <w:szCs w:val="21"/>
              </w:rPr>
              <w:t>-77.7℃</w:t>
            </w:r>
          </w:p>
        </w:tc>
        <w:tc>
          <w:tcPr>
            <w:tcW w:w="2409" w:type="dxa"/>
            <w:vAlign w:val="center"/>
          </w:tcPr>
          <w:p>
            <w:pPr>
              <w:autoSpaceDE w:val="0"/>
              <w:autoSpaceDN w:val="0"/>
              <w:adjustRightInd w:val="0"/>
              <w:snapToGrid w:val="0"/>
              <w:jc w:val="center"/>
              <w:rPr>
                <w:b/>
                <w:bCs/>
                <w:kern w:val="0"/>
                <w:szCs w:val="21"/>
              </w:rPr>
            </w:pPr>
            <w:r>
              <w:rPr>
                <w:b/>
                <w:bCs/>
                <w:kern w:val="0"/>
                <w:szCs w:val="21"/>
              </w:rPr>
              <w:t>相对密度</w:t>
            </w:r>
          </w:p>
        </w:tc>
        <w:tc>
          <w:tcPr>
            <w:tcW w:w="2112" w:type="dxa"/>
            <w:vAlign w:val="center"/>
          </w:tcPr>
          <w:p>
            <w:pPr>
              <w:autoSpaceDE w:val="0"/>
              <w:autoSpaceDN w:val="0"/>
              <w:adjustRightInd w:val="0"/>
              <w:snapToGrid w:val="0"/>
              <w:jc w:val="center"/>
              <w:rPr>
                <w:kern w:val="0"/>
                <w:szCs w:val="21"/>
              </w:rPr>
            </w:pPr>
            <w:r>
              <w:rPr>
                <w:kern w:val="0"/>
                <w:szCs w:val="21"/>
              </w:rPr>
              <w:t>0.82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0" w:type="dxa"/>
            <w:vAlign w:val="center"/>
          </w:tcPr>
          <w:p>
            <w:pPr>
              <w:autoSpaceDE w:val="0"/>
              <w:autoSpaceDN w:val="0"/>
              <w:adjustRightInd w:val="0"/>
              <w:snapToGrid w:val="0"/>
              <w:jc w:val="center"/>
              <w:rPr>
                <w:b/>
                <w:bCs/>
                <w:kern w:val="0"/>
                <w:szCs w:val="21"/>
              </w:rPr>
            </w:pPr>
            <w:r>
              <w:rPr>
                <w:b/>
                <w:bCs/>
                <w:kern w:val="0"/>
                <w:szCs w:val="21"/>
              </w:rPr>
              <w:t>沸点（℃）</w:t>
            </w:r>
          </w:p>
        </w:tc>
        <w:tc>
          <w:tcPr>
            <w:tcW w:w="2825" w:type="dxa"/>
            <w:vAlign w:val="center"/>
          </w:tcPr>
          <w:p>
            <w:pPr>
              <w:autoSpaceDE w:val="0"/>
              <w:autoSpaceDN w:val="0"/>
              <w:adjustRightInd w:val="0"/>
              <w:snapToGrid w:val="0"/>
              <w:jc w:val="center"/>
              <w:rPr>
                <w:kern w:val="0"/>
                <w:szCs w:val="21"/>
              </w:rPr>
            </w:pPr>
            <w:r>
              <w:rPr>
                <w:kern w:val="0"/>
                <w:szCs w:val="21"/>
              </w:rPr>
              <w:t>-33.5℃</w:t>
            </w:r>
          </w:p>
        </w:tc>
        <w:tc>
          <w:tcPr>
            <w:tcW w:w="2409" w:type="dxa"/>
            <w:vAlign w:val="center"/>
          </w:tcPr>
          <w:p>
            <w:pPr>
              <w:autoSpaceDE w:val="0"/>
              <w:autoSpaceDN w:val="0"/>
              <w:adjustRightInd w:val="0"/>
              <w:snapToGrid w:val="0"/>
              <w:jc w:val="center"/>
              <w:rPr>
                <w:b/>
                <w:bCs/>
                <w:kern w:val="0"/>
                <w:szCs w:val="21"/>
              </w:rPr>
            </w:pPr>
            <w:r>
              <w:rPr>
                <w:rFonts w:hint="eastAsia"/>
                <w:b/>
                <w:bCs/>
                <w:kern w:val="0"/>
                <w:szCs w:val="21"/>
              </w:rPr>
              <w:t>临界</w:t>
            </w:r>
            <w:r>
              <w:rPr>
                <w:b/>
                <w:bCs/>
                <w:kern w:val="0"/>
                <w:szCs w:val="21"/>
              </w:rPr>
              <w:t>温度（℃）</w:t>
            </w:r>
          </w:p>
        </w:tc>
        <w:tc>
          <w:tcPr>
            <w:tcW w:w="2112" w:type="dxa"/>
            <w:vAlign w:val="center"/>
          </w:tcPr>
          <w:p>
            <w:pPr>
              <w:autoSpaceDE w:val="0"/>
              <w:autoSpaceDN w:val="0"/>
              <w:adjustRightInd w:val="0"/>
              <w:snapToGrid w:val="0"/>
              <w:jc w:val="center"/>
              <w:rPr>
                <w:kern w:val="0"/>
                <w:szCs w:val="21"/>
              </w:rPr>
            </w:pPr>
            <w:r>
              <w:rPr>
                <w:kern w:val="0"/>
                <w:szCs w:val="21"/>
              </w:rPr>
              <w:t>132.4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0" w:type="dxa"/>
            <w:vAlign w:val="center"/>
          </w:tcPr>
          <w:p>
            <w:pPr>
              <w:autoSpaceDE w:val="0"/>
              <w:autoSpaceDN w:val="0"/>
              <w:adjustRightInd w:val="0"/>
              <w:snapToGrid w:val="0"/>
              <w:jc w:val="center"/>
              <w:rPr>
                <w:b/>
                <w:bCs/>
                <w:kern w:val="0"/>
                <w:szCs w:val="21"/>
              </w:rPr>
            </w:pPr>
            <w:r>
              <w:rPr>
                <w:b/>
                <w:bCs/>
                <w:kern w:val="0"/>
                <w:szCs w:val="21"/>
              </w:rPr>
              <w:t>溶解性</w:t>
            </w:r>
          </w:p>
        </w:tc>
        <w:tc>
          <w:tcPr>
            <w:tcW w:w="7346" w:type="dxa"/>
            <w:gridSpan w:val="3"/>
            <w:vAlign w:val="center"/>
          </w:tcPr>
          <w:p>
            <w:pPr>
              <w:autoSpaceDE w:val="0"/>
              <w:autoSpaceDN w:val="0"/>
              <w:adjustRightInd w:val="0"/>
              <w:snapToGrid w:val="0"/>
              <w:jc w:val="center"/>
              <w:rPr>
                <w:kern w:val="0"/>
                <w:szCs w:val="21"/>
              </w:rPr>
            </w:pPr>
            <w:r>
              <w:rPr>
                <w:kern w:val="0"/>
                <w:szCs w:val="21"/>
              </w:rPr>
              <w:t>易溶于水、乙醇、乙醚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6" w:type="dxa"/>
            <w:gridSpan w:val="4"/>
            <w:vAlign w:val="center"/>
          </w:tcPr>
          <w:p>
            <w:pPr>
              <w:autoSpaceDE w:val="0"/>
              <w:autoSpaceDN w:val="0"/>
              <w:adjustRightInd w:val="0"/>
              <w:snapToGrid w:val="0"/>
              <w:jc w:val="center"/>
              <w:rPr>
                <w:b/>
                <w:kern w:val="0"/>
                <w:szCs w:val="21"/>
              </w:rPr>
            </w:pPr>
            <w:r>
              <w:rPr>
                <w:b/>
                <w:kern w:val="0"/>
                <w:szCs w:val="21"/>
              </w:rPr>
              <w:t>第三部分危险性概述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0" w:type="dxa"/>
            <w:vAlign w:val="center"/>
          </w:tcPr>
          <w:p>
            <w:pPr>
              <w:autoSpaceDE w:val="0"/>
              <w:autoSpaceDN w:val="0"/>
              <w:adjustRightInd w:val="0"/>
              <w:snapToGrid w:val="0"/>
              <w:jc w:val="center"/>
              <w:rPr>
                <w:b/>
                <w:bCs/>
                <w:kern w:val="0"/>
                <w:szCs w:val="21"/>
              </w:rPr>
            </w:pPr>
            <w:r>
              <w:rPr>
                <w:b/>
                <w:bCs/>
                <w:kern w:val="0"/>
                <w:szCs w:val="21"/>
              </w:rPr>
              <w:t>危险性</w:t>
            </w:r>
          </w:p>
        </w:tc>
        <w:tc>
          <w:tcPr>
            <w:tcW w:w="7346" w:type="dxa"/>
            <w:gridSpan w:val="3"/>
            <w:vAlign w:val="center"/>
          </w:tcPr>
          <w:p>
            <w:pPr>
              <w:autoSpaceDE w:val="0"/>
              <w:autoSpaceDN w:val="0"/>
              <w:adjustRightInd w:val="0"/>
              <w:snapToGrid w:val="0"/>
              <w:jc w:val="center"/>
              <w:rPr>
                <w:kern w:val="0"/>
                <w:szCs w:val="21"/>
              </w:rPr>
            </w:pPr>
            <w:r>
              <w:rPr>
                <w:kern w:val="0"/>
                <w:szCs w:val="21"/>
                <w:lang w:val="zh-TW"/>
              </w:rPr>
              <w:t>与空气混合能形成爆炸性混合物，遇明火、高热能引起燃烧爆炸，与氟、氯等接触会发生剧烈的化学反应。若遇高热、容器内压增大，有开裂和爆炸的危险</w:t>
            </w:r>
            <w:r>
              <w:rPr>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6" w:type="dxa"/>
            <w:gridSpan w:val="4"/>
            <w:vAlign w:val="center"/>
          </w:tcPr>
          <w:p>
            <w:pPr>
              <w:autoSpaceDE w:val="0"/>
              <w:autoSpaceDN w:val="0"/>
              <w:adjustRightInd w:val="0"/>
              <w:snapToGrid w:val="0"/>
              <w:jc w:val="center"/>
              <w:rPr>
                <w:b/>
                <w:kern w:val="0"/>
                <w:szCs w:val="21"/>
                <w:lang w:val="zh-TW"/>
              </w:rPr>
            </w:pPr>
            <w:r>
              <w:rPr>
                <w:b/>
                <w:kern w:val="0"/>
                <w:szCs w:val="21"/>
              </w:rPr>
              <w:t>第四部分健康危害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0" w:type="dxa"/>
            <w:vAlign w:val="center"/>
          </w:tcPr>
          <w:p>
            <w:pPr>
              <w:autoSpaceDE w:val="0"/>
              <w:autoSpaceDN w:val="0"/>
              <w:adjustRightInd w:val="0"/>
              <w:snapToGrid w:val="0"/>
              <w:jc w:val="center"/>
              <w:rPr>
                <w:b/>
                <w:bCs/>
                <w:kern w:val="0"/>
                <w:szCs w:val="21"/>
              </w:rPr>
            </w:pPr>
            <w:r>
              <w:rPr>
                <w:b/>
                <w:bCs/>
                <w:kern w:val="0"/>
                <w:szCs w:val="21"/>
              </w:rPr>
              <w:t>侵入途径</w:t>
            </w:r>
          </w:p>
        </w:tc>
        <w:tc>
          <w:tcPr>
            <w:tcW w:w="7346" w:type="dxa"/>
            <w:gridSpan w:val="3"/>
            <w:vAlign w:val="center"/>
          </w:tcPr>
          <w:p>
            <w:pPr>
              <w:autoSpaceDE w:val="0"/>
              <w:autoSpaceDN w:val="0"/>
              <w:adjustRightInd w:val="0"/>
              <w:snapToGrid w:val="0"/>
              <w:jc w:val="center"/>
              <w:rPr>
                <w:kern w:val="0"/>
                <w:szCs w:val="21"/>
              </w:rPr>
            </w:pPr>
            <w:r>
              <w:rPr>
                <w:kern w:val="0"/>
                <w:szCs w:val="21"/>
              </w:rPr>
              <w:t>吸入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0" w:type="dxa"/>
            <w:vAlign w:val="center"/>
          </w:tcPr>
          <w:p>
            <w:pPr>
              <w:autoSpaceDE w:val="0"/>
              <w:autoSpaceDN w:val="0"/>
              <w:adjustRightInd w:val="0"/>
              <w:snapToGrid w:val="0"/>
              <w:jc w:val="center"/>
              <w:rPr>
                <w:b/>
                <w:bCs/>
                <w:kern w:val="0"/>
                <w:szCs w:val="21"/>
              </w:rPr>
            </w:pPr>
            <w:r>
              <w:rPr>
                <w:b/>
                <w:bCs/>
                <w:kern w:val="0"/>
                <w:szCs w:val="21"/>
              </w:rPr>
              <w:t>健康危害</w:t>
            </w:r>
          </w:p>
        </w:tc>
        <w:tc>
          <w:tcPr>
            <w:tcW w:w="7346" w:type="dxa"/>
            <w:gridSpan w:val="3"/>
            <w:vAlign w:val="center"/>
          </w:tcPr>
          <w:p>
            <w:pPr>
              <w:autoSpaceDE w:val="0"/>
              <w:autoSpaceDN w:val="0"/>
              <w:adjustRightInd w:val="0"/>
              <w:snapToGrid w:val="0"/>
              <w:jc w:val="center"/>
              <w:rPr>
                <w:kern w:val="0"/>
                <w:szCs w:val="21"/>
                <w:lang w:val="zh-TW"/>
              </w:rPr>
            </w:pPr>
            <w:r>
              <w:rPr>
                <w:kern w:val="0"/>
                <w:szCs w:val="21"/>
                <w:lang w:val="zh-TW"/>
              </w:rPr>
              <w:t>对皮肤、黏膜和眼睛有腐蚀性。低浓度氨对粘膜有刺激作用，高浓度可造成组织溶解坏死。急性中毒：轻度者出现流泪、咽痛、声音撕哑、咳嗽、咯痰等；眼结膜、鼻粘膜、咽部充血、水肿；胸部X线征象符合支气管炎或支气管周围炎。中度中毒出现呼吸困难、紫绀；胸部X线征象符合肺炎或间质性肺炎。严重者可发生中毒性肺水肿，或有呼吸窘迫综合征，患者剧烈咳嗽、咯大量粉红色泡沫痰、呼吸窘迫、谵妄、昏迷、休克等。可发生喉头水肿或支气管粘膜坏死脱落窒息。浓度大时可致反射性呼吸停止，液氨可致眼灼伤和皮肤灼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6" w:type="dxa"/>
            <w:gridSpan w:val="4"/>
            <w:vAlign w:val="center"/>
          </w:tcPr>
          <w:p>
            <w:pPr>
              <w:autoSpaceDE w:val="0"/>
              <w:autoSpaceDN w:val="0"/>
              <w:adjustRightInd w:val="0"/>
              <w:snapToGrid w:val="0"/>
              <w:jc w:val="center"/>
              <w:rPr>
                <w:b/>
                <w:kern w:val="0"/>
                <w:szCs w:val="21"/>
              </w:rPr>
            </w:pPr>
            <w:r>
              <w:rPr>
                <w:b/>
                <w:kern w:val="0"/>
                <w:szCs w:val="21"/>
              </w:rPr>
              <w:t>第五部分毒性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0" w:type="dxa"/>
            <w:vAlign w:val="center"/>
          </w:tcPr>
          <w:p>
            <w:pPr>
              <w:autoSpaceDE w:val="0"/>
              <w:autoSpaceDN w:val="0"/>
              <w:adjustRightInd w:val="0"/>
              <w:snapToGrid w:val="0"/>
              <w:jc w:val="center"/>
              <w:rPr>
                <w:kern w:val="0"/>
                <w:szCs w:val="21"/>
              </w:rPr>
            </w:pPr>
            <w:r>
              <w:rPr>
                <w:kern w:val="0"/>
                <w:szCs w:val="21"/>
              </w:rPr>
              <w:t>最高容许浓度</w:t>
            </w:r>
          </w:p>
        </w:tc>
        <w:tc>
          <w:tcPr>
            <w:tcW w:w="7346" w:type="dxa"/>
            <w:gridSpan w:val="3"/>
            <w:vAlign w:val="center"/>
          </w:tcPr>
          <w:p>
            <w:pPr>
              <w:autoSpaceDE w:val="0"/>
              <w:autoSpaceDN w:val="0"/>
              <w:adjustRightInd w:val="0"/>
              <w:snapToGrid w:val="0"/>
              <w:jc w:val="center"/>
              <w:rPr>
                <w:kern w:val="0"/>
                <w:szCs w:val="21"/>
                <w:lang w:val="zh-TW"/>
              </w:rPr>
            </w:pPr>
            <w:r>
              <w:rPr>
                <w:kern w:val="0"/>
                <w:szCs w:val="21"/>
                <w:lang w:val="zh-TW"/>
              </w:rPr>
              <w:t>恶臭污染物厂界标准（mg/m</w:t>
            </w:r>
            <w:r>
              <w:rPr>
                <w:kern w:val="0"/>
                <w:szCs w:val="21"/>
                <w:vertAlign w:val="superscript"/>
                <w:lang w:val="zh-TW"/>
              </w:rPr>
              <w:t>3</w:t>
            </w:r>
            <w:r>
              <w:rPr>
                <w:kern w:val="0"/>
                <w:szCs w:val="21"/>
                <w:lang w:val="zh-TW"/>
              </w:rPr>
              <w:t>)：—级1.0；二级1.5</w:t>
            </w:r>
            <w:r>
              <w:rPr>
                <w:rFonts w:eastAsia="MS Mincho"/>
                <w:kern w:val="0"/>
                <w:szCs w:val="21"/>
                <w:lang w:val="zh-TW"/>
              </w:rPr>
              <w:t>〜</w:t>
            </w:r>
            <w:r>
              <w:rPr>
                <w:kern w:val="0"/>
                <w:szCs w:val="21"/>
                <w:lang w:val="zh-TW"/>
              </w:rPr>
              <w:t>2.0；三级4.0</w:t>
            </w:r>
            <w:r>
              <w:rPr>
                <w:rFonts w:eastAsia="MS Mincho"/>
                <w:kern w:val="0"/>
                <w:szCs w:val="21"/>
                <w:lang w:val="zh-TW"/>
              </w:rPr>
              <w:t>〜</w:t>
            </w:r>
            <w:r>
              <w:rPr>
                <w:kern w:val="0"/>
                <w:szCs w:val="21"/>
                <w:lang w:val="zh-TW"/>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0" w:type="dxa"/>
            <w:vAlign w:val="center"/>
          </w:tcPr>
          <w:p>
            <w:pPr>
              <w:autoSpaceDE w:val="0"/>
              <w:autoSpaceDN w:val="0"/>
              <w:adjustRightInd w:val="0"/>
              <w:snapToGrid w:val="0"/>
              <w:jc w:val="center"/>
              <w:rPr>
                <w:szCs w:val="21"/>
              </w:rPr>
            </w:pPr>
            <w:r>
              <w:rPr>
                <w:szCs w:val="21"/>
              </w:rPr>
              <w:t>急性毒性</w:t>
            </w:r>
          </w:p>
        </w:tc>
        <w:tc>
          <w:tcPr>
            <w:tcW w:w="7346" w:type="dxa"/>
            <w:gridSpan w:val="3"/>
            <w:vAlign w:val="center"/>
          </w:tcPr>
          <w:p>
            <w:pPr>
              <w:autoSpaceDE w:val="0"/>
              <w:autoSpaceDN w:val="0"/>
              <w:adjustRightInd w:val="0"/>
              <w:snapToGrid w:val="0"/>
              <w:jc w:val="center"/>
              <w:rPr>
                <w:kern w:val="0"/>
                <w:szCs w:val="21"/>
              </w:rPr>
            </w:pPr>
            <w:r>
              <w:rPr>
                <w:kern w:val="0"/>
                <w:szCs w:val="21"/>
                <w:lang w:val="zh-TW"/>
              </w:rPr>
              <w:t>LD</w:t>
            </w:r>
            <w:r>
              <w:rPr>
                <w:kern w:val="0"/>
                <w:szCs w:val="21"/>
                <w:vertAlign w:val="subscript"/>
                <w:lang w:val="zh-TW"/>
              </w:rPr>
              <w:t>50</w:t>
            </w:r>
            <w:r>
              <w:rPr>
                <w:kern w:val="0"/>
                <w:szCs w:val="21"/>
                <w:lang w:val="zh-TW"/>
              </w:rPr>
              <w:t>：350mg/m</w:t>
            </w:r>
            <w:r>
              <w:rPr>
                <w:kern w:val="0"/>
                <w:szCs w:val="21"/>
                <w:vertAlign w:val="superscript"/>
                <w:lang w:val="zh-TW"/>
              </w:rPr>
              <w:t>3</w:t>
            </w:r>
            <w:r>
              <w:rPr>
                <w:kern w:val="0"/>
                <w:szCs w:val="21"/>
                <w:lang w:val="zh-TW"/>
              </w:rPr>
              <w:t xml:space="preserve"> (大鼠经口）；LC</w:t>
            </w:r>
            <w:r>
              <w:rPr>
                <w:kern w:val="0"/>
                <w:szCs w:val="21"/>
                <w:vertAlign w:val="subscript"/>
                <w:lang w:val="zh-TW"/>
              </w:rPr>
              <w:t>50</w:t>
            </w:r>
            <w:r>
              <w:rPr>
                <w:kern w:val="0"/>
                <w:szCs w:val="21"/>
                <w:lang w:val="zh-TW"/>
              </w:rPr>
              <w:t>：1390mg/m</w:t>
            </w:r>
            <w:r>
              <w:rPr>
                <w:kern w:val="0"/>
                <w:szCs w:val="21"/>
                <w:vertAlign w:val="superscript"/>
                <w:lang w:val="zh-TW"/>
              </w:rPr>
              <w:t>3</w:t>
            </w:r>
            <w:r>
              <w:rPr>
                <w:kern w:val="0"/>
                <w:szCs w:val="21"/>
                <w:lang w:val="zh-TW"/>
              </w:rPr>
              <w:t>，4小时(大鼠吸入）</w:t>
            </w:r>
          </w:p>
        </w:tc>
      </w:tr>
    </w:tbl>
    <w:p>
      <w:pPr>
        <w:adjustRightInd w:val="0"/>
        <w:snapToGrid w:val="0"/>
        <w:spacing w:line="520" w:lineRule="exact"/>
        <w:ind w:firstLine="480" w:firstLineChars="200"/>
        <w:rPr>
          <w:rFonts w:eastAsia="黑体"/>
          <w:sz w:val="24"/>
        </w:rPr>
      </w:pPr>
      <w:r>
        <w:rPr>
          <w:rFonts w:eastAsia="黑体"/>
          <w:sz w:val="24"/>
        </w:rPr>
        <w:t xml:space="preserve">表6.4-2          </w:t>
      </w:r>
      <w:r>
        <w:rPr>
          <w:rFonts w:hint="eastAsia" w:eastAsia="黑体"/>
          <w:sz w:val="24"/>
        </w:rPr>
        <w:t>H</w:t>
      </w:r>
      <w:r>
        <w:rPr>
          <w:rFonts w:hint="eastAsia" w:eastAsia="黑体"/>
          <w:sz w:val="24"/>
          <w:vertAlign w:val="subscript"/>
        </w:rPr>
        <w:t>2</w:t>
      </w:r>
      <w:r>
        <w:rPr>
          <w:rFonts w:hint="eastAsia" w:eastAsia="黑体"/>
          <w:sz w:val="24"/>
        </w:rPr>
        <w:t>S</w:t>
      </w:r>
      <w:r>
        <w:rPr>
          <w:rFonts w:eastAsia="黑体"/>
          <w:sz w:val="24"/>
        </w:rPr>
        <w:t>理化性质、毒性及危害性</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2756"/>
        <w:gridCol w:w="2409"/>
        <w:gridCol w:w="21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6" w:type="dxa"/>
            <w:gridSpan w:val="4"/>
            <w:vAlign w:val="center"/>
          </w:tcPr>
          <w:p>
            <w:pPr>
              <w:autoSpaceDE w:val="0"/>
              <w:autoSpaceDN w:val="0"/>
              <w:adjustRightInd w:val="0"/>
              <w:snapToGrid w:val="0"/>
              <w:jc w:val="center"/>
              <w:rPr>
                <w:b/>
                <w:kern w:val="0"/>
                <w:szCs w:val="21"/>
              </w:rPr>
            </w:pPr>
            <w:r>
              <w:rPr>
                <w:b/>
                <w:kern w:val="0"/>
                <w:szCs w:val="21"/>
              </w:rPr>
              <w:t>第一部分化学品标识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b/>
                <w:bCs/>
                <w:kern w:val="0"/>
                <w:szCs w:val="21"/>
              </w:rPr>
              <w:t>中文名称</w:t>
            </w:r>
          </w:p>
        </w:tc>
        <w:tc>
          <w:tcPr>
            <w:tcW w:w="2757" w:type="dxa"/>
            <w:vAlign w:val="center"/>
          </w:tcPr>
          <w:p>
            <w:pPr>
              <w:autoSpaceDE w:val="0"/>
              <w:autoSpaceDN w:val="0"/>
              <w:adjustRightInd w:val="0"/>
              <w:snapToGrid w:val="0"/>
              <w:jc w:val="center"/>
              <w:rPr>
                <w:kern w:val="0"/>
                <w:szCs w:val="21"/>
              </w:rPr>
            </w:pPr>
            <w:r>
              <w:rPr>
                <w:rFonts w:hint="eastAsia"/>
                <w:kern w:val="0"/>
                <w:szCs w:val="21"/>
              </w:rPr>
              <w:t>硫化氢</w:t>
            </w:r>
          </w:p>
        </w:tc>
        <w:tc>
          <w:tcPr>
            <w:tcW w:w="2409" w:type="dxa"/>
            <w:vAlign w:val="center"/>
          </w:tcPr>
          <w:p>
            <w:pPr>
              <w:autoSpaceDE w:val="0"/>
              <w:autoSpaceDN w:val="0"/>
              <w:adjustRightInd w:val="0"/>
              <w:snapToGrid w:val="0"/>
              <w:jc w:val="center"/>
              <w:rPr>
                <w:b/>
                <w:bCs/>
                <w:kern w:val="0"/>
                <w:szCs w:val="21"/>
              </w:rPr>
            </w:pPr>
            <w:r>
              <w:rPr>
                <w:b/>
                <w:bCs/>
                <w:kern w:val="0"/>
                <w:szCs w:val="21"/>
              </w:rPr>
              <w:t>分子式</w:t>
            </w:r>
          </w:p>
        </w:tc>
        <w:tc>
          <w:tcPr>
            <w:tcW w:w="2112" w:type="dxa"/>
            <w:vAlign w:val="center"/>
          </w:tcPr>
          <w:p>
            <w:pPr>
              <w:autoSpaceDE w:val="0"/>
              <w:autoSpaceDN w:val="0"/>
              <w:adjustRightInd w:val="0"/>
              <w:snapToGrid w:val="0"/>
              <w:jc w:val="center"/>
              <w:rPr>
                <w:kern w:val="0"/>
                <w:szCs w:val="21"/>
              </w:rPr>
            </w:pPr>
            <w:r>
              <w:rPr>
                <w:kern w:val="0"/>
                <w:szCs w:val="21"/>
              </w:rPr>
              <w:t>H</w:t>
            </w:r>
            <w:r>
              <w:rPr>
                <w:rFonts w:hint="eastAsia"/>
                <w:kern w:val="0"/>
                <w:szCs w:val="21"/>
                <w:vertAlign w:val="subscript"/>
              </w:rPr>
              <w:t>2</w:t>
            </w:r>
            <w:r>
              <w:rPr>
                <w:rFonts w:hint="eastAsia"/>
                <w:kern w:val="0"/>
                <w:szCs w:val="21"/>
              </w:rPr>
              <w:t>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b/>
                <w:bCs/>
                <w:kern w:val="0"/>
                <w:szCs w:val="21"/>
              </w:rPr>
              <w:t>英文名称</w:t>
            </w:r>
          </w:p>
        </w:tc>
        <w:tc>
          <w:tcPr>
            <w:tcW w:w="2757" w:type="dxa"/>
            <w:vAlign w:val="center"/>
          </w:tcPr>
          <w:p>
            <w:pPr>
              <w:autoSpaceDE w:val="0"/>
              <w:autoSpaceDN w:val="0"/>
              <w:adjustRightInd w:val="0"/>
              <w:snapToGrid w:val="0"/>
              <w:jc w:val="center"/>
              <w:rPr>
                <w:kern w:val="0"/>
                <w:szCs w:val="21"/>
              </w:rPr>
            </w:pPr>
            <w:r>
              <w:rPr>
                <w:kern w:val="0"/>
                <w:szCs w:val="21"/>
              </w:rPr>
              <w:t>Ammonia</w:t>
            </w:r>
          </w:p>
        </w:tc>
        <w:tc>
          <w:tcPr>
            <w:tcW w:w="2409" w:type="dxa"/>
            <w:vAlign w:val="center"/>
          </w:tcPr>
          <w:p>
            <w:pPr>
              <w:autoSpaceDE w:val="0"/>
              <w:autoSpaceDN w:val="0"/>
              <w:adjustRightInd w:val="0"/>
              <w:snapToGrid w:val="0"/>
              <w:jc w:val="center"/>
              <w:rPr>
                <w:b/>
                <w:bCs/>
                <w:kern w:val="0"/>
                <w:szCs w:val="21"/>
              </w:rPr>
            </w:pPr>
            <w:r>
              <w:rPr>
                <w:b/>
                <w:bCs/>
                <w:kern w:val="0"/>
                <w:szCs w:val="21"/>
              </w:rPr>
              <w:t>相对分子量</w:t>
            </w:r>
          </w:p>
        </w:tc>
        <w:tc>
          <w:tcPr>
            <w:tcW w:w="2112" w:type="dxa"/>
            <w:vAlign w:val="center"/>
          </w:tcPr>
          <w:p>
            <w:pPr>
              <w:autoSpaceDE w:val="0"/>
              <w:autoSpaceDN w:val="0"/>
              <w:adjustRightInd w:val="0"/>
              <w:snapToGrid w:val="0"/>
              <w:jc w:val="center"/>
              <w:rPr>
                <w:kern w:val="0"/>
                <w:szCs w:val="21"/>
              </w:rPr>
            </w:pPr>
            <w:r>
              <w:rPr>
                <w:rFonts w:hint="eastAsia"/>
                <w:kern w:val="0"/>
                <w:szCs w:val="21"/>
              </w:rPr>
              <w:t>34.08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b/>
                <w:bCs/>
                <w:kern w:val="0"/>
                <w:szCs w:val="21"/>
              </w:rPr>
              <w:t>CAS号码</w:t>
            </w:r>
          </w:p>
        </w:tc>
        <w:tc>
          <w:tcPr>
            <w:tcW w:w="2757" w:type="dxa"/>
            <w:vAlign w:val="center"/>
          </w:tcPr>
          <w:p>
            <w:pPr>
              <w:autoSpaceDE w:val="0"/>
              <w:autoSpaceDN w:val="0"/>
              <w:adjustRightInd w:val="0"/>
              <w:snapToGrid w:val="0"/>
              <w:jc w:val="center"/>
              <w:rPr>
                <w:kern w:val="0"/>
                <w:szCs w:val="21"/>
              </w:rPr>
            </w:pPr>
            <w:r>
              <w:rPr>
                <w:rFonts w:hint="eastAsia"/>
                <w:kern w:val="0"/>
                <w:szCs w:val="21"/>
              </w:rPr>
              <w:t>7783-06-4</w:t>
            </w:r>
            <w:r>
              <w:rPr>
                <w:kern w:val="0"/>
                <w:szCs w:val="21"/>
              </w:rPr>
              <w:t>-41-7</w:t>
            </w:r>
          </w:p>
        </w:tc>
        <w:tc>
          <w:tcPr>
            <w:tcW w:w="2409" w:type="dxa"/>
            <w:vAlign w:val="center"/>
          </w:tcPr>
          <w:p>
            <w:pPr>
              <w:autoSpaceDE w:val="0"/>
              <w:autoSpaceDN w:val="0"/>
              <w:adjustRightInd w:val="0"/>
              <w:snapToGrid w:val="0"/>
              <w:jc w:val="center"/>
              <w:rPr>
                <w:b/>
                <w:bCs/>
                <w:kern w:val="0"/>
                <w:szCs w:val="21"/>
              </w:rPr>
            </w:pPr>
            <w:r>
              <w:rPr>
                <w:b/>
                <w:bCs/>
                <w:kern w:val="0"/>
                <w:szCs w:val="21"/>
              </w:rPr>
              <w:t>UN编号</w:t>
            </w:r>
          </w:p>
        </w:tc>
        <w:tc>
          <w:tcPr>
            <w:tcW w:w="2112" w:type="dxa"/>
            <w:vAlign w:val="center"/>
          </w:tcPr>
          <w:p>
            <w:pPr>
              <w:autoSpaceDE w:val="0"/>
              <w:autoSpaceDN w:val="0"/>
              <w:adjustRightInd w:val="0"/>
              <w:snapToGrid w:val="0"/>
              <w:jc w:val="center"/>
              <w:rPr>
                <w:kern w:val="0"/>
                <w:szCs w:val="21"/>
              </w:rPr>
            </w:pPr>
            <w:r>
              <w:rPr>
                <w:kern w:val="0"/>
                <w:szCs w:val="21"/>
              </w:rPr>
              <w:t>10</w:t>
            </w:r>
            <w:r>
              <w:rPr>
                <w:rFonts w:hint="eastAsia"/>
                <w:kern w:val="0"/>
                <w:szCs w:val="21"/>
              </w:rPr>
              <w:t>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b/>
                <w:bCs/>
                <w:kern w:val="0"/>
                <w:szCs w:val="21"/>
              </w:rPr>
              <w:t>危规号码</w:t>
            </w:r>
          </w:p>
        </w:tc>
        <w:tc>
          <w:tcPr>
            <w:tcW w:w="2757" w:type="dxa"/>
            <w:vAlign w:val="center"/>
          </w:tcPr>
          <w:p>
            <w:pPr>
              <w:autoSpaceDE w:val="0"/>
              <w:autoSpaceDN w:val="0"/>
              <w:adjustRightInd w:val="0"/>
              <w:snapToGrid w:val="0"/>
              <w:jc w:val="center"/>
              <w:rPr>
                <w:kern w:val="0"/>
                <w:szCs w:val="21"/>
              </w:rPr>
            </w:pPr>
            <w:r>
              <w:rPr>
                <w:kern w:val="0"/>
                <w:szCs w:val="21"/>
              </w:rPr>
              <w:t>2</w:t>
            </w:r>
            <w:r>
              <w:rPr>
                <w:rFonts w:hint="eastAsia"/>
                <w:kern w:val="0"/>
                <w:szCs w:val="21"/>
              </w:rPr>
              <w:t>1006</w:t>
            </w:r>
          </w:p>
        </w:tc>
        <w:tc>
          <w:tcPr>
            <w:tcW w:w="2409" w:type="dxa"/>
            <w:vAlign w:val="center"/>
          </w:tcPr>
          <w:p>
            <w:pPr>
              <w:autoSpaceDE w:val="0"/>
              <w:autoSpaceDN w:val="0"/>
              <w:adjustRightInd w:val="0"/>
              <w:snapToGrid w:val="0"/>
              <w:jc w:val="center"/>
              <w:rPr>
                <w:kern w:val="0"/>
                <w:szCs w:val="21"/>
              </w:rPr>
            </w:pPr>
          </w:p>
        </w:tc>
        <w:tc>
          <w:tcPr>
            <w:tcW w:w="2112" w:type="dxa"/>
            <w:vAlign w:val="center"/>
          </w:tcPr>
          <w:p>
            <w:pPr>
              <w:autoSpaceDE w:val="0"/>
              <w:autoSpaceDN w:val="0"/>
              <w:adjustRightInd w:val="0"/>
              <w:snapToGrid w:val="0"/>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6" w:type="dxa"/>
            <w:gridSpan w:val="4"/>
            <w:vAlign w:val="center"/>
          </w:tcPr>
          <w:p>
            <w:pPr>
              <w:autoSpaceDE w:val="0"/>
              <w:autoSpaceDN w:val="0"/>
              <w:adjustRightInd w:val="0"/>
              <w:snapToGrid w:val="0"/>
              <w:jc w:val="center"/>
              <w:rPr>
                <w:b/>
                <w:kern w:val="0"/>
                <w:szCs w:val="21"/>
              </w:rPr>
            </w:pPr>
            <w:r>
              <w:rPr>
                <w:b/>
                <w:kern w:val="0"/>
                <w:szCs w:val="21"/>
              </w:rPr>
              <w:t>第二部分理化性质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b/>
                <w:bCs/>
                <w:kern w:val="0"/>
                <w:szCs w:val="21"/>
              </w:rPr>
              <w:t>外观与形状</w:t>
            </w:r>
          </w:p>
        </w:tc>
        <w:tc>
          <w:tcPr>
            <w:tcW w:w="7278" w:type="dxa"/>
            <w:gridSpan w:val="3"/>
            <w:vAlign w:val="center"/>
          </w:tcPr>
          <w:p>
            <w:pPr>
              <w:autoSpaceDE w:val="0"/>
              <w:autoSpaceDN w:val="0"/>
              <w:adjustRightInd w:val="0"/>
              <w:snapToGrid w:val="0"/>
              <w:jc w:val="center"/>
              <w:rPr>
                <w:kern w:val="0"/>
                <w:szCs w:val="21"/>
              </w:rPr>
            </w:pPr>
            <w:r>
              <w:rPr>
                <w:kern w:val="0"/>
                <w:szCs w:val="21"/>
              </w:rPr>
              <w:t>无色、有恶臭的气体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b/>
                <w:bCs/>
                <w:kern w:val="0"/>
                <w:szCs w:val="21"/>
              </w:rPr>
              <w:t>熔点（℃）</w:t>
            </w:r>
          </w:p>
        </w:tc>
        <w:tc>
          <w:tcPr>
            <w:tcW w:w="2757" w:type="dxa"/>
            <w:vAlign w:val="center"/>
          </w:tcPr>
          <w:p>
            <w:pPr>
              <w:autoSpaceDE w:val="0"/>
              <w:autoSpaceDN w:val="0"/>
              <w:adjustRightInd w:val="0"/>
              <w:snapToGrid w:val="0"/>
              <w:jc w:val="center"/>
              <w:rPr>
                <w:kern w:val="0"/>
                <w:szCs w:val="21"/>
              </w:rPr>
            </w:pPr>
            <w:r>
              <w:rPr>
                <w:kern w:val="0"/>
                <w:szCs w:val="21"/>
              </w:rPr>
              <w:t>-</w:t>
            </w:r>
            <w:r>
              <w:rPr>
                <w:rFonts w:hint="eastAsia"/>
                <w:kern w:val="0"/>
                <w:szCs w:val="21"/>
              </w:rPr>
              <w:t>85.5</w:t>
            </w:r>
            <w:r>
              <w:rPr>
                <w:kern w:val="0"/>
                <w:szCs w:val="21"/>
              </w:rPr>
              <w:t>℃</w:t>
            </w:r>
          </w:p>
        </w:tc>
        <w:tc>
          <w:tcPr>
            <w:tcW w:w="2409" w:type="dxa"/>
            <w:vAlign w:val="center"/>
          </w:tcPr>
          <w:p>
            <w:pPr>
              <w:autoSpaceDE w:val="0"/>
              <w:autoSpaceDN w:val="0"/>
              <w:adjustRightInd w:val="0"/>
              <w:snapToGrid w:val="0"/>
              <w:jc w:val="center"/>
              <w:rPr>
                <w:b/>
                <w:bCs/>
                <w:kern w:val="0"/>
                <w:szCs w:val="21"/>
              </w:rPr>
            </w:pPr>
            <w:r>
              <w:rPr>
                <w:b/>
                <w:bCs/>
                <w:kern w:val="0"/>
                <w:szCs w:val="21"/>
              </w:rPr>
              <w:t>相对密度</w:t>
            </w:r>
            <w:r>
              <w:rPr>
                <w:rFonts w:hint="eastAsia"/>
                <w:b/>
                <w:bCs/>
                <w:kern w:val="0"/>
                <w:szCs w:val="21"/>
              </w:rPr>
              <w:t>（空气=1）</w:t>
            </w:r>
          </w:p>
        </w:tc>
        <w:tc>
          <w:tcPr>
            <w:tcW w:w="2112" w:type="dxa"/>
            <w:vAlign w:val="center"/>
          </w:tcPr>
          <w:p>
            <w:pPr>
              <w:autoSpaceDE w:val="0"/>
              <w:autoSpaceDN w:val="0"/>
              <w:adjustRightInd w:val="0"/>
              <w:snapToGrid w:val="0"/>
              <w:jc w:val="center"/>
              <w:rPr>
                <w:kern w:val="0"/>
                <w:szCs w:val="21"/>
              </w:rPr>
            </w:pPr>
            <w:r>
              <w:rPr>
                <w:rFonts w:hint="eastAsia"/>
                <w:kern w:val="0"/>
                <w:szCs w:val="21"/>
              </w:rPr>
              <w:t>1.19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b/>
                <w:bCs/>
                <w:kern w:val="0"/>
                <w:szCs w:val="21"/>
              </w:rPr>
              <w:t>沸点（℃）</w:t>
            </w:r>
          </w:p>
        </w:tc>
        <w:tc>
          <w:tcPr>
            <w:tcW w:w="2757" w:type="dxa"/>
            <w:vAlign w:val="center"/>
          </w:tcPr>
          <w:p>
            <w:pPr>
              <w:autoSpaceDE w:val="0"/>
              <w:autoSpaceDN w:val="0"/>
              <w:adjustRightInd w:val="0"/>
              <w:snapToGrid w:val="0"/>
              <w:jc w:val="center"/>
              <w:rPr>
                <w:kern w:val="0"/>
                <w:szCs w:val="21"/>
              </w:rPr>
            </w:pPr>
            <w:r>
              <w:rPr>
                <w:kern w:val="0"/>
                <w:szCs w:val="21"/>
              </w:rPr>
              <w:t>-</w:t>
            </w:r>
            <w:r>
              <w:rPr>
                <w:rFonts w:hint="eastAsia"/>
                <w:kern w:val="0"/>
                <w:szCs w:val="21"/>
              </w:rPr>
              <w:t>60.4</w:t>
            </w:r>
            <w:r>
              <w:rPr>
                <w:kern w:val="0"/>
                <w:szCs w:val="21"/>
              </w:rPr>
              <w:t>℃</w:t>
            </w:r>
          </w:p>
        </w:tc>
        <w:tc>
          <w:tcPr>
            <w:tcW w:w="2409" w:type="dxa"/>
            <w:vAlign w:val="center"/>
          </w:tcPr>
          <w:p>
            <w:pPr>
              <w:autoSpaceDE w:val="0"/>
              <w:autoSpaceDN w:val="0"/>
              <w:adjustRightInd w:val="0"/>
              <w:snapToGrid w:val="0"/>
              <w:jc w:val="center"/>
              <w:rPr>
                <w:b/>
                <w:bCs/>
                <w:kern w:val="0"/>
                <w:szCs w:val="21"/>
              </w:rPr>
            </w:pPr>
            <w:r>
              <w:rPr>
                <w:rFonts w:hint="eastAsia"/>
                <w:b/>
                <w:bCs/>
                <w:kern w:val="0"/>
                <w:szCs w:val="21"/>
              </w:rPr>
              <w:t>危险性类别</w:t>
            </w:r>
          </w:p>
        </w:tc>
        <w:tc>
          <w:tcPr>
            <w:tcW w:w="2112" w:type="dxa"/>
            <w:vAlign w:val="center"/>
          </w:tcPr>
          <w:p>
            <w:pPr>
              <w:autoSpaceDE w:val="0"/>
              <w:autoSpaceDN w:val="0"/>
              <w:adjustRightInd w:val="0"/>
              <w:snapToGrid w:val="0"/>
              <w:jc w:val="center"/>
              <w:rPr>
                <w:kern w:val="0"/>
                <w:szCs w:val="21"/>
              </w:rPr>
            </w:pPr>
            <w:r>
              <w:rPr>
                <w:rFonts w:hint="eastAsia"/>
                <w:kern w:val="0"/>
                <w:szCs w:val="21"/>
              </w:rPr>
              <w:t>第2.1类 易燃气体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b/>
                <w:bCs/>
                <w:kern w:val="0"/>
                <w:szCs w:val="21"/>
              </w:rPr>
              <w:t>溶解性</w:t>
            </w:r>
          </w:p>
        </w:tc>
        <w:tc>
          <w:tcPr>
            <w:tcW w:w="7278" w:type="dxa"/>
            <w:gridSpan w:val="3"/>
            <w:vAlign w:val="center"/>
          </w:tcPr>
          <w:p>
            <w:pPr>
              <w:autoSpaceDE w:val="0"/>
              <w:autoSpaceDN w:val="0"/>
              <w:adjustRightInd w:val="0"/>
              <w:snapToGrid w:val="0"/>
              <w:jc w:val="center"/>
              <w:rPr>
                <w:kern w:val="0"/>
                <w:szCs w:val="21"/>
              </w:rPr>
            </w:pPr>
            <w:r>
              <w:rPr>
                <w:kern w:val="0"/>
                <w:szCs w:val="21"/>
              </w:rPr>
              <w:t>易溶于水、乙醇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rFonts w:hint="eastAsia"/>
                <w:b/>
                <w:bCs/>
                <w:kern w:val="0"/>
                <w:szCs w:val="21"/>
              </w:rPr>
              <w:t>临界温度</w:t>
            </w:r>
            <w:r>
              <w:rPr>
                <w:b/>
                <w:bCs/>
                <w:kern w:val="0"/>
                <w:szCs w:val="21"/>
              </w:rPr>
              <w:t>（℃）</w:t>
            </w:r>
          </w:p>
        </w:tc>
        <w:tc>
          <w:tcPr>
            <w:tcW w:w="2757" w:type="dxa"/>
            <w:vAlign w:val="center"/>
          </w:tcPr>
          <w:p>
            <w:pPr>
              <w:autoSpaceDE w:val="0"/>
              <w:autoSpaceDN w:val="0"/>
              <w:adjustRightInd w:val="0"/>
              <w:snapToGrid w:val="0"/>
              <w:jc w:val="center"/>
              <w:rPr>
                <w:kern w:val="0"/>
                <w:szCs w:val="21"/>
              </w:rPr>
            </w:pPr>
            <w:r>
              <w:rPr>
                <w:rFonts w:hint="eastAsia"/>
                <w:kern w:val="0"/>
                <w:szCs w:val="21"/>
              </w:rPr>
              <w:t>100.4</w:t>
            </w:r>
          </w:p>
        </w:tc>
        <w:tc>
          <w:tcPr>
            <w:tcW w:w="2409" w:type="dxa"/>
            <w:vAlign w:val="center"/>
          </w:tcPr>
          <w:p>
            <w:pPr>
              <w:autoSpaceDE w:val="0"/>
              <w:autoSpaceDN w:val="0"/>
              <w:adjustRightInd w:val="0"/>
              <w:snapToGrid w:val="0"/>
              <w:jc w:val="center"/>
              <w:rPr>
                <w:b/>
                <w:bCs/>
                <w:kern w:val="0"/>
                <w:szCs w:val="21"/>
              </w:rPr>
            </w:pPr>
            <w:r>
              <w:rPr>
                <w:rFonts w:hint="eastAsia"/>
                <w:b/>
                <w:bCs/>
                <w:kern w:val="0"/>
                <w:szCs w:val="21"/>
              </w:rPr>
              <w:t>临界压力</w:t>
            </w:r>
            <w:r>
              <w:rPr>
                <w:b/>
                <w:bCs/>
                <w:kern w:val="0"/>
                <w:szCs w:val="21"/>
              </w:rPr>
              <w:t>（</w:t>
            </w:r>
            <w:r>
              <w:rPr>
                <w:rFonts w:hint="eastAsia"/>
                <w:b/>
                <w:bCs/>
                <w:kern w:val="0"/>
                <w:szCs w:val="21"/>
              </w:rPr>
              <w:t>MPa</w:t>
            </w:r>
            <w:r>
              <w:rPr>
                <w:b/>
                <w:bCs/>
                <w:kern w:val="0"/>
                <w:szCs w:val="21"/>
              </w:rPr>
              <w:t>）</w:t>
            </w:r>
          </w:p>
        </w:tc>
        <w:tc>
          <w:tcPr>
            <w:tcW w:w="2112" w:type="dxa"/>
            <w:vAlign w:val="center"/>
          </w:tcPr>
          <w:p>
            <w:pPr>
              <w:autoSpaceDE w:val="0"/>
              <w:autoSpaceDN w:val="0"/>
              <w:adjustRightInd w:val="0"/>
              <w:snapToGrid w:val="0"/>
              <w:jc w:val="center"/>
              <w:rPr>
                <w:kern w:val="0"/>
                <w:szCs w:val="21"/>
              </w:rPr>
            </w:pPr>
            <w:r>
              <w:rPr>
                <w:rFonts w:hint="eastAsia"/>
                <w:kern w:val="0"/>
                <w:szCs w:val="21"/>
              </w:rPr>
              <w:t>9.01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rFonts w:hint="eastAsia"/>
                <w:b/>
                <w:bCs/>
                <w:kern w:val="0"/>
                <w:szCs w:val="21"/>
              </w:rPr>
              <w:t>闪点</w:t>
            </w:r>
            <w:r>
              <w:rPr>
                <w:b/>
                <w:bCs/>
                <w:kern w:val="0"/>
                <w:szCs w:val="21"/>
              </w:rPr>
              <w:t>（℃）</w:t>
            </w:r>
          </w:p>
        </w:tc>
        <w:tc>
          <w:tcPr>
            <w:tcW w:w="2757" w:type="dxa"/>
            <w:vAlign w:val="center"/>
          </w:tcPr>
          <w:p>
            <w:pPr>
              <w:autoSpaceDE w:val="0"/>
              <w:autoSpaceDN w:val="0"/>
              <w:adjustRightInd w:val="0"/>
              <w:snapToGrid w:val="0"/>
              <w:jc w:val="center"/>
              <w:rPr>
                <w:kern w:val="0"/>
                <w:szCs w:val="21"/>
              </w:rPr>
            </w:pPr>
            <w:r>
              <w:rPr>
                <w:rFonts w:hint="eastAsia"/>
                <w:kern w:val="0"/>
                <w:szCs w:val="21"/>
              </w:rPr>
              <w:t>-50</w:t>
            </w:r>
          </w:p>
        </w:tc>
        <w:tc>
          <w:tcPr>
            <w:tcW w:w="2409" w:type="dxa"/>
            <w:vAlign w:val="center"/>
          </w:tcPr>
          <w:p>
            <w:pPr>
              <w:autoSpaceDE w:val="0"/>
              <w:autoSpaceDN w:val="0"/>
              <w:adjustRightInd w:val="0"/>
              <w:snapToGrid w:val="0"/>
              <w:jc w:val="center"/>
              <w:rPr>
                <w:b/>
                <w:bCs/>
                <w:kern w:val="0"/>
                <w:szCs w:val="21"/>
              </w:rPr>
            </w:pPr>
            <w:r>
              <w:rPr>
                <w:rFonts w:hint="eastAsia"/>
                <w:b/>
                <w:bCs/>
                <w:kern w:val="0"/>
                <w:szCs w:val="21"/>
              </w:rPr>
              <w:t>自燃温度</w:t>
            </w:r>
            <w:r>
              <w:rPr>
                <w:b/>
                <w:bCs/>
                <w:kern w:val="0"/>
                <w:szCs w:val="21"/>
              </w:rPr>
              <w:t>（℃）</w:t>
            </w:r>
          </w:p>
        </w:tc>
        <w:tc>
          <w:tcPr>
            <w:tcW w:w="2112" w:type="dxa"/>
            <w:vAlign w:val="center"/>
          </w:tcPr>
          <w:p>
            <w:pPr>
              <w:autoSpaceDE w:val="0"/>
              <w:autoSpaceDN w:val="0"/>
              <w:adjustRightInd w:val="0"/>
              <w:snapToGrid w:val="0"/>
              <w:jc w:val="center"/>
              <w:rPr>
                <w:kern w:val="0"/>
                <w:szCs w:val="21"/>
              </w:rPr>
            </w:pPr>
            <w:r>
              <w:rPr>
                <w:rFonts w:hint="eastAsia"/>
                <w:kern w:val="0"/>
                <w:szCs w:val="21"/>
              </w:rPr>
              <w:t>260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rFonts w:hint="eastAsia"/>
                <w:b/>
                <w:bCs/>
                <w:kern w:val="0"/>
                <w:szCs w:val="21"/>
              </w:rPr>
              <w:t>爆炸下限（V%）</w:t>
            </w:r>
          </w:p>
        </w:tc>
        <w:tc>
          <w:tcPr>
            <w:tcW w:w="2757" w:type="dxa"/>
            <w:vAlign w:val="center"/>
          </w:tcPr>
          <w:p>
            <w:pPr>
              <w:autoSpaceDE w:val="0"/>
              <w:autoSpaceDN w:val="0"/>
              <w:adjustRightInd w:val="0"/>
              <w:snapToGrid w:val="0"/>
              <w:jc w:val="center"/>
              <w:rPr>
                <w:kern w:val="0"/>
                <w:szCs w:val="21"/>
              </w:rPr>
            </w:pPr>
            <w:r>
              <w:rPr>
                <w:rFonts w:hint="eastAsia"/>
                <w:kern w:val="0"/>
                <w:szCs w:val="21"/>
              </w:rPr>
              <w:t>4.0</w:t>
            </w:r>
          </w:p>
        </w:tc>
        <w:tc>
          <w:tcPr>
            <w:tcW w:w="2409" w:type="dxa"/>
            <w:vAlign w:val="center"/>
          </w:tcPr>
          <w:p>
            <w:pPr>
              <w:autoSpaceDE w:val="0"/>
              <w:autoSpaceDN w:val="0"/>
              <w:adjustRightInd w:val="0"/>
              <w:snapToGrid w:val="0"/>
              <w:jc w:val="center"/>
              <w:rPr>
                <w:b/>
                <w:bCs/>
                <w:kern w:val="0"/>
                <w:szCs w:val="21"/>
              </w:rPr>
            </w:pPr>
            <w:r>
              <w:rPr>
                <w:rFonts w:hint="eastAsia"/>
                <w:b/>
                <w:bCs/>
                <w:kern w:val="0"/>
                <w:szCs w:val="21"/>
              </w:rPr>
              <w:t>爆炸上限（V%）</w:t>
            </w:r>
          </w:p>
        </w:tc>
        <w:tc>
          <w:tcPr>
            <w:tcW w:w="2112" w:type="dxa"/>
            <w:vAlign w:val="center"/>
          </w:tcPr>
          <w:p>
            <w:pPr>
              <w:autoSpaceDE w:val="0"/>
              <w:autoSpaceDN w:val="0"/>
              <w:adjustRightInd w:val="0"/>
              <w:snapToGrid w:val="0"/>
              <w:jc w:val="center"/>
              <w:rPr>
                <w:kern w:val="0"/>
                <w:szCs w:val="21"/>
              </w:rPr>
            </w:pPr>
            <w:r>
              <w:rPr>
                <w:rFonts w:hint="eastAsia"/>
                <w:kern w:val="0"/>
                <w:szCs w:val="21"/>
              </w:rPr>
              <w:t>46.0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6" w:type="dxa"/>
            <w:gridSpan w:val="4"/>
            <w:vAlign w:val="center"/>
          </w:tcPr>
          <w:p>
            <w:pPr>
              <w:autoSpaceDE w:val="0"/>
              <w:autoSpaceDN w:val="0"/>
              <w:adjustRightInd w:val="0"/>
              <w:snapToGrid w:val="0"/>
              <w:jc w:val="center"/>
              <w:rPr>
                <w:b/>
                <w:kern w:val="0"/>
                <w:szCs w:val="21"/>
              </w:rPr>
            </w:pPr>
            <w:r>
              <w:rPr>
                <w:b/>
                <w:kern w:val="0"/>
                <w:szCs w:val="21"/>
              </w:rPr>
              <w:t>第三部分危险性概述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b/>
                <w:bCs/>
                <w:kern w:val="0"/>
                <w:szCs w:val="21"/>
              </w:rPr>
              <w:t>危险性</w:t>
            </w:r>
          </w:p>
        </w:tc>
        <w:tc>
          <w:tcPr>
            <w:tcW w:w="7278" w:type="dxa"/>
            <w:gridSpan w:val="3"/>
            <w:vAlign w:val="center"/>
          </w:tcPr>
          <w:p>
            <w:pPr>
              <w:autoSpaceDE w:val="0"/>
              <w:autoSpaceDN w:val="0"/>
              <w:adjustRightInd w:val="0"/>
              <w:snapToGrid w:val="0"/>
              <w:jc w:val="center"/>
              <w:rPr>
                <w:kern w:val="0"/>
                <w:szCs w:val="21"/>
              </w:rPr>
            </w:pPr>
            <w:r>
              <w:rPr>
                <w:rFonts w:hint="eastAsia"/>
                <w:kern w:val="0"/>
                <w:szCs w:val="21"/>
                <w:lang w:val="zh-TW"/>
              </w:rPr>
              <w:t>易燃，</w:t>
            </w:r>
            <w:r>
              <w:rPr>
                <w:kern w:val="0"/>
                <w:szCs w:val="21"/>
                <w:lang w:val="zh-TW"/>
              </w:rPr>
              <w:t>与空气混合能形成爆炸性混合物，遇明火、高热能引起燃烧爆炸，与</w:t>
            </w:r>
            <w:r>
              <w:rPr>
                <w:rFonts w:hint="eastAsia"/>
                <w:kern w:val="0"/>
                <w:szCs w:val="21"/>
                <w:lang w:val="zh-TW"/>
              </w:rPr>
              <w:t>浓硝酸</w:t>
            </w:r>
            <w:r>
              <w:rPr>
                <w:kern w:val="0"/>
                <w:szCs w:val="21"/>
                <w:lang w:val="zh-TW"/>
              </w:rPr>
              <w:t>、</w:t>
            </w:r>
            <w:r>
              <w:rPr>
                <w:rFonts w:hint="eastAsia"/>
                <w:kern w:val="0"/>
                <w:szCs w:val="21"/>
                <w:lang w:val="zh-TW"/>
              </w:rPr>
              <w:t>发烟硝酸或其他强氧化剂</w:t>
            </w:r>
            <w:r>
              <w:rPr>
                <w:kern w:val="0"/>
                <w:szCs w:val="21"/>
                <w:lang w:val="zh-TW"/>
              </w:rPr>
              <w:t>剧烈反应</w:t>
            </w:r>
            <w:r>
              <w:rPr>
                <w:rFonts w:hint="eastAsia"/>
                <w:kern w:val="0"/>
                <w:szCs w:val="21"/>
                <w:lang w:val="zh-TW"/>
              </w:rPr>
              <w:t>，发生爆炸。气体比空气重，能在较低处扩散到相当远的地方，遇明火会引着回燃。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6" w:type="dxa"/>
            <w:gridSpan w:val="4"/>
            <w:vAlign w:val="center"/>
          </w:tcPr>
          <w:p>
            <w:pPr>
              <w:autoSpaceDE w:val="0"/>
              <w:autoSpaceDN w:val="0"/>
              <w:adjustRightInd w:val="0"/>
              <w:snapToGrid w:val="0"/>
              <w:jc w:val="center"/>
              <w:rPr>
                <w:b/>
                <w:kern w:val="0"/>
                <w:szCs w:val="21"/>
                <w:lang w:val="zh-TW"/>
              </w:rPr>
            </w:pPr>
            <w:r>
              <w:rPr>
                <w:b/>
                <w:kern w:val="0"/>
                <w:szCs w:val="21"/>
              </w:rPr>
              <w:t>第四部分健康危害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b/>
                <w:bCs/>
                <w:kern w:val="0"/>
                <w:szCs w:val="21"/>
              </w:rPr>
              <w:t>侵入途径</w:t>
            </w:r>
          </w:p>
        </w:tc>
        <w:tc>
          <w:tcPr>
            <w:tcW w:w="7278" w:type="dxa"/>
            <w:gridSpan w:val="3"/>
            <w:vAlign w:val="center"/>
          </w:tcPr>
          <w:p>
            <w:pPr>
              <w:autoSpaceDE w:val="0"/>
              <w:autoSpaceDN w:val="0"/>
              <w:adjustRightInd w:val="0"/>
              <w:snapToGrid w:val="0"/>
              <w:jc w:val="center"/>
              <w:rPr>
                <w:kern w:val="0"/>
                <w:szCs w:val="21"/>
              </w:rPr>
            </w:pPr>
            <w:r>
              <w:rPr>
                <w:kern w:val="0"/>
                <w:szCs w:val="21"/>
              </w:rPr>
              <w:t>吸入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b/>
                <w:bCs/>
                <w:kern w:val="0"/>
                <w:szCs w:val="21"/>
              </w:rPr>
              <w:t>健康危害</w:t>
            </w:r>
          </w:p>
        </w:tc>
        <w:tc>
          <w:tcPr>
            <w:tcW w:w="7278" w:type="dxa"/>
            <w:gridSpan w:val="3"/>
            <w:vAlign w:val="center"/>
          </w:tcPr>
          <w:p>
            <w:pPr>
              <w:autoSpaceDE w:val="0"/>
              <w:autoSpaceDN w:val="0"/>
              <w:adjustRightInd w:val="0"/>
              <w:snapToGrid w:val="0"/>
              <w:jc w:val="center"/>
              <w:rPr>
                <w:kern w:val="0"/>
                <w:szCs w:val="21"/>
                <w:lang w:val="zh-TW"/>
              </w:rPr>
            </w:pPr>
            <w:r>
              <w:rPr>
                <w:rFonts w:hint="eastAsia"/>
                <w:kern w:val="0"/>
                <w:szCs w:val="21"/>
                <w:lang w:val="zh-TW"/>
              </w:rPr>
              <w:t>本品是强烈的神经毒物，对粘膜有强烈刺激作用。急性中毒 短期内吸入高浓度硫化氢后出现流泪、眼痛、眼内异物感、畏光、视物模糊、流涕、咽喉部的灼热感、咳嗽、胸闷、头痛、头晕、乏力、意识模糊等。部分患者可有心肌损害。重者可出现脑水肿、肺水肿。极高浓度</w:t>
            </w:r>
            <w:r>
              <w:rPr>
                <w:rFonts w:eastAsia="PMingLiU"/>
                <w:kern w:val="0"/>
                <w:szCs w:val="21"/>
                <w:lang w:val="zh-TW" w:eastAsia="zh-TW"/>
              </w:rPr>
              <w:t>(</w:t>
            </w:r>
            <w:r>
              <w:rPr>
                <w:rFonts w:hint="eastAsia"/>
                <w:kern w:val="0"/>
                <w:szCs w:val="21"/>
                <w:lang w:val="zh-TW"/>
              </w:rPr>
              <w:t>1000</w:t>
            </w:r>
            <w:r>
              <w:rPr>
                <w:rFonts w:eastAsia="PMingLiU"/>
                <w:kern w:val="0"/>
                <w:szCs w:val="21"/>
                <w:lang w:val="zh-TW" w:eastAsia="zh-TW"/>
              </w:rPr>
              <w:t>m</w:t>
            </w:r>
            <w:r>
              <w:rPr>
                <w:rFonts w:hint="eastAsia"/>
                <w:kern w:val="0"/>
                <w:szCs w:val="21"/>
                <w:lang w:val="zh-TW"/>
              </w:rPr>
              <w:t>g/m</w:t>
            </w:r>
            <w:r>
              <w:rPr>
                <w:rFonts w:eastAsia="PMingLiU"/>
                <w:kern w:val="0"/>
                <w:szCs w:val="21"/>
                <w:vertAlign w:val="superscript"/>
                <w:lang w:val="zh-TW" w:eastAsia="zh-TW"/>
              </w:rPr>
              <w:t>3</w:t>
            </w:r>
            <w:r>
              <w:rPr>
                <w:rFonts w:hint="eastAsia"/>
                <w:kern w:val="0"/>
                <w:szCs w:val="21"/>
                <w:lang w:val="zh-TW"/>
              </w:rPr>
              <w:t>以上</w:t>
            </w:r>
            <w:r>
              <w:rPr>
                <w:rFonts w:eastAsia="PMingLiU"/>
                <w:kern w:val="0"/>
                <w:szCs w:val="21"/>
                <w:lang w:val="zh-TW" w:eastAsia="zh-TW"/>
              </w:rPr>
              <w:t>)</w:t>
            </w:r>
            <w:r>
              <w:rPr>
                <w:rFonts w:hint="eastAsia"/>
                <w:kern w:val="0"/>
                <w:szCs w:val="21"/>
                <w:lang w:val="zh-TW"/>
              </w:rPr>
              <w:t>时可在数秒钟内突然昏迷，呼吸和心跳聚挺，发生闪电型死亡。高浓度接触眼结膜发生水肿和角膜溃疡。长期低浓度接触，引起神经衰弱综合征和植物神经功能紊乱。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6" w:type="dxa"/>
            <w:gridSpan w:val="4"/>
            <w:vAlign w:val="center"/>
          </w:tcPr>
          <w:p>
            <w:pPr>
              <w:autoSpaceDE w:val="0"/>
              <w:autoSpaceDN w:val="0"/>
              <w:adjustRightInd w:val="0"/>
              <w:snapToGrid w:val="0"/>
              <w:jc w:val="center"/>
              <w:rPr>
                <w:b/>
                <w:kern w:val="0"/>
                <w:szCs w:val="21"/>
              </w:rPr>
            </w:pPr>
            <w:r>
              <w:rPr>
                <w:b/>
                <w:kern w:val="0"/>
                <w:szCs w:val="21"/>
              </w:rPr>
              <w:t>第五部分毒性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kern w:val="0"/>
                <w:szCs w:val="21"/>
              </w:rPr>
            </w:pPr>
            <w:r>
              <w:rPr>
                <w:b/>
                <w:bCs/>
                <w:kern w:val="0"/>
                <w:szCs w:val="21"/>
              </w:rPr>
              <w:t>最高容许浓度</w:t>
            </w:r>
          </w:p>
        </w:tc>
        <w:tc>
          <w:tcPr>
            <w:tcW w:w="7278" w:type="dxa"/>
            <w:gridSpan w:val="3"/>
            <w:vAlign w:val="center"/>
          </w:tcPr>
          <w:p>
            <w:pPr>
              <w:autoSpaceDE w:val="0"/>
              <w:autoSpaceDN w:val="0"/>
              <w:adjustRightInd w:val="0"/>
              <w:snapToGrid w:val="0"/>
              <w:jc w:val="center"/>
              <w:rPr>
                <w:kern w:val="0"/>
                <w:szCs w:val="21"/>
                <w:lang w:val="zh-TW"/>
              </w:rPr>
            </w:pPr>
            <w:r>
              <w:rPr>
                <w:kern w:val="0"/>
                <w:szCs w:val="21"/>
                <w:lang w:val="zh-TW"/>
              </w:rPr>
              <w:t>恶臭污染物厂界标准（mg/m</w:t>
            </w:r>
            <w:r>
              <w:rPr>
                <w:kern w:val="0"/>
                <w:szCs w:val="21"/>
                <w:vertAlign w:val="superscript"/>
                <w:lang w:val="zh-TW"/>
              </w:rPr>
              <w:t>3</w:t>
            </w:r>
            <w:r>
              <w:rPr>
                <w:kern w:val="0"/>
                <w:szCs w:val="21"/>
                <w:lang w:val="zh-TW"/>
              </w:rPr>
              <w:t>)：</w:t>
            </w:r>
            <w:r>
              <w:rPr>
                <w:rFonts w:hint="eastAsia"/>
                <w:kern w:val="0"/>
                <w:szCs w:val="21"/>
                <w:lang w:val="zh-TW"/>
              </w:rPr>
              <w:t>一级0.03、二级0.06～0.10、三级0.32～0.60。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8" w:type="dxa"/>
            <w:vAlign w:val="center"/>
          </w:tcPr>
          <w:p>
            <w:pPr>
              <w:autoSpaceDE w:val="0"/>
              <w:autoSpaceDN w:val="0"/>
              <w:adjustRightInd w:val="0"/>
              <w:snapToGrid w:val="0"/>
              <w:jc w:val="center"/>
              <w:rPr>
                <w:b/>
                <w:bCs/>
                <w:szCs w:val="21"/>
              </w:rPr>
            </w:pPr>
            <w:r>
              <w:rPr>
                <w:b/>
                <w:bCs/>
                <w:szCs w:val="21"/>
              </w:rPr>
              <w:t>急性毒性</w:t>
            </w:r>
          </w:p>
        </w:tc>
        <w:tc>
          <w:tcPr>
            <w:tcW w:w="7278" w:type="dxa"/>
            <w:gridSpan w:val="3"/>
            <w:vAlign w:val="center"/>
          </w:tcPr>
          <w:p>
            <w:pPr>
              <w:autoSpaceDE w:val="0"/>
              <w:autoSpaceDN w:val="0"/>
              <w:adjustRightInd w:val="0"/>
              <w:snapToGrid w:val="0"/>
              <w:jc w:val="center"/>
              <w:rPr>
                <w:kern w:val="0"/>
                <w:szCs w:val="21"/>
              </w:rPr>
            </w:pPr>
            <w:r>
              <w:rPr>
                <w:kern w:val="0"/>
                <w:szCs w:val="21"/>
                <w:lang w:val="zh-TW"/>
              </w:rPr>
              <w:t>LD</w:t>
            </w:r>
            <w:r>
              <w:rPr>
                <w:kern w:val="0"/>
                <w:szCs w:val="21"/>
                <w:vertAlign w:val="subscript"/>
                <w:lang w:val="zh-TW"/>
              </w:rPr>
              <w:t>50</w:t>
            </w:r>
            <w:r>
              <w:rPr>
                <w:kern w:val="0"/>
                <w:szCs w:val="21"/>
                <w:lang w:val="zh-TW"/>
              </w:rPr>
              <w:t>：</w:t>
            </w:r>
            <w:r>
              <w:rPr>
                <w:rFonts w:hint="eastAsia"/>
                <w:kern w:val="0"/>
                <w:szCs w:val="21"/>
              </w:rPr>
              <w:t>无资料</w:t>
            </w:r>
            <w:r>
              <w:rPr>
                <w:kern w:val="0"/>
                <w:szCs w:val="21"/>
                <w:lang w:val="zh-TW"/>
              </w:rPr>
              <w:t>；LC</w:t>
            </w:r>
            <w:r>
              <w:rPr>
                <w:kern w:val="0"/>
                <w:szCs w:val="21"/>
                <w:vertAlign w:val="subscript"/>
                <w:lang w:val="zh-TW"/>
              </w:rPr>
              <w:t>50</w:t>
            </w:r>
            <w:r>
              <w:rPr>
                <w:kern w:val="0"/>
                <w:szCs w:val="21"/>
                <w:lang w:val="zh-TW"/>
              </w:rPr>
              <w:t>：</w:t>
            </w:r>
            <w:r>
              <w:rPr>
                <w:rFonts w:hint="eastAsia"/>
                <w:kern w:val="0"/>
                <w:szCs w:val="21"/>
              </w:rPr>
              <w:t>444ppm</w:t>
            </w:r>
            <w:r>
              <w:rPr>
                <w:kern w:val="0"/>
                <w:szCs w:val="21"/>
                <w:lang w:val="zh-TW"/>
              </w:rPr>
              <w:t>(大鼠吸入）</w:t>
            </w:r>
          </w:p>
        </w:tc>
      </w:tr>
    </w:tbl>
    <w:p>
      <w:pPr>
        <w:keepNext/>
        <w:keepLines/>
        <w:spacing w:line="520" w:lineRule="exact"/>
        <w:outlineLvl w:val="2"/>
        <w:rPr>
          <w:rFonts w:eastAsia="黑体"/>
          <w:bCs/>
          <w:sz w:val="28"/>
          <w:szCs w:val="28"/>
        </w:rPr>
      </w:pPr>
      <w:r>
        <w:rPr>
          <w:rFonts w:hint="eastAsia" w:eastAsia="黑体"/>
          <w:bCs/>
          <w:sz w:val="28"/>
          <w:szCs w:val="28"/>
        </w:rPr>
        <w:t>6</w:t>
      </w:r>
      <w:r>
        <w:rPr>
          <w:rFonts w:eastAsia="黑体"/>
          <w:bCs/>
          <w:sz w:val="28"/>
          <w:szCs w:val="28"/>
        </w:rPr>
        <w:t>.4.2</w:t>
      </w:r>
      <w:r>
        <w:rPr>
          <w:rFonts w:hint="eastAsia" w:eastAsia="黑体"/>
          <w:bCs/>
          <w:sz w:val="28"/>
          <w:szCs w:val="28"/>
        </w:rPr>
        <w:t>风险源分布情况</w:t>
      </w:r>
    </w:p>
    <w:p>
      <w:pPr>
        <w:spacing w:before="120" w:line="500" w:lineRule="exact"/>
        <w:ind w:firstLine="578"/>
        <w:contextualSpacing/>
        <w:rPr>
          <w:kern w:val="0"/>
          <w:sz w:val="24"/>
          <w:szCs w:val="28"/>
        </w:rPr>
      </w:pPr>
      <w:r>
        <w:rPr>
          <w:rFonts w:hint="eastAsia"/>
          <w:kern w:val="0"/>
          <w:sz w:val="24"/>
          <w:szCs w:val="28"/>
        </w:rPr>
        <w:t>该项目在生产营运阶段主要风险为：污水处理站运行风险，硫化氢、氨气泄漏发生火灾、爆炸事故导致次生环境污染，故本项目风险单元为污水处理站。风险单元</w:t>
      </w:r>
      <w:r>
        <w:rPr>
          <w:kern w:val="0"/>
          <w:sz w:val="24"/>
          <w:szCs w:val="28"/>
        </w:rPr>
        <w:t>的位置图如下。</w:t>
      </w:r>
    </w:p>
    <w:p>
      <w:pPr>
        <w:spacing w:line="360" w:lineRule="auto"/>
        <w:contextualSpacing/>
        <w:jc w:val="center"/>
        <w:rPr>
          <w:kern w:val="0"/>
          <w:sz w:val="24"/>
          <w:szCs w:val="28"/>
        </w:rPr>
      </w:pPr>
      <w:r>
        <w:rPr>
          <w:kern w:val="0"/>
          <w:sz w:val="28"/>
          <w:szCs w:val="28"/>
          <w:lang w:val="zh-CN"/>
        </w:rPr>
        <w:drawing>
          <wp:inline distT="0" distB="0" distL="0" distR="0">
            <wp:extent cx="3597910" cy="3124835"/>
            <wp:effectExtent l="0" t="0" r="2540" b="18415"/>
            <wp:docPr id="1460285779" name="图片 3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85779" name="图片 36" descr="地图&#10;&#10;描述已自动生成"/>
                    <pic:cNvPicPr>
                      <a:picLocks noChangeAspect="1" noChangeArrowheads="1"/>
                    </pic:cNvPicPr>
                  </pic:nvPicPr>
                  <pic:blipFill>
                    <a:blip r:embed="rId203"/>
                    <a:srcRect/>
                    <a:stretch>
                      <a:fillRect/>
                    </a:stretch>
                  </pic:blipFill>
                  <pic:spPr>
                    <a:xfrm>
                      <a:off x="0" y="0"/>
                      <a:ext cx="3597910" cy="3132534"/>
                    </a:xfrm>
                    <a:prstGeom prst="rect">
                      <a:avLst/>
                    </a:prstGeom>
                    <a:noFill/>
                    <a:ln>
                      <a:noFill/>
                    </a:ln>
                  </pic:spPr>
                </pic:pic>
              </a:graphicData>
            </a:graphic>
          </wp:inline>
        </w:drawing>
      </w:r>
    </w:p>
    <w:p>
      <w:pPr>
        <w:spacing w:line="520" w:lineRule="exact"/>
        <w:contextualSpacing/>
        <w:jc w:val="center"/>
        <w:rPr>
          <w:kern w:val="0"/>
          <w:sz w:val="24"/>
          <w:szCs w:val="28"/>
        </w:rPr>
      </w:pPr>
      <w:r>
        <w:rPr>
          <w:rFonts w:eastAsia="黑体"/>
          <w:color w:val="000000"/>
          <w:kern w:val="0"/>
          <w:sz w:val="28"/>
          <w:szCs w:val="28"/>
          <w:lang w:val="zh-CN"/>
        </w:rPr>
        <w:t>图6.3-1  项目危险单元分布图</w:t>
      </w:r>
    </w:p>
    <w:p>
      <w:pPr>
        <w:keepNext/>
        <w:keepLines/>
        <w:spacing w:line="520" w:lineRule="exact"/>
        <w:outlineLvl w:val="2"/>
        <w:rPr>
          <w:rFonts w:eastAsia="黑体"/>
          <w:bCs/>
          <w:sz w:val="28"/>
          <w:szCs w:val="28"/>
        </w:rPr>
      </w:pPr>
      <w:r>
        <w:rPr>
          <w:rFonts w:hint="eastAsia" w:eastAsia="黑体"/>
          <w:bCs/>
          <w:sz w:val="28"/>
          <w:szCs w:val="28"/>
        </w:rPr>
        <w:t>6</w:t>
      </w:r>
      <w:r>
        <w:rPr>
          <w:rFonts w:eastAsia="黑体"/>
          <w:bCs/>
          <w:sz w:val="28"/>
          <w:szCs w:val="28"/>
        </w:rPr>
        <w:t xml:space="preserve">.4.3 </w:t>
      </w:r>
      <w:r>
        <w:rPr>
          <w:rFonts w:hint="eastAsia" w:eastAsia="黑体"/>
          <w:bCs/>
          <w:sz w:val="28"/>
          <w:szCs w:val="28"/>
        </w:rPr>
        <w:t>可能影响环境的途径</w:t>
      </w:r>
    </w:p>
    <w:p>
      <w:pPr>
        <w:spacing w:before="120" w:line="500" w:lineRule="exact"/>
        <w:ind w:firstLine="578"/>
        <w:contextualSpacing/>
        <w:rPr>
          <w:kern w:val="0"/>
          <w:sz w:val="24"/>
          <w:szCs w:val="28"/>
        </w:rPr>
      </w:pPr>
      <w:r>
        <w:rPr>
          <w:rFonts w:hint="eastAsia"/>
          <w:kern w:val="0"/>
          <w:sz w:val="24"/>
          <w:szCs w:val="28"/>
        </w:rPr>
        <w:t>本项目可能影响环境的途径为：</w:t>
      </w:r>
    </w:p>
    <w:p>
      <w:pPr>
        <w:spacing w:before="120" w:line="500" w:lineRule="exact"/>
        <w:ind w:firstLine="578"/>
        <w:contextualSpacing/>
        <w:rPr>
          <w:kern w:val="0"/>
          <w:sz w:val="24"/>
          <w:szCs w:val="28"/>
        </w:rPr>
      </w:pPr>
      <w:r>
        <w:rPr>
          <w:rFonts w:hint="eastAsia"/>
          <w:kern w:val="0"/>
          <w:sz w:val="24"/>
          <w:szCs w:val="28"/>
        </w:rPr>
        <w:t>①因污水管道破裂、废水处理单元运行不稳定，可能造成高浓度废水直排进入管网，或下渗污染周边地下水。</w:t>
      </w:r>
    </w:p>
    <w:p>
      <w:pPr>
        <w:spacing w:before="120" w:line="500" w:lineRule="exact"/>
        <w:ind w:firstLine="578"/>
        <w:contextualSpacing/>
        <w:rPr>
          <w:kern w:val="0"/>
          <w:sz w:val="24"/>
          <w:szCs w:val="28"/>
        </w:rPr>
      </w:pPr>
      <w:r>
        <w:rPr>
          <w:rFonts w:hint="eastAsia"/>
          <w:kern w:val="0"/>
          <w:sz w:val="24"/>
          <w:szCs w:val="28"/>
        </w:rPr>
        <w:t>②由于操作不当、废气治理设施运行不稳定，可能会发生废气治理设施不能正常工作的情况，造成废气高浓度的排放，进而影响项目周边大气环境。</w:t>
      </w:r>
    </w:p>
    <w:p>
      <w:pPr>
        <w:spacing w:before="120" w:line="500" w:lineRule="exact"/>
        <w:ind w:firstLine="578"/>
        <w:contextualSpacing/>
        <w:rPr>
          <w:kern w:val="0"/>
          <w:sz w:val="24"/>
          <w:szCs w:val="28"/>
        </w:rPr>
      </w:pPr>
      <w:r>
        <w:rPr>
          <w:rFonts w:hint="eastAsia"/>
          <w:kern w:val="0"/>
          <w:sz w:val="24"/>
          <w:szCs w:val="28"/>
        </w:rPr>
        <w:t>③由于阀门、管道维护不及时或遇外力冲击可能会造成破裂或泄露，泄露的硫化氢、氨气如遇明火可能会造成火灾和爆炸，导致次生环境污染。</w:t>
      </w:r>
    </w:p>
    <w:p>
      <w:pPr>
        <w:keepNext/>
        <w:keepLines/>
        <w:spacing w:line="520" w:lineRule="exact"/>
        <w:outlineLvl w:val="1"/>
        <w:rPr>
          <w:rFonts w:eastAsia="黑体"/>
          <w:bCs/>
          <w:sz w:val="28"/>
          <w:szCs w:val="28"/>
        </w:rPr>
      </w:pPr>
      <w:bookmarkStart w:id="154" w:name="_Toc1226"/>
      <w:r>
        <w:rPr>
          <w:rFonts w:hint="eastAsia" w:eastAsia="黑体"/>
          <w:bCs/>
          <w:sz w:val="28"/>
          <w:szCs w:val="28"/>
        </w:rPr>
        <w:t>6</w:t>
      </w:r>
      <w:r>
        <w:rPr>
          <w:rFonts w:eastAsia="黑体"/>
          <w:bCs/>
          <w:sz w:val="28"/>
          <w:szCs w:val="28"/>
        </w:rPr>
        <w:t>.5</w:t>
      </w:r>
      <w:r>
        <w:rPr>
          <w:rFonts w:hint="eastAsia" w:eastAsia="黑体"/>
          <w:bCs/>
          <w:sz w:val="28"/>
          <w:szCs w:val="28"/>
        </w:rPr>
        <w:t>环境风险分析</w:t>
      </w:r>
      <w:bookmarkEnd w:id="154"/>
    </w:p>
    <w:p>
      <w:pPr>
        <w:spacing w:before="120" w:line="500" w:lineRule="exact"/>
        <w:ind w:firstLine="578"/>
        <w:contextualSpacing/>
        <w:rPr>
          <w:kern w:val="0"/>
          <w:sz w:val="24"/>
          <w:szCs w:val="28"/>
        </w:rPr>
      </w:pPr>
      <w:r>
        <w:rPr>
          <w:rFonts w:hint="eastAsia"/>
          <w:kern w:val="0"/>
          <w:sz w:val="24"/>
          <w:szCs w:val="28"/>
        </w:rPr>
        <w:t>通过对污水处理站所选用的处理工艺及整个污水处理站所建设施的分析，风险污染事故主要有以下几个方面：</w:t>
      </w:r>
    </w:p>
    <w:p>
      <w:pPr>
        <w:spacing w:before="120" w:line="500" w:lineRule="exact"/>
        <w:ind w:firstLine="578"/>
        <w:contextualSpacing/>
        <w:outlineLvl w:val="2"/>
        <w:rPr>
          <w:b/>
          <w:bCs/>
          <w:kern w:val="0"/>
          <w:sz w:val="24"/>
          <w:szCs w:val="28"/>
        </w:rPr>
      </w:pPr>
      <w:r>
        <w:rPr>
          <w:rFonts w:hint="eastAsia"/>
          <w:b/>
          <w:bCs/>
          <w:kern w:val="0"/>
          <w:sz w:val="24"/>
          <w:szCs w:val="28"/>
        </w:rPr>
        <w:t>（1）</w:t>
      </w:r>
      <w:r>
        <w:rPr>
          <w:b/>
          <w:bCs/>
          <w:kern w:val="0"/>
          <w:sz w:val="24"/>
          <w:szCs w:val="28"/>
        </w:rPr>
        <w:t>污水处理站风险</w:t>
      </w:r>
    </w:p>
    <w:p>
      <w:pPr>
        <w:spacing w:before="120" w:line="500" w:lineRule="exact"/>
        <w:ind w:firstLine="578"/>
        <w:contextualSpacing/>
        <w:rPr>
          <w:kern w:val="0"/>
          <w:sz w:val="24"/>
          <w:szCs w:val="28"/>
        </w:rPr>
      </w:pPr>
      <w:r>
        <w:rPr>
          <w:rFonts w:hint="eastAsia"/>
          <w:kern w:val="0"/>
          <w:sz w:val="24"/>
          <w:szCs w:val="28"/>
        </w:rPr>
        <w:t>①污水处理站厂区</w:t>
      </w:r>
      <w:bookmarkStart w:id="155" w:name="_Hlk135299327"/>
      <w:r>
        <w:rPr>
          <w:rFonts w:hint="eastAsia"/>
          <w:kern w:val="0"/>
          <w:sz w:val="24"/>
          <w:szCs w:val="28"/>
        </w:rPr>
        <w:t>由于停电、设备损坏、进水异常、污水处理设施运行不正常、检修等造成大量污水未经处理直接排放，造成事故污染。</w:t>
      </w:r>
      <w:bookmarkEnd w:id="155"/>
    </w:p>
    <w:p>
      <w:pPr>
        <w:spacing w:before="120" w:line="500" w:lineRule="exact"/>
        <w:ind w:firstLine="578"/>
        <w:contextualSpacing/>
        <w:rPr>
          <w:kern w:val="0"/>
          <w:sz w:val="24"/>
          <w:szCs w:val="28"/>
        </w:rPr>
      </w:pPr>
      <w:r>
        <w:rPr>
          <w:rFonts w:hint="eastAsia"/>
          <w:kern w:val="0"/>
          <w:sz w:val="24"/>
          <w:szCs w:val="28"/>
        </w:rPr>
        <w:t>设计中主要设备采用国产优质设备，自动监控水平较高。因此，本污水处理站发生设备故障事故的可能性小。项目污水处理站采用双电源供电，由于两路电源同时停电的可能性很小，如果突然停电，电力供应组启动另一路电源。同时加强供电站管理，保证供电设施及线路正常运行。</w:t>
      </w:r>
    </w:p>
    <w:p>
      <w:pPr>
        <w:spacing w:before="120" w:line="500" w:lineRule="exact"/>
        <w:ind w:firstLine="578"/>
        <w:contextualSpacing/>
        <w:rPr>
          <w:kern w:val="0"/>
          <w:sz w:val="24"/>
          <w:szCs w:val="28"/>
        </w:rPr>
      </w:pPr>
      <w:r>
        <w:rPr>
          <w:rFonts w:hint="eastAsia"/>
          <w:kern w:val="0"/>
          <w:sz w:val="24"/>
          <w:szCs w:val="28"/>
        </w:rPr>
        <w:t>同时，项目调节池、生化池等在设计时考虑了一定的安全余量，当发生事故时，污水可短时间暂存在调节池等水池中，为抢修提供一定的时间。</w:t>
      </w:r>
    </w:p>
    <w:p>
      <w:pPr>
        <w:spacing w:before="120" w:line="500" w:lineRule="exact"/>
        <w:ind w:firstLine="578"/>
        <w:contextualSpacing/>
        <w:rPr>
          <w:kern w:val="0"/>
          <w:sz w:val="24"/>
          <w:szCs w:val="28"/>
        </w:rPr>
      </w:pPr>
      <w:r>
        <w:rPr>
          <w:rFonts w:hint="eastAsia"/>
          <w:kern w:val="0"/>
          <w:sz w:val="24"/>
          <w:szCs w:val="28"/>
        </w:rPr>
        <w:t>本项目主要污水处理设备均考虑了一定的安全余量，因此污水处理工程因设备故障或停电导致全部污水未经处理直接排放的几率极其微小，一般在异常情况下项目污水处理设施也有部分是可以正常运行的，在此情况下排水也基本可达标排放。</w:t>
      </w:r>
    </w:p>
    <w:p>
      <w:pPr>
        <w:spacing w:before="120" w:line="500" w:lineRule="exact"/>
        <w:ind w:firstLine="578"/>
        <w:contextualSpacing/>
        <w:rPr>
          <w:kern w:val="0"/>
          <w:sz w:val="24"/>
          <w:szCs w:val="28"/>
        </w:rPr>
      </w:pPr>
      <w:r>
        <w:rPr>
          <w:rFonts w:hint="eastAsia"/>
          <w:kern w:val="0"/>
          <w:sz w:val="24"/>
          <w:szCs w:val="28"/>
        </w:rPr>
        <w:t>②洪水、地震引发的事故</w:t>
      </w:r>
    </w:p>
    <w:p>
      <w:pPr>
        <w:spacing w:before="120" w:line="500" w:lineRule="exact"/>
        <w:ind w:firstLine="578"/>
        <w:contextualSpacing/>
        <w:rPr>
          <w:kern w:val="0"/>
          <w:sz w:val="24"/>
          <w:szCs w:val="28"/>
        </w:rPr>
      </w:pPr>
      <w:r>
        <w:rPr>
          <w:rFonts w:hint="eastAsia"/>
          <w:kern w:val="0"/>
          <w:sz w:val="24"/>
          <w:szCs w:val="28"/>
        </w:rPr>
        <w:t>本项目距离西关排1</w:t>
      </w:r>
      <w:r>
        <w:rPr>
          <w:kern w:val="0"/>
          <w:sz w:val="24"/>
          <w:szCs w:val="28"/>
        </w:rPr>
        <w:t>54</w:t>
      </w:r>
      <w:r>
        <w:rPr>
          <w:rFonts w:hint="eastAsia"/>
          <w:kern w:val="0"/>
          <w:sz w:val="24"/>
          <w:szCs w:val="28"/>
        </w:rPr>
        <w:t>0m，厂址在防洪堤内且地势较高，大大降低洪涝对项目造成的环境风险，故不须考虑防洪。为防止大雨时厂内地面积水，影响正常生产巡检，厂内设雨水管道，及时排除雨水，保证安全生产。</w:t>
      </w:r>
    </w:p>
    <w:p>
      <w:pPr>
        <w:spacing w:before="120" w:line="500" w:lineRule="exact"/>
        <w:ind w:firstLine="578"/>
        <w:contextualSpacing/>
        <w:rPr>
          <w:kern w:val="0"/>
          <w:sz w:val="24"/>
          <w:szCs w:val="28"/>
        </w:rPr>
      </w:pPr>
      <w:r>
        <w:rPr>
          <w:rFonts w:hint="eastAsia"/>
          <w:kern w:val="0"/>
          <w:sz w:val="24"/>
          <w:szCs w:val="28"/>
        </w:rPr>
        <w:t>在洪水期，项目污水处理站若出现尾水无法通过重力外排或尾水倒灌等情况时，项目可采取厂区内部尾水排口闸门封闭管道、水泵抽排的方式进行尾水排放。</w:t>
      </w:r>
    </w:p>
    <w:p>
      <w:pPr>
        <w:spacing w:before="120" w:line="500" w:lineRule="exact"/>
        <w:ind w:firstLine="578"/>
        <w:contextualSpacing/>
        <w:rPr>
          <w:kern w:val="0"/>
          <w:sz w:val="24"/>
          <w:szCs w:val="28"/>
        </w:rPr>
      </w:pPr>
      <w:r>
        <w:rPr>
          <w:rFonts w:hint="eastAsia"/>
          <w:kern w:val="0"/>
          <w:sz w:val="24"/>
          <w:szCs w:val="28"/>
        </w:rPr>
        <w:t>③污水处理产生的有毒气体造成中毒事故。</w:t>
      </w:r>
    </w:p>
    <w:p>
      <w:pPr>
        <w:spacing w:before="120" w:line="500" w:lineRule="exact"/>
        <w:ind w:firstLine="578"/>
        <w:contextualSpacing/>
        <w:rPr>
          <w:kern w:val="0"/>
          <w:sz w:val="24"/>
          <w:szCs w:val="28"/>
        </w:rPr>
      </w:pPr>
      <w:r>
        <w:rPr>
          <w:rFonts w:hint="eastAsia"/>
          <w:kern w:val="0"/>
          <w:sz w:val="24"/>
          <w:szCs w:val="28"/>
        </w:rPr>
        <w:t>污水处理站存在有毒气体中毒的风险，如H</w:t>
      </w:r>
      <w:r>
        <w:rPr>
          <w:rFonts w:hint="eastAsia"/>
          <w:kern w:val="0"/>
          <w:sz w:val="24"/>
          <w:szCs w:val="28"/>
          <w:vertAlign w:val="subscript"/>
        </w:rPr>
        <w:t>2</w:t>
      </w:r>
      <w:r>
        <w:rPr>
          <w:rFonts w:hint="eastAsia"/>
          <w:kern w:val="0"/>
          <w:sz w:val="24"/>
          <w:szCs w:val="28"/>
        </w:rPr>
        <w:t>S中毒，主要发生在密闭的污水泵站、密闭管道检查井中，操作人员或检修人员进入上述密闭环境，容易造成急性中毒事件。</w:t>
      </w:r>
    </w:p>
    <w:p>
      <w:pPr>
        <w:spacing w:before="120" w:line="500" w:lineRule="exact"/>
        <w:ind w:firstLine="578"/>
        <w:contextualSpacing/>
        <w:rPr>
          <w:kern w:val="0"/>
          <w:sz w:val="24"/>
          <w:szCs w:val="28"/>
        </w:rPr>
      </w:pPr>
      <w:r>
        <w:rPr>
          <w:rFonts w:hint="eastAsia"/>
          <w:kern w:val="0"/>
          <w:sz w:val="24"/>
          <w:szCs w:val="28"/>
        </w:rPr>
        <w:t>④火灾风险</w:t>
      </w:r>
    </w:p>
    <w:p>
      <w:pPr>
        <w:spacing w:before="120" w:line="500" w:lineRule="exact"/>
        <w:ind w:firstLine="578"/>
        <w:contextualSpacing/>
        <w:rPr>
          <w:kern w:val="0"/>
          <w:sz w:val="24"/>
          <w:szCs w:val="28"/>
        </w:rPr>
      </w:pPr>
      <w:r>
        <w:rPr>
          <w:rFonts w:hint="eastAsia"/>
          <w:kern w:val="0"/>
          <w:sz w:val="24"/>
          <w:szCs w:val="28"/>
        </w:rPr>
        <w:t>电器漏电、人为因素等引发火灾造成污水处理设备故障引发的污染事故。</w:t>
      </w:r>
    </w:p>
    <w:p>
      <w:pPr>
        <w:spacing w:before="120" w:line="500" w:lineRule="exact"/>
        <w:ind w:firstLine="578"/>
        <w:contextualSpacing/>
        <w:outlineLvl w:val="2"/>
        <w:rPr>
          <w:b/>
          <w:bCs/>
          <w:kern w:val="0"/>
          <w:sz w:val="24"/>
          <w:szCs w:val="28"/>
        </w:rPr>
      </w:pPr>
      <w:r>
        <w:rPr>
          <w:rFonts w:hint="eastAsia"/>
          <w:b/>
          <w:bCs/>
          <w:kern w:val="0"/>
          <w:sz w:val="24"/>
          <w:szCs w:val="28"/>
        </w:rPr>
        <w:t>（2）管道泄漏、爆裂风险</w:t>
      </w:r>
    </w:p>
    <w:p>
      <w:pPr>
        <w:spacing w:before="120" w:line="500" w:lineRule="exact"/>
        <w:ind w:firstLine="578"/>
        <w:contextualSpacing/>
        <w:rPr>
          <w:kern w:val="0"/>
          <w:sz w:val="28"/>
          <w:szCs w:val="28"/>
          <w:highlight w:val="yellow"/>
          <w:lang w:val="zh-CN"/>
        </w:rPr>
      </w:pPr>
      <w:r>
        <w:rPr>
          <w:rFonts w:hint="eastAsia"/>
          <w:kern w:val="0"/>
          <w:sz w:val="24"/>
          <w:szCs w:val="28"/>
        </w:rPr>
        <w:t>本工程污水管网在正常运行的情况下，不会对环境造成不良影响，但是管线处于非正常状态下（即事故状态），将对外环境尤其是地下水环境、地表水环境乃至环境空气产生一定影响，非正常运行状态主要是指可能发生的管线破裂、断裂以及堵塞等。原因主要有两个方面，一是自然因素，即地震、气候变化等；二是人为因素，即选材、施工、防腐、检修、操作以及管沟的回填土没有按规范要求进行以及后续建设项目施工损坏管道等。</w:t>
      </w:r>
    </w:p>
    <w:p>
      <w:pPr>
        <w:keepNext/>
        <w:keepLines/>
        <w:spacing w:line="520" w:lineRule="exact"/>
        <w:outlineLvl w:val="1"/>
        <w:rPr>
          <w:rFonts w:eastAsia="黑体"/>
          <w:b/>
          <w:bCs/>
          <w:sz w:val="28"/>
          <w:szCs w:val="28"/>
          <w:lang w:val="zh-CN"/>
        </w:rPr>
      </w:pPr>
      <w:bookmarkStart w:id="156" w:name="_Toc23708"/>
      <w:r>
        <w:rPr>
          <w:rFonts w:eastAsia="黑体"/>
          <w:bCs/>
          <w:sz w:val="28"/>
          <w:szCs w:val="28"/>
          <w:lang w:val="zh-CN"/>
        </w:rPr>
        <w:t>6.6环境风险</w:t>
      </w:r>
      <w:r>
        <w:rPr>
          <w:rFonts w:hint="eastAsia" w:eastAsia="黑体"/>
          <w:bCs/>
          <w:sz w:val="28"/>
          <w:szCs w:val="28"/>
          <w:lang w:val="zh-CN"/>
        </w:rPr>
        <w:t>管理</w:t>
      </w:r>
      <w:bookmarkEnd w:id="156"/>
    </w:p>
    <w:p>
      <w:pPr>
        <w:keepNext/>
        <w:keepLines/>
        <w:spacing w:line="520" w:lineRule="exact"/>
        <w:outlineLvl w:val="2"/>
        <w:rPr>
          <w:rFonts w:eastAsia="黑体"/>
          <w:bCs/>
          <w:sz w:val="28"/>
          <w:szCs w:val="28"/>
          <w:lang w:val="zh-CN"/>
        </w:rPr>
      </w:pPr>
      <w:r>
        <w:rPr>
          <w:rFonts w:eastAsia="黑体"/>
          <w:bCs/>
          <w:sz w:val="28"/>
          <w:szCs w:val="28"/>
          <w:lang w:val="zh-CN"/>
        </w:rPr>
        <w:t>6.6.1风险防范措施</w:t>
      </w:r>
    </w:p>
    <w:p>
      <w:pPr>
        <w:spacing w:line="520" w:lineRule="exact"/>
        <w:ind w:firstLine="480"/>
        <w:rPr>
          <w:sz w:val="24"/>
          <w:szCs w:val="24"/>
        </w:rPr>
      </w:pPr>
      <w:r>
        <w:rPr>
          <w:sz w:val="24"/>
          <w:szCs w:val="24"/>
        </w:rPr>
        <w:t>风险事故应通过严格的生产管理和技术手段予以杜绝，制定防范事故发生的工作计划、消除事故隐患的措施等，从源头上控制风险事故的发生，一旦发生事故，应通过应急措施与预案，尽量减轻事故影响程度。为了有效地处理风险事故，应有切实可行的处置措施：</w:t>
      </w:r>
    </w:p>
    <w:p>
      <w:pPr>
        <w:spacing w:line="520" w:lineRule="exact"/>
        <w:ind w:firstLine="480"/>
        <w:rPr>
          <w:sz w:val="24"/>
          <w:szCs w:val="24"/>
        </w:rPr>
      </w:pPr>
      <w:r>
        <w:rPr>
          <w:rFonts w:hint="eastAsia" w:ascii="宋体" w:hAnsi="宋体" w:cs="宋体"/>
          <w:sz w:val="24"/>
          <w:szCs w:val="24"/>
        </w:rPr>
        <w:t>①</w:t>
      </w:r>
      <w:r>
        <w:rPr>
          <w:sz w:val="24"/>
          <w:szCs w:val="24"/>
        </w:rPr>
        <w:t>制定有效处理事故的应急行动方案，并得到有关部门的认可，能与有关部门有效配合；</w:t>
      </w:r>
    </w:p>
    <w:p>
      <w:pPr>
        <w:spacing w:line="520" w:lineRule="exact"/>
        <w:ind w:firstLine="480"/>
        <w:rPr>
          <w:sz w:val="24"/>
          <w:szCs w:val="24"/>
        </w:rPr>
      </w:pPr>
      <w:r>
        <w:rPr>
          <w:rFonts w:hint="eastAsia" w:ascii="宋体" w:hAnsi="宋体" w:cs="宋体"/>
          <w:sz w:val="24"/>
          <w:szCs w:val="24"/>
        </w:rPr>
        <w:t>②</w:t>
      </w:r>
      <w:r>
        <w:rPr>
          <w:sz w:val="24"/>
          <w:szCs w:val="24"/>
        </w:rPr>
        <w:t>明确职责，并落实到单位和有关人员。</w:t>
      </w:r>
    </w:p>
    <w:p>
      <w:pPr>
        <w:spacing w:line="520" w:lineRule="exact"/>
        <w:ind w:firstLine="480"/>
        <w:rPr>
          <w:sz w:val="24"/>
          <w:szCs w:val="24"/>
        </w:rPr>
      </w:pPr>
      <w:r>
        <w:rPr>
          <w:rFonts w:hint="eastAsia" w:ascii="宋体" w:hAnsi="宋体" w:cs="宋体"/>
          <w:sz w:val="24"/>
          <w:szCs w:val="24"/>
        </w:rPr>
        <w:t>③</w:t>
      </w:r>
      <w:r>
        <w:rPr>
          <w:sz w:val="24"/>
          <w:szCs w:val="24"/>
        </w:rPr>
        <w:t>制定控制和减少事故影响范围、程度以及补救行动的实施计划。</w:t>
      </w:r>
    </w:p>
    <w:p>
      <w:pPr>
        <w:spacing w:line="520" w:lineRule="exact"/>
        <w:ind w:firstLine="480"/>
        <w:rPr>
          <w:sz w:val="24"/>
          <w:szCs w:val="24"/>
        </w:rPr>
      </w:pPr>
      <w:r>
        <w:rPr>
          <w:rFonts w:hint="eastAsia" w:ascii="宋体" w:hAnsi="宋体" w:cs="宋体"/>
          <w:sz w:val="24"/>
          <w:szCs w:val="24"/>
        </w:rPr>
        <w:t>④</w:t>
      </w:r>
      <w:r>
        <w:rPr>
          <w:sz w:val="24"/>
          <w:szCs w:val="24"/>
        </w:rPr>
        <w:t>对事故现场管理以及事故处置全过程的监督，应由富有事故处置经验的人员或有关部门工作人员承担；</w:t>
      </w:r>
    </w:p>
    <w:p>
      <w:pPr>
        <w:spacing w:line="520" w:lineRule="exact"/>
        <w:ind w:firstLine="480"/>
        <w:rPr>
          <w:sz w:val="24"/>
          <w:szCs w:val="24"/>
        </w:rPr>
      </w:pPr>
      <w:r>
        <w:rPr>
          <w:rFonts w:hint="eastAsia" w:ascii="宋体" w:hAnsi="宋体" w:cs="宋体"/>
          <w:sz w:val="24"/>
          <w:szCs w:val="24"/>
        </w:rPr>
        <w:t>⑤</w:t>
      </w:r>
      <w:r>
        <w:rPr>
          <w:sz w:val="24"/>
          <w:szCs w:val="24"/>
        </w:rPr>
        <w:t>为提高事故处置队伍的协同救援水平和实战能力，检验救援体系的应急综合运作状态，提高其实战水平，应进行应急救援演练。</w:t>
      </w:r>
    </w:p>
    <w:p>
      <w:pPr>
        <w:spacing w:line="520" w:lineRule="exact"/>
        <w:outlineLvl w:val="3"/>
        <w:rPr>
          <w:b/>
          <w:bCs/>
          <w:kern w:val="0"/>
          <w:sz w:val="24"/>
          <w:szCs w:val="28"/>
        </w:rPr>
      </w:pPr>
      <w:r>
        <w:rPr>
          <w:b/>
          <w:bCs/>
          <w:kern w:val="0"/>
          <w:sz w:val="24"/>
          <w:szCs w:val="28"/>
        </w:rPr>
        <w:t>6.6.1.1</w:t>
      </w:r>
      <w:r>
        <w:rPr>
          <w:rFonts w:hint="eastAsia"/>
          <w:b/>
          <w:bCs/>
          <w:kern w:val="0"/>
          <w:sz w:val="24"/>
          <w:szCs w:val="28"/>
        </w:rPr>
        <w:t>污水处理站</w:t>
      </w:r>
    </w:p>
    <w:p>
      <w:pPr>
        <w:spacing w:line="520" w:lineRule="exact"/>
        <w:ind w:firstLine="482"/>
        <w:outlineLvl w:val="4"/>
        <w:rPr>
          <w:b/>
          <w:bCs/>
          <w:sz w:val="24"/>
          <w:szCs w:val="24"/>
        </w:rPr>
      </w:pPr>
      <w:r>
        <w:rPr>
          <w:rFonts w:hint="eastAsia"/>
          <w:b/>
          <w:bCs/>
          <w:sz w:val="24"/>
          <w:szCs w:val="24"/>
        </w:rPr>
        <w:t>（1）生产事故防范措施</w:t>
      </w:r>
    </w:p>
    <w:p>
      <w:pPr>
        <w:spacing w:line="520" w:lineRule="exact"/>
        <w:ind w:firstLine="480"/>
        <w:rPr>
          <w:sz w:val="24"/>
          <w:szCs w:val="24"/>
        </w:rPr>
      </w:pPr>
      <w:r>
        <w:rPr>
          <w:rFonts w:hint="eastAsia"/>
          <w:sz w:val="24"/>
          <w:szCs w:val="24"/>
        </w:rPr>
        <w:t>设计中主要设备采用国产优质设备，自动监控水平较高。因此，本污水处理站发生设备故障事故的可能性小。项目污水处理站采用双电源供电，由于两路电源同时停电的可能性很小，如果突然停电，电力供应组启动另一路电源。同时加强供电站管理，保证供电设施及线路正常运行。同时，项目调节池、生化池等在设计时考虑了一定的安全余量，当发生事故时，污水可短时间暂存在调节池等水池中，为抢修提供一定的时间。</w:t>
      </w:r>
    </w:p>
    <w:p>
      <w:pPr>
        <w:spacing w:line="520" w:lineRule="exact"/>
        <w:ind w:firstLine="480"/>
        <w:rPr>
          <w:sz w:val="24"/>
          <w:szCs w:val="24"/>
        </w:rPr>
      </w:pPr>
      <w:r>
        <w:rPr>
          <w:rFonts w:hint="eastAsia"/>
          <w:sz w:val="24"/>
          <w:szCs w:val="24"/>
        </w:rPr>
        <w:t xml:space="preserve">本项目主要污水处理设备均考虑了一定的安全余量，因此污水处理工程因设备故障或停电导致全部污水未经处理直接排放的几率极其微小，一般在异常情况下项目污水处理设施也有部分是可以正常运行的，在此情况下排水也基本可达标排放。 </w:t>
      </w:r>
    </w:p>
    <w:p>
      <w:pPr>
        <w:spacing w:line="520" w:lineRule="exact"/>
        <w:ind w:firstLine="480"/>
        <w:rPr>
          <w:sz w:val="24"/>
          <w:szCs w:val="24"/>
        </w:rPr>
      </w:pPr>
      <w:r>
        <w:rPr>
          <w:rFonts w:hint="eastAsia"/>
          <w:sz w:val="24"/>
          <w:szCs w:val="24"/>
        </w:rPr>
        <w:t>①设置进、出水水质在线自动监测装置及报警装置，设置进厂、出厂污水截断装置，当事故发生后，</w:t>
      </w:r>
      <w:r>
        <w:rPr>
          <w:sz w:val="24"/>
          <w:szCs w:val="24"/>
        </w:rPr>
        <w:t xml:space="preserve">立即截断污水来源和杜绝事故排放，及时发现不良水质进入污水处理厂。对进水流量、pH、CODcr、氨氮、SS，出水流量、pH、CODcr、氨氮、TN、TP等进行在线监测，一旦发现废水可生化性较低或总排口废水不达标立即报警，同时截断污水来源和杜绝事故排放。 </w:t>
      </w:r>
    </w:p>
    <w:p>
      <w:pPr>
        <w:spacing w:line="520" w:lineRule="exact"/>
        <w:ind w:firstLine="480"/>
        <w:rPr>
          <w:sz w:val="24"/>
          <w:szCs w:val="24"/>
        </w:rPr>
      </w:pPr>
      <w:r>
        <w:rPr>
          <w:rFonts w:hint="eastAsia"/>
          <w:sz w:val="24"/>
          <w:szCs w:val="24"/>
        </w:rPr>
        <w:t xml:space="preserve">②污水处理站安装中控系统，严格控制处理单元的水量、水质、停留时间、负荷强度等，确保处理效果的稳定性，定期采样监测，操作人员及时调整，使设备处于最佳工况，发现不正常现象，应立即采取预防措施。 </w:t>
      </w:r>
    </w:p>
    <w:p>
      <w:pPr>
        <w:spacing w:line="520" w:lineRule="exact"/>
        <w:ind w:firstLine="480"/>
        <w:rPr>
          <w:sz w:val="24"/>
          <w:szCs w:val="24"/>
        </w:rPr>
      </w:pPr>
      <w:r>
        <w:rPr>
          <w:rFonts w:hint="eastAsia"/>
          <w:sz w:val="24"/>
          <w:szCs w:val="24"/>
        </w:rPr>
        <w:t xml:space="preserve">③设备的检修时间要精心安排，最好在水量较小、水质较好的季节或时段进行。 </w:t>
      </w:r>
    </w:p>
    <w:p>
      <w:pPr>
        <w:spacing w:line="520" w:lineRule="exact"/>
        <w:ind w:firstLine="480"/>
        <w:rPr>
          <w:sz w:val="24"/>
          <w:szCs w:val="24"/>
        </w:rPr>
      </w:pPr>
      <w:r>
        <w:rPr>
          <w:rFonts w:hint="eastAsia"/>
          <w:sz w:val="24"/>
          <w:szCs w:val="24"/>
        </w:rPr>
        <w:t xml:space="preserve">④加强管理和设备维护工作，保持设备的完好率和处理的高效率。备用设备 或替换下来的设备要及时检修，并定期检查，使其在需要时能及时使用，特别是 确保在线监测仪的正常使用。 </w:t>
      </w:r>
    </w:p>
    <w:p>
      <w:pPr>
        <w:spacing w:line="520" w:lineRule="exact"/>
        <w:ind w:firstLine="480"/>
        <w:rPr>
          <w:sz w:val="24"/>
          <w:szCs w:val="24"/>
        </w:rPr>
      </w:pPr>
      <w:r>
        <w:rPr>
          <w:rFonts w:hint="eastAsia"/>
          <w:sz w:val="24"/>
          <w:szCs w:val="24"/>
        </w:rPr>
        <w:t>⑤污水处理站应针对可能发生的事故，建立合适的事故处理程序、机制和措 施。一旦发生事故，则采取相应的措施，将事故对环境的影响控制在最小或较小范围内。因突发事件造成污水处理厂全部或部分停运的，必须立即启动安全运行应急预案，在</w:t>
      </w:r>
      <w:r>
        <w:rPr>
          <w:sz w:val="24"/>
          <w:szCs w:val="24"/>
        </w:rPr>
        <w:t>2</w:t>
      </w:r>
      <w:r>
        <w:rPr>
          <w:rFonts w:hint="eastAsia"/>
          <w:sz w:val="24"/>
          <w:szCs w:val="24"/>
        </w:rPr>
        <w:t>小时内报告污水处理主管部门和环保主管部门。恢复正常运行后，应及时向污水处理主管部门和环保主管部门报告。</w:t>
      </w:r>
    </w:p>
    <w:p>
      <w:pPr>
        <w:spacing w:line="520" w:lineRule="exact"/>
        <w:ind w:firstLine="480"/>
        <w:rPr>
          <w:sz w:val="24"/>
          <w:szCs w:val="24"/>
        </w:rPr>
      </w:pPr>
      <w:r>
        <w:rPr>
          <w:rFonts w:hint="eastAsia"/>
          <w:sz w:val="24"/>
          <w:szCs w:val="24"/>
        </w:rPr>
        <w:t>⑥污泥处理处置设施运营单位应安全处置污泥及固体废物，保证处理处置后的污泥符合国家或地方有关标准，并对处理处置后的污泥去向、用途、用量等进行跟踪、记录和报告，不得造成二次污染。</w:t>
      </w:r>
    </w:p>
    <w:p>
      <w:pPr>
        <w:spacing w:line="520" w:lineRule="exact"/>
        <w:ind w:firstLine="480"/>
        <w:rPr>
          <w:sz w:val="24"/>
          <w:szCs w:val="24"/>
        </w:rPr>
      </w:pPr>
      <w:r>
        <w:rPr>
          <w:rFonts w:hint="eastAsia"/>
          <w:sz w:val="24"/>
          <w:szCs w:val="24"/>
        </w:rPr>
        <w:t>⑦加强员工的培训，提高员工理论知识，调动员工的积极性，不断改善工作。培养员工的四种能力：发现异常的能力，处理异常的能力，制定基准的能力，维持管理的能力。</w:t>
      </w:r>
    </w:p>
    <w:p>
      <w:pPr>
        <w:spacing w:line="520" w:lineRule="exact"/>
        <w:ind w:firstLine="480"/>
        <w:rPr>
          <w:sz w:val="24"/>
          <w:szCs w:val="24"/>
        </w:rPr>
      </w:pPr>
      <w:r>
        <w:rPr>
          <w:rFonts w:hint="eastAsia"/>
          <w:sz w:val="24"/>
          <w:szCs w:val="24"/>
        </w:rPr>
        <w:t>⑧污水处理站应形成完善的安全操作规程，涉及下井作业时，严格按照操作规程进行，开井通风后使用有害气体检测仪检测有害气体的残留量，现场应有一定数量的监护人员，下井操作人员佩戴防护设备、安全绳等。避免中毒事件的发生。</w:t>
      </w:r>
    </w:p>
    <w:p>
      <w:pPr>
        <w:spacing w:line="520" w:lineRule="exact"/>
        <w:ind w:firstLine="482"/>
        <w:outlineLvl w:val="4"/>
        <w:rPr>
          <w:b/>
          <w:bCs/>
          <w:sz w:val="24"/>
          <w:szCs w:val="24"/>
        </w:rPr>
      </w:pPr>
      <w:r>
        <w:rPr>
          <w:rFonts w:hint="eastAsia"/>
          <w:b/>
          <w:bCs/>
          <w:sz w:val="24"/>
          <w:szCs w:val="24"/>
        </w:rPr>
        <w:t>（2）火灾风险防范措施</w:t>
      </w:r>
    </w:p>
    <w:p>
      <w:pPr>
        <w:spacing w:line="520" w:lineRule="exact"/>
        <w:ind w:firstLine="480"/>
        <w:rPr>
          <w:sz w:val="24"/>
          <w:szCs w:val="24"/>
        </w:rPr>
      </w:pPr>
      <w:r>
        <w:rPr>
          <w:rFonts w:hint="eastAsia"/>
          <w:sz w:val="24"/>
          <w:szCs w:val="24"/>
        </w:rPr>
        <w:t>①增强安全意识。建立严格的安全管理制度，污水处理站地下区杜绝违章动火、吸烟等现象，按规定配备劳动防护用品，经常性地向职工进行安全和健康防护方面的教育。</w:t>
      </w:r>
    </w:p>
    <w:p>
      <w:pPr>
        <w:spacing w:line="520" w:lineRule="exact"/>
        <w:ind w:firstLine="480"/>
        <w:rPr>
          <w:sz w:val="24"/>
          <w:szCs w:val="24"/>
        </w:rPr>
      </w:pPr>
      <w:r>
        <w:rPr>
          <w:rFonts w:hint="eastAsia"/>
          <w:sz w:val="24"/>
          <w:szCs w:val="24"/>
        </w:rPr>
        <w:t>②各类设备选用安全可靠设备，设备和管道应经过防腐处理。</w:t>
      </w:r>
    </w:p>
    <w:p>
      <w:pPr>
        <w:spacing w:line="520" w:lineRule="exact"/>
        <w:ind w:firstLine="480"/>
        <w:rPr>
          <w:sz w:val="24"/>
          <w:szCs w:val="24"/>
        </w:rPr>
      </w:pPr>
      <w:r>
        <w:rPr>
          <w:rFonts w:hint="eastAsia"/>
          <w:sz w:val="24"/>
          <w:szCs w:val="24"/>
        </w:rPr>
        <w:t>③泵、流量计、照明灯和各种管路，应防火、防爆、紧固严密、不渗不漏、不误动。</w:t>
      </w:r>
    </w:p>
    <w:p>
      <w:pPr>
        <w:spacing w:line="520" w:lineRule="exact"/>
        <w:ind w:firstLine="480"/>
        <w:rPr>
          <w:sz w:val="24"/>
          <w:szCs w:val="24"/>
        </w:rPr>
      </w:pPr>
      <w:r>
        <w:rPr>
          <w:rFonts w:hint="eastAsia"/>
          <w:sz w:val="24"/>
          <w:szCs w:val="24"/>
        </w:rPr>
        <w:t>④保证废气处理的有效性，避免沼气等可燃气体积聚。</w:t>
      </w:r>
    </w:p>
    <w:p>
      <w:pPr>
        <w:spacing w:line="520" w:lineRule="exact"/>
        <w:ind w:firstLine="480"/>
        <w:rPr>
          <w:sz w:val="24"/>
          <w:szCs w:val="24"/>
        </w:rPr>
      </w:pPr>
      <w:r>
        <w:rPr>
          <w:rFonts w:hint="eastAsia"/>
          <w:sz w:val="24"/>
          <w:szCs w:val="24"/>
        </w:rPr>
        <w:t>⑤本项目污水处理站调节池设计大小为1</w:t>
      </w:r>
      <w:r>
        <w:rPr>
          <w:sz w:val="24"/>
          <w:szCs w:val="24"/>
        </w:rPr>
        <w:t>8.5m</w:t>
      </w:r>
      <w:r>
        <w:rPr>
          <w:rFonts w:hint="eastAsia"/>
          <w:sz w:val="24"/>
          <w:szCs w:val="24"/>
        </w:rPr>
        <w:t>×</w:t>
      </w:r>
      <w:r>
        <w:rPr>
          <w:sz w:val="24"/>
          <w:szCs w:val="24"/>
        </w:rPr>
        <w:t>8.7m</w:t>
      </w:r>
      <w:r>
        <w:rPr>
          <w:rFonts w:hint="eastAsia"/>
          <w:sz w:val="24"/>
          <w:szCs w:val="24"/>
        </w:rPr>
        <w:t>×</w:t>
      </w:r>
      <w:r>
        <w:rPr>
          <w:sz w:val="24"/>
          <w:szCs w:val="24"/>
        </w:rPr>
        <w:t>7m</w:t>
      </w:r>
      <w:r>
        <w:rPr>
          <w:rFonts w:hint="eastAsia"/>
          <w:sz w:val="24"/>
          <w:szCs w:val="24"/>
        </w:rPr>
        <w:t>=</w:t>
      </w:r>
      <w:r>
        <w:rPr>
          <w:sz w:val="24"/>
          <w:szCs w:val="24"/>
        </w:rPr>
        <w:t>1126.65m</w:t>
      </w:r>
      <w:r>
        <w:rPr>
          <w:sz w:val="24"/>
          <w:szCs w:val="24"/>
          <w:vertAlign w:val="superscript"/>
        </w:rPr>
        <w:t>3</w:t>
      </w:r>
      <w:r>
        <w:rPr>
          <w:rFonts w:hint="eastAsia"/>
          <w:sz w:val="24"/>
          <w:szCs w:val="24"/>
        </w:rPr>
        <w:t>，设计处理能力83.3</w:t>
      </w:r>
      <w:r>
        <w:rPr>
          <w:sz w:val="24"/>
          <w:szCs w:val="24"/>
        </w:rPr>
        <w:t>m³/h</w:t>
      </w:r>
      <w:r>
        <w:rPr>
          <w:rFonts w:hint="eastAsia"/>
          <w:sz w:val="24"/>
          <w:szCs w:val="24"/>
        </w:rPr>
        <w:t>，设计停留时间为1</w:t>
      </w:r>
      <w:r>
        <w:rPr>
          <w:sz w:val="24"/>
          <w:szCs w:val="24"/>
        </w:rPr>
        <w:t>0.5h</w:t>
      </w:r>
      <w:r>
        <w:rPr>
          <w:rFonts w:hint="eastAsia"/>
          <w:sz w:val="24"/>
          <w:szCs w:val="24"/>
        </w:rPr>
        <w:t>，则调节池余量为2</w:t>
      </w:r>
      <w:r>
        <w:rPr>
          <w:sz w:val="24"/>
          <w:szCs w:val="24"/>
        </w:rPr>
        <w:t>52m</w:t>
      </w:r>
      <w:r>
        <w:rPr>
          <w:sz w:val="24"/>
          <w:szCs w:val="24"/>
          <w:vertAlign w:val="superscript"/>
        </w:rPr>
        <w:t>3</w:t>
      </w:r>
      <w:r>
        <w:rPr>
          <w:rFonts w:hint="eastAsia"/>
          <w:sz w:val="24"/>
          <w:szCs w:val="24"/>
        </w:rPr>
        <w:t>，火灾消防产生的消防废水可进入调节池进行处理。</w:t>
      </w:r>
    </w:p>
    <w:p>
      <w:pPr>
        <w:spacing w:line="520" w:lineRule="exact"/>
        <w:ind w:firstLine="482"/>
        <w:outlineLvl w:val="4"/>
        <w:rPr>
          <w:b/>
          <w:bCs/>
          <w:sz w:val="24"/>
          <w:szCs w:val="24"/>
        </w:rPr>
      </w:pPr>
      <w:r>
        <w:rPr>
          <w:rFonts w:hint="eastAsia"/>
          <w:b/>
          <w:bCs/>
          <w:sz w:val="24"/>
          <w:szCs w:val="24"/>
        </w:rPr>
        <w:t>（3）管道泄漏、爆裂风险防治措施</w:t>
      </w:r>
    </w:p>
    <w:p>
      <w:pPr>
        <w:spacing w:line="520" w:lineRule="exact"/>
        <w:ind w:firstLine="480"/>
        <w:rPr>
          <w:sz w:val="24"/>
          <w:szCs w:val="24"/>
        </w:rPr>
      </w:pPr>
      <w:r>
        <w:rPr>
          <w:rFonts w:hint="eastAsia"/>
          <w:sz w:val="24"/>
          <w:szCs w:val="24"/>
        </w:rPr>
        <w:t xml:space="preserve">自然因素造成的事故不能避免，只能在事故发生后尽早发现及时补救，对于人为因素造成的事故是可以避免的，工程现拟使用的各种管网选材是合理的、安全的，因此主要应在施工和运营期间严格管理，遵守有关规定，定期检查，规范操作，则各种人为因素造成事故发生机率可以大大降低。 </w:t>
      </w:r>
    </w:p>
    <w:p>
      <w:pPr>
        <w:spacing w:line="520" w:lineRule="exact"/>
        <w:ind w:firstLine="480"/>
        <w:rPr>
          <w:sz w:val="24"/>
          <w:szCs w:val="24"/>
        </w:rPr>
      </w:pPr>
      <w:r>
        <w:rPr>
          <w:rFonts w:hint="eastAsia"/>
          <w:sz w:val="24"/>
          <w:szCs w:val="24"/>
        </w:rPr>
        <w:t>①严格管理。人为因素往往是事故发生的主要原因，因此严格管理，做好人为工作是预防事故发生的重要环节。主要内容包括：加强对职工的思想教育，以提高工作人员的责任心和工作主动性；加强沿线管道和检查井的检查，特别是加强沿线新建项目施工的检查，避免施工不慎导致污水管道破损。</w:t>
      </w:r>
    </w:p>
    <w:p>
      <w:pPr>
        <w:spacing w:line="520" w:lineRule="exact"/>
        <w:ind w:firstLine="480"/>
        <w:rPr>
          <w:sz w:val="24"/>
          <w:szCs w:val="24"/>
        </w:rPr>
      </w:pPr>
      <w:r>
        <w:rPr>
          <w:rFonts w:hint="eastAsia"/>
          <w:sz w:val="24"/>
          <w:szCs w:val="24"/>
        </w:rPr>
        <w:t>②对于污水干管这类隐蔽工程，建设单位应加强施工期间的管理、检查，确 保施工质量。</w:t>
      </w:r>
    </w:p>
    <w:p>
      <w:pPr>
        <w:spacing w:line="520" w:lineRule="exact"/>
        <w:ind w:firstLine="480"/>
        <w:rPr>
          <w:sz w:val="24"/>
          <w:szCs w:val="24"/>
        </w:rPr>
      </w:pPr>
      <w:r>
        <w:rPr>
          <w:rFonts w:hint="eastAsia"/>
          <w:sz w:val="24"/>
          <w:szCs w:val="24"/>
        </w:rPr>
        <w:t xml:space="preserve">③一旦发生事故，及时向有关部门反映，采取有效处理措施，最大限度降低 对周围环境和人民生命及财产造成的危害。 </w:t>
      </w:r>
    </w:p>
    <w:p>
      <w:pPr>
        <w:spacing w:line="520" w:lineRule="exact"/>
        <w:ind w:firstLine="480"/>
        <w:rPr>
          <w:sz w:val="24"/>
          <w:szCs w:val="24"/>
        </w:rPr>
      </w:pPr>
      <w:r>
        <w:rPr>
          <w:rFonts w:hint="eastAsia"/>
          <w:sz w:val="24"/>
          <w:szCs w:val="24"/>
        </w:rPr>
        <w:t>④加强污水管网防渗措施。</w:t>
      </w:r>
    </w:p>
    <w:p>
      <w:pPr>
        <w:tabs>
          <w:tab w:val="left" w:pos="3180"/>
        </w:tabs>
        <w:spacing w:line="520" w:lineRule="exact"/>
        <w:ind w:firstLine="482" w:firstLineChars="200"/>
        <w:outlineLvl w:val="4"/>
        <w:rPr>
          <w:b/>
          <w:bCs/>
          <w:sz w:val="24"/>
          <w:szCs w:val="24"/>
        </w:rPr>
      </w:pPr>
      <w:r>
        <w:rPr>
          <w:b/>
          <w:bCs/>
          <w:sz w:val="24"/>
          <w:szCs w:val="24"/>
        </w:rPr>
        <w:t>（4）环境安全管理</w:t>
      </w:r>
    </w:p>
    <w:p>
      <w:pPr>
        <w:tabs>
          <w:tab w:val="left" w:pos="840"/>
        </w:tabs>
        <w:spacing w:line="520" w:lineRule="exact"/>
        <w:ind w:firstLine="468" w:firstLineChars="200"/>
        <w:rPr>
          <w:spacing w:val="-3"/>
          <w:sz w:val="24"/>
          <w:szCs w:val="24"/>
        </w:rPr>
      </w:pPr>
      <w:r>
        <w:rPr>
          <w:spacing w:val="-3"/>
          <w:sz w:val="24"/>
          <w:szCs w:val="24"/>
        </w:rPr>
        <w:t>具体为：加强员工的安全教育，提高安全防范风险的意识；加强防爆电</w:t>
      </w:r>
      <w:r>
        <w:rPr>
          <w:rFonts w:hint="eastAsia"/>
          <w:spacing w:val="-3"/>
          <w:sz w:val="24"/>
          <w:szCs w:val="24"/>
        </w:rPr>
        <w:t>器</w:t>
      </w:r>
      <w:r>
        <w:rPr>
          <w:spacing w:val="-3"/>
          <w:sz w:val="24"/>
          <w:szCs w:val="24"/>
        </w:rPr>
        <w:t>设备的日常巡视和检查工作；建立健全安全、环境管理体系及高效的安全生产机构，一旦发生事故，要做到快速、高效、安全处置。</w:t>
      </w:r>
    </w:p>
    <w:p>
      <w:pPr>
        <w:spacing w:line="520" w:lineRule="exact"/>
        <w:outlineLvl w:val="3"/>
        <w:rPr>
          <w:b/>
          <w:bCs/>
          <w:kern w:val="0"/>
          <w:sz w:val="24"/>
          <w:szCs w:val="28"/>
        </w:rPr>
      </w:pPr>
      <w:r>
        <w:rPr>
          <w:b/>
          <w:bCs/>
          <w:kern w:val="0"/>
          <w:sz w:val="24"/>
          <w:szCs w:val="28"/>
        </w:rPr>
        <w:t>6.6.1.2</w:t>
      </w:r>
      <w:r>
        <w:rPr>
          <w:rFonts w:hint="eastAsia"/>
          <w:b/>
          <w:bCs/>
          <w:kern w:val="0"/>
          <w:sz w:val="24"/>
          <w:szCs w:val="28"/>
        </w:rPr>
        <w:t>废气非正常排放的防范措施</w:t>
      </w:r>
    </w:p>
    <w:p>
      <w:pPr>
        <w:tabs>
          <w:tab w:val="left" w:pos="840"/>
        </w:tabs>
        <w:spacing w:line="520" w:lineRule="exact"/>
        <w:ind w:firstLine="468" w:firstLineChars="200"/>
        <w:rPr>
          <w:color w:val="0000FF"/>
          <w:spacing w:val="-3"/>
          <w:sz w:val="24"/>
          <w:szCs w:val="20"/>
          <w:highlight w:val="yellow"/>
        </w:rPr>
      </w:pPr>
      <w:r>
        <w:rPr>
          <w:rFonts w:hint="eastAsia"/>
          <w:spacing w:val="-3"/>
          <w:sz w:val="24"/>
          <w:szCs w:val="24"/>
        </w:rPr>
        <w:t>企业应定期对洗涤除臭装置</w:t>
      </w:r>
      <w:r>
        <w:rPr>
          <w:rFonts w:hint="eastAsia"/>
          <w:bCs/>
          <w:spacing w:val="-3"/>
          <w:sz w:val="24"/>
          <w:szCs w:val="24"/>
        </w:rPr>
        <w:t>（碱喷淋+生物除臭剂喷淋）</w:t>
      </w:r>
      <w:r>
        <w:rPr>
          <w:rFonts w:hint="eastAsia"/>
          <w:spacing w:val="-3"/>
          <w:sz w:val="24"/>
          <w:szCs w:val="24"/>
        </w:rPr>
        <w:t>进行安全检测、及时检修设备、按操作规程操作，保证处理效率。</w:t>
      </w:r>
    </w:p>
    <w:p>
      <w:pPr>
        <w:keepNext/>
        <w:keepLines/>
        <w:spacing w:line="520" w:lineRule="exact"/>
        <w:outlineLvl w:val="2"/>
        <w:rPr>
          <w:rFonts w:eastAsia="黑体"/>
          <w:bCs/>
          <w:sz w:val="28"/>
          <w:szCs w:val="28"/>
          <w:lang w:val="zh-CN"/>
        </w:rPr>
      </w:pPr>
      <w:r>
        <w:rPr>
          <w:rFonts w:eastAsia="黑体"/>
          <w:bCs/>
          <w:sz w:val="28"/>
          <w:szCs w:val="28"/>
          <w:lang w:val="zh-CN"/>
        </w:rPr>
        <w:t>6.6.2突发环境事件应急预案</w:t>
      </w:r>
    </w:p>
    <w:p>
      <w:pPr>
        <w:spacing w:line="520" w:lineRule="exact"/>
        <w:ind w:firstLine="482"/>
        <w:rPr>
          <w:sz w:val="24"/>
          <w:szCs w:val="24"/>
        </w:rPr>
      </w:pPr>
      <w:r>
        <w:rPr>
          <w:sz w:val="24"/>
          <w:szCs w:val="24"/>
        </w:rPr>
        <w:t>建设项目在生产过程和运输过程将产生潜在的危害，如果安全措施水平高，则事故的概率必然会降低，但不会为零。为使环境风险减小到最低程度，必须加强劳动安全管理，制定完善、有效的安全措施，尽可能降低事故发生概率。一旦发生事故，需要采取应急措施，控制和减少事故危害。而有毒有害物质泄漏至周围环境，则可能危害环境需要实施社会救援，因此建设单位需要制定相应的应急预案。</w:t>
      </w:r>
    </w:p>
    <w:p>
      <w:pPr>
        <w:spacing w:line="520" w:lineRule="exact"/>
        <w:ind w:firstLine="482"/>
        <w:rPr>
          <w:rFonts w:eastAsia="黑体"/>
          <w:b/>
          <w:sz w:val="24"/>
          <w:szCs w:val="24"/>
        </w:rPr>
      </w:pPr>
      <w:r>
        <w:rPr>
          <w:sz w:val="24"/>
          <w:szCs w:val="24"/>
        </w:rPr>
        <w:t>应急预案涉及的主要内容见下表。</w:t>
      </w:r>
    </w:p>
    <w:p>
      <w:pPr>
        <w:spacing w:line="520" w:lineRule="exact"/>
        <w:ind w:firstLine="482"/>
        <w:rPr>
          <w:rFonts w:eastAsia="黑体"/>
          <w:bCs/>
          <w:sz w:val="24"/>
          <w:szCs w:val="24"/>
        </w:rPr>
      </w:pPr>
      <w:r>
        <w:rPr>
          <w:rFonts w:eastAsia="黑体"/>
          <w:bCs/>
          <w:sz w:val="24"/>
          <w:szCs w:val="24"/>
        </w:rPr>
        <w:t>表6.6-2                  应急预案内容</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6"/>
        <w:gridCol w:w="962"/>
        <w:gridCol w:w="1136"/>
        <w:gridCol w:w="6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bCs/>
                <w:szCs w:val="21"/>
              </w:rPr>
            </w:pPr>
            <w:r>
              <w:rPr>
                <w:b/>
                <w:bCs/>
                <w:szCs w:val="21"/>
              </w:rPr>
              <w:t>序号</w:t>
            </w:r>
          </w:p>
        </w:tc>
        <w:tc>
          <w:tcPr>
            <w:tcW w:w="2097" w:type="dxa"/>
            <w:gridSpan w:val="2"/>
            <w:tcBorders>
              <w:top w:val="single" w:color="auto" w:sz="4" w:space="0"/>
              <w:left w:val="single" w:color="auto" w:sz="4" w:space="0"/>
              <w:bottom w:val="single" w:color="auto" w:sz="4" w:space="0"/>
              <w:right w:val="single" w:color="auto" w:sz="2" w:space="0"/>
            </w:tcBorders>
            <w:vAlign w:val="center"/>
          </w:tcPr>
          <w:p>
            <w:pPr>
              <w:spacing w:line="280" w:lineRule="exact"/>
              <w:jc w:val="center"/>
              <w:rPr>
                <w:b/>
                <w:bCs/>
                <w:szCs w:val="21"/>
              </w:rPr>
            </w:pPr>
            <w:r>
              <w:rPr>
                <w:b/>
                <w:bCs/>
                <w:szCs w:val="21"/>
              </w:rPr>
              <w:t>项目</w:t>
            </w:r>
          </w:p>
        </w:tc>
        <w:tc>
          <w:tcPr>
            <w:tcW w:w="6064" w:type="dxa"/>
            <w:tcBorders>
              <w:top w:val="single" w:color="auto" w:sz="4" w:space="0"/>
              <w:left w:val="single" w:color="auto" w:sz="2" w:space="0"/>
              <w:bottom w:val="single" w:color="auto" w:sz="4" w:space="0"/>
              <w:right w:val="single" w:color="auto" w:sz="4" w:space="0"/>
            </w:tcBorders>
            <w:vAlign w:val="center"/>
          </w:tcPr>
          <w:p>
            <w:pPr>
              <w:spacing w:line="280" w:lineRule="exact"/>
              <w:jc w:val="center"/>
              <w:rPr>
                <w:b/>
                <w:bCs/>
                <w:szCs w:val="21"/>
              </w:rPr>
            </w:pPr>
            <w:r>
              <w:rPr>
                <w:b/>
                <w:bCs/>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1</w:t>
            </w:r>
          </w:p>
        </w:tc>
        <w:tc>
          <w:tcPr>
            <w:tcW w:w="2097" w:type="dxa"/>
            <w:gridSpan w:val="2"/>
            <w:tcBorders>
              <w:top w:val="single" w:color="auto" w:sz="4" w:space="0"/>
              <w:left w:val="single" w:color="auto" w:sz="4" w:space="0"/>
              <w:bottom w:val="single" w:color="auto" w:sz="4" w:space="0"/>
              <w:right w:val="single" w:color="auto" w:sz="2" w:space="0"/>
            </w:tcBorders>
            <w:vAlign w:val="center"/>
          </w:tcPr>
          <w:p>
            <w:pPr>
              <w:spacing w:line="280" w:lineRule="exact"/>
              <w:jc w:val="center"/>
              <w:rPr>
                <w:szCs w:val="21"/>
              </w:rPr>
            </w:pPr>
            <w:r>
              <w:rPr>
                <w:szCs w:val="21"/>
              </w:rPr>
              <w:t>总则</w:t>
            </w:r>
          </w:p>
        </w:tc>
        <w:tc>
          <w:tcPr>
            <w:tcW w:w="6064" w:type="dxa"/>
            <w:tcBorders>
              <w:top w:val="single" w:color="auto" w:sz="4" w:space="0"/>
              <w:left w:val="single" w:color="auto" w:sz="2" w:space="0"/>
              <w:bottom w:val="single" w:color="auto" w:sz="4" w:space="0"/>
              <w:right w:val="single" w:color="auto" w:sz="4" w:space="0"/>
            </w:tcBorders>
            <w:vAlign w:val="center"/>
          </w:tcPr>
          <w:p>
            <w:pPr>
              <w:spacing w:line="280" w:lineRule="exact"/>
              <w:jc w:val="center"/>
              <w:rPr>
                <w:szCs w:val="21"/>
              </w:rPr>
            </w:pPr>
            <w:r>
              <w:rPr>
                <w:szCs w:val="21"/>
              </w:rPr>
              <w:t>预案的编制目的、编制依据、适用范围和工作原则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2</w:t>
            </w:r>
          </w:p>
        </w:tc>
        <w:tc>
          <w:tcPr>
            <w:tcW w:w="2097" w:type="dxa"/>
            <w:gridSpan w:val="2"/>
            <w:tcBorders>
              <w:top w:val="single" w:color="auto" w:sz="4" w:space="0"/>
              <w:left w:val="single" w:color="auto" w:sz="4" w:space="0"/>
              <w:bottom w:val="single" w:color="auto" w:sz="4" w:space="0"/>
              <w:right w:val="single" w:color="auto" w:sz="2" w:space="0"/>
            </w:tcBorders>
            <w:vAlign w:val="center"/>
          </w:tcPr>
          <w:p>
            <w:pPr>
              <w:spacing w:line="280" w:lineRule="exact"/>
              <w:jc w:val="center"/>
              <w:rPr>
                <w:szCs w:val="21"/>
              </w:rPr>
            </w:pPr>
            <w:r>
              <w:rPr>
                <w:szCs w:val="21"/>
              </w:rPr>
              <w:t>基本情况调查</w:t>
            </w:r>
          </w:p>
        </w:tc>
        <w:tc>
          <w:tcPr>
            <w:tcW w:w="6064" w:type="dxa"/>
            <w:tcBorders>
              <w:top w:val="single" w:color="auto" w:sz="4" w:space="0"/>
              <w:left w:val="single" w:color="auto" w:sz="2" w:space="0"/>
              <w:bottom w:val="single" w:color="auto" w:sz="4" w:space="0"/>
              <w:right w:val="single" w:color="auto" w:sz="4" w:space="0"/>
            </w:tcBorders>
            <w:vAlign w:val="center"/>
          </w:tcPr>
          <w:p>
            <w:pPr>
              <w:spacing w:line="280" w:lineRule="exact"/>
              <w:rPr>
                <w:szCs w:val="21"/>
              </w:rPr>
            </w:pPr>
            <w:r>
              <w:rPr>
                <w:szCs w:val="21"/>
              </w:rPr>
              <w:t>企业基本情况及厂区布置、企业生产现状、企业周边环境状况及环境保护目标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3</w:t>
            </w:r>
          </w:p>
        </w:tc>
        <w:tc>
          <w:tcPr>
            <w:tcW w:w="2097" w:type="dxa"/>
            <w:gridSpan w:val="2"/>
            <w:tcBorders>
              <w:top w:val="single" w:color="auto" w:sz="4" w:space="0"/>
              <w:left w:val="single" w:color="auto" w:sz="4" w:space="0"/>
              <w:bottom w:val="single" w:color="auto" w:sz="4" w:space="0"/>
              <w:right w:val="single" w:color="auto" w:sz="2" w:space="0"/>
            </w:tcBorders>
            <w:vAlign w:val="center"/>
          </w:tcPr>
          <w:p>
            <w:pPr>
              <w:spacing w:line="280" w:lineRule="exact"/>
              <w:jc w:val="center"/>
              <w:rPr>
                <w:szCs w:val="21"/>
              </w:rPr>
            </w:pPr>
            <w:r>
              <w:rPr>
                <w:szCs w:val="21"/>
              </w:rPr>
              <w:t>环境风险分析</w:t>
            </w:r>
          </w:p>
        </w:tc>
        <w:tc>
          <w:tcPr>
            <w:tcW w:w="6064" w:type="dxa"/>
            <w:tcBorders>
              <w:top w:val="single" w:color="auto" w:sz="4" w:space="0"/>
              <w:left w:val="single" w:color="auto" w:sz="2" w:space="0"/>
              <w:bottom w:val="single" w:color="auto" w:sz="4" w:space="0"/>
              <w:right w:val="single" w:color="auto" w:sz="4" w:space="0"/>
            </w:tcBorders>
            <w:vAlign w:val="center"/>
          </w:tcPr>
          <w:p>
            <w:pPr>
              <w:spacing w:line="280" w:lineRule="exact"/>
              <w:jc w:val="center"/>
              <w:rPr>
                <w:spacing w:val="-4"/>
                <w:szCs w:val="21"/>
              </w:rPr>
            </w:pPr>
            <w:r>
              <w:rPr>
                <w:spacing w:val="-4"/>
                <w:szCs w:val="21"/>
              </w:rPr>
              <w:t>环境风险源与环境风险评价、潜在环境风险分析、企业应急能力评估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4</w:t>
            </w:r>
          </w:p>
        </w:tc>
        <w:tc>
          <w:tcPr>
            <w:tcW w:w="2097" w:type="dxa"/>
            <w:gridSpan w:val="2"/>
            <w:tcBorders>
              <w:top w:val="single" w:color="auto" w:sz="4" w:space="0"/>
              <w:left w:val="single" w:color="auto" w:sz="4" w:space="0"/>
              <w:bottom w:val="single" w:color="auto" w:sz="4" w:space="0"/>
              <w:right w:val="single" w:color="auto" w:sz="2" w:space="0"/>
            </w:tcBorders>
            <w:vAlign w:val="center"/>
          </w:tcPr>
          <w:p>
            <w:pPr>
              <w:spacing w:line="280" w:lineRule="exact"/>
              <w:jc w:val="center"/>
              <w:rPr>
                <w:szCs w:val="21"/>
              </w:rPr>
            </w:pPr>
            <w:r>
              <w:rPr>
                <w:spacing w:val="-8"/>
                <w:szCs w:val="21"/>
              </w:rPr>
              <w:t>应急组织机构及职责</w:t>
            </w:r>
          </w:p>
        </w:tc>
        <w:tc>
          <w:tcPr>
            <w:tcW w:w="6064" w:type="dxa"/>
            <w:tcBorders>
              <w:top w:val="single" w:color="auto" w:sz="4" w:space="0"/>
              <w:left w:val="single" w:color="auto" w:sz="2" w:space="0"/>
              <w:bottom w:val="single" w:color="auto" w:sz="4" w:space="0"/>
              <w:right w:val="single" w:color="auto" w:sz="4" w:space="0"/>
            </w:tcBorders>
            <w:vAlign w:val="center"/>
          </w:tcPr>
          <w:p>
            <w:pPr>
              <w:spacing w:line="280" w:lineRule="exact"/>
              <w:jc w:val="center"/>
              <w:rPr>
                <w:szCs w:val="21"/>
              </w:rPr>
            </w:pPr>
            <w:r>
              <w:rPr>
                <w:szCs w:val="21"/>
              </w:rPr>
              <w:t>组织体系、指挥机构组成及职责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5</w:t>
            </w:r>
          </w:p>
        </w:tc>
        <w:tc>
          <w:tcPr>
            <w:tcW w:w="962"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预防与预警</w:t>
            </w: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pacing w:val="-4"/>
                <w:szCs w:val="21"/>
              </w:rPr>
            </w:pPr>
            <w:r>
              <w:rPr>
                <w:spacing w:val="-4"/>
                <w:szCs w:val="21"/>
              </w:rPr>
              <w:t>预防及措施</w:t>
            </w:r>
          </w:p>
        </w:tc>
        <w:tc>
          <w:tcPr>
            <w:tcW w:w="6064" w:type="dxa"/>
            <w:tcBorders>
              <w:top w:val="single" w:color="auto" w:sz="4" w:space="0"/>
              <w:left w:val="single" w:color="auto" w:sz="4" w:space="0"/>
              <w:bottom w:val="single" w:color="auto" w:sz="4" w:space="0"/>
              <w:right w:val="single" w:color="auto" w:sz="4" w:space="0"/>
            </w:tcBorders>
            <w:vAlign w:val="center"/>
          </w:tcPr>
          <w:p>
            <w:pPr>
              <w:spacing w:line="280" w:lineRule="exact"/>
              <w:outlineLvl w:val="2"/>
              <w:rPr>
                <w:szCs w:val="21"/>
              </w:rPr>
            </w:pPr>
            <w:r>
              <w:rPr>
                <w:szCs w:val="21"/>
              </w:rPr>
              <w:t>环境风险源监控：明确厂区内监控设备设施、监控内容、监控人员、物资配备等内容；预防措施：明确厂区内生产、储存、运输、管理及操作、职业卫生等环节风险预防措施内容</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pacing w:val="-4"/>
                <w:szCs w:val="21"/>
              </w:rPr>
            </w:pPr>
            <w:r>
              <w:rPr>
                <w:spacing w:val="-4"/>
                <w:szCs w:val="21"/>
              </w:rPr>
              <w:t>预警及措施</w:t>
            </w:r>
          </w:p>
        </w:tc>
        <w:tc>
          <w:tcPr>
            <w:tcW w:w="6064" w:type="dxa"/>
            <w:tcBorders>
              <w:top w:val="single" w:color="auto" w:sz="4" w:space="0"/>
              <w:left w:val="single" w:color="auto" w:sz="4" w:space="0"/>
              <w:bottom w:val="single" w:color="auto" w:sz="4" w:space="0"/>
              <w:right w:val="single" w:color="auto" w:sz="4" w:space="0"/>
            </w:tcBorders>
            <w:vAlign w:val="center"/>
          </w:tcPr>
          <w:p>
            <w:pPr>
              <w:spacing w:line="280" w:lineRule="exact"/>
              <w:rPr>
                <w:spacing w:val="-4"/>
                <w:szCs w:val="21"/>
              </w:rPr>
            </w:pPr>
            <w:r>
              <w:rPr>
                <w:szCs w:val="21"/>
              </w:rPr>
              <w:t>明确事件预警的条件、方式、方法以及进入预警状态后企业各部门，以及报请政府相关部门应当采取的措施等</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6</w:t>
            </w:r>
          </w:p>
        </w:tc>
        <w:tc>
          <w:tcPr>
            <w:tcW w:w="962"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应急响应与措施</w:t>
            </w: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响应分级</w:t>
            </w:r>
          </w:p>
        </w:tc>
        <w:tc>
          <w:tcPr>
            <w:tcW w:w="6064" w:type="dxa"/>
            <w:tcBorders>
              <w:top w:val="single" w:color="auto" w:sz="4" w:space="0"/>
              <w:left w:val="single" w:color="auto" w:sz="4" w:space="0"/>
              <w:bottom w:val="single" w:color="auto" w:sz="4" w:space="0"/>
              <w:right w:val="single" w:color="auto" w:sz="4" w:space="0"/>
            </w:tcBorders>
            <w:vAlign w:val="center"/>
          </w:tcPr>
          <w:p>
            <w:pPr>
              <w:spacing w:line="280" w:lineRule="exact"/>
              <w:rPr>
                <w:szCs w:val="21"/>
              </w:rPr>
            </w:pPr>
            <w:r>
              <w:rPr>
                <w:szCs w:val="21"/>
              </w:rPr>
              <w:t>针对突发环境事件严重性、紧急程度、危害程度、影响范围、企业单位内部控制事态的能力以及需要调动的应急资源，将企业单位突发环境事件分为不同的等级。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应急程序</w:t>
            </w:r>
          </w:p>
        </w:tc>
        <w:tc>
          <w:tcPr>
            <w:tcW w:w="6064" w:type="dxa"/>
            <w:tcBorders>
              <w:top w:val="single" w:color="auto" w:sz="4" w:space="0"/>
              <w:left w:val="single" w:color="auto" w:sz="4" w:space="0"/>
              <w:bottom w:val="single" w:color="auto" w:sz="4" w:space="0"/>
              <w:right w:val="single" w:color="auto" w:sz="4" w:space="0"/>
            </w:tcBorders>
            <w:vAlign w:val="center"/>
          </w:tcPr>
          <w:p>
            <w:pPr>
              <w:spacing w:line="280" w:lineRule="exact"/>
              <w:rPr>
                <w:szCs w:val="21"/>
              </w:rPr>
            </w:pPr>
            <w:r>
              <w:rPr>
                <w:szCs w:val="21"/>
              </w:rPr>
              <w:t>根据不同响应级别，分级阐述应急程序。给出应急响应程序示意图。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应急措施</w:t>
            </w:r>
          </w:p>
        </w:tc>
        <w:tc>
          <w:tcPr>
            <w:tcW w:w="6064" w:type="dxa"/>
            <w:tcBorders>
              <w:top w:val="single" w:color="auto" w:sz="4" w:space="0"/>
              <w:left w:val="single" w:color="auto" w:sz="4" w:space="0"/>
              <w:bottom w:val="single" w:color="auto" w:sz="4" w:space="0"/>
              <w:right w:val="single" w:color="auto" w:sz="4" w:space="0"/>
            </w:tcBorders>
            <w:vAlign w:val="center"/>
          </w:tcPr>
          <w:p>
            <w:pPr>
              <w:spacing w:line="280" w:lineRule="exact"/>
              <w:rPr>
                <w:szCs w:val="21"/>
              </w:rPr>
            </w:pPr>
            <w:r>
              <w:rPr>
                <w:szCs w:val="21"/>
              </w:rPr>
              <w:t>企业自身救援队伍和当地其他应急救援队伍应做好如下应急工作；待应急专家抵达后，根据专家指导意见进行处理。应急措施包括：突发环境事件厂区内现场应急措施、突发环境事件厂区外应急措施和受伤人员现场救护、救治与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应急监测</w:t>
            </w:r>
          </w:p>
        </w:tc>
        <w:tc>
          <w:tcPr>
            <w:tcW w:w="6064" w:type="dxa"/>
            <w:tcBorders>
              <w:top w:val="single" w:color="auto" w:sz="4" w:space="0"/>
              <w:left w:val="single" w:color="auto" w:sz="4" w:space="0"/>
              <w:bottom w:val="single" w:color="auto" w:sz="4" w:space="0"/>
              <w:right w:val="single" w:color="auto" w:sz="4" w:space="0"/>
            </w:tcBorders>
            <w:vAlign w:val="center"/>
          </w:tcPr>
          <w:p>
            <w:pPr>
              <w:spacing w:line="280" w:lineRule="exact"/>
              <w:rPr>
                <w:spacing w:val="-2"/>
                <w:szCs w:val="21"/>
              </w:rPr>
            </w:pPr>
            <w:r>
              <w:rPr>
                <w:spacing w:val="-2"/>
                <w:szCs w:val="21"/>
              </w:rPr>
              <w:t>企业单位应根据事件发生时可能产生的污染物种类和性质，配置（或依托其他单位配置）必要的监测设备、器材和环境监测人员。当地环境应急监测部门或企业内部环境应急监测组应迅速组织监测人员赶赴事件现场，根据实际情况，迅速确定监测方案（包括废水和废气监测布点、频次、项目和方法等），及时开展应急监测工作</w:t>
            </w:r>
            <w:r>
              <w:rPr>
                <w:rFonts w:hint="eastAsia"/>
                <w:spacing w:val="-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信息报告</w:t>
            </w:r>
          </w:p>
        </w:tc>
        <w:tc>
          <w:tcPr>
            <w:tcW w:w="6064" w:type="dxa"/>
            <w:tcBorders>
              <w:top w:val="single" w:color="auto" w:sz="4" w:space="0"/>
              <w:left w:val="single" w:color="auto" w:sz="4" w:space="0"/>
              <w:bottom w:val="single" w:color="auto" w:sz="4" w:space="0"/>
              <w:right w:val="single" w:color="auto" w:sz="4" w:space="0"/>
            </w:tcBorders>
            <w:vAlign w:val="center"/>
          </w:tcPr>
          <w:p>
            <w:pPr>
              <w:spacing w:line="280" w:lineRule="exact"/>
              <w:rPr>
                <w:szCs w:val="21"/>
              </w:rPr>
            </w:pPr>
            <w:r>
              <w:rPr>
                <w:szCs w:val="21"/>
              </w:rPr>
              <w:t>突发环境事件发生后，要及时发布准确、权威的信息，正确引导社会舆论。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应急终止</w:t>
            </w:r>
          </w:p>
        </w:tc>
        <w:tc>
          <w:tcPr>
            <w:tcW w:w="6064" w:type="dxa"/>
            <w:tcBorders>
              <w:top w:val="single" w:color="auto" w:sz="4" w:space="0"/>
              <w:left w:val="single" w:color="auto" w:sz="4" w:space="0"/>
              <w:bottom w:val="single" w:color="auto" w:sz="4" w:space="0"/>
              <w:right w:val="single" w:color="auto" w:sz="4" w:space="0"/>
            </w:tcBorders>
            <w:vAlign w:val="center"/>
          </w:tcPr>
          <w:p>
            <w:pPr>
              <w:spacing w:line="280" w:lineRule="exact"/>
              <w:rPr>
                <w:szCs w:val="21"/>
              </w:rPr>
            </w:pPr>
            <w:r>
              <w:rPr>
                <w:szCs w:val="21"/>
              </w:rPr>
              <w:t>（1）明确应急终止的条件。事件现场得以控制，环境符合有关标准，导致次生衍生事件隐患消除后，经事件现场应急指挥机构批准后，现场应急结束；</w:t>
            </w:r>
          </w:p>
          <w:p>
            <w:pPr>
              <w:spacing w:line="280" w:lineRule="exact"/>
              <w:rPr>
                <w:szCs w:val="21"/>
              </w:rPr>
            </w:pPr>
            <w:r>
              <w:rPr>
                <w:szCs w:val="21"/>
              </w:rPr>
              <w:t>（2）明确应急终止的程序和措施；</w:t>
            </w:r>
          </w:p>
          <w:p>
            <w:pPr>
              <w:spacing w:line="280" w:lineRule="exact"/>
              <w:rPr>
                <w:szCs w:val="21"/>
              </w:rPr>
            </w:pPr>
            <w:r>
              <w:rPr>
                <w:szCs w:val="21"/>
              </w:rPr>
              <w:t>（3）明确应急状态终止后，继续进行跟踪环境监测和评估工作的方案。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7</w:t>
            </w:r>
          </w:p>
        </w:tc>
        <w:tc>
          <w:tcPr>
            <w:tcW w:w="96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后期</w:t>
            </w:r>
          </w:p>
          <w:p>
            <w:pPr>
              <w:spacing w:line="280" w:lineRule="exact"/>
              <w:jc w:val="center"/>
              <w:rPr>
                <w:szCs w:val="21"/>
              </w:rPr>
            </w:pPr>
            <w:r>
              <w:rPr>
                <w:szCs w:val="21"/>
              </w:rPr>
              <w:t>处置</w:t>
            </w:r>
          </w:p>
        </w:tc>
        <w:tc>
          <w:tcPr>
            <w:tcW w:w="7199"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rPr>
                <w:spacing w:val="-4"/>
                <w:szCs w:val="21"/>
              </w:rPr>
            </w:pPr>
            <w:r>
              <w:rPr>
                <w:spacing w:val="-4"/>
                <w:szCs w:val="21"/>
              </w:rPr>
              <w:t>应明确受灾人员安置及损失补偿；对生态环境的恢复；应急过程评价；事件原因、损失调查与责任认定；提出事件应急救援工作总结报告；环境应急预案的修订；维护、保养、增补应急物资及仪器设备</w:t>
            </w:r>
            <w:r>
              <w:rPr>
                <w:rFonts w:hint="eastAsia"/>
                <w:spacing w:val="-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8</w:t>
            </w:r>
          </w:p>
        </w:tc>
        <w:tc>
          <w:tcPr>
            <w:tcW w:w="96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pacing w:val="-6"/>
                <w:szCs w:val="21"/>
              </w:rPr>
            </w:pPr>
            <w:r>
              <w:rPr>
                <w:spacing w:val="-6"/>
                <w:szCs w:val="21"/>
              </w:rPr>
              <w:t>应急培训和演练</w:t>
            </w:r>
          </w:p>
        </w:tc>
        <w:tc>
          <w:tcPr>
            <w:tcW w:w="7199"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rPr>
                <w:spacing w:val="-4"/>
                <w:szCs w:val="21"/>
              </w:rPr>
            </w:pPr>
            <w:r>
              <w:rPr>
                <w:spacing w:val="-4"/>
                <w:szCs w:val="21"/>
              </w:rPr>
              <w:t>制定培训计划，明确各类人员培训内容方法、时间地点和频次等；明确企业单位根据环境应急预案进行演练的内容、范围和频次等内容。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9</w:t>
            </w:r>
          </w:p>
        </w:tc>
        <w:tc>
          <w:tcPr>
            <w:tcW w:w="96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奖惩</w:t>
            </w:r>
          </w:p>
        </w:tc>
        <w:tc>
          <w:tcPr>
            <w:tcW w:w="7199"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明确突发环境事件应急救援工作中奖励和处罚的条件和内容。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10</w:t>
            </w:r>
          </w:p>
        </w:tc>
        <w:tc>
          <w:tcPr>
            <w:tcW w:w="962"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保障</w:t>
            </w:r>
          </w:p>
          <w:p>
            <w:pPr>
              <w:spacing w:line="280" w:lineRule="exact"/>
              <w:jc w:val="center"/>
              <w:rPr>
                <w:szCs w:val="21"/>
              </w:rPr>
            </w:pPr>
            <w:r>
              <w:rPr>
                <w:szCs w:val="21"/>
              </w:rPr>
              <w:t>措施</w:t>
            </w: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通信与信息保障</w:t>
            </w:r>
          </w:p>
        </w:tc>
        <w:tc>
          <w:tcPr>
            <w:tcW w:w="6064" w:type="dxa"/>
            <w:tcBorders>
              <w:top w:val="single" w:color="auto" w:sz="4" w:space="0"/>
              <w:left w:val="single" w:color="auto" w:sz="4" w:space="0"/>
              <w:bottom w:val="single" w:color="auto" w:sz="4" w:space="0"/>
              <w:right w:val="single" w:color="auto" w:sz="4" w:space="0"/>
            </w:tcBorders>
            <w:vAlign w:val="center"/>
          </w:tcPr>
          <w:p>
            <w:pPr>
              <w:spacing w:line="280" w:lineRule="exact"/>
              <w:rPr>
                <w:szCs w:val="21"/>
              </w:rPr>
            </w:pPr>
            <w:r>
              <w:rPr>
                <w:szCs w:val="21"/>
              </w:rPr>
              <w:t>明确与应急工作相关联的单位或人员通信联系方式，并提供备用方案。建立信息通信系统及维护方案，确保应急期间信息通畅</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应急队伍保障</w:t>
            </w:r>
          </w:p>
        </w:tc>
        <w:tc>
          <w:tcPr>
            <w:tcW w:w="6064" w:type="dxa"/>
            <w:tcBorders>
              <w:top w:val="single" w:color="auto" w:sz="4" w:space="0"/>
              <w:left w:val="single" w:color="auto" w:sz="4" w:space="0"/>
              <w:bottom w:val="single" w:color="auto" w:sz="4" w:space="0"/>
              <w:right w:val="single" w:color="auto" w:sz="4" w:space="0"/>
            </w:tcBorders>
            <w:vAlign w:val="center"/>
          </w:tcPr>
          <w:p>
            <w:pPr>
              <w:spacing w:line="280" w:lineRule="exact"/>
              <w:rPr>
                <w:szCs w:val="21"/>
              </w:rPr>
            </w:pPr>
            <w:r>
              <w:rPr>
                <w:szCs w:val="21"/>
              </w:rPr>
              <w:t>明确各类应急队伍的组成，包括专业应急队伍、兼职应急队伍及志愿者等社会团体的组织与保障方案</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应急物资装备保障</w:t>
            </w:r>
          </w:p>
        </w:tc>
        <w:tc>
          <w:tcPr>
            <w:tcW w:w="6064" w:type="dxa"/>
            <w:tcBorders>
              <w:top w:val="single" w:color="auto" w:sz="4" w:space="0"/>
              <w:left w:val="single" w:color="auto" w:sz="4" w:space="0"/>
              <w:bottom w:val="single" w:color="auto" w:sz="4" w:space="0"/>
              <w:right w:val="single" w:color="auto" w:sz="4" w:space="0"/>
            </w:tcBorders>
            <w:vAlign w:val="center"/>
          </w:tcPr>
          <w:p>
            <w:pPr>
              <w:spacing w:line="280" w:lineRule="exact"/>
              <w:rPr>
                <w:szCs w:val="21"/>
              </w:rPr>
            </w:pPr>
            <w:r>
              <w:rPr>
                <w:szCs w:val="21"/>
              </w:rPr>
              <w:t>明确应急救援需要使用的应急物资和装备的类型、数量、性能、存放位置、管理责任人及其联系方式等内容</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经费保障</w:t>
            </w:r>
          </w:p>
        </w:tc>
        <w:tc>
          <w:tcPr>
            <w:tcW w:w="6064" w:type="dxa"/>
            <w:tcBorders>
              <w:top w:val="single" w:color="auto" w:sz="4" w:space="0"/>
              <w:left w:val="single" w:color="auto" w:sz="4" w:space="0"/>
              <w:bottom w:val="single" w:color="auto" w:sz="4" w:space="0"/>
              <w:right w:val="single" w:color="auto" w:sz="4" w:space="0"/>
            </w:tcBorders>
            <w:vAlign w:val="center"/>
          </w:tcPr>
          <w:p>
            <w:pPr>
              <w:spacing w:line="280" w:lineRule="exact"/>
              <w:rPr>
                <w:spacing w:val="-4"/>
                <w:szCs w:val="21"/>
              </w:rPr>
            </w:pPr>
            <w:r>
              <w:rPr>
                <w:spacing w:val="-4"/>
                <w:szCs w:val="21"/>
              </w:rPr>
              <w:t>明确应急专项经费（如培训、演练经费，应急物资购置、维护费用和事件处置费用等）来源、使用范围、数量和监督管理措施，保障应急状态时单位应急经费的及时到位</w:t>
            </w:r>
            <w:r>
              <w:rPr>
                <w:rFonts w:hint="eastAsia"/>
                <w:spacing w:val="-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Cs w:val="21"/>
              </w:rPr>
            </w:pP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Cs w:val="21"/>
              </w:rPr>
            </w:pP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其它保障</w:t>
            </w:r>
          </w:p>
        </w:tc>
        <w:tc>
          <w:tcPr>
            <w:tcW w:w="6064" w:type="dxa"/>
            <w:tcBorders>
              <w:top w:val="single" w:color="auto" w:sz="4" w:space="0"/>
              <w:left w:val="single" w:color="auto" w:sz="4" w:space="0"/>
              <w:bottom w:val="single" w:color="auto" w:sz="4" w:space="0"/>
              <w:right w:val="single" w:color="auto" w:sz="4" w:space="0"/>
            </w:tcBorders>
            <w:vAlign w:val="center"/>
          </w:tcPr>
          <w:p>
            <w:pPr>
              <w:spacing w:line="280" w:lineRule="exact"/>
              <w:rPr>
                <w:szCs w:val="21"/>
              </w:rPr>
            </w:pPr>
            <w:r>
              <w:rPr>
                <w:szCs w:val="21"/>
              </w:rPr>
              <w:t>根据本单位应急工作需求而确定的其他相关保障措施，如：交通运输保障、治安保障、技术保障、医疗保障、后勤保障等。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11</w:t>
            </w:r>
          </w:p>
        </w:tc>
        <w:tc>
          <w:tcPr>
            <w:tcW w:w="2097" w:type="dxa"/>
            <w:gridSpan w:val="2"/>
            <w:tcBorders>
              <w:top w:val="single" w:color="auto" w:sz="4" w:space="0"/>
              <w:left w:val="single" w:color="auto" w:sz="4" w:space="0"/>
              <w:bottom w:val="single" w:color="auto" w:sz="4" w:space="0"/>
              <w:right w:val="single" w:color="auto" w:sz="2" w:space="0"/>
            </w:tcBorders>
            <w:vAlign w:val="center"/>
          </w:tcPr>
          <w:p>
            <w:pPr>
              <w:spacing w:line="280" w:lineRule="exact"/>
              <w:jc w:val="center"/>
              <w:rPr>
                <w:szCs w:val="21"/>
              </w:rPr>
            </w:pPr>
            <w:r>
              <w:rPr>
                <w:szCs w:val="21"/>
              </w:rPr>
              <w:t>预案的修订、评估和备案</w:t>
            </w:r>
          </w:p>
        </w:tc>
        <w:tc>
          <w:tcPr>
            <w:tcW w:w="6064" w:type="dxa"/>
            <w:tcBorders>
              <w:top w:val="single" w:color="auto" w:sz="4" w:space="0"/>
              <w:left w:val="single" w:color="auto" w:sz="2" w:space="0"/>
              <w:bottom w:val="single" w:color="auto" w:sz="4" w:space="0"/>
              <w:right w:val="single" w:color="auto" w:sz="4" w:space="0"/>
            </w:tcBorders>
            <w:vAlign w:val="center"/>
          </w:tcPr>
          <w:p>
            <w:pPr>
              <w:spacing w:line="280" w:lineRule="exact"/>
              <w:rPr>
                <w:szCs w:val="21"/>
              </w:rPr>
            </w:pPr>
            <w:r>
              <w:rPr>
                <w:szCs w:val="21"/>
              </w:rPr>
              <w:t>明确预案的修订条件、评估方式方法、备案部门与时限等要求</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 xml:space="preserve">12 </w:t>
            </w:r>
          </w:p>
        </w:tc>
        <w:tc>
          <w:tcPr>
            <w:tcW w:w="2097" w:type="dxa"/>
            <w:gridSpan w:val="2"/>
            <w:tcBorders>
              <w:top w:val="single" w:color="auto" w:sz="4" w:space="0"/>
              <w:left w:val="single" w:color="auto" w:sz="4" w:space="0"/>
              <w:bottom w:val="single" w:color="auto" w:sz="4" w:space="0"/>
              <w:right w:val="single" w:color="auto" w:sz="2" w:space="0"/>
            </w:tcBorders>
            <w:vAlign w:val="center"/>
          </w:tcPr>
          <w:p>
            <w:pPr>
              <w:spacing w:line="280" w:lineRule="exact"/>
              <w:jc w:val="center"/>
              <w:rPr>
                <w:szCs w:val="21"/>
              </w:rPr>
            </w:pPr>
            <w:r>
              <w:rPr>
                <w:spacing w:val="-10"/>
                <w:szCs w:val="21"/>
              </w:rPr>
              <w:t>预案的实施和生效时间</w:t>
            </w:r>
          </w:p>
        </w:tc>
        <w:tc>
          <w:tcPr>
            <w:tcW w:w="6064" w:type="dxa"/>
            <w:tcBorders>
              <w:top w:val="single" w:color="auto" w:sz="4" w:space="0"/>
              <w:left w:val="single" w:color="auto" w:sz="2" w:space="0"/>
              <w:bottom w:val="single" w:color="auto" w:sz="4" w:space="0"/>
              <w:right w:val="single" w:color="auto" w:sz="4" w:space="0"/>
            </w:tcBorders>
            <w:vAlign w:val="center"/>
          </w:tcPr>
          <w:p>
            <w:pPr>
              <w:spacing w:line="280" w:lineRule="exact"/>
              <w:rPr>
                <w:szCs w:val="21"/>
              </w:rPr>
            </w:pPr>
            <w:r>
              <w:rPr>
                <w:szCs w:val="21"/>
              </w:rPr>
              <w:t>列出预案实施和生效的具体时间；预案更新的发布与通知，抄送的部门、园区、企业等。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13</w:t>
            </w:r>
          </w:p>
        </w:tc>
        <w:tc>
          <w:tcPr>
            <w:tcW w:w="962"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Cs w:val="21"/>
              </w:rPr>
            </w:pPr>
            <w:r>
              <w:rPr>
                <w:szCs w:val="21"/>
              </w:rPr>
              <w:t>附件</w:t>
            </w:r>
          </w:p>
        </w:tc>
        <w:tc>
          <w:tcPr>
            <w:tcW w:w="7199"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rPr>
                <w:szCs w:val="21"/>
              </w:rPr>
            </w:pPr>
            <w:r>
              <w:rPr>
                <w:szCs w:val="21"/>
              </w:rPr>
              <w:t>（1）环境风险评价文件（包括环境风险源分析评价过程、突发环境事件的危害性定量分析）；</w:t>
            </w:r>
          </w:p>
          <w:p>
            <w:pPr>
              <w:spacing w:line="280" w:lineRule="exact"/>
              <w:rPr>
                <w:szCs w:val="21"/>
              </w:rPr>
            </w:pPr>
            <w:r>
              <w:rPr>
                <w:szCs w:val="21"/>
              </w:rPr>
              <w:t>（2）危险废物登记文件及委托处理合同；</w:t>
            </w:r>
          </w:p>
          <w:p>
            <w:pPr>
              <w:spacing w:line="280" w:lineRule="exact"/>
              <w:rPr>
                <w:szCs w:val="21"/>
              </w:rPr>
            </w:pPr>
            <w:r>
              <w:rPr>
                <w:szCs w:val="21"/>
              </w:rPr>
              <w:t>（3）区域位置及周围环境保护目标分布、位置关系图；</w:t>
            </w:r>
          </w:p>
          <w:p>
            <w:pPr>
              <w:spacing w:line="280" w:lineRule="exact"/>
              <w:rPr>
                <w:szCs w:val="21"/>
              </w:rPr>
            </w:pPr>
            <w:r>
              <w:rPr>
                <w:szCs w:val="21"/>
              </w:rPr>
              <w:t>（4）重大环境风险源、应急设施（备）、应急物资储备及分布一览表；雨水、清净下水和污水收集管网、污水处理设施平面布置图；事故废水处理流程图。</w:t>
            </w:r>
          </w:p>
          <w:p>
            <w:pPr>
              <w:spacing w:line="280" w:lineRule="exact"/>
              <w:rPr>
                <w:szCs w:val="21"/>
              </w:rPr>
            </w:pPr>
            <w:r>
              <w:rPr>
                <w:szCs w:val="21"/>
              </w:rPr>
              <w:t>（5）企业周边区域道路交通图、疏散路线、交通管制示意图。</w:t>
            </w:r>
          </w:p>
          <w:p>
            <w:pPr>
              <w:spacing w:line="280" w:lineRule="exact"/>
              <w:rPr>
                <w:szCs w:val="21"/>
              </w:rPr>
            </w:pPr>
            <w:r>
              <w:rPr>
                <w:szCs w:val="21"/>
              </w:rPr>
              <w:t>（6）内部应急人员的职责、姓名、电话清单；</w:t>
            </w:r>
          </w:p>
          <w:p>
            <w:pPr>
              <w:spacing w:line="280" w:lineRule="exact"/>
              <w:rPr>
                <w:szCs w:val="21"/>
              </w:rPr>
            </w:pPr>
            <w:r>
              <w:rPr>
                <w:szCs w:val="21"/>
              </w:rPr>
              <w:t>（7）外部（政府有关部门、园区、救援单位、专家、环境保护目标等）联系单位、人员、电话；企业突发环境事件报告单。</w:t>
            </w:r>
          </w:p>
          <w:p>
            <w:pPr>
              <w:spacing w:line="280" w:lineRule="exact"/>
              <w:rPr>
                <w:szCs w:val="21"/>
              </w:rPr>
            </w:pPr>
            <w:r>
              <w:rPr>
                <w:szCs w:val="21"/>
              </w:rPr>
              <w:t>（8）各种制度、程序、方案等；</w:t>
            </w:r>
          </w:p>
          <w:p>
            <w:pPr>
              <w:spacing w:line="280" w:lineRule="exact"/>
              <w:rPr>
                <w:szCs w:val="21"/>
              </w:rPr>
            </w:pPr>
            <w:r>
              <w:rPr>
                <w:szCs w:val="21"/>
              </w:rPr>
              <w:t>（9）其他。</w:t>
            </w:r>
          </w:p>
        </w:tc>
      </w:tr>
    </w:tbl>
    <w:p>
      <w:pPr>
        <w:spacing w:line="520" w:lineRule="exact"/>
        <w:ind w:firstLine="480"/>
        <w:rPr>
          <w:sz w:val="24"/>
          <w:szCs w:val="24"/>
        </w:rPr>
      </w:pPr>
      <w:r>
        <w:rPr>
          <w:rFonts w:hint="eastAsia"/>
          <w:sz w:val="24"/>
          <w:szCs w:val="24"/>
        </w:rPr>
        <w:t>当发生泄露、火灾等事故后，由公司应急救援领导小组根据应急救援指挥中心值班室收集到的事故情况，对事故的影响和危害性进行判断。若为一般事故，只需启动一级应急救援相关程序，由值班经理、现场值班的专职、兼职消防人员以及工艺操作人员组成一级应急队伍，开展抢险救援行动。若事故规模较大、危害较严重，应急救援领导小组应迅速成立现场应急救援指挥部，由公司总经理、副总经理以及工艺、仪表和设备工程师等人组成，并根据事故现场抢险救援的需要，在仓储区专职和兼职应急救援人员的基础上，组建各抢险救援、医疗救护、警戒、通讯、信息发布等专业队伍，全面投入应急救援行动中。</w:t>
      </w:r>
    </w:p>
    <w:p>
      <w:pPr>
        <w:keepNext/>
        <w:keepLines/>
        <w:spacing w:line="520" w:lineRule="exact"/>
        <w:outlineLvl w:val="1"/>
        <w:rPr>
          <w:rFonts w:eastAsia="黑体"/>
          <w:bCs/>
          <w:sz w:val="28"/>
          <w:szCs w:val="28"/>
          <w:lang w:val="zh-CN"/>
        </w:rPr>
      </w:pPr>
      <w:bookmarkStart w:id="157" w:name="_Toc13604"/>
      <w:r>
        <w:rPr>
          <w:rFonts w:eastAsia="黑体"/>
          <w:bCs/>
          <w:sz w:val="28"/>
          <w:szCs w:val="28"/>
          <w:lang w:val="zh-CN"/>
        </w:rPr>
        <w:t>6.7环境风险评价结论</w:t>
      </w:r>
      <w:bookmarkEnd w:id="157"/>
    </w:p>
    <w:p>
      <w:pPr>
        <w:spacing w:line="520" w:lineRule="exact"/>
        <w:ind w:firstLine="480" w:firstLineChars="200"/>
        <w:rPr>
          <w:sz w:val="24"/>
          <w:szCs w:val="24"/>
        </w:rPr>
      </w:pPr>
      <w:r>
        <w:rPr>
          <w:sz w:val="24"/>
          <w:szCs w:val="24"/>
        </w:rPr>
        <w:t>本项目</w:t>
      </w:r>
      <w:r>
        <w:rPr>
          <w:rFonts w:hint="eastAsia"/>
          <w:sz w:val="24"/>
          <w:szCs w:val="24"/>
        </w:rPr>
        <w:t>位于原阳县产业聚集区永安路南侧、小庄村西侧（金祥南街建成打通后为金祥南街西侧，路东为小庄村）、小庄排河东侧</w:t>
      </w:r>
      <w:r>
        <w:rPr>
          <w:sz w:val="24"/>
          <w:szCs w:val="24"/>
        </w:rPr>
        <w:t>，</w:t>
      </w:r>
      <w:r>
        <w:rPr>
          <w:rFonts w:hint="eastAsia"/>
          <w:sz w:val="24"/>
          <w:szCs w:val="24"/>
        </w:rPr>
        <w:t>对照《建设项目环境风险评价技术导则》(HJ169-2018) 附录B，本项目环境风险潜势判定为</w:t>
      </w:r>
      <w:r>
        <w:rPr>
          <w:sz w:val="24"/>
          <w:szCs w:val="24"/>
        </w:rPr>
        <w:t>Ⅰ</w:t>
      </w:r>
      <w:r>
        <w:rPr>
          <w:rFonts w:hint="eastAsia"/>
          <w:sz w:val="24"/>
          <w:szCs w:val="24"/>
        </w:rPr>
        <w:t>。严格落实本评价提出的环保措施并在加强管理的前提下，项目环境风险可防可控。</w:t>
      </w:r>
    </w:p>
    <w:p>
      <w:pPr>
        <w:spacing w:line="520" w:lineRule="exact"/>
        <w:ind w:firstLine="480" w:firstLineChars="200"/>
        <w:rPr>
          <w:sz w:val="24"/>
          <w:szCs w:val="24"/>
        </w:rPr>
      </w:pPr>
      <w:r>
        <w:rPr>
          <w:rFonts w:hint="eastAsia"/>
          <w:sz w:val="24"/>
          <w:szCs w:val="24"/>
        </w:rPr>
        <w:t>综上所述，本项目环境风险简单分析内容表见下表：</w:t>
      </w:r>
    </w:p>
    <w:p>
      <w:pPr>
        <w:spacing w:before="156" w:beforeLines="50" w:after="156" w:afterLines="50"/>
        <w:ind w:firstLine="480" w:firstLineChars="200"/>
        <w:rPr>
          <w:rFonts w:eastAsia="黑体"/>
          <w:bCs/>
          <w:sz w:val="24"/>
          <w:szCs w:val="24"/>
        </w:rPr>
      </w:pPr>
      <w:r>
        <w:rPr>
          <w:rFonts w:eastAsia="黑体"/>
          <w:bCs/>
          <w:sz w:val="24"/>
          <w:szCs w:val="24"/>
        </w:rPr>
        <w:t>表</w:t>
      </w:r>
      <w:r>
        <w:rPr>
          <w:rFonts w:hint="eastAsia" w:eastAsia="黑体"/>
          <w:bCs/>
          <w:sz w:val="24"/>
          <w:szCs w:val="24"/>
        </w:rPr>
        <w:t>6.7</w:t>
      </w:r>
      <w:r>
        <w:rPr>
          <w:rFonts w:eastAsia="黑体"/>
          <w:bCs/>
          <w:sz w:val="24"/>
          <w:szCs w:val="24"/>
        </w:rPr>
        <w:t>-1          建设项目环境风险简单分析内容表</w:t>
      </w:r>
    </w:p>
    <w:tbl>
      <w:tblPr>
        <w:tblStyle w:val="4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162"/>
        <w:gridCol w:w="710"/>
        <w:gridCol w:w="1133"/>
        <w:gridCol w:w="993"/>
        <w:gridCol w:w="1133"/>
        <w:gridCol w:w="36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61" w:type="pct"/>
            <w:shd w:val="clear" w:color="auto" w:fill="auto"/>
            <w:vAlign w:val="center"/>
          </w:tcPr>
          <w:p>
            <w:pPr>
              <w:jc w:val="center"/>
              <w:rPr>
                <w:b/>
                <w:szCs w:val="20"/>
              </w:rPr>
            </w:pPr>
            <w:r>
              <w:rPr>
                <w:b/>
                <w:szCs w:val="20"/>
              </w:rPr>
              <w:t>建设项目名称</w:t>
            </w:r>
          </w:p>
        </w:tc>
        <w:tc>
          <w:tcPr>
            <w:tcW w:w="4339" w:type="pct"/>
            <w:gridSpan w:val="5"/>
            <w:shd w:val="clear" w:color="auto" w:fill="auto"/>
            <w:vAlign w:val="center"/>
          </w:tcPr>
          <w:p>
            <w:pPr>
              <w:jc w:val="center"/>
              <w:rPr>
                <w:b/>
                <w:szCs w:val="21"/>
              </w:rPr>
            </w:pPr>
            <w:r>
              <w:rPr>
                <w:rFonts w:hint="eastAsia" w:cs="宋体"/>
                <w:b/>
                <w:color w:val="000000"/>
                <w:szCs w:val="20"/>
              </w:rPr>
              <w:t>河南羽佳金门实业</w:t>
            </w:r>
            <w:r>
              <w:rPr>
                <w:rFonts w:cs="宋体"/>
                <w:b/>
                <w:color w:val="000000"/>
                <w:szCs w:val="20"/>
              </w:rPr>
              <w:t>有限公司</w:t>
            </w:r>
            <w:r>
              <w:rPr>
                <w:rFonts w:hint="eastAsia" w:cs="宋体"/>
                <w:b/>
                <w:color w:val="000000"/>
                <w:szCs w:val="20"/>
              </w:rPr>
              <w:t>预制菜创新孵化园建设</w:t>
            </w:r>
            <w:r>
              <w:rPr>
                <w:rFonts w:cs="宋体"/>
                <w:b/>
                <w:color w:val="000000"/>
                <w:szCs w:val="20"/>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61" w:type="pct"/>
            <w:shd w:val="clear" w:color="auto" w:fill="auto"/>
            <w:vAlign w:val="center"/>
          </w:tcPr>
          <w:p>
            <w:pPr>
              <w:contextualSpacing/>
              <w:jc w:val="center"/>
              <w:textAlignment w:val="baseline"/>
              <w:rPr>
                <w:kern w:val="0"/>
                <w:szCs w:val="21"/>
              </w:rPr>
            </w:pPr>
            <w:r>
              <w:rPr>
                <w:kern w:val="0"/>
                <w:szCs w:val="21"/>
              </w:rPr>
              <w:t>建设地点</w:t>
            </w:r>
          </w:p>
        </w:tc>
        <w:tc>
          <w:tcPr>
            <w:tcW w:w="404" w:type="pct"/>
            <w:shd w:val="clear" w:color="auto" w:fill="auto"/>
            <w:vAlign w:val="center"/>
          </w:tcPr>
          <w:p>
            <w:pPr>
              <w:contextualSpacing/>
              <w:jc w:val="center"/>
              <w:textAlignment w:val="baseline"/>
              <w:rPr>
                <w:kern w:val="0"/>
                <w:szCs w:val="21"/>
              </w:rPr>
            </w:pPr>
            <w:r>
              <w:rPr>
                <w:kern w:val="0"/>
                <w:szCs w:val="21"/>
              </w:rPr>
              <w:t>河南省</w:t>
            </w:r>
          </w:p>
        </w:tc>
        <w:tc>
          <w:tcPr>
            <w:tcW w:w="645" w:type="pct"/>
            <w:shd w:val="clear" w:color="auto" w:fill="auto"/>
            <w:vAlign w:val="center"/>
          </w:tcPr>
          <w:p>
            <w:pPr>
              <w:contextualSpacing/>
              <w:jc w:val="center"/>
              <w:textAlignment w:val="baseline"/>
              <w:rPr>
                <w:kern w:val="0"/>
                <w:szCs w:val="21"/>
              </w:rPr>
            </w:pPr>
            <w:r>
              <w:rPr>
                <w:kern w:val="0"/>
                <w:szCs w:val="21"/>
              </w:rPr>
              <w:t>新乡市</w:t>
            </w:r>
          </w:p>
        </w:tc>
        <w:tc>
          <w:tcPr>
            <w:tcW w:w="565" w:type="pct"/>
            <w:shd w:val="clear" w:color="auto" w:fill="auto"/>
            <w:vAlign w:val="center"/>
          </w:tcPr>
          <w:p>
            <w:pPr>
              <w:contextualSpacing/>
              <w:jc w:val="center"/>
              <w:textAlignment w:val="baseline"/>
              <w:rPr>
                <w:kern w:val="0"/>
                <w:szCs w:val="21"/>
              </w:rPr>
            </w:pPr>
            <w:r>
              <w:rPr>
                <w:kern w:val="0"/>
                <w:szCs w:val="21"/>
              </w:rPr>
              <w:t>/</w:t>
            </w:r>
          </w:p>
        </w:tc>
        <w:tc>
          <w:tcPr>
            <w:tcW w:w="645" w:type="pct"/>
            <w:shd w:val="clear" w:color="auto" w:fill="auto"/>
            <w:vAlign w:val="center"/>
          </w:tcPr>
          <w:p>
            <w:pPr>
              <w:contextualSpacing/>
              <w:jc w:val="center"/>
              <w:textAlignment w:val="baseline"/>
              <w:rPr>
                <w:kern w:val="0"/>
                <w:szCs w:val="21"/>
              </w:rPr>
            </w:pPr>
            <w:r>
              <w:rPr>
                <w:kern w:val="0"/>
                <w:szCs w:val="21"/>
              </w:rPr>
              <w:t>（</w:t>
            </w:r>
            <w:r>
              <w:rPr>
                <w:rFonts w:hint="eastAsia"/>
                <w:kern w:val="0"/>
                <w:szCs w:val="21"/>
              </w:rPr>
              <w:t>原阳</w:t>
            </w:r>
            <w:r>
              <w:rPr>
                <w:kern w:val="0"/>
                <w:szCs w:val="21"/>
              </w:rPr>
              <w:t>）县</w:t>
            </w:r>
          </w:p>
        </w:tc>
        <w:tc>
          <w:tcPr>
            <w:tcW w:w="2080" w:type="pct"/>
            <w:shd w:val="clear" w:color="auto" w:fill="auto"/>
            <w:vAlign w:val="center"/>
          </w:tcPr>
          <w:p>
            <w:pPr>
              <w:contextualSpacing/>
              <w:jc w:val="center"/>
              <w:textAlignment w:val="baseline"/>
              <w:rPr>
                <w:kern w:val="0"/>
                <w:szCs w:val="21"/>
              </w:rPr>
            </w:pPr>
            <w:r>
              <w:rPr>
                <w:rFonts w:hint="eastAsia"/>
                <w:kern w:val="0"/>
                <w:szCs w:val="21"/>
              </w:rPr>
              <w:t>原阳县产业聚集区永安路南侧、小庄村西侧（金祥南街建成打通后为金祥南街西侧，路东为小庄村）、小庄排河东侧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61" w:type="pct"/>
            <w:shd w:val="clear" w:color="auto" w:fill="auto"/>
            <w:vAlign w:val="center"/>
          </w:tcPr>
          <w:p>
            <w:pPr>
              <w:contextualSpacing/>
              <w:jc w:val="center"/>
              <w:textAlignment w:val="baseline"/>
              <w:rPr>
                <w:kern w:val="0"/>
                <w:szCs w:val="21"/>
              </w:rPr>
            </w:pPr>
            <w:r>
              <w:rPr>
                <w:kern w:val="0"/>
                <w:szCs w:val="21"/>
              </w:rPr>
              <w:t>地理坐标</w:t>
            </w:r>
          </w:p>
        </w:tc>
        <w:tc>
          <w:tcPr>
            <w:tcW w:w="404" w:type="pct"/>
            <w:shd w:val="clear" w:color="auto" w:fill="auto"/>
            <w:vAlign w:val="center"/>
          </w:tcPr>
          <w:p>
            <w:pPr>
              <w:contextualSpacing/>
              <w:jc w:val="center"/>
              <w:textAlignment w:val="baseline"/>
              <w:rPr>
                <w:kern w:val="0"/>
                <w:szCs w:val="21"/>
              </w:rPr>
            </w:pPr>
            <w:r>
              <w:rPr>
                <w:kern w:val="0"/>
                <w:szCs w:val="21"/>
              </w:rPr>
              <w:t>经度</w:t>
            </w:r>
          </w:p>
        </w:tc>
        <w:tc>
          <w:tcPr>
            <w:tcW w:w="1210" w:type="pct"/>
            <w:gridSpan w:val="2"/>
            <w:shd w:val="clear" w:color="auto" w:fill="auto"/>
            <w:vAlign w:val="center"/>
          </w:tcPr>
          <w:p>
            <w:pPr>
              <w:contextualSpacing/>
              <w:jc w:val="center"/>
              <w:textAlignment w:val="baseline"/>
              <w:rPr>
                <w:kern w:val="0"/>
                <w:szCs w:val="21"/>
              </w:rPr>
            </w:pPr>
            <w:r>
              <w:rPr>
                <w:kern w:val="0"/>
                <w:szCs w:val="21"/>
              </w:rPr>
              <w:t>东经113°54´54.326</w:t>
            </w:r>
            <w:r>
              <w:rPr>
                <w:rFonts w:eastAsia="微软雅黑"/>
                <w:kern w:val="0"/>
                <w:szCs w:val="21"/>
              </w:rPr>
              <w:t>˝</w:t>
            </w:r>
          </w:p>
        </w:tc>
        <w:tc>
          <w:tcPr>
            <w:tcW w:w="645" w:type="pct"/>
            <w:shd w:val="clear" w:color="auto" w:fill="auto"/>
            <w:vAlign w:val="center"/>
          </w:tcPr>
          <w:p>
            <w:pPr>
              <w:contextualSpacing/>
              <w:jc w:val="center"/>
              <w:textAlignment w:val="baseline"/>
              <w:rPr>
                <w:kern w:val="0"/>
                <w:szCs w:val="21"/>
              </w:rPr>
            </w:pPr>
            <w:r>
              <w:rPr>
                <w:kern w:val="0"/>
                <w:szCs w:val="21"/>
              </w:rPr>
              <w:t>纬度</w:t>
            </w:r>
          </w:p>
        </w:tc>
        <w:tc>
          <w:tcPr>
            <w:tcW w:w="2080" w:type="pct"/>
            <w:shd w:val="clear" w:color="auto" w:fill="auto"/>
            <w:vAlign w:val="center"/>
          </w:tcPr>
          <w:p>
            <w:pPr>
              <w:contextualSpacing/>
              <w:jc w:val="center"/>
              <w:textAlignment w:val="baseline"/>
              <w:rPr>
                <w:spacing w:val="-20"/>
                <w:szCs w:val="21"/>
              </w:rPr>
            </w:pPr>
            <w:r>
              <w:rPr>
                <w:kern w:val="0"/>
                <w:szCs w:val="21"/>
              </w:rPr>
              <w:t>北纬35°2′30.887</w:t>
            </w:r>
            <w:r>
              <w:rPr>
                <w:rFonts w:eastAsia="微软雅黑"/>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61" w:type="pct"/>
            <w:shd w:val="clear" w:color="auto" w:fill="auto"/>
            <w:vAlign w:val="center"/>
          </w:tcPr>
          <w:p>
            <w:pPr>
              <w:contextualSpacing/>
              <w:jc w:val="center"/>
              <w:textAlignment w:val="baseline"/>
              <w:rPr>
                <w:kern w:val="0"/>
                <w:szCs w:val="21"/>
              </w:rPr>
            </w:pPr>
            <w:r>
              <w:rPr>
                <w:kern w:val="0"/>
                <w:szCs w:val="21"/>
              </w:rPr>
              <w:t>主要危险物质及分布</w:t>
            </w:r>
          </w:p>
        </w:tc>
        <w:tc>
          <w:tcPr>
            <w:tcW w:w="4339" w:type="pct"/>
            <w:gridSpan w:val="5"/>
            <w:shd w:val="clear" w:color="auto" w:fill="auto"/>
            <w:vAlign w:val="center"/>
          </w:tcPr>
          <w:p>
            <w:pPr>
              <w:adjustRightInd w:val="0"/>
              <w:snapToGrid w:val="0"/>
              <w:ind w:firstLine="420" w:firstLineChars="200"/>
              <w:rPr>
                <w:kern w:val="0"/>
                <w:szCs w:val="24"/>
              </w:rPr>
            </w:pPr>
            <w:r>
              <w:rPr>
                <w:rFonts w:hint="eastAsia"/>
                <w:kern w:val="0"/>
                <w:szCs w:val="24"/>
              </w:rPr>
              <w:t>风险物质为废水处理过程中产生的氨和硫化氢，环境风险主要体现在污水管道泄漏、爆裂风险，氨和硫化氢发生泄漏引起</w:t>
            </w:r>
            <w:r>
              <w:rPr>
                <w:kern w:val="0"/>
                <w:szCs w:val="24"/>
              </w:rPr>
              <w:t>大气污染、</w:t>
            </w:r>
            <w:r>
              <w:rPr>
                <w:rFonts w:hint="eastAsia"/>
                <w:kern w:val="0"/>
                <w:szCs w:val="24"/>
              </w:rPr>
              <w:t>遇明火发生</w:t>
            </w:r>
            <w:r>
              <w:rPr>
                <w:kern w:val="0"/>
                <w:szCs w:val="24"/>
              </w:rPr>
              <w:t>火灾</w:t>
            </w:r>
            <w:r>
              <w:rPr>
                <w:rFonts w:hint="eastAsia"/>
                <w:kern w:val="0"/>
                <w:szCs w:val="24"/>
              </w:rPr>
              <w:t>和</w:t>
            </w:r>
            <w:r>
              <w:rPr>
                <w:kern w:val="0"/>
                <w:szCs w:val="24"/>
              </w:rPr>
              <w:t>爆炸事故引发的大气污染。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61" w:type="pct"/>
            <w:shd w:val="clear" w:color="auto" w:fill="auto"/>
            <w:vAlign w:val="center"/>
          </w:tcPr>
          <w:p>
            <w:pPr>
              <w:contextualSpacing/>
              <w:jc w:val="center"/>
              <w:textAlignment w:val="baseline"/>
              <w:rPr>
                <w:kern w:val="0"/>
                <w:szCs w:val="21"/>
              </w:rPr>
            </w:pPr>
            <w:r>
              <w:rPr>
                <w:kern w:val="0"/>
                <w:szCs w:val="21"/>
              </w:rPr>
              <w:t>环境影响途径及危害后果</w:t>
            </w:r>
          </w:p>
        </w:tc>
        <w:tc>
          <w:tcPr>
            <w:tcW w:w="4339" w:type="pct"/>
            <w:gridSpan w:val="5"/>
            <w:shd w:val="clear" w:color="auto" w:fill="auto"/>
            <w:vAlign w:val="center"/>
          </w:tcPr>
          <w:p>
            <w:pPr>
              <w:adjustRightInd w:val="0"/>
              <w:snapToGrid w:val="0"/>
              <w:ind w:firstLine="420" w:firstLineChars="200"/>
              <w:rPr>
                <w:bCs/>
                <w:kern w:val="0"/>
                <w:szCs w:val="21"/>
              </w:rPr>
            </w:pPr>
            <w:r>
              <w:rPr>
                <w:rFonts w:hint="eastAsia"/>
                <w:kern w:val="0"/>
                <w:szCs w:val="21"/>
              </w:rPr>
              <w:t>污水</w:t>
            </w:r>
            <w:r>
              <w:rPr>
                <w:kern w:val="0"/>
                <w:szCs w:val="21"/>
              </w:rPr>
              <w:t>管道泄漏、爆裂风险</w:t>
            </w:r>
            <w:r>
              <w:rPr>
                <w:rFonts w:hint="eastAsia"/>
                <w:kern w:val="0"/>
                <w:szCs w:val="21"/>
              </w:rPr>
              <w:t>；</w:t>
            </w:r>
            <w:r>
              <w:rPr>
                <w:kern w:val="0"/>
                <w:szCs w:val="21"/>
              </w:rPr>
              <w:t>管道泄漏、爆裂造成</w:t>
            </w:r>
            <w:r>
              <w:rPr>
                <w:rFonts w:hint="eastAsia"/>
                <w:kern w:val="0"/>
                <w:szCs w:val="21"/>
              </w:rPr>
              <w:t>废水</w:t>
            </w:r>
            <w:r>
              <w:rPr>
                <w:kern w:val="0"/>
                <w:szCs w:val="21"/>
              </w:rPr>
              <w:t>暴露在外环境，</w:t>
            </w:r>
            <w:r>
              <w:rPr>
                <w:bCs/>
                <w:kern w:val="0"/>
                <w:szCs w:val="21"/>
              </w:rPr>
              <w:t>泄漏或渗漏的废水一旦进入地表河流，将造成地表河流的污染，使地面水体受到污染，随渗水进入土壤，污染地下水，可能对地面水体和地下水体造成二次污染</w:t>
            </w:r>
            <w:r>
              <w:rPr>
                <w:rFonts w:hint="eastAsia"/>
                <w:bCs/>
                <w:kern w:val="0"/>
                <w:szCs w:val="21"/>
              </w:rPr>
              <w:t>；氨和硫化氢发生泄露引起</w:t>
            </w:r>
            <w:r>
              <w:rPr>
                <w:bCs/>
                <w:kern w:val="0"/>
                <w:szCs w:val="21"/>
              </w:rPr>
              <w:t>大气污染、遇明火发生火灾和爆炸事故。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61" w:type="pct"/>
            <w:shd w:val="clear" w:color="auto" w:fill="auto"/>
            <w:vAlign w:val="center"/>
          </w:tcPr>
          <w:p>
            <w:pPr>
              <w:contextualSpacing/>
              <w:jc w:val="center"/>
              <w:textAlignment w:val="baseline"/>
              <w:rPr>
                <w:kern w:val="0"/>
                <w:szCs w:val="21"/>
              </w:rPr>
            </w:pPr>
            <w:r>
              <w:rPr>
                <w:kern w:val="0"/>
                <w:szCs w:val="21"/>
              </w:rPr>
              <w:t>风险防范措施要求</w:t>
            </w:r>
          </w:p>
        </w:tc>
        <w:tc>
          <w:tcPr>
            <w:tcW w:w="4339" w:type="pct"/>
            <w:gridSpan w:val="5"/>
            <w:shd w:val="clear" w:color="auto" w:fill="auto"/>
            <w:vAlign w:val="center"/>
          </w:tcPr>
          <w:p>
            <w:pPr>
              <w:adjustRightInd w:val="0"/>
              <w:snapToGrid w:val="0"/>
              <w:ind w:firstLine="420" w:firstLineChars="200"/>
              <w:rPr>
                <w:b/>
                <w:bCs/>
                <w:kern w:val="0"/>
                <w:szCs w:val="24"/>
                <w:u w:val="single"/>
              </w:rPr>
            </w:pPr>
            <w:r>
              <w:rPr>
                <w:rFonts w:hint="eastAsia"/>
                <w:kern w:val="0"/>
                <w:szCs w:val="24"/>
              </w:rPr>
              <w:t>管道泄漏、爆裂风险防范：严格管理、加强项目施工的检查、防渗措施；本项目主要污水处理单元均考虑了一定的安全余量，且有备用发电机，加强运行管理和出水的监测工作、设备维护工作，建立合适的事故处理程序、机制和措施，建立安全操作规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61" w:type="pct"/>
            <w:shd w:val="clear" w:color="auto" w:fill="auto"/>
            <w:vAlign w:val="center"/>
          </w:tcPr>
          <w:p>
            <w:pPr>
              <w:contextualSpacing/>
              <w:jc w:val="center"/>
              <w:textAlignment w:val="baseline"/>
              <w:rPr>
                <w:kern w:val="0"/>
                <w:szCs w:val="21"/>
              </w:rPr>
            </w:pPr>
            <w:r>
              <w:rPr>
                <w:kern w:val="0"/>
                <w:szCs w:val="21"/>
              </w:rPr>
              <w:t>填表说明</w:t>
            </w:r>
          </w:p>
        </w:tc>
        <w:tc>
          <w:tcPr>
            <w:tcW w:w="4339" w:type="pct"/>
            <w:gridSpan w:val="5"/>
            <w:shd w:val="clear" w:color="auto" w:fill="auto"/>
            <w:vAlign w:val="center"/>
          </w:tcPr>
          <w:p>
            <w:pPr>
              <w:adjustRightInd w:val="0"/>
              <w:snapToGrid w:val="0"/>
              <w:ind w:firstLine="420" w:firstLineChars="200"/>
              <w:rPr>
                <w:kern w:val="0"/>
                <w:szCs w:val="24"/>
              </w:rPr>
            </w:pPr>
            <w:r>
              <w:rPr>
                <w:kern w:val="0"/>
                <w:szCs w:val="24"/>
              </w:rPr>
              <w:t>本次评价根据《建设项目环境风险评价技术导则》（HJ169-2018）的相关要求，对本项目进行了风险评价。该项目厂区将按照相关要求进行风险评估和应急预案，设置应急小组，发生事故时能及时发现并处理。</w:t>
            </w:r>
          </w:p>
        </w:tc>
      </w:tr>
    </w:tbl>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sectPr>
          <w:footerReference r:id="rId24" w:type="default"/>
          <w:pgSz w:w="11906" w:h="16838"/>
          <w:pgMar w:top="1701" w:right="1588" w:bottom="1701" w:left="1588" w:header="851" w:footer="1134" w:gutter="0"/>
          <w:pgNumType w:start="1"/>
          <w:cols w:space="720" w:num="1"/>
          <w:docGrid w:type="lines" w:linePitch="312" w:charSpace="0"/>
        </w:sectPr>
      </w:pPr>
    </w:p>
    <w:p>
      <w:pPr>
        <w:spacing w:line="360" w:lineRule="auto"/>
        <w:jc w:val="center"/>
        <w:outlineLvl w:val="0"/>
        <w:rPr>
          <w:rFonts w:eastAsia="黑体"/>
          <w:bCs/>
          <w:kern w:val="0"/>
          <w:sz w:val="44"/>
          <w:szCs w:val="44"/>
        </w:rPr>
      </w:pPr>
      <w:bookmarkStart w:id="158" w:name="_Toc16964"/>
      <w:r>
        <w:rPr>
          <w:rFonts w:eastAsia="黑体"/>
          <w:bCs/>
          <w:kern w:val="0"/>
          <w:sz w:val="44"/>
          <w:szCs w:val="44"/>
        </w:rPr>
        <w:t>第7章  环境保护措施及其可行性分析</w:t>
      </w:r>
      <w:bookmarkEnd w:id="158"/>
    </w:p>
    <w:p>
      <w:pPr>
        <w:rPr>
          <w:szCs w:val="24"/>
        </w:rPr>
      </w:pPr>
    </w:p>
    <w:p>
      <w:pPr>
        <w:spacing w:line="520" w:lineRule="exact"/>
        <w:outlineLvl w:val="1"/>
        <w:rPr>
          <w:rFonts w:eastAsia="黑体"/>
          <w:sz w:val="28"/>
          <w:szCs w:val="28"/>
        </w:rPr>
      </w:pPr>
      <w:bookmarkStart w:id="159" w:name="_Toc29361"/>
      <w:r>
        <w:rPr>
          <w:rFonts w:eastAsia="黑体"/>
          <w:sz w:val="28"/>
          <w:szCs w:val="28"/>
        </w:rPr>
        <w:t>7.1施工期污染防治措施分析</w:t>
      </w:r>
      <w:bookmarkEnd w:id="159"/>
    </w:p>
    <w:p>
      <w:pPr>
        <w:spacing w:line="520" w:lineRule="exact"/>
        <w:ind w:firstLine="480" w:firstLineChars="200"/>
        <w:rPr>
          <w:kern w:val="0"/>
          <w:sz w:val="24"/>
          <w:szCs w:val="28"/>
        </w:rPr>
      </w:pPr>
      <w:r>
        <w:rPr>
          <w:bCs/>
          <w:kern w:val="0"/>
          <w:sz w:val="24"/>
          <w:szCs w:val="24"/>
        </w:rPr>
        <w:t>本项目现状为空地。施工期会产生施工扬尘、汽车尾气、施工废水、生活污水以及施工过程产生的建筑垃圾和生活垃圾等。这些污染因素对环境造成的影响是短期的，随着施工的结束，这些影响也将随之消失。</w:t>
      </w:r>
    </w:p>
    <w:p>
      <w:pPr>
        <w:spacing w:line="520" w:lineRule="exact"/>
        <w:outlineLvl w:val="2"/>
        <w:rPr>
          <w:rFonts w:eastAsia="黑体"/>
          <w:sz w:val="28"/>
          <w:szCs w:val="28"/>
        </w:rPr>
      </w:pPr>
      <w:r>
        <w:rPr>
          <w:rFonts w:eastAsia="黑体"/>
          <w:sz w:val="28"/>
          <w:szCs w:val="28"/>
        </w:rPr>
        <w:t>7.1.1施工期废气污染防治措施分析</w:t>
      </w:r>
    </w:p>
    <w:p>
      <w:pPr>
        <w:spacing w:line="520" w:lineRule="exact"/>
        <w:ind w:firstLine="480" w:firstLineChars="200"/>
        <w:rPr>
          <w:sz w:val="24"/>
          <w:szCs w:val="24"/>
        </w:rPr>
      </w:pPr>
      <w:r>
        <w:rPr>
          <w:sz w:val="24"/>
          <w:szCs w:val="24"/>
        </w:rPr>
        <w:t>施工活动产生的大气污染物主要为施工扬尘、燃油施工机械排放的机动车汽车尾气。</w:t>
      </w:r>
    </w:p>
    <w:p>
      <w:pPr>
        <w:spacing w:line="520" w:lineRule="exact"/>
        <w:outlineLvl w:val="3"/>
        <w:rPr>
          <w:kern w:val="0"/>
          <w:sz w:val="24"/>
          <w:szCs w:val="28"/>
        </w:rPr>
      </w:pPr>
      <w:r>
        <w:rPr>
          <w:kern w:val="0"/>
          <w:sz w:val="24"/>
          <w:szCs w:val="28"/>
        </w:rPr>
        <w:t>7.1.1.1</w:t>
      </w:r>
      <w:r>
        <w:rPr>
          <w:kern w:val="0"/>
          <w:sz w:val="24"/>
          <w:szCs w:val="24"/>
        </w:rPr>
        <w:t>施工扬尘</w:t>
      </w:r>
    </w:p>
    <w:p>
      <w:pPr>
        <w:spacing w:line="520" w:lineRule="exact"/>
        <w:ind w:firstLine="480" w:firstLineChars="200"/>
        <w:rPr>
          <w:sz w:val="24"/>
          <w:szCs w:val="24"/>
        </w:rPr>
      </w:pPr>
      <w:r>
        <w:rPr>
          <w:sz w:val="24"/>
          <w:szCs w:val="24"/>
        </w:rPr>
        <w:t>评价要求企业施工期对施工场地进行围挡并设置喷雾装置，可大大减少施工扬尘的产生及扩散。为控制施工期间产生的粉尘，避免对周围环境产生较大的影响，企业应进一步采取以下措施：</w:t>
      </w:r>
    </w:p>
    <w:p>
      <w:pPr>
        <w:spacing w:line="520" w:lineRule="exact"/>
        <w:ind w:firstLine="480" w:firstLineChars="200"/>
        <w:rPr>
          <w:sz w:val="24"/>
          <w:szCs w:val="24"/>
        </w:rPr>
      </w:pPr>
      <w:r>
        <w:rPr>
          <w:sz w:val="24"/>
          <w:szCs w:val="24"/>
        </w:rPr>
        <w:t>（1）建设单位应严格按照</w:t>
      </w:r>
      <w:r>
        <w:rPr>
          <w:rFonts w:hint="eastAsia"/>
          <w:sz w:val="24"/>
          <w:szCs w:val="24"/>
        </w:rPr>
        <w:t>《新乡市环境污染防治攻坚指挥部办公室关于印发&lt;新乡市2</w:t>
      </w:r>
      <w:r>
        <w:rPr>
          <w:sz w:val="24"/>
          <w:szCs w:val="24"/>
        </w:rPr>
        <w:t>023</w:t>
      </w:r>
      <w:r>
        <w:rPr>
          <w:rFonts w:hint="eastAsia"/>
          <w:sz w:val="24"/>
          <w:szCs w:val="24"/>
        </w:rPr>
        <w:t>年蓝天保卫战实施方案&gt;的通知》（新环攻坚办</w:t>
      </w:r>
      <w:r>
        <w:rPr>
          <w:sz w:val="24"/>
          <w:szCs w:val="24"/>
        </w:rPr>
        <w:t>〔2023〕77号</w:t>
      </w:r>
      <w:r>
        <w:rPr>
          <w:rFonts w:hint="eastAsia"/>
          <w:sz w:val="24"/>
          <w:szCs w:val="24"/>
        </w:rPr>
        <w:t>）</w:t>
      </w:r>
      <w:r>
        <w:rPr>
          <w:sz w:val="24"/>
          <w:szCs w:val="24"/>
        </w:rPr>
        <w:t>等文件进行施工，并严格执行施工工地“六个100%”和“两禁止”要求。</w:t>
      </w:r>
    </w:p>
    <w:p>
      <w:pPr>
        <w:spacing w:line="520" w:lineRule="exact"/>
        <w:ind w:firstLine="480" w:firstLineChars="200"/>
        <w:rPr>
          <w:sz w:val="24"/>
          <w:szCs w:val="24"/>
        </w:rPr>
      </w:pPr>
      <w:r>
        <w:rPr>
          <w:sz w:val="24"/>
          <w:szCs w:val="24"/>
        </w:rPr>
        <w:t>（2）建设单位要将防治扬尘费用列入工程造价，在监管人员到位、经报备批准后方可施工，严格落实有关扬尘防治的要求。</w:t>
      </w:r>
    </w:p>
    <w:p>
      <w:pPr>
        <w:spacing w:line="520" w:lineRule="exact"/>
        <w:ind w:firstLine="480" w:firstLineChars="200"/>
        <w:rPr>
          <w:sz w:val="24"/>
          <w:szCs w:val="24"/>
        </w:rPr>
      </w:pPr>
      <w:r>
        <w:rPr>
          <w:sz w:val="24"/>
          <w:szCs w:val="24"/>
        </w:rPr>
        <w:t>（3）避免大风天气作业，项目施工过程中避免在大风天气进行水泥、黄沙等的装卸作业，对水泥类物料尽可能不要露天堆放，确有必须露天堆放时，应注意加盖防雨布，减少大风造成的施工扬尘；</w:t>
      </w:r>
    </w:p>
    <w:p>
      <w:pPr>
        <w:spacing w:line="520" w:lineRule="exact"/>
        <w:ind w:firstLine="480" w:firstLineChars="200"/>
        <w:rPr>
          <w:sz w:val="24"/>
          <w:szCs w:val="24"/>
        </w:rPr>
      </w:pPr>
      <w:r>
        <w:rPr>
          <w:sz w:val="24"/>
          <w:szCs w:val="24"/>
        </w:rPr>
        <w:t>（4）设置围挡：施工期间设置不低于2m高围挡，围挡下方设置不低于20cm高的防溢座以防止粉尘流失，任意两块围挡以及围挡与防溢座的拼接处都不能有大于0.5cm的缝隙，围挡不得有明显的漏洞，采取该措施后，可降低10%左右的扬尘排放量；</w:t>
      </w:r>
    </w:p>
    <w:p>
      <w:pPr>
        <w:spacing w:line="520" w:lineRule="exact"/>
        <w:ind w:firstLine="480" w:firstLineChars="200"/>
        <w:rPr>
          <w:sz w:val="24"/>
          <w:szCs w:val="24"/>
        </w:rPr>
      </w:pPr>
      <w:r>
        <w:rPr>
          <w:sz w:val="24"/>
          <w:szCs w:val="24"/>
        </w:rPr>
        <w:t>（5）持续洒水降尘措施。施工期现场定期喷洒，保证地面湿润不起尘，采取该措施后，可减少2.5%的扬尘排放量；</w:t>
      </w:r>
    </w:p>
    <w:p>
      <w:pPr>
        <w:spacing w:line="520" w:lineRule="exact"/>
        <w:ind w:firstLine="480" w:firstLineChars="200"/>
        <w:rPr>
          <w:sz w:val="24"/>
          <w:szCs w:val="24"/>
        </w:rPr>
      </w:pPr>
      <w:r>
        <w:rPr>
          <w:sz w:val="24"/>
          <w:szCs w:val="24"/>
        </w:rPr>
        <w:t>（6）施工中使用商品混凝土，可降低5%左右的扬尘排放量；</w:t>
      </w:r>
    </w:p>
    <w:p>
      <w:pPr>
        <w:spacing w:line="520" w:lineRule="exact"/>
        <w:ind w:firstLine="480" w:firstLineChars="200"/>
        <w:rPr>
          <w:sz w:val="24"/>
          <w:szCs w:val="24"/>
        </w:rPr>
      </w:pPr>
      <w:r>
        <w:rPr>
          <w:sz w:val="24"/>
          <w:szCs w:val="24"/>
        </w:rPr>
        <w:t>（7）限制施工场地内车辆车速：施工场地的扬尘，大部分来自施工车辆。根据有关分析，在同样清洁程度的条件下，车速越慢，扬尘量越小。本场地施工车辆在进入施工场地后，需减速行驶，以减少施工场地扬尘，建议行驶速度不大于5km/h；</w:t>
      </w:r>
    </w:p>
    <w:p>
      <w:pPr>
        <w:spacing w:line="520" w:lineRule="exact"/>
        <w:ind w:firstLine="480" w:firstLineChars="200"/>
        <w:rPr>
          <w:sz w:val="24"/>
          <w:szCs w:val="24"/>
        </w:rPr>
      </w:pPr>
      <w:r>
        <w:rPr>
          <w:sz w:val="24"/>
          <w:szCs w:val="24"/>
        </w:rPr>
        <w:t>（8）设置运输车辆冲洗装置：运输车辆驶出工地前，应对车轮、车身、车槽帮等部位进行清理或清洗以保证车辆清洁上路，施工场所车辆入口和出口30m内部分的路面上不应有明显的泥印、砂石、灰土等易扬尘物料，采取该措施后可降低10%左右的扬尘排放量。</w:t>
      </w:r>
    </w:p>
    <w:p>
      <w:pPr>
        <w:spacing w:line="520" w:lineRule="exact"/>
        <w:ind w:firstLine="480" w:firstLineChars="200"/>
        <w:rPr>
          <w:sz w:val="24"/>
          <w:szCs w:val="24"/>
        </w:rPr>
      </w:pPr>
      <w:r>
        <w:rPr>
          <w:sz w:val="24"/>
          <w:szCs w:val="24"/>
        </w:rPr>
        <w:t>综上所述，通过加强管理、切实落实好上述污染防治措施，本项目施工期不会对环境产生较大的影响，同时其对环境的影响也将随施工的结束而消失。</w:t>
      </w:r>
    </w:p>
    <w:p>
      <w:pPr>
        <w:spacing w:line="520" w:lineRule="exact"/>
        <w:outlineLvl w:val="3"/>
        <w:rPr>
          <w:kern w:val="0"/>
          <w:sz w:val="24"/>
          <w:szCs w:val="28"/>
        </w:rPr>
      </w:pPr>
      <w:r>
        <w:rPr>
          <w:kern w:val="0"/>
          <w:sz w:val="24"/>
          <w:szCs w:val="28"/>
        </w:rPr>
        <w:t>7.1.1.2车辆尾气</w:t>
      </w:r>
    </w:p>
    <w:p>
      <w:pPr>
        <w:spacing w:line="520" w:lineRule="exact"/>
        <w:ind w:firstLine="480" w:firstLineChars="200"/>
        <w:rPr>
          <w:kern w:val="0"/>
          <w:sz w:val="24"/>
          <w:szCs w:val="28"/>
        </w:rPr>
      </w:pPr>
      <w:r>
        <w:rPr>
          <w:kern w:val="0"/>
          <w:sz w:val="24"/>
          <w:szCs w:val="28"/>
        </w:rPr>
        <w:t>施工机械、车辆尾气中主要污染物为NOx、CO等。为了缓解项目施工尾气对环境空气质量的影响，有效控制施工机械、车辆尾气污染，评价要求采取以下措施：</w:t>
      </w:r>
    </w:p>
    <w:p>
      <w:pPr>
        <w:spacing w:line="520" w:lineRule="exact"/>
        <w:ind w:firstLine="480" w:firstLineChars="200"/>
        <w:rPr>
          <w:kern w:val="0"/>
          <w:sz w:val="24"/>
          <w:szCs w:val="28"/>
        </w:rPr>
      </w:pPr>
      <w:r>
        <w:rPr>
          <w:kern w:val="0"/>
          <w:sz w:val="24"/>
          <w:szCs w:val="28"/>
        </w:rPr>
        <w:t>（1）建议在固定的机械设备、大型运输车辆、推土机等安装尾气净化器，并且严禁运输车辆超载，不得使用劣质燃料。</w:t>
      </w:r>
    </w:p>
    <w:p>
      <w:pPr>
        <w:spacing w:line="520" w:lineRule="exact"/>
        <w:ind w:firstLine="480" w:firstLineChars="200"/>
        <w:rPr>
          <w:kern w:val="0"/>
          <w:sz w:val="24"/>
          <w:szCs w:val="28"/>
        </w:rPr>
      </w:pPr>
      <w:r>
        <w:rPr>
          <w:kern w:val="0"/>
          <w:sz w:val="24"/>
          <w:szCs w:val="28"/>
        </w:rPr>
        <w:t>（2）加强对施工车辆的检修和维护，严禁使用超期服役和尾气超标的车辆。对施工期间进出施工现场车流量进行合理安排，防止施工现场车流量过大。尽可能使用耗油低，排气小的施工车辆，选用优质燃油，减少机械和车辆的有害废气排放。</w:t>
      </w:r>
    </w:p>
    <w:p>
      <w:pPr>
        <w:spacing w:line="520" w:lineRule="exact"/>
        <w:ind w:firstLine="480" w:firstLineChars="200"/>
        <w:rPr>
          <w:kern w:val="0"/>
          <w:sz w:val="24"/>
          <w:szCs w:val="28"/>
        </w:rPr>
      </w:pPr>
      <w:r>
        <w:rPr>
          <w:kern w:val="0"/>
          <w:sz w:val="24"/>
          <w:szCs w:val="28"/>
        </w:rPr>
        <w:t>（3）要求施工单位施工过程中要做到精细化管理，并做好施工人员教育培训工作，树立环保意识。</w:t>
      </w:r>
    </w:p>
    <w:p>
      <w:pPr>
        <w:spacing w:line="520" w:lineRule="exact"/>
        <w:ind w:firstLine="480" w:firstLineChars="200"/>
        <w:rPr>
          <w:kern w:val="0"/>
          <w:sz w:val="24"/>
          <w:szCs w:val="28"/>
        </w:rPr>
      </w:pPr>
      <w:r>
        <w:rPr>
          <w:kern w:val="0"/>
          <w:sz w:val="24"/>
          <w:szCs w:val="28"/>
        </w:rPr>
        <w:t>综上所述，通过加强管理、切实落实好废气治理措施，施工废气不会对环境产生较大影响，同时其对环境的影响也将随着施工的结束而消失。</w:t>
      </w:r>
    </w:p>
    <w:p>
      <w:pPr>
        <w:spacing w:line="520" w:lineRule="exact"/>
        <w:outlineLvl w:val="2"/>
        <w:rPr>
          <w:rFonts w:eastAsia="黑体"/>
          <w:sz w:val="28"/>
          <w:szCs w:val="28"/>
        </w:rPr>
      </w:pPr>
      <w:r>
        <w:rPr>
          <w:rFonts w:eastAsia="黑体"/>
          <w:sz w:val="28"/>
          <w:szCs w:val="28"/>
        </w:rPr>
        <w:t>7.1.2施工期废水污染防治措施分析</w:t>
      </w:r>
    </w:p>
    <w:p>
      <w:pPr>
        <w:spacing w:line="520" w:lineRule="exact"/>
        <w:ind w:firstLine="480" w:firstLineChars="200"/>
        <w:rPr>
          <w:sz w:val="24"/>
          <w:szCs w:val="24"/>
        </w:rPr>
      </w:pPr>
      <w:r>
        <w:rPr>
          <w:sz w:val="24"/>
          <w:szCs w:val="24"/>
        </w:rPr>
        <w:t>施工过程中产生的废水主要为施工人员产生的生活污水和施工作业产生的废水。</w:t>
      </w:r>
    </w:p>
    <w:p>
      <w:pPr>
        <w:spacing w:line="520" w:lineRule="exact"/>
        <w:ind w:firstLine="480" w:firstLineChars="200"/>
        <w:rPr>
          <w:bCs/>
          <w:kern w:val="0"/>
          <w:sz w:val="24"/>
          <w:szCs w:val="24"/>
        </w:rPr>
      </w:pPr>
      <w:r>
        <w:rPr>
          <w:kern w:val="0"/>
          <w:sz w:val="24"/>
          <w:szCs w:val="24"/>
        </w:rPr>
        <w:t>施工人员产生的生活污水经</w:t>
      </w:r>
      <w:r>
        <w:rPr>
          <w:rFonts w:hint="eastAsia"/>
          <w:kern w:val="0"/>
          <w:sz w:val="24"/>
          <w:szCs w:val="24"/>
        </w:rPr>
        <w:t>化粪池处理后定期清运，不外排。</w:t>
      </w:r>
      <w:r>
        <w:rPr>
          <w:kern w:val="0"/>
          <w:sz w:val="24"/>
          <w:szCs w:val="24"/>
        </w:rPr>
        <w:t>施工废水主要产生于混凝土养护及墙面的冲洗、构件与建筑材料的保湿等施工工序，废水主要污染物为泥沙、悬浮物等，经</w:t>
      </w:r>
      <w:r>
        <w:rPr>
          <w:kern w:val="0"/>
          <w:sz w:val="24"/>
          <w:szCs w:val="28"/>
          <w:lang w:val="zh-CN"/>
        </w:rPr>
        <w:t>临时</w:t>
      </w:r>
      <w:r>
        <w:rPr>
          <w:kern w:val="0"/>
          <w:sz w:val="24"/>
          <w:szCs w:val="24"/>
        </w:rPr>
        <w:t>沉淀池处理后回用于施工现场，综合利用，不外排。</w:t>
      </w:r>
    </w:p>
    <w:p>
      <w:pPr>
        <w:spacing w:line="520" w:lineRule="exact"/>
        <w:ind w:firstLine="480" w:firstLineChars="200"/>
        <w:rPr>
          <w:bCs/>
          <w:kern w:val="0"/>
          <w:sz w:val="24"/>
          <w:szCs w:val="24"/>
        </w:rPr>
      </w:pPr>
      <w:r>
        <w:rPr>
          <w:bCs/>
          <w:kern w:val="0"/>
          <w:sz w:val="24"/>
          <w:szCs w:val="24"/>
        </w:rPr>
        <w:t>同时，评价要求企业加强施工机械设备的维修保养，避免在施工过程中燃料油的跑、冒、滴、漏。采取上述措施后，</w:t>
      </w:r>
      <w:r>
        <w:rPr>
          <w:kern w:val="0"/>
          <w:sz w:val="24"/>
          <w:szCs w:val="28"/>
        </w:rPr>
        <w:t>施工废水不会对环境产生较大影响，同时其对环境的影响也将随着施工的结束而消失。</w:t>
      </w:r>
    </w:p>
    <w:p>
      <w:pPr>
        <w:spacing w:line="520" w:lineRule="exact"/>
        <w:outlineLvl w:val="2"/>
        <w:rPr>
          <w:rFonts w:eastAsia="黑体"/>
          <w:sz w:val="28"/>
          <w:szCs w:val="28"/>
        </w:rPr>
      </w:pPr>
      <w:r>
        <w:rPr>
          <w:rFonts w:eastAsia="黑体"/>
          <w:sz w:val="28"/>
          <w:szCs w:val="28"/>
        </w:rPr>
        <w:t>7.1.3施工期噪声污染防治措施分析</w:t>
      </w:r>
    </w:p>
    <w:p>
      <w:pPr>
        <w:spacing w:line="520" w:lineRule="exact"/>
        <w:ind w:firstLine="480" w:firstLineChars="200"/>
        <w:rPr>
          <w:kern w:val="0"/>
          <w:sz w:val="24"/>
          <w:szCs w:val="28"/>
        </w:rPr>
      </w:pPr>
      <w:r>
        <w:rPr>
          <w:kern w:val="0"/>
          <w:sz w:val="24"/>
          <w:szCs w:val="28"/>
        </w:rPr>
        <w:t>本工程施工期噪声主要为</w:t>
      </w:r>
      <w:r>
        <w:rPr>
          <w:kern w:val="0"/>
          <w:sz w:val="24"/>
          <w:szCs w:val="24"/>
        </w:rPr>
        <w:t>运输车辆和各种施工机械（如挖掘机、推土机、搅拌机等）产生的噪声</w:t>
      </w:r>
      <w:r>
        <w:rPr>
          <w:kern w:val="0"/>
          <w:sz w:val="24"/>
          <w:szCs w:val="28"/>
        </w:rPr>
        <w:t>。其中，对环境影响最大的是机械噪声，这些噪声的声功率级可高达72~110dB（A），这些突发性非稳态噪声源将对施工人员和周围居民产生不利影响。通过现场调查可知，距离工程最近的环境敏感点为厂区</w:t>
      </w:r>
      <w:r>
        <w:rPr>
          <w:rFonts w:hint="eastAsia"/>
          <w:kern w:val="0"/>
          <w:sz w:val="24"/>
          <w:szCs w:val="28"/>
        </w:rPr>
        <w:t>东</w:t>
      </w:r>
      <w:r>
        <w:rPr>
          <w:kern w:val="0"/>
          <w:sz w:val="24"/>
          <w:szCs w:val="28"/>
        </w:rPr>
        <w:t>侧的</w:t>
      </w:r>
      <w:r>
        <w:rPr>
          <w:rFonts w:hint="eastAsia"/>
          <w:kern w:val="0"/>
          <w:sz w:val="24"/>
          <w:szCs w:val="28"/>
        </w:rPr>
        <w:t>小庄村</w:t>
      </w:r>
      <w:r>
        <w:rPr>
          <w:kern w:val="0"/>
          <w:sz w:val="24"/>
          <w:szCs w:val="28"/>
        </w:rPr>
        <w:t>，工程不在夜间进行</w:t>
      </w:r>
      <w:r>
        <w:rPr>
          <w:rFonts w:hint="eastAsia"/>
          <w:kern w:val="0"/>
          <w:sz w:val="24"/>
          <w:szCs w:val="28"/>
        </w:rPr>
        <w:t>施工，施工结束后影响结束，且待金祥南街建成后，小庄村则位于厂区东侧</w:t>
      </w:r>
      <w:r>
        <w:rPr>
          <w:kern w:val="0"/>
          <w:sz w:val="24"/>
          <w:szCs w:val="28"/>
        </w:rPr>
        <w:t>50m处</w:t>
      </w:r>
      <w:r>
        <w:rPr>
          <w:rFonts w:hint="eastAsia"/>
          <w:kern w:val="0"/>
          <w:sz w:val="24"/>
          <w:szCs w:val="28"/>
        </w:rPr>
        <w:t>，故</w:t>
      </w:r>
      <w:r>
        <w:rPr>
          <w:kern w:val="0"/>
          <w:sz w:val="24"/>
          <w:szCs w:val="28"/>
        </w:rPr>
        <w:t>对周边敏感点影响较小。为进一步减少工程对周边环境的影响，评价要求：</w:t>
      </w:r>
    </w:p>
    <w:p>
      <w:pPr>
        <w:spacing w:line="520" w:lineRule="exact"/>
        <w:ind w:firstLine="480" w:firstLineChars="200"/>
        <w:rPr>
          <w:bCs/>
          <w:kern w:val="0"/>
          <w:sz w:val="24"/>
          <w:szCs w:val="24"/>
        </w:rPr>
      </w:pPr>
      <w:r>
        <w:rPr>
          <w:bCs/>
          <w:kern w:val="0"/>
          <w:sz w:val="24"/>
          <w:szCs w:val="24"/>
        </w:rPr>
        <w:t>（1）尽量采用低噪声机械，工程施工所用的施工机械设备应事先对其进行常规工作状态下的噪声测量，超过国家标准的机械应禁止其入场施工。施工过程中还应经常对设备进行维修保养，避免由于设备性能差而使噪声增强现象的发生。</w:t>
      </w:r>
    </w:p>
    <w:p>
      <w:pPr>
        <w:spacing w:line="520" w:lineRule="exact"/>
        <w:ind w:firstLine="480" w:firstLineChars="200"/>
        <w:rPr>
          <w:bCs/>
          <w:kern w:val="0"/>
          <w:sz w:val="24"/>
          <w:szCs w:val="24"/>
        </w:rPr>
      </w:pPr>
      <w:r>
        <w:rPr>
          <w:bCs/>
          <w:kern w:val="0"/>
          <w:sz w:val="24"/>
          <w:szCs w:val="24"/>
        </w:rPr>
        <w:t>（2）施工区域四周建设2.5m高围挡，作为隔声墙。</w:t>
      </w:r>
    </w:p>
    <w:p>
      <w:pPr>
        <w:spacing w:line="520" w:lineRule="exact"/>
        <w:ind w:firstLine="480" w:firstLineChars="200"/>
        <w:rPr>
          <w:bCs/>
          <w:kern w:val="0"/>
          <w:sz w:val="24"/>
          <w:szCs w:val="24"/>
        </w:rPr>
      </w:pPr>
      <w:r>
        <w:rPr>
          <w:bCs/>
          <w:kern w:val="0"/>
          <w:sz w:val="24"/>
          <w:szCs w:val="24"/>
        </w:rPr>
        <w:t>（3）对位置相对固定的机械设备，能在棚内操作的尽量进棚，不能进棚的，可建设临时性单面隔声障。同时对不同施工阶段，应按《建筑施工场界环境噪声排放标准》(GB12523-2011)的要求对施工场界进行噪声控制，尽量减少施工期噪声对周围环境的影响。</w:t>
      </w:r>
    </w:p>
    <w:p>
      <w:pPr>
        <w:spacing w:line="520" w:lineRule="exact"/>
        <w:ind w:firstLine="480" w:firstLineChars="200"/>
        <w:rPr>
          <w:kern w:val="0"/>
          <w:sz w:val="24"/>
          <w:szCs w:val="28"/>
        </w:rPr>
      </w:pPr>
      <w:r>
        <w:rPr>
          <w:bCs/>
          <w:kern w:val="0"/>
          <w:sz w:val="24"/>
          <w:szCs w:val="24"/>
        </w:rPr>
        <w:t>（4）</w:t>
      </w:r>
      <w:r>
        <w:rPr>
          <w:kern w:val="0"/>
          <w:sz w:val="24"/>
          <w:szCs w:val="28"/>
        </w:rPr>
        <w:t>加强施工期工程管理，运输车间集中进出厂区，运输线路避开环境敏感点，以较少施工噪声对敏感点的影响。</w:t>
      </w:r>
    </w:p>
    <w:p>
      <w:pPr>
        <w:spacing w:line="520" w:lineRule="exact"/>
        <w:ind w:firstLine="480" w:firstLineChars="200"/>
        <w:rPr>
          <w:bCs/>
          <w:kern w:val="0"/>
          <w:sz w:val="24"/>
          <w:szCs w:val="24"/>
        </w:rPr>
      </w:pPr>
      <w:r>
        <w:rPr>
          <w:bCs/>
          <w:kern w:val="0"/>
          <w:sz w:val="24"/>
          <w:szCs w:val="24"/>
        </w:rPr>
        <w:t>（5）</w:t>
      </w:r>
      <w:r>
        <w:rPr>
          <w:kern w:val="0"/>
          <w:sz w:val="24"/>
          <w:szCs w:val="28"/>
        </w:rPr>
        <w:t>采用局部吸声、隔声降噪技术。对施工环节中噪声较为突出且又难以对声源进行降噪可能的设备装置，应采取临时围障措施，围障时最好敷以吸声材料，以达到降噪效果。</w:t>
      </w:r>
    </w:p>
    <w:p>
      <w:pPr>
        <w:spacing w:line="520" w:lineRule="exact"/>
        <w:ind w:firstLine="480" w:firstLineChars="200"/>
        <w:rPr>
          <w:bCs/>
          <w:kern w:val="0"/>
          <w:sz w:val="24"/>
          <w:szCs w:val="24"/>
        </w:rPr>
      </w:pPr>
      <w:r>
        <w:rPr>
          <w:bCs/>
          <w:kern w:val="0"/>
          <w:sz w:val="24"/>
          <w:szCs w:val="24"/>
        </w:rPr>
        <w:t>（6）做好施工期的噪声监理工作。应注意合理安排施工物料的运输，在途经村镇、学校时，应减速慢行、禁止鸣笛。</w:t>
      </w:r>
    </w:p>
    <w:p>
      <w:pPr>
        <w:spacing w:line="520" w:lineRule="exact"/>
        <w:ind w:firstLine="480" w:firstLineChars="200"/>
        <w:rPr>
          <w:bCs/>
          <w:kern w:val="0"/>
          <w:sz w:val="24"/>
          <w:szCs w:val="24"/>
        </w:rPr>
      </w:pPr>
      <w:r>
        <w:rPr>
          <w:bCs/>
          <w:kern w:val="0"/>
          <w:sz w:val="24"/>
          <w:szCs w:val="24"/>
        </w:rPr>
        <w:t>（7）</w:t>
      </w:r>
      <w:r>
        <w:rPr>
          <w:kern w:val="0"/>
          <w:sz w:val="24"/>
          <w:szCs w:val="28"/>
        </w:rPr>
        <w:t>合理安排作业时间，尽量避免在中午（12：00~14：00）和夜间（22：00~6：00）施工，以避免影响厂区周围的声环境质量。</w:t>
      </w:r>
      <w:r>
        <w:rPr>
          <w:bCs/>
          <w:kern w:val="0"/>
          <w:sz w:val="24"/>
          <w:szCs w:val="24"/>
        </w:rPr>
        <w:t>需要进行夜间连续施工时，建设单位应责成施工单位在施工现场张贴通告和投诉电话，建设单位在接到报案后应及时与当地环保部门取得联系，以便及时处理各种环境纠纷。</w:t>
      </w:r>
    </w:p>
    <w:p>
      <w:pPr>
        <w:spacing w:line="520" w:lineRule="exact"/>
        <w:ind w:firstLine="480" w:firstLineChars="200"/>
        <w:rPr>
          <w:bCs/>
          <w:kern w:val="0"/>
          <w:sz w:val="24"/>
          <w:szCs w:val="24"/>
        </w:rPr>
      </w:pPr>
      <w:r>
        <w:rPr>
          <w:bCs/>
          <w:kern w:val="0"/>
          <w:sz w:val="24"/>
          <w:szCs w:val="24"/>
        </w:rPr>
        <w:t>项目施工期采取以上降噪措施后，不会产生噪声扰民现象。通过加强管理，采取评价建议措施，切实落实好各项噪声防治措施，施工噪声不会对周围环境产生较大影响，同时其对环境的影响也将随着施工的结束而消失。</w:t>
      </w:r>
    </w:p>
    <w:p>
      <w:pPr>
        <w:spacing w:line="520" w:lineRule="exact"/>
        <w:outlineLvl w:val="2"/>
        <w:rPr>
          <w:rFonts w:eastAsia="黑体"/>
          <w:sz w:val="28"/>
          <w:szCs w:val="28"/>
        </w:rPr>
      </w:pPr>
      <w:r>
        <w:rPr>
          <w:rFonts w:eastAsia="黑体"/>
          <w:sz w:val="28"/>
          <w:szCs w:val="28"/>
        </w:rPr>
        <w:t>7.1.4施工期固废污染防治措施分析</w:t>
      </w:r>
    </w:p>
    <w:p>
      <w:pPr>
        <w:spacing w:line="520" w:lineRule="exact"/>
        <w:ind w:firstLine="480" w:firstLineChars="200"/>
        <w:rPr>
          <w:sz w:val="24"/>
          <w:szCs w:val="24"/>
        </w:rPr>
      </w:pPr>
      <w:r>
        <w:rPr>
          <w:sz w:val="24"/>
          <w:szCs w:val="24"/>
        </w:rPr>
        <w:t>本项目施工期固废主要为施工工程产生的建筑垃圾、施工人员产生的生活垃圾。</w:t>
      </w:r>
    </w:p>
    <w:p>
      <w:pPr>
        <w:spacing w:line="520" w:lineRule="exact"/>
        <w:ind w:firstLine="480" w:firstLineChars="200"/>
        <w:rPr>
          <w:bCs/>
          <w:kern w:val="0"/>
          <w:sz w:val="24"/>
          <w:szCs w:val="24"/>
        </w:rPr>
      </w:pPr>
      <w:r>
        <w:rPr>
          <w:kern w:val="0"/>
          <w:sz w:val="24"/>
          <w:szCs w:val="24"/>
        </w:rPr>
        <w:t>施工建筑垃圾主要有开挖土地产生的土方、建材损耗产生的垃圾、装修产生的建筑垃圾。为减轻施工过程中建筑垃圾对周围环境的影响，施工方应将建筑垃圾收集后堆放于指定地点，能进行回收利用的尽量回收利用，并及时运至专门的建筑垃圾堆放场。</w:t>
      </w:r>
      <w:r>
        <w:rPr>
          <w:bCs/>
          <w:kern w:val="0"/>
          <w:sz w:val="24"/>
          <w:szCs w:val="24"/>
        </w:rPr>
        <w:t>施工期固体废物若处置不当，乱堆乱放，会对环境景观带来极大的负面影响。因此，对施工现场产生的施工垃圾应及时进行清理，加强管理。</w:t>
      </w:r>
    </w:p>
    <w:p>
      <w:pPr>
        <w:spacing w:line="520" w:lineRule="exact"/>
        <w:ind w:firstLine="480" w:firstLineChars="200"/>
        <w:rPr>
          <w:bCs/>
          <w:kern w:val="0"/>
          <w:sz w:val="24"/>
          <w:szCs w:val="24"/>
        </w:rPr>
      </w:pPr>
      <w:r>
        <w:rPr>
          <w:bCs/>
          <w:kern w:val="0"/>
          <w:sz w:val="24"/>
          <w:szCs w:val="24"/>
        </w:rPr>
        <w:t>施工人员产生的生活垃圾应严禁随意抛弃，桶装收集后，由环卫部门清运。施工过程中产生的生活垃圾如不及时进行清运处理，则会腐烂变质，滋生蚊虫苍蝇，产生恶臭，传染疾病，从而对周围环境和作业人员健康带来不利影响。所以，工程建设期间对生活垃圾要进行专门收集，并由环卫部门定期进行清理处置，严禁乱堆乱扔，防止产生二次污染。</w:t>
      </w:r>
    </w:p>
    <w:p>
      <w:pPr>
        <w:spacing w:line="520" w:lineRule="exact"/>
        <w:ind w:firstLine="480" w:firstLineChars="200"/>
        <w:rPr>
          <w:bCs/>
          <w:kern w:val="0"/>
          <w:sz w:val="24"/>
          <w:szCs w:val="24"/>
        </w:rPr>
      </w:pPr>
      <w:r>
        <w:rPr>
          <w:bCs/>
          <w:kern w:val="0"/>
          <w:sz w:val="24"/>
          <w:szCs w:val="24"/>
        </w:rPr>
        <w:t>综上所述，施工期固体废物均可以得到优先合理的处置，满足环保要求。</w:t>
      </w:r>
    </w:p>
    <w:p>
      <w:pPr>
        <w:spacing w:line="520" w:lineRule="exact"/>
        <w:outlineLvl w:val="2"/>
        <w:rPr>
          <w:rFonts w:eastAsia="黑体"/>
          <w:sz w:val="28"/>
          <w:szCs w:val="28"/>
        </w:rPr>
      </w:pPr>
      <w:r>
        <w:rPr>
          <w:rFonts w:eastAsia="黑体"/>
          <w:sz w:val="28"/>
          <w:szCs w:val="28"/>
        </w:rPr>
        <w:t>7.1.5施工期生态环境防治措施分析</w:t>
      </w:r>
    </w:p>
    <w:p>
      <w:pPr>
        <w:spacing w:line="520" w:lineRule="exact"/>
        <w:ind w:firstLine="480" w:firstLineChars="200"/>
        <w:rPr>
          <w:bCs/>
          <w:kern w:val="0"/>
          <w:sz w:val="24"/>
          <w:szCs w:val="24"/>
        </w:rPr>
      </w:pPr>
      <w:r>
        <w:rPr>
          <w:bCs/>
          <w:kern w:val="0"/>
          <w:sz w:val="24"/>
          <w:szCs w:val="24"/>
        </w:rPr>
        <w:t>评价要求企业采取以下生态环境防治措施：</w:t>
      </w:r>
    </w:p>
    <w:p>
      <w:pPr>
        <w:spacing w:line="520" w:lineRule="exact"/>
        <w:ind w:firstLine="480" w:firstLineChars="200"/>
        <w:rPr>
          <w:bCs/>
          <w:kern w:val="0"/>
          <w:sz w:val="24"/>
          <w:szCs w:val="24"/>
        </w:rPr>
      </w:pPr>
      <w:r>
        <w:rPr>
          <w:bCs/>
          <w:kern w:val="0"/>
          <w:sz w:val="24"/>
          <w:szCs w:val="24"/>
        </w:rPr>
        <w:t>（1）围堰工程：项目施工过程中地表扰动较为剧烈，若不采用相应的水土保持措施，将产生一定量的水土流失。围堰工程的修建可以起到拦截项目区域水土流失的作用，具有一定的水土保持功能，还可以起到隔断施工区，为施工管理提供方便的作用。</w:t>
      </w:r>
    </w:p>
    <w:p>
      <w:pPr>
        <w:spacing w:line="520" w:lineRule="exact"/>
        <w:ind w:firstLine="480" w:firstLineChars="200"/>
        <w:rPr>
          <w:bCs/>
          <w:kern w:val="0"/>
          <w:sz w:val="24"/>
          <w:szCs w:val="24"/>
        </w:rPr>
      </w:pPr>
      <w:r>
        <w:rPr>
          <w:bCs/>
          <w:kern w:val="0"/>
          <w:sz w:val="24"/>
          <w:szCs w:val="24"/>
        </w:rPr>
        <w:t>（2）严格贯彻分区施工，分区进行，尽量减少地表裸露时间。</w:t>
      </w:r>
    </w:p>
    <w:p>
      <w:pPr>
        <w:spacing w:line="520" w:lineRule="exact"/>
        <w:ind w:firstLine="480" w:firstLineChars="200"/>
        <w:rPr>
          <w:bCs/>
          <w:kern w:val="0"/>
          <w:sz w:val="24"/>
          <w:szCs w:val="24"/>
        </w:rPr>
      </w:pPr>
      <w:r>
        <w:rPr>
          <w:bCs/>
          <w:kern w:val="0"/>
          <w:sz w:val="24"/>
          <w:szCs w:val="24"/>
        </w:rPr>
        <w:t>（3）对建设中不需要再用水泥覆盖的地面进行绿化，要强调边施工边绿化的原则，实现绿化与主体工程同时设计、同时施工、同时达标验收使用。</w:t>
      </w:r>
    </w:p>
    <w:p>
      <w:pPr>
        <w:spacing w:line="520" w:lineRule="exact"/>
        <w:ind w:firstLine="480" w:firstLineChars="200"/>
        <w:rPr>
          <w:kern w:val="0"/>
          <w:sz w:val="24"/>
          <w:szCs w:val="28"/>
        </w:rPr>
      </w:pPr>
      <w:r>
        <w:rPr>
          <w:bCs/>
          <w:kern w:val="0"/>
          <w:sz w:val="24"/>
          <w:szCs w:val="24"/>
        </w:rPr>
        <w:t>经采取上述治理措施后，可将施工区对区域生态环境的不利影响将至最低，本项目施工期结束后，建设单位拟对厂区进行绿化，以补充因施工期造成的不良影响。施工期对周围环境的影响较小，且由于施工期时间较短，对环境的影响随着施工活动的结束而随之消失。</w:t>
      </w:r>
    </w:p>
    <w:p>
      <w:pPr>
        <w:spacing w:line="520" w:lineRule="exact"/>
        <w:outlineLvl w:val="1"/>
        <w:rPr>
          <w:rFonts w:eastAsia="黑体"/>
          <w:sz w:val="28"/>
          <w:szCs w:val="28"/>
        </w:rPr>
      </w:pPr>
      <w:bookmarkStart w:id="160" w:name="_Toc17970"/>
      <w:r>
        <w:rPr>
          <w:rFonts w:eastAsia="黑体"/>
          <w:sz w:val="28"/>
          <w:szCs w:val="28"/>
        </w:rPr>
        <w:t>7.2营运期污染防治措施分析</w:t>
      </w:r>
      <w:bookmarkEnd w:id="160"/>
    </w:p>
    <w:p>
      <w:pPr>
        <w:spacing w:line="520" w:lineRule="exact"/>
        <w:outlineLvl w:val="2"/>
        <w:rPr>
          <w:rFonts w:eastAsia="黑体"/>
          <w:sz w:val="28"/>
          <w:szCs w:val="28"/>
        </w:rPr>
      </w:pPr>
      <w:r>
        <w:rPr>
          <w:rFonts w:eastAsia="黑体"/>
          <w:sz w:val="28"/>
          <w:szCs w:val="28"/>
        </w:rPr>
        <w:t>7.2.1废水污染防治措施分析</w:t>
      </w:r>
    </w:p>
    <w:p>
      <w:pPr>
        <w:spacing w:line="520" w:lineRule="exact"/>
        <w:outlineLvl w:val="3"/>
        <w:rPr>
          <w:kern w:val="0"/>
          <w:sz w:val="24"/>
          <w:szCs w:val="28"/>
        </w:rPr>
      </w:pPr>
      <w:r>
        <w:rPr>
          <w:kern w:val="0"/>
          <w:sz w:val="24"/>
          <w:szCs w:val="28"/>
        </w:rPr>
        <w:t>7.2.1.1本次工程废水特点</w:t>
      </w:r>
    </w:p>
    <w:p>
      <w:pPr>
        <w:widowControl/>
        <w:spacing w:line="520" w:lineRule="exact"/>
        <w:ind w:firstLine="480" w:firstLineChars="200"/>
        <w:textAlignment w:val="top"/>
        <w:rPr>
          <w:szCs w:val="24"/>
          <w:highlight w:val="yellow"/>
        </w:rPr>
      </w:pPr>
      <w:bookmarkStart w:id="161" w:name="_Hlk107411748"/>
      <w:r>
        <w:rPr>
          <w:sz w:val="24"/>
          <w:szCs w:val="24"/>
        </w:rPr>
        <w:t>本项目废水主要为入驻园区企业</w:t>
      </w:r>
      <w:r>
        <w:rPr>
          <w:rFonts w:hint="eastAsia"/>
          <w:sz w:val="24"/>
          <w:szCs w:val="24"/>
        </w:rPr>
        <w:t>生产废水。根据类比确定，废水产生量约</w:t>
      </w:r>
      <w:r>
        <w:rPr>
          <w:sz w:val="24"/>
          <w:szCs w:val="24"/>
        </w:rPr>
        <w:t>为</w:t>
      </w:r>
      <w:bookmarkEnd w:id="161"/>
      <w:r>
        <w:rPr>
          <w:rFonts w:hint="eastAsia"/>
          <w:sz w:val="24"/>
          <w:szCs w:val="24"/>
        </w:rPr>
        <w:t>433590</w:t>
      </w:r>
      <w:r>
        <w:rPr>
          <w:sz w:val="24"/>
          <w:szCs w:val="24"/>
        </w:rPr>
        <w:t>m</w:t>
      </w:r>
      <w:r>
        <w:rPr>
          <w:sz w:val="24"/>
          <w:szCs w:val="24"/>
          <w:vertAlign w:val="superscript"/>
        </w:rPr>
        <w:t>3</w:t>
      </w:r>
      <w:r>
        <w:rPr>
          <w:sz w:val="24"/>
          <w:szCs w:val="24"/>
        </w:rPr>
        <w:t>/a（1445.3m</w:t>
      </w:r>
      <w:r>
        <w:rPr>
          <w:sz w:val="24"/>
          <w:szCs w:val="24"/>
          <w:vertAlign w:val="superscript"/>
        </w:rPr>
        <w:t>3</w:t>
      </w:r>
      <w:r>
        <w:rPr>
          <w:sz w:val="24"/>
          <w:szCs w:val="24"/>
        </w:rPr>
        <w:t>/d），废水经厂区总排口排入</w:t>
      </w:r>
      <w:r>
        <w:rPr>
          <w:rFonts w:hint="eastAsia"/>
          <w:sz w:val="24"/>
          <w:szCs w:val="24"/>
        </w:rPr>
        <w:t>原阳县产业集聚区</w:t>
      </w:r>
      <w:r>
        <w:rPr>
          <w:sz w:val="24"/>
          <w:szCs w:val="24"/>
        </w:rPr>
        <w:t>污水处理厂进行处理。进入厂区污水处理站废水</w:t>
      </w:r>
      <w:r>
        <w:rPr>
          <w:kern w:val="0"/>
          <w:sz w:val="24"/>
          <w:szCs w:val="24"/>
          <w:lang w:bidi="ar"/>
        </w:rPr>
        <w:t>主要污染物</w:t>
      </w:r>
      <w:r>
        <w:rPr>
          <w:rFonts w:hint="eastAsia"/>
          <w:kern w:val="0"/>
          <w:sz w:val="24"/>
          <w:szCs w:val="24"/>
          <w:lang w:bidi="ar"/>
        </w:rPr>
        <w:t>设计</w:t>
      </w:r>
      <w:r>
        <w:rPr>
          <w:kern w:val="0"/>
          <w:sz w:val="24"/>
          <w:szCs w:val="24"/>
          <w:lang w:bidi="ar"/>
        </w:rPr>
        <w:t>产生浓度分别为</w:t>
      </w:r>
      <w:bookmarkStart w:id="162" w:name="_Hlk110240834"/>
      <w:r>
        <w:rPr>
          <w:rFonts w:eastAsia="等线"/>
          <w:sz w:val="24"/>
          <w:szCs w:val="24"/>
        </w:rPr>
        <w:t>COD 3000mg/L、BOD</w:t>
      </w:r>
      <w:r>
        <w:rPr>
          <w:rFonts w:eastAsia="等线"/>
          <w:sz w:val="24"/>
          <w:szCs w:val="24"/>
          <w:vertAlign w:val="subscript"/>
        </w:rPr>
        <w:t>5</w:t>
      </w:r>
      <w:r>
        <w:rPr>
          <w:rFonts w:eastAsia="等线"/>
          <w:sz w:val="24"/>
          <w:szCs w:val="24"/>
        </w:rPr>
        <w:t xml:space="preserve"> 1200mg/L、SS 1500mg/L、NH</w:t>
      </w:r>
      <w:r>
        <w:rPr>
          <w:rFonts w:eastAsia="等线"/>
          <w:sz w:val="24"/>
          <w:szCs w:val="24"/>
          <w:vertAlign w:val="subscript"/>
        </w:rPr>
        <w:t>3</w:t>
      </w:r>
      <w:r>
        <w:rPr>
          <w:rFonts w:eastAsia="等线"/>
          <w:sz w:val="24"/>
          <w:szCs w:val="24"/>
        </w:rPr>
        <w:t>-N 100mg/L、TN 200mg/L、TP 30mg/L</w:t>
      </w:r>
      <w:r>
        <w:rPr>
          <w:rFonts w:hint="eastAsia" w:eastAsia="等线"/>
          <w:sz w:val="24"/>
          <w:szCs w:val="24"/>
        </w:rPr>
        <w:t>、</w:t>
      </w:r>
      <w:r>
        <w:rPr>
          <w:rFonts w:hint="eastAsia" w:ascii="宋体" w:hAnsi="宋体"/>
          <w:sz w:val="24"/>
          <w:szCs w:val="24"/>
        </w:rPr>
        <w:t>动植物油</w:t>
      </w:r>
      <w:r>
        <w:rPr>
          <w:rFonts w:eastAsia="等线"/>
          <w:sz w:val="24"/>
          <w:szCs w:val="24"/>
        </w:rPr>
        <w:t>120mg/L</w:t>
      </w:r>
      <w:bookmarkEnd w:id="162"/>
      <w:r>
        <w:rPr>
          <w:sz w:val="24"/>
          <w:szCs w:val="24"/>
        </w:rPr>
        <w:t>。</w:t>
      </w:r>
    </w:p>
    <w:p>
      <w:pPr>
        <w:spacing w:line="520" w:lineRule="exact"/>
        <w:outlineLvl w:val="3"/>
        <w:rPr>
          <w:kern w:val="0"/>
          <w:sz w:val="24"/>
          <w:szCs w:val="28"/>
        </w:rPr>
      </w:pPr>
      <w:r>
        <w:rPr>
          <w:kern w:val="0"/>
          <w:sz w:val="24"/>
          <w:szCs w:val="28"/>
        </w:rPr>
        <w:t>7.2.1.2厂区污水处理站及处理工艺情况介绍</w:t>
      </w:r>
    </w:p>
    <w:p>
      <w:pPr>
        <w:spacing w:line="500" w:lineRule="exact"/>
        <w:ind w:firstLine="480" w:firstLineChars="200"/>
        <w:rPr>
          <w:kern w:val="0"/>
          <w:sz w:val="24"/>
          <w:szCs w:val="28"/>
          <w:highlight w:val="yellow"/>
        </w:rPr>
      </w:pPr>
      <w:r>
        <w:rPr>
          <w:kern w:val="0"/>
          <w:sz w:val="24"/>
          <w:szCs w:val="24"/>
        </w:rPr>
        <w:t>企业拟</w:t>
      </w:r>
      <w:bookmarkStart w:id="163" w:name="_Hlk107411792"/>
      <w:r>
        <w:rPr>
          <w:kern w:val="0"/>
          <w:sz w:val="24"/>
          <w:szCs w:val="24"/>
        </w:rPr>
        <w:t>建一座处理能力为2000m</w:t>
      </w:r>
      <w:r>
        <w:rPr>
          <w:kern w:val="0"/>
          <w:sz w:val="24"/>
          <w:szCs w:val="24"/>
          <w:vertAlign w:val="superscript"/>
        </w:rPr>
        <w:t>3</w:t>
      </w:r>
      <w:r>
        <w:rPr>
          <w:kern w:val="0"/>
          <w:sz w:val="24"/>
          <w:szCs w:val="24"/>
        </w:rPr>
        <w:t>/d的污水处理站，采用</w:t>
      </w:r>
      <w:bookmarkStart w:id="164" w:name="_Hlk110240810"/>
      <w:r>
        <w:rPr>
          <w:kern w:val="0"/>
          <w:sz w:val="24"/>
          <w:szCs w:val="24"/>
        </w:rPr>
        <w:t>“</w:t>
      </w:r>
      <w:r>
        <w:rPr>
          <w:rFonts w:hint="eastAsia"/>
          <w:bCs/>
          <w:kern w:val="0"/>
          <w:sz w:val="24"/>
          <w:szCs w:val="24"/>
        </w:rPr>
        <w:t>格栅+集水池+超微过滤机+初沉池+调节池+水解酸化池+厌氧池+缺氧池+好氧池+二沉池+三沉池</w:t>
      </w:r>
      <w:r>
        <w:rPr>
          <w:kern w:val="0"/>
          <w:sz w:val="24"/>
          <w:szCs w:val="24"/>
        </w:rPr>
        <w:t>”</w:t>
      </w:r>
      <w:bookmarkEnd w:id="164"/>
      <w:r>
        <w:rPr>
          <w:kern w:val="0"/>
          <w:sz w:val="24"/>
          <w:szCs w:val="24"/>
        </w:rPr>
        <w:t>工艺进行处理，处理后进入</w:t>
      </w:r>
      <w:r>
        <w:rPr>
          <w:rFonts w:hint="eastAsia"/>
          <w:kern w:val="0"/>
          <w:sz w:val="24"/>
          <w:szCs w:val="24"/>
        </w:rPr>
        <w:t>原阳县产业集聚区</w:t>
      </w:r>
      <w:r>
        <w:rPr>
          <w:kern w:val="0"/>
          <w:sz w:val="24"/>
          <w:szCs w:val="24"/>
        </w:rPr>
        <w:t>污水处理厂进行进一步处理，</w:t>
      </w:r>
      <w:r>
        <w:rPr>
          <w:rFonts w:hint="eastAsia"/>
          <w:kern w:val="0"/>
          <w:sz w:val="24"/>
          <w:szCs w:val="24"/>
        </w:rPr>
        <w:t>处理后</w:t>
      </w:r>
      <w:r>
        <w:rPr>
          <w:kern w:val="0"/>
          <w:sz w:val="24"/>
          <w:szCs w:val="24"/>
        </w:rPr>
        <w:t>排入</w:t>
      </w:r>
      <w:r>
        <w:rPr>
          <w:rFonts w:hint="eastAsia"/>
          <w:kern w:val="0"/>
          <w:sz w:val="24"/>
          <w:szCs w:val="24"/>
        </w:rPr>
        <w:t>东关排，最终汇入文岩渠</w:t>
      </w:r>
      <w:r>
        <w:rPr>
          <w:kern w:val="0"/>
          <w:sz w:val="24"/>
          <w:szCs w:val="24"/>
        </w:rPr>
        <w:t>。</w:t>
      </w:r>
      <w:bookmarkEnd w:id="163"/>
      <w:r>
        <w:rPr>
          <w:kern w:val="0"/>
          <w:sz w:val="24"/>
          <w:szCs w:val="28"/>
        </w:rPr>
        <w:t>厂区污水处理站工艺流程图见7.2-1。</w:t>
      </w:r>
    </w:p>
    <w:p>
      <w:pPr>
        <w:rPr>
          <w:szCs w:val="24"/>
          <w:highlight w:val="yellow"/>
        </w:rPr>
        <w:sectPr>
          <w:headerReference r:id="rId25" w:type="default"/>
          <w:footerReference r:id="rId26" w:type="default"/>
          <w:pgSz w:w="11907" w:h="16840"/>
          <w:pgMar w:top="1440" w:right="1797" w:bottom="1440" w:left="1797" w:header="851" w:footer="1134" w:gutter="0"/>
          <w:pgNumType w:start="1"/>
          <w:cols w:space="720" w:num="1"/>
          <w:docGrid w:linePitch="312" w:charSpace="0"/>
        </w:sectPr>
      </w:pPr>
    </w:p>
    <w:p>
      <w:pPr>
        <w:jc w:val="center"/>
        <w:rPr>
          <w:szCs w:val="24"/>
          <w:highlight w:val="yellow"/>
        </w:rPr>
      </w:pPr>
      <w:r>
        <w:rPr>
          <w:rFonts w:ascii="宋体" w:hAnsi="Courier New"/>
          <w:szCs w:val="24"/>
        </w:rPr>
        <w:object>
          <v:shape id="_x0000_i1056" o:spt="75" alt="" type="#_x0000_t75" style="height:354.15pt;width:696.25pt;" o:ole="t" filled="f" o:preferrelative="t" stroked="f" coordsize="21600,21600">
            <v:path/>
            <v:fill on="f" focussize="0,0"/>
            <v:stroke on="f"/>
            <v:imagedata r:id="rId205" o:title=""/>
            <o:lock v:ext="edit" aspectratio="t"/>
            <w10:wrap type="none"/>
            <w10:anchorlock/>
          </v:shape>
          <o:OLEObject Type="Embed" ProgID="Visio.Drawing.15" ShapeID="_x0000_i1056" DrawAspect="Content" ObjectID="_1468075756" r:id="rId204">
            <o:LockedField>false</o:LockedField>
          </o:OLEObject>
        </w:object>
      </w:r>
    </w:p>
    <w:p>
      <w:pPr>
        <w:spacing w:line="520" w:lineRule="exact"/>
        <w:jc w:val="center"/>
        <w:rPr>
          <w:sz w:val="24"/>
          <w:szCs w:val="24"/>
        </w:rPr>
      </w:pPr>
      <w:r>
        <w:rPr>
          <w:rFonts w:eastAsia="黑体"/>
          <w:sz w:val="24"/>
          <w:szCs w:val="24"/>
        </w:rPr>
        <w:t>图</w:t>
      </w:r>
      <w:r>
        <w:rPr>
          <w:sz w:val="24"/>
          <w:szCs w:val="24"/>
        </w:rPr>
        <w:t>7.2-1</w:t>
      </w:r>
      <w:r>
        <w:rPr>
          <w:rFonts w:eastAsia="黑体"/>
          <w:sz w:val="24"/>
          <w:szCs w:val="24"/>
        </w:rPr>
        <w:t xml:space="preserve">       厂区污水处理站的处理工艺流程图</w:t>
      </w:r>
    </w:p>
    <w:p>
      <w:pPr>
        <w:jc w:val="center"/>
        <w:rPr>
          <w:b/>
          <w:bCs/>
          <w:szCs w:val="24"/>
          <w:highlight w:val="yellow"/>
          <w:u w:val="single"/>
        </w:rPr>
        <w:sectPr>
          <w:pgSz w:w="16840" w:h="11907" w:orient="landscape"/>
          <w:pgMar w:top="1797" w:right="1440" w:bottom="1797" w:left="1440" w:header="851" w:footer="1134" w:gutter="0"/>
          <w:cols w:space="720" w:num="1"/>
          <w:docGrid w:linePitch="312" w:charSpace="0"/>
        </w:sectPr>
      </w:pPr>
    </w:p>
    <w:p>
      <w:pPr>
        <w:adjustRightInd w:val="0"/>
        <w:snapToGrid w:val="0"/>
        <w:spacing w:line="520" w:lineRule="exact"/>
        <w:ind w:firstLine="480" w:firstLineChars="200"/>
        <w:textAlignment w:val="baseline"/>
        <w:rPr>
          <w:kern w:val="0"/>
          <w:sz w:val="24"/>
          <w:szCs w:val="24"/>
        </w:rPr>
      </w:pPr>
      <w:r>
        <w:rPr>
          <w:kern w:val="0"/>
          <w:sz w:val="24"/>
          <w:szCs w:val="24"/>
        </w:rPr>
        <w:t>处理工艺简介：</w:t>
      </w:r>
    </w:p>
    <w:p>
      <w:pPr>
        <w:adjustRightInd w:val="0"/>
        <w:snapToGrid w:val="0"/>
        <w:spacing w:line="520" w:lineRule="exact"/>
        <w:ind w:firstLine="480" w:firstLineChars="200"/>
        <w:textAlignment w:val="baseline"/>
        <w:rPr>
          <w:kern w:val="0"/>
          <w:sz w:val="24"/>
          <w:szCs w:val="24"/>
        </w:rPr>
      </w:pPr>
      <w:r>
        <w:rPr>
          <w:kern w:val="0"/>
          <w:sz w:val="24"/>
          <w:szCs w:val="24"/>
        </w:rPr>
        <w:t>（1）</w:t>
      </w:r>
      <w:r>
        <w:rPr>
          <w:rFonts w:hint="eastAsia"/>
          <w:kern w:val="0"/>
          <w:sz w:val="24"/>
          <w:szCs w:val="24"/>
        </w:rPr>
        <w:t>集水池</w:t>
      </w:r>
      <w:r>
        <w:rPr>
          <w:kern w:val="0"/>
          <w:sz w:val="24"/>
          <w:szCs w:val="24"/>
        </w:rPr>
        <w:t>、初沉池</w:t>
      </w:r>
      <w:r>
        <w:rPr>
          <w:rFonts w:hint="eastAsia"/>
          <w:kern w:val="0"/>
          <w:sz w:val="24"/>
          <w:szCs w:val="24"/>
        </w:rPr>
        <w:t>、调节池</w:t>
      </w:r>
    </w:p>
    <w:p>
      <w:pPr>
        <w:adjustRightInd w:val="0"/>
        <w:snapToGrid w:val="0"/>
        <w:spacing w:line="520" w:lineRule="exact"/>
        <w:ind w:firstLine="480" w:firstLineChars="200"/>
        <w:textAlignment w:val="baseline"/>
        <w:rPr>
          <w:kern w:val="0"/>
          <w:sz w:val="24"/>
          <w:szCs w:val="20"/>
        </w:rPr>
      </w:pPr>
      <w:r>
        <w:rPr>
          <w:kern w:val="0"/>
          <w:sz w:val="24"/>
          <w:szCs w:val="20"/>
        </w:rPr>
        <w:t>厂区的废水排至</w:t>
      </w:r>
      <w:r>
        <w:rPr>
          <w:rFonts w:hint="eastAsia"/>
          <w:kern w:val="0"/>
          <w:sz w:val="24"/>
          <w:szCs w:val="20"/>
        </w:rPr>
        <w:t>集水池</w:t>
      </w:r>
      <w:r>
        <w:rPr>
          <w:kern w:val="0"/>
          <w:sz w:val="24"/>
          <w:szCs w:val="20"/>
        </w:rPr>
        <w:t>收集，</w:t>
      </w:r>
      <w:r>
        <w:rPr>
          <w:rFonts w:hint="eastAsia"/>
          <w:kern w:val="0"/>
          <w:sz w:val="24"/>
          <w:szCs w:val="20"/>
        </w:rPr>
        <w:t>集水</w:t>
      </w:r>
      <w:r>
        <w:rPr>
          <w:kern w:val="0"/>
          <w:sz w:val="24"/>
          <w:szCs w:val="20"/>
        </w:rPr>
        <w:t>池前端设置有</w:t>
      </w:r>
      <w:r>
        <w:rPr>
          <w:rFonts w:hint="eastAsia"/>
          <w:kern w:val="0"/>
          <w:sz w:val="24"/>
          <w:szCs w:val="20"/>
        </w:rPr>
        <w:t>机械格栅</w:t>
      </w:r>
      <w:r>
        <w:rPr>
          <w:kern w:val="0"/>
          <w:sz w:val="24"/>
          <w:szCs w:val="20"/>
        </w:rPr>
        <w:t>去除水中大块的悬浮物或者漂浮物，</w:t>
      </w:r>
      <w:r>
        <w:rPr>
          <w:rFonts w:hint="eastAsia"/>
          <w:kern w:val="0"/>
          <w:sz w:val="24"/>
          <w:szCs w:val="20"/>
        </w:rPr>
        <w:t>同时在集水池和初沉池中间设置超微过滤机去除水中微小悬浮物质，</w:t>
      </w:r>
      <w:r>
        <w:rPr>
          <w:kern w:val="0"/>
          <w:sz w:val="24"/>
          <w:szCs w:val="20"/>
        </w:rPr>
        <w:t>以便后续设备的稳定运行。</w:t>
      </w:r>
      <w:r>
        <w:rPr>
          <w:rFonts w:hint="eastAsia"/>
          <w:kern w:val="0"/>
          <w:sz w:val="24"/>
          <w:szCs w:val="20"/>
        </w:rPr>
        <w:t>初沉池中投加</w:t>
      </w:r>
      <w:r>
        <w:rPr>
          <w:kern w:val="0"/>
          <w:sz w:val="24"/>
          <w:szCs w:val="20"/>
        </w:rPr>
        <w:t>混凝剂、助凝剂进行混凝反应和沉淀分离</w:t>
      </w:r>
      <w:r>
        <w:rPr>
          <w:rFonts w:hint="eastAsia"/>
          <w:kern w:val="0"/>
          <w:sz w:val="24"/>
          <w:szCs w:val="20"/>
        </w:rPr>
        <w:t>，</w:t>
      </w:r>
      <w:r>
        <w:rPr>
          <w:kern w:val="0"/>
          <w:sz w:val="24"/>
          <w:szCs w:val="20"/>
        </w:rPr>
        <w:t>去除部分悬浮物和有机物</w:t>
      </w:r>
      <w:r>
        <w:rPr>
          <w:rFonts w:hint="eastAsia"/>
          <w:kern w:val="0"/>
          <w:sz w:val="24"/>
          <w:szCs w:val="20"/>
        </w:rPr>
        <w:t>，</w:t>
      </w:r>
      <w:r>
        <w:rPr>
          <w:kern w:val="0"/>
          <w:sz w:val="24"/>
          <w:szCs w:val="20"/>
        </w:rPr>
        <w:t>提高有机物的可生化降解性能</w:t>
      </w:r>
      <w:r>
        <w:rPr>
          <w:rFonts w:hint="eastAsia"/>
          <w:kern w:val="0"/>
          <w:sz w:val="24"/>
          <w:szCs w:val="20"/>
        </w:rPr>
        <w:t>。为使处理构筑物或建筑物不受废水高峰水量或浓度的冲击，初沉池出水泵送至调节池，调节水质水量。</w:t>
      </w:r>
    </w:p>
    <w:p>
      <w:pPr>
        <w:adjustRightInd w:val="0"/>
        <w:snapToGrid w:val="0"/>
        <w:spacing w:line="520" w:lineRule="exact"/>
        <w:ind w:firstLine="480" w:firstLineChars="200"/>
        <w:textAlignment w:val="baseline"/>
        <w:rPr>
          <w:kern w:val="0"/>
          <w:sz w:val="24"/>
          <w:szCs w:val="20"/>
        </w:rPr>
      </w:pPr>
      <w:r>
        <w:rPr>
          <w:kern w:val="0"/>
          <w:sz w:val="24"/>
          <w:szCs w:val="20"/>
        </w:rPr>
        <w:t>（2）</w:t>
      </w:r>
      <w:r>
        <w:rPr>
          <w:rFonts w:hint="eastAsia"/>
          <w:kern w:val="0"/>
          <w:sz w:val="24"/>
          <w:szCs w:val="20"/>
        </w:rPr>
        <w:t>水解酸化池+A</w:t>
      </w:r>
      <w:r>
        <w:rPr>
          <w:kern w:val="0"/>
          <w:sz w:val="24"/>
          <w:szCs w:val="20"/>
          <w:vertAlign w:val="superscript"/>
        </w:rPr>
        <w:t>2</w:t>
      </w:r>
      <w:r>
        <w:rPr>
          <w:kern w:val="0"/>
          <w:sz w:val="24"/>
          <w:szCs w:val="20"/>
        </w:rPr>
        <w:t>/O</w:t>
      </w:r>
      <w:r>
        <w:rPr>
          <w:rFonts w:hint="eastAsia"/>
          <w:kern w:val="0"/>
          <w:sz w:val="24"/>
          <w:szCs w:val="20"/>
        </w:rPr>
        <w:t>（厌氧池+缺氧池+好氧池）</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废水在调节池调节水质水量后通过提升泵进入水解酸化池，</w:t>
      </w:r>
      <w:r>
        <w:rPr>
          <w:kern w:val="0"/>
          <w:sz w:val="24"/>
          <w:szCs w:val="20"/>
        </w:rPr>
        <w:t>在含有大量水解细菌、酸化菌的条件下，利用水解菌、酸化菌将水中不溶性有机物水解为溶解性有机物，将</w:t>
      </w:r>
      <w:r>
        <w:fldChar w:fldCharType="begin"/>
      </w:r>
      <w:r>
        <w:instrText xml:space="preserve"> HYPERLINK "https://baike.baidu.com/item/%E9%9A%BE%E7%94%9F%E7%89%A9%E9%99%8D%E8%A7%A3/19163679?fromModule=lemma_inlink" \t "_blank" </w:instrText>
      </w:r>
      <w:r>
        <w:fldChar w:fldCharType="separate"/>
      </w:r>
      <w:r>
        <w:rPr>
          <w:kern w:val="0"/>
          <w:sz w:val="24"/>
          <w:szCs w:val="20"/>
        </w:rPr>
        <w:t>难生物降解</w:t>
      </w:r>
      <w:r>
        <w:rPr>
          <w:kern w:val="0"/>
          <w:sz w:val="24"/>
          <w:szCs w:val="20"/>
        </w:rPr>
        <w:fldChar w:fldCharType="end"/>
      </w:r>
      <w:r>
        <w:rPr>
          <w:kern w:val="0"/>
          <w:sz w:val="24"/>
          <w:szCs w:val="20"/>
        </w:rPr>
        <w:t>的</w:t>
      </w:r>
      <w:r>
        <w:fldChar w:fldCharType="begin"/>
      </w:r>
      <w:r>
        <w:instrText xml:space="preserve"> HYPERLINK "https://baike.baidu.com/item/%E5%A4%A7%E5%88%86%E5%AD%90%E7%89%A9%E8%B4%A8/12583949?fromModule=lemma_inlink" \t "_blank" </w:instrText>
      </w:r>
      <w:r>
        <w:fldChar w:fldCharType="separate"/>
      </w:r>
      <w:r>
        <w:rPr>
          <w:kern w:val="0"/>
          <w:sz w:val="24"/>
          <w:szCs w:val="20"/>
        </w:rPr>
        <w:t>大分子物质</w:t>
      </w:r>
      <w:r>
        <w:rPr>
          <w:kern w:val="0"/>
          <w:sz w:val="24"/>
          <w:szCs w:val="20"/>
        </w:rPr>
        <w:fldChar w:fldCharType="end"/>
      </w:r>
      <w:r>
        <w:rPr>
          <w:kern w:val="0"/>
          <w:sz w:val="24"/>
          <w:szCs w:val="20"/>
        </w:rPr>
        <w:t>转化为易生物降解的小分子物质</w:t>
      </w:r>
      <w:r>
        <w:rPr>
          <w:rFonts w:hint="eastAsia"/>
          <w:kern w:val="0"/>
          <w:sz w:val="24"/>
          <w:szCs w:val="20"/>
        </w:rPr>
        <w:t>，</w:t>
      </w:r>
      <w:r>
        <w:rPr>
          <w:kern w:val="0"/>
          <w:sz w:val="24"/>
          <w:szCs w:val="20"/>
        </w:rPr>
        <w:t>从而改善废水的可生化性，为后续生化处理提供良好的水质环境。</w:t>
      </w:r>
    </w:p>
    <w:p>
      <w:pPr>
        <w:adjustRightInd w:val="0"/>
        <w:snapToGrid w:val="0"/>
        <w:spacing w:line="520" w:lineRule="exact"/>
        <w:ind w:firstLine="480" w:firstLineChars="200"/>
        <w:textAlignment w:val="baseline"/>
        <w:rPr>
          <w:kern w:val="0"/>
          <w:sz w:val="24"/>
          <w:szCs w:val="20"/>
        </w:rPr>
      </w:pPr>
      <w:r>
        <w:rPr>
          <w:kern w:val="0"/>
          <w:sz w:val="24"/>
          <w:szCs w:val="20"/>
        </w:rPr>
        <w:t>污水与</w:t>
      </w:r>
      <w:r>
        <w:fldChar w:fldCharType="begin"/>
      </w:r>
      <w:r>
        <w:instrText xml:space="preserve"> HYPERLINK "https://baike.baidu.com/item/%E5%9B%9E%E6%B5%81%E6%B1%A1%E6%B3%A5/10863748?fromModule=lemma_inlink" \t "_blank" </w:instrText>
      </w:r>
      <w:r>
        <w:fldChar w:fldCharType="separate"/>
      </w:r>
      <w:r>
        <w:rPr>
          <w:kern w:val="0"/>
          <w:sz w:val="24"/>
          <w:szCs w:val="20"/>
        </w:rPr>
        <w:t>回流污泥</w:t>
      </w:r>
      <w:r>
        <w:rPr>
          <w:kern w:val="0"/>
          <w:sz w:val="24"/>
          <w:szCs w:val="20"/>
        </w:rPr>
        <w:fldChar w:fldCharType="end"/>
      </w:r>
      <w:r>
        <w:rPr>
          <w:kern w:val="0"/>
          <w:sz w:val="24"/>
          <w:szCs w:val="20"/>
        </w:rPr>
        <w:t>先进入厌氧池完全混合，经一定时间的</w:t>
      </w:r>
      <w:r>
        <w:fldChar w:fldCharType="begin"/>
      </w:r>
      <w:r>
        <w:instrText xml:space="preserve"> HYPERLINK "https://baike.baidu.com/item/%E5%8E%8C%E6%B0%A7%E5%88%86%E8%A7%A3/53432551?fromModule=lemma_inlink" \t "_blank" </w:instrText>
      </w:r>
      <w:r>
        <w:fldChar w:fldCharType="separate"/>
      </w:r>
      <w:r>
        <w:rPr>
          <w:kern w:val="0"/>
          <w:sz w:val="24"/>
          <w:szCs w:val="20"/>
        </w:rPr>
        <w:t>厌氧分解</w:t>
      </w:r>
      <w:r>
        <w:rPr>
          <w:kern w:val="0"/>
          <w:sz w:val="24"/>
          <w:szCs w:val="20"/>
        </w:rPr>
        <w:fldChar w:fldCharType="end"/>
      </w:r>
      <w:r>
        <w:rPr>
          <w:kern w:val="0"/>
          <w:sz w:val="24"/>
          <w:szCs w:val="20"/>
        </w:rPr>
        <w:t>，去除部分</w:t>
      </w:r>
      <w:r>
        <w:fldChar w:fldCharType="begin"/>
      </w:r>
      <w:r>
        <w:instrText xml:space="preserve"> HYPERLINK "https://baike.baidu.com/item/BOD/1791?fromModule=lemma_inlink" \t "_blank" </w:instrText>
      </w:r>
      <w:r>
        <w:fldChar w:fldCharType="separate"/>
      </w:r>
      <w:r>
        <w:rPr>
          <w:kern w:val="0"/>
          <w:sz w:val="24"/>
          <w:szCs w:val="20"/>
        </w:rPr>
        <w:t>BOD</w:t>
      </w:r>
      <w:r>
        <w:rPr>
          <w:kern w:val="0"/>
          <w:sz w:val="24"/>
          <w:szCs w:val="20"/>
        </w:rPr>
        <w:fldChar w:fldCharType="end"/>
      </w:r>
      <w:r>
        <w:rPr>
          <w:kern w:val="0"/>
          <w:sz w:val="24"/>
          <w:szCs w:val="20"/>
        </w:rPr>
        <w:t>，使部分</w:t>
      </w:r>
      <w:r>
        <w:fldChar w:fldCharType="begin"/>
      </w:r>
      <w:r>
        <w:instrText xml:space="preserve"> HYPERLINK "https://baike.baidu.com/item/%E5%90%AB%E6%B0%AE%E5%8C%96%E5%90%88%E7%89%A9/271632?fromModule=lemma_inlink" \t "_blank" </w:instrText>
      </w:r>
      <w:r>
        <w:fldChar w:fldCharType="separate"/>
      </w:r>
      <w:r>
        <w:rPr>
          <w:kern w:val="0"/>
          <w:sz w:val="24"/>
          <w:szCs w:val="20"/>
        </w:rPr>
        <w:t>含氮化合物</w:t>
      </w:r>
      <w:r>
        <w:rPr>
          <w:kern w:val="0"/>
          <w:sz w:val="24"/>
          <w:szCs w:val="20"/>
        </w:rPr>
        <w:fldChar w:fldCharType="end"/>
      </w:r>
      <w:r>
        <w:rPr>
          <w:kern w:val="0"/>
          <w:sz w:val="24"/>
          <w:szCs w:val="20"/>
        </w:rPr>
        <w:t>转化成N</w:t>
      </w:r>
      <w:r>
        <w:rPr>
          <w:kern w:val="0"/>
          <w:sz w:val="24"/>
          <w:szCs w:val="20"/>
          <w:vertAlign w:val="subscript"/>
        </w:rPr>
        <w:t>2</w:t>
      </w:r>
      <w:r>
        <w:rPr>
          <w:kern w:val="0"/>
          <w:sz w:val="24"/>
          <w:szCs w:val="20"/>
        </w:rPr>
        <w:t>（</w:t>
      </w:r>
      <w:r>
        <w:fldChar w:fldCharType="begin"/>
      </w:r>
      <w:r>
        <w:instrText xml:space="preserve"> HYPERLINK "https://baike.baidu.com/item/%E5%8F%8D%E7%A1%9D%E5%8C%96%E4%BD%9C%E7%94%A8/6264362?fromModule=lemma_inlink" \t "_blank" </w:instrText>
      </w:r>
      <w:r>
        <w:fldChar w:fldCharType="separate"/>
      </w:r>
      <w:r>
        <w:rPr>
          <w:kern w:val="0"/>
          <w:sz w:val="24"/>
          <w:szCs w:val="20"/>
        </w:rPr>
        <w:t>反硝化作用</w:t>
      </w:r>
      <w:r>
        <w:rPr>
          <w:kern w:val="0"/>
          <w:sz w:val="24"/>
          <w:szCs w:val="20"/>
        </w:rPr>
        <w:fldChar w:fldCharType="end"/>
      </w:r>
      <w:r>
        <w:rPr>
          <w:kern w:val="0"/>
          <w:sz w:val="24"/>
          <w:szCs w:val="20"/>
        </w:rPr>
        <w:t>）而释放，回流污泥中的</w:t>
      </w:r>
      <w:r>
        <w:fldChar w:fldCharType="begin"/>
      </w:r>
      <w:r>
        <w:instrText xml:space="preserve"> HYPERLINK "https://baike.baidu.com/item/%E8%81%9A%E7%A3%B7%E5%BE%AE%E7%94%9F%E7%89%A9/22158216?fromModule=lemma_inlink" \t "_blank" </w:instrText>
      </w:r>
      <w:r>
        <w:fldChar w:fldCharType="separate"/>
      </w:r>
      <w:r>
        <w:rPr>
          <w:kern w:val="0"/>
          <w:sz w:val="24"/>
          <w:szCs w:val="20"/>
        </w:rPr>
        <w:t>聚磷微生物</w:t>
      </w:r>
      <w:r>
        <w:rPr>
          <w:kern w:val="0"/>
          <w:sz w:val="24"/>
          <w:szCs w:val="20"/>
        </w:rPr>
        <w:fldChar w:fldCharType="end"/>
      </w:r>
      <w:r>
        <w:rPr>
          <w:kern w:val="0"/>
          <w:sz w:val="24"/>
          <w:szCs w:val="20"/>
        </w:rPr>
        <w:t>（聚磷菌等）释放出磷，满足细菌对磷的需求。然后污水流入</w:t>
      </w:r>
      <w:r>
        <w:fldChar w:fldCharType="begin"/>
      </w:r>
      <w:r>
        <w:instrText xml:space="preserve"> HYPERLINK "https://baike.baidu.com/item/%E7%BC%BA%E6%B0%A7%E6%B1%A0/7199631?fromModule=lemma_inlink" \t "_blank" </w:instrText>
      </w:r>
      <w:r>
        <w:fldChar w:fldCharType="separate"/>
      </w:r>
      <w:r>
        <w:rPr>
          <w:kern w:val="0"/>
          <w:sz w:val="24"/>
          <w:szCs w:val="20"/>
        </w:rPr>
        <w:t>缺氧池</w:t>
      </w:r>
      <w:r>
        <w:rPr>
          <w:kern w:val="0"/>
          <w:sz w:val="24"/>
          <w:szCs w:val="20"/>
        </w:rPr>
        <w:fldChar w:fldCharType="end"/>
      </w:r>
      <w:r>
        <w:rPr>
          <w:kern w:val="0"/>
          <w:sz w:val="24"/>
          <w:szCs w:val="20"/>
        </w:rPr>
        <w:t>，池中的</w:t>
      </w:r>
      <w:r>
        <w:fldChar w:fldCharType="begin"/>
      </w:r>
      <w:r>
        <w:instrText xml:space="preserve"> HYPERLINK "https://baike.baidu.com/item/%E5%8F%8D%E7%A1%9D%E5%8C%96%E7%BB%86%E8%8F%8C/4132504?fromModule=lemma_inlink" \t "_blank" </w:instrText>
      </w:r>
      <w:r>
        <w:fldChar w:fldCharType="separate"/>
      </w:r>
      <w:r>
        <w:rPr>
          <w:kern w:val="0"/>
          <w:sz w:val="24"/>
          <w:szCs w:val="20"/>
        </w:rPr>
        <w:t>反硝化细菌</w:t>
      </w:r>
      <w:r>
        <w:rPr>
          <w:kern w:val="0"/>
          <w:sz w:val="24"/>
          <w:szCs w:val="20"/>
        </w:rPr>
        <w:fldChar w:fldCharType="end"/>
      </w:r>
      <w:r>
        <w:rPr>
          <w:kern w:val="0"/>
          <w:sz w:val="24"/>
          <w:szCs w:val="20"/>
        </w:rPr>
        <w:t>以污水中未分解的含碳</w:t>
      </w:r>
      <w:r>
        <w:fldChar w:fldCharType="begin"/>
      </w:r>
      <w:r>
        <w:instrText xml:space="preserve"> HYPERLINK "https://baike.baidu.com/item/%E6%9C%89%E6%9C%BA%E7%89%A9/300787?fromModule=lemma_inlink" \t "_blank" </w:instrText>
      </w:r>
      <w:r>
        <w:fldChar w:fldCharType="separate"/>
      </w:r>
      <w:r>
        <w:rPr>
          <w:kern w:val="0"/>
          <w:sz w:val="24"/>
          <w:szCs w:val="20"/>
        </w:rPr>
        <w:t>有机物</w:t>
      </w:r>
      <w:r>
        <w:rPr>
          <w:kern w:val="0"/>
          <w:sz w:val="24"/>
          <w:szCs w:val="20"/>
        </w:rPr>
        <w:fldChar w:fldCharType="end"/>
      </w:r>
      <w:r>
        <w:rPr>
          <w:kern w:val="0"/>
          <w:sz w:val="24"/>
          <w:szCs w:val="20"/>
        </w:rPr>
        <w:t>为</w:t>
      </w:r>
      <w:r>
        <w:fldChar w:fldCharType="begin"/>
      </w:r>
      <w:r>
        <w:instrText xml:space="preserve"> HYPERLINK "https://baike.baidu.com/item/%E7%A2%B3%E6%BA%90/62016929?fromModule=lemma_inlink" \t "_blank" </w:instrText>
      </w:r>
      <w:r>
        <w:fldChar w:fldCharType="separate"/>
      </w:r>
      <w:r>
        <w:rPr>
          <w:kern w:val="0"/>
          <w:sz w:val="24"/>
          <w:szCs w:val="20"/>
        </w:rPr>
        <w:t>碳源</w:t>
      </w:r>
      <w:r>
        <w:rPr>
          <w:kern w:val="0"/>
          <w:sz w:val="24"/>
          <w:szCs w:val="20"/>
        </w:rPr>
        <w:fldChar w:fldCharType="end"/>
      </w:r>
      <w:r>
        <w:rPr>
          <w:kern w:val="0"/>
          <w:sz w:val="24"/>
          <w:szCs w:val="20"/>
        </w:rPr>
        <w:t>，将好氧池内通过内</w:t>
      </w:r>
      <w:r>
        <w:fldChar w:fldCharType="begin"/>
      </w:r>
      <w:r>
        <w:instrText xml:space="preserve"> HYPERLINK "https://baike.baidu.com/item/%E5%BE%AA%E7%8E%AF%E5%9B%9E%E6%B5%81/56419451?fromModule=lemma_inlink" \t "_blank" </w:instrText>
      </w:r>
      <w:r>
        <w:fldChar w:fldCharType="separate"/>
      </w:r>
      <w:r>
        <w:rPr>
          <w:kern w:val="0"/>
          <w:sz w:val="24"/>
          <w:szCs w:val="20"/>
        </w:rPr>
        <w:t>循环回流</w:t>
      </w:r>
      <w:r>
        <w:rPr>
          <w:kern w:val="0"/>
          <w:sz w:val="24"/>
          <w:szCs w:val="20"/>
        </w:rPr>
        <w:fldChar w:fldCharType="end"/>
      </w:r>
      <w:r>
        <w:rPr>
          <w:kern w:val="0"/>
          <w:sz w:val="24"/>
          <w:szCs w:val="20"/>
        </w:rPr>
        <w:t>进来的</w:t>
      </w:r>
      <w:r>
        <w:fldChar w:fldCharType="begin"/>
      </w:r>
      <w:r>
        <w:instrText xml:space="preserve"> HYPERLINK "https://baike.baidu.com/item/%E7%A1%9D%E9%85%B8%E6%A0%B9/9799674?fromModule=lemma_inlink" \t "_blank" </w:instrText>
      </w:r>
      <w:r>
        <w:fldChar w:fldCharType="separate"/>
      </w:r>
      <w:r>
        <w:rPr>
          <w:kern w:val="0"/>
          <w:sz w:val="24"/>
          <w:szCs w:val="20"/>
        </w:rPr>
        <w:t>硝酸根</w:t>
      </w:r>
      <w:r>
        <w:rPr>
          <w:kern w:val="0"/>
          <w:sz w:val="24"/>
          <w:szCs w:val="20"/>
        </w:rPr>
        <w:fldChar w:fldCharType="end"/>
      </w:r>
      <w:r>
        <w:rPr>
          <w:kern w:val="0"/>
          <w:sz w:val="24"/>
          <w:szCs w:val="20"/>
        </w:rPr>
        <w:t>还原为N</w:t>
      </w:r>
      <w:r>
        <w:rPr>
          <w:kern w:val="0"/>
          <w:sz w:val="24"/>
          <w:szCs w:val="20"/>
          <w:vertAlign w:val="subscript"/>
        </w:rPr>
        <w:t>2</w:t>
      </w:r>
      <w:r>
        <w:rPr>
          <w:kern w:val="0"/>
          <w:sz w:val="24"/>
          <w:szCs w:val="20"/>
        </w:rPr>
        <w:t>而释放。接下来污水流入好氧池，水中的NH</w:t>
      </w:r>
      <w:r>
        <w:rPr>
          <w:kern w:val="0"/>
          <w:sz w:val="24"/>
          <w:szCs w:val="20"/>
          <w:vertAlign w:val="subscript"/>
        </w:rPr>
        <w:t>3</w:t>
      </w:r>
      <w:r>
        <w:rPr>
          <w:kern w:val="0"/>
          <w:sz w:val="24"/>
          <w:szCs w:val="20"/>
        </w:rPr>
        <w:t>-N进行硝化反应生成硝酸根，同时水中的有机物</w:t>
      </w:r>
      <w:r>
        <w:fldChar w:fldCharType="begin"/>
      </w:r>
      <w:r>
        <w:instrText xml:space="preserve"> HYPERLINK "https://baike.baidu.com/item/%E6%B0%A7%E5%8C%96%E5%88%86%E8%A7%A3/3620691?fromModule=lemma_inlink" \t "_blank" </w:instrText>
      </w:r>
      <w:r>
        <w:fldChar w:fldCharType="separate"/>
      </w:r>
      <w:r>
        <w:rPr>
          <w:kern w:val="0"/>
          <w:sz w:val="24"/>
          <w:szCs w:val="20"/>
        </w:rPr>
        <w:t>氧化分解</w:t>
      </w:r>
      <w:r>
        <w:rPr>
          <w:kern w:val="0"/>
          <w:sz w:val="24"/>
          <w:szCs w:val="20"/>
        </w:rPr>
        <w:fldChar w:fldCharType="end"/>
      </w:r>
      <w:r>
        <w:rPr>
          <w:kern w:val="0"/>
          <w:sz w:val="24"/>
          <w:szCs w:val="20"/>
        </w:rPr>
        <w:t>供给吸磷微生物以能量，微生物从水中吸收磷，磷进入细胞组织，富集在微生物内，经沉淀分离后以富磷污泥的形式从系统中排出。</w:t>
      </w:r>
    </w:p>
    <w:p>
      <w:pPr>
        <w:adjustRightInd w:val="0"/>
        <w:snapToGrid w:val="0"/>
        <w:spacing w:line="520" w:lineRule="exact"/>
        <w:ind w:firstLine="480" w:firstLineChars="200"/>
        <w:textAlignment w:val="baseline"/>
        <w:rPr>
          <w:kern w:val="0"/>
          <w:sz w:val="24"/>
          <w:szCs w:val="20"/>
        </w:rPr>
      </w:pPr>
      <w:r>
        <w:rPr>
          <w:kern w:val="0"/>
          <w:sz w:val="24"/>
          <w:szCs w:val="20"/>
        </w:rPr>
        <w:t>（3）沉淀池</w:t>
      </w:r>
    </w:p>
    <w:p>
      <w:pPr>
        <w:adjustRightInd w:val="0"/>
        <w:snapToGrid w:val="0"/>
        <w:spacing w:line="520" w:lineRule="exact"/>
        <w:ind w:firstLine="480" w:firstLineChars="200"/>
        <w:textAlignment w:val="baseline"/>
        <w:rPr>
          <w:kern w:val="0"/>
          <w:sz w:val="24"/>
          <w:szCs w:val="20"/>
        </w:rPr>
      </w:pPr>
      <w:r>
        <w:rPr>
          <w:kern w:val="0"/>
          <w:sz w:val="24"/>
          <w:szCs w:val="20"/>
        </w:rPr>
        <w:t>高效脱氮出水</w:t>
      </w:r>
      <w:r>
        <w:rPr>
          <w:rFonts w:hint="eastAsia"/>
          <w:kern w:val="0"/>
          <w:sz w:val="24"/>
          <w:szCs w:val="20"/>
        </w:rPr>
        <w:t>进入二沉池进行泥水分离，</w:t>
      </w:r>
      <w:r>
        <w:rPr>
          <w:kern w:val="0"/>
          <w:sz w:val="24"/>
          <w:szCs w:val="20"/>
        </w:rPr>
        <w:t>使混合液澄清、</w:t>
      </w:r>
      <w:r>
        <w:fldChar w:fldCharType="begin"/>
      </w:r>
      <w:r>
        <w:instrText xml:space="preserve"> HYPERLINK "https://baike.baidu.com/item/%E6%B1%A1%E6%B3%A5%E6%B5%93%E7%BC%A9/10863773?fromModule=lemma_inlink" \t "_blank" </w:instrText>
      </w:r>
      <w:r>
        <w:fldChar w:fldCharType="separate"/>
      </w:r>
      <w:r>
        <w:rPr>
          <w:kern w:val="0"/>
          <w:sz w:val="24"/>
          <w:szCs w:val="20"/>
        </w:rPr>
        <w:t>污泥浓缩</w:t>
      </w:r>
      <w:r>
        <w:rPr>
          <w:kern w:val="0"/>
          <w:sz w:val="24"/>
          <w:szCs w:val="20"/>
        </w:rPr>
        <w:fldChar w:fldCharType="end"/>
      </w:r>
      <w:r>
        <w:rPr>
          <w:kern w:val="0"/>
          <w:sz w:val="24"/>
          <w:szCs w:val="20"/>
        </w:rPr>
        <w:t>并将分离的污泥回流到</w:t>
      </w:r>
      <w:r>
        <w:rPr>
          <w:rFonts w:hint="eastAsia"/>
          <w:kern w:val="0"/>
          <w:sz w:val="24"/>
          <w:szCs w:val="20"/>
        </w:rPr>
        <w:t>厌氧池。通过三沉池时加入除磷剂和絮凝剂（PAM），通过絮凝沉淀去除废水中的悬浮物和磷，</w:t>
      </w:r>
      <w:r>
        <w:rPr>
          <w:kern w:val="0"/>
          <w:sz w:val="24"/>
          <w:szCs w:val="20"/>
        </w:rPr>
        <w:t>最终保证外排水稳定达标排放。</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初沉池、二沉池和三沉池产生的污泥进入污泥池，污泥池中的上清液回至集水池，污泥进入污泥脱水间利用叠螺污泥脱水机进行脱水，得到的滤液回至集水池，脱水后的污泥外运。同时废水处理过程中格栅、集水池、初沉池、调节池、水解酸化池、厌氧池、缺氧池、好氧池、污泥池、污泥脱水间均会产生臭气，设计采用洗涤除臭装置（碱喷淋+生物除臭剂喷淋）进行处理，处理后经</w:t>
      </w:r>
      <w:r>
        <w:rPr>
          <w:kern w:val="0"/>
          <w:sz w:val="24"/>
          <w:szCs w:val="20"/>
        </w:rPr>
        <w:t>15m</w:t>
      </w:r>
      <w:r>
        <w:rPr>
          <w:rFonts w:hint="eastAsia"/>
          <w:kern w:val="0"/>
          <w:sz w:val="24"/>
          <w:szCs w:val="20"/>
        </w:rPr>
        <w:t>高排气筒排放。</w:t>
      </w:r>
    </w:p>
    <w:p>
      <w:pPr>
        <w:spacing w:line="520" w:lineRule="exact"/>
        <w:outlineLvl w:val="3"/>
        <w:rPr>
          <w:kern w:val="0"/>
          <w:sz w:val="24"/>
          <w:szCs w:val="28"/>
        </w:rPr>
      </w:pPr>
      <w:r>
        <w:rPr>
          <w:kern w:val="0"/>
          <w:sz w:val="24"/>
          <w:szCs w:val="28"/>
        </w:rPr>
        <w:t>7.2.1.3污水处理站可行性分析</w:t>
      </w:r>
    </w:p>
    <w:p>
      <w:pPr>
        <w:spacing w:line="520" w:lineRule="exact"/>
        <w:ind w:firstLine="420"/>
        <w:rPr>
          <w:sz w:val="24"/>
          <w:szCs w:val="24"/>
        </w:rPr>
      </w:pPr>
      <w:r>
        <w:rPr>
          <w:sz w:val="24"/>
          <w:szCs w:val="24"/>
        </w:rPr>
        <w:t>（1）污水处理站处理能力可行性分析</w:t>
      </w:r>
    </w:p>
    <w:p>
      <w:pPr>
        <w:spacing w:line="520" w:lineRule="exact"/>
        <w:ind w:firstLine="420"/>
        <w:rPr>
          <w:sz w:val="24"/>
          <w:szCs w:val="24"/>
        </w:rPr>
      </w:pPr>
      <w:r>
        <w:rPr>
          <w:rFonts w:hint="eastAsia"/>
          <w:sz w:val="24"/>
          <w:szCs w:val="24"/>
        </w:rPr>
        <w:t>根据类比分析，本项目园区废水产生量为1</w:t>
      </w:r>
      <w:r>
        <w:rPr>
          <w:sz w:val="24"/>
          <w:szCs w:val="24"/>
        </w:rPr>
        <w:t>445.3</w:t>
      </w:r>
      <w:r>
        <w:rPr>
          <w:rFonts w:hint="eastAsia"/>
          <w:sz w:val="24"/>
          <w:szCs w:val="24"/>
        </w:rPr>
        <w:t>m</w:t>
      </w:r>
      <w:r>
        <w:rPr>
          <w:rFonts w:hint="eastAsia"/>
          <w:sz w:val="24"/>
          <w:szCs w:val="24"/>
          <w:vertAlign w:val="superscript"/>
        </w:rPr>
        <w:t>3</w:t>
      </w:r>
      <w:r>
        <w:rPr>
          <w:rFonts w:hint="eastAsia"/>
          <w:sz w:val="24"/>
          <w:szCs w:val="24"/>
        </w:rPr>
        <w:t>/d</w:t>
      </w:r>
      <w:r>
        <w:rPr>
          <w:sz w:val="24"/>
          <w:szCs w:val="24"/>
        </w:rPr>
        <w:t>，考虑到</w:t>
      </w:r>
      <w:r>
        <w:rPr>
          <w:rFonts w:hint="eastAsia"/>
          <w:sz w:val="24"/>
          <w:szCs w:val="24"/>
        </w:rPr>
        <w:t>园区以后发展</w:t>
      </w:r>
      <w:r>
        <w:rPr>
          <w:sz w:val="24"/>
          <w:szCs w:val="24"/>
        </w:rPr>
        <w:t>，厂区拟建污水处理站处理能力确定为2000m</w:t>
      </w:r>
      <w:r>
        <w:rPr>
          <w:sz w:val="24"/>
          <w:szCs w:val="24"/>
          <w:vertAlign w:val="superscript"/>
        </w:rPr>
        <w:t>3</w:t>
      </w:r>
      <w:r>
        <w:rPr>
          <w:sz w:val="24"/>
          <w:szCs w:val="24"/>
        </w:rPr>
        <w:t>/d。项目废水处理设施设计处理能力能够满足污水处理站处理废水量的要求。</w:t>
      </w:r>
    </w:p>
    <w:p>
      <w:pPr>
        <w:spacing w:line="520" w:lineRule="exact"/>
        <w:ind w:firstLine="420"/>
        <w:rPr>
          <w:sz w:val="24"/>
          <w:szCs w:val="24"/>
        </w:rPr>
      </w:pPr>
      <w:r>
        <w:rPr>
          <w:sz w:val="24"/>
          <w:szCs w:val="24"/>
        </w:rPr>
        <w:t>（2）污水处理工艺可行性分析</w:t>
      </w:r>
    </w:p>
    <w:p>
      <w:pPr>
        <w:spacing w:line="520" w:lineRule="exact"/>
        <w:ind w:firstLine="420"/>
        <w:rPr>
          <w:sz w:val="24"/>
          <w:szCs w:val="24"/>
          <w:highlight w:val="yellow"/>
        </w:rPr>
      </w:pPr>
      <w:r>
        <w:rPr>
          <w:rFonts w:hint="eastAsia"/>
          <w:sz w:val="24"/>
          <w:szCs w:val="24"/>
        </w:rPr>
        <w:t>本项目园区废水主要为</w:t>
      </w:r>
      <w:r>
        <w:rPr>
          <w:sz w:val="24"/>
          <w:szCs w:val="24"/>
        </w:rPr>
        <w:t>入驻园区</w:t>
      </w:r>
      <w:r>
        <w:rPr>
          <w:rFonts w:hint="eastAsia"/>
          <w:sz w:val="24"/>
          <w:szCs w:val="24"/>
        </w:rPr>
        <w:t>生产</w:t>
      </w:r>
      <w:r>
        <w:rPr>
          <w:sz w:val="24"/>
          <w:szCs w:val="24"/>
        </w:rPr>
        <w:t>废水</w:t>
      </w:r>
      <w:r>
        <w:rPr>
          <w:rFonts w:hint="eastAsia"/>
          <w:sz w:val="24"/>
          <w:szCs w:val="24"/>
        </w:rPr>
        <w:t>，</w:t>
      </w:r>
      <w:r>
        <w:rPr>
          <w:sz w:val="24"/>
          <w:szCs w:val="24"/>
        </w:rPr>
        <w:t>废水经污水处理站处理后经厂区总排口排放。本工程污水处理站拟采用</w:t>
      </w:r>
      <w:r>
        <w:rPr>
          <w:rFonts w:hint="eastAsia"/>
          <w:sz w:val="24"/>
          <w:szCs w:val="24"/>
        </w:rPr>
        <w:t>“</w:t>
      </w:r>
      <w:r>
        <w:rPr>
          <w:rFonts w:hint="eastAsia"/>
          <w:bCs/>
          <w:sz w:val="24"/>
          <w:szCs w:val="24"/>
        </w:rPr>
        <w:t>格栅+集水池+超微过滤机+初沉池+调节池+水解酸化池+厌氧池+缺氧池+好氧池+二沉池+三沉池</w:t>
      </w:r>
      <w:r>
        <w:rPr>
          <w:rFonts w:hint="eastAsia"/>
          <w:sz w:val="24"/>
          <w:szCs w:val="24"/>
        </w:rPr>
        <w:t>”</w:t>
      </w:r>
      <w:r>
        <w:rPr>
          <w:sz w:val="24"/>
          <w:szCs w:val="24"/>
        </w:rPr>
        <w:t>处理工艺。本次评价通过以下途径确定项目污水处理站工艺：</w:t>
      </w:r>
    </w:p>
    <w:p>
      <w:pPr>
        <w:spacing w:line="520" w:lineRule="exact"/>
        <w:ind w:firstLine="420"/>
        <w:rPr>
          <w:sz w:val="24"/>
          <w:szCs w:val="24"/>
        </w:rPr>
      </w:pPr>
      <w:r>
        <w:rPr>
          <w:rFonts w:hint="eastAsia" w:ascii="宋体" w:hAnsi="宋体" w:cs="宋体"/>
          <w:sz w:val="24"/>
          <w:szCs w:val="24"/>
        </w:rPr>
        <w:t>①</w:t>
      </w:r>
      <w:r>
        <w:rPr>
          <w:sz w:val="24"/>
          <w:szCs w:val="24"/>
        </w:rPr>
        <w:t>根据</w:t>
      </w:r>
      <w:r>
        <w:rPr>
          <w:rFonts w:hint="eastAsia"/>
          <w:sz w:val="24"/>
          <w:szCs w:val="24"/>
        </w:rPr>
        <w:t>《排污许可证申请与核发技术规范 水处理》（H</w:t>
      </w:r>
      <w:r>
        <w:rPr>
          <w:sz w:val="24"/>
          <w:szCs w:val="24"/>
        </w:rPr>
        <w:t>J 978-2018</w:t>
      </w:r>
      <w:r>
        <w:rPr>
          <w:rFonts w:hint="eastAsia"/>
          <w:sz w:val="24"/>
          <w:szCs w:val="24"/>
        </w:rPr>
        <w:t>）可知，</w:t>
      </w:r>
      <w:r>
        <w:rPr>
          <w:sz w:val="24"/>
          <w:szCs w:val="24"/>
        </w:rPr>
        <w:t>废水可行技术为预处理：</w:t>
      </w:r>
      <w:r>
        <w:rPr>
          <w:rFonts w:hint="eastAsia"/>
          <w:sz w:val="24"/>
          <w:szCs w:val="24"/>
        </w:rPr>
        <w:t>沉淀、调节、气浮、水解酸化；生化处理：好氧、缺氧/好氧、</w:t>
      </w:r>
      <w:r>
        <w:rPr>
          <w:sz w:val="24"/>
          <w:szCs w:val="24"/>
        </w:rPr>
        <w:t>厌氧/缺氧/好氧</w:t>
      </w:r>
      <w:r>
        <w:rPr>
          <w:rFonts w:hint="eastAsia"/>
          <w:sz w:val="24"/>
          <w:szCs w:val="24"/>
        </w:rPr>
        <w:t>、序批式活性污泥、氧化沟、移动生物床反应器、膜生物反应器；深度处理：反硝化滤池、化学沉淀、过滤、高级氧化、曝气生物滤池、生物接触氧化、膜分离、离子交换。</w:t>
      </w:r>
    </w:p>
    <w:p>
      <w:pPr>
        <w:spacing w:line="520" w:lineRule="exact"/>
        <w:ind w:firstLine="420"/>
        <w:rPr>
          <w:sz w:val="24"/>
          <w:szCs w:val="24"/>
        </w:rPr>
      </w:pPr>
      <w:r>
        <w:rPr>
          <w:rFonts w:hint="eastAsia"/>
          <w:sz w:val="24"/>
          <w:szCs w:val="24"/>
        </w:rPr>
        <w:t>根据《排污许可证申请与核发技术规范 食品制造业-</w:t>
      </w:r>
      <w:r>
        <w:rPr>
          <w:sz w:val="24"/>
          <w:szCs w:val="24"/>
        </w:rPr>
        <w:t>方便食品、食品</w:t>
      </w:r>
      <w:r>
        <w:rPr>
          <w:rFonts w:hint="eastAsia"/>
          <w:sz w:val="24"/>
          <w:szCs w:val="24"/>
        </w:rPr>
        <w:t>及饲料添加剂制造工业》（H</w:t>
      </w:r>
      <w:r>
        <w:rPr>
          <w:sz w:val="24"/>
          <w:szCs w:val="24"/>
        </w:rPr>
        <w:t>J 1030.3-2019</w:t>
      </w:r>
      <w:r>
        <w:rPr>
          <w:rFonts w:hint="eastAsia"/>
          <w:sz w:val="24"/>
          <w:szCs w:val="24"/>
        </w:rPr>
        <w:t>）</w:t>
      </w:r>
      <w:r>
        <w:rPr>
          <w:sz w:val="24"/>
          <w:szCs w:val="24"/>
        </w:rPr>
        <w:t>可知，废水可行技术为预处理：</w:t>
      </w:r>
      <w:r>
        <w:rPr>
          <w:rFonts w:hint="eastAsia"/>
          <w:sz w:val="24"/>
          <w:szCs w:val="24"/>
        </w:rPr>
        <w:t>粗（细）格栅、竖流或辐流式沉淀、混凝沉淀、气浮</w:t>
      </w:r>
      <w:r>
        <w:rPr>
          <w:sz w:val="24"/>
          <w:szCs w:val="24"/>
        </w:rPr>
        <w:t>；生化处理：</w:t>
      </w:r>
      <w:r>
        <w:rPr>
          <w:rFonts w:hint="eastAsia"/>
          <w:sz w:val="24"/>
          <w:szCs w:val="24"/>
        </w:rPr>
        <w:t>升流式厌氧污泥床（UASB）、内循环厌氧（IC）反应器或水解酸化技术、厌氧滤池（AF）、活性污泥法、氧化沟及其各类改型工艺、生物接触氧化法、序批式活性污泥法（SBR）、缺氧/好氧活性污泥法（A/</w:t>
      </w:r>
      <w:r>
        <w:rPr>
          <w:sz w:val="24"/>
          <w:szCs w:val="24"/>
        </w:rPr>
        <w:t>O</w:t>
      </w:r>
      <w:r>
        <w:rPr>
          <w:rFonts w:hint="eastAsia"/>
          <w:sz w:val="24"/>
          <w:szCs w:val="24"/>
        </w:rPr>
        <w:t>法）、厌-缺氧-好氧活性污泥法（A</w:t>
      </w:r>
      <w:r>
        <w:rPr>
          <w:sz w:val="24"/>
          <w:szCs w:val="24"/>
          <w:vertAlign w:val="superscript"/>
        </w:rPr>
        <w:t>2</w:t>
      </w:r>
      <w:r>
        <w:rPr>
          <w:rFonts w:hint="eastAsia"/>
          <w:sz w:val="24"/>
          <w:szCs w:val="24"/>
        </w:rPr>
        <w:t>/</w:t>
      </w:r>
      <w:r>
        <w:rPr>
          <w:sz w:val="24"/>
          <w:szCs w:val="24"/>
        </w:rPr>
        <w:t>O</w:t>
      </w:r>
      <w:r>
        <w:rPr>
          <w:rFonts w:hint="eastAsia"/>
          <w:sz w:val="24"/>
          <w:szCs w:val="24"/>
        </w:rPr>
        <w:t>法）、膜生物反应器（MBR）、其他</w:t>
      </w:r>
      <w:r>
        <w:rPr>
          <w:sz w:val="24"/>
          <w:szCs w:val="24"/>
        </w:rPr>
        <w:t>；</w:t>
      </w:r>
      <w:r>
        <w:rPr>
          <w:rFonts w:hint="eastAsia"/>
          <w:sz w:val="24"/>
          <w:szCs w:val="24"/>
        </w:rPr>
        <w:t>除磷处理：化学除磷（注明除磷剂）、生物除磷、生物与化学组合除磷、其他；</w:t>
      </w:r>
      <w:r>
        <w:rPr>
          <w:sz w:val="24"/>
          <w:szCs w:val="24"/>
        </w:rPr>
        <w:t>深度处理：</w:t>
      </w:r>
      <w:r>
        <w:rPr>
          <w:rFonts w:hint="eastAsia"/>
          <w:sz w:val="24"/>
          <w:szCs w:val="24"/>
        </w:rPr>
        <w:t>曝气生物滤池（B</w:t>
      </w:r>
      <w:r>
        <w:rPr>
          <w:sz w:val="24"/>
          <w:szCs w:val="24"/>
        </w:rPr>
        <w:t>AF</w:t>
      </w:r>
      <w:r>
        <w:rPr>
          <w:rFonts w:hint="eastAsia"/>
          <w:sz w:val="24"/>
          <w:szCs w:val="24"/>
        </w:rPr>
        <w:t>）、V型滤池、臭氧氧化、膜分离技术（超滤等）；人工湿地、其他。</w:t>
      </w:r>
    </w:p>
    <w:p>
      <w:pPr>
        <w:spacing w:line="520" w:lineRule="exact"/>
        <w:ind w:firstLine="420"/>
        <w:rPr>
          <w:sz w:val="24"/>
          <w:szCs w:val="24"/>
        </w:rPr>
      </w:pPr>
      <w:r>
        <w:rPr>
          <w:sz w:val="24"/>
          <w:szCs w:val="24"/>
        </w:rPr>
        <w:t>上述工艺串联组合处理后，经总排口达标外排。经对比，本项目污水处理工艺属于可行技术。</w:t>
      </w:r>
    </w:p>
    <w:p>
      <w:pPr>
        <w:spacing w:line="520" w:lineRule="exact"/>
        <w:ind w:firstLine="420"/>
        <w:rPr>
          <w:sz w:val="24"/>
          <w:szCs w:val="24"/>
        </w:rPr>
      </w:pPr>
      <w:r>
        <w:rPr>
          <w:rFonts w:hint="eastAsia" w:ascii="宋体" w:hAnsi="宋体" w:cs="宋体"/>
          <w:sz w:val="24"/>
          <w:szCs w:val="24"/>
        </w:rPr>
        <w:t>②</w:t>
      </w:r>
      <w:r>
        <w:rPr>
          <w:sz w:val="24"/>
          <w:szCs w:val="24"/>
        </w:rPr>
        <w:t>本项目</w:t>
      </w:r>
      <w:r>
        <w:rPr>
          <w:rFonts w:hint="eastAsia"/>
          <w:sz w:val="24"/>
          <w:szCs w:val="24"/>
        </w:rPr>
        <w:t>建成后主要入驻企业为食品加工和预制菜生产加工企业及相关配套企业，与</w:t>
      </w:r>
      <w:r>
        <w:rPr>
          <w:sz w:val="24"/>
          <w:szCs w:val="24"/>
        </w:rPr>
        <w:t>河南餐饮中央厨房产业园</w:t>
      </w:r>
      <w:r>
        <w:rPr>
          <w:rFonts w:hint="eastAsia"/>
          <w:sz w:val="24"/>
          <w:szCs w:val="24"/>
        </w:rPr>
        <w:t>园区入驻企业类似，根据《原阳县鸿创环保科技有限公司中央厨房产业园污水处理及配套设施扩建项目竣工环境保护验收监测报告表》，中央厨房产业园废水经园区污水处理站“超滤格栅+集水+调节+初沉池+一级A</w:t>
      </w:r>
      <w:r>
        <w:rPr>
          <w:sz w:val="24"/>
          <w:szCs w:val="24"/>
        </w:rPr>
        <w:t>/O+</w:t>
      </w:r>
      <w:r>
        <w:rPr>
          <w:rFonts w:hint="eastAsia"/>
          <w:sz w:val="24"/>
          <w:szCs w:val="24"/>
        </w:rPr>
        <w:t>二级A</w:t>
      </w:r>
      <w:r>
        <w:rPr>
          <w:sz w:val="24"/>
          <w:szCs w:val="24"/>
        </w:rPr>
        <w:t>/O+</w:t>
      </w:r>
      <w:r>
        <w:rPr>
          <w:rFonts w:hint="eastAsia"/>
          <w:sz w:val="24"/>
          <w:szCs w:val="24"/>
        </w:rPr>
        <w:t>二沉+三沉”处理后，废水满足原阳县产业集聚区污水处理厂收水标准和《污水综合排放标准》（GB8979-1996）表4二级标准要求。</w:t>
      </w:r>
      <w:r>
        <w:rPr>
          <w:sz w:val="24"/>
          <w:szCs w:val="24"/>
        </w:rPr>
        <w:t>该厂废水水质与本项目废水类似，采用</w:t>
      </w:r>
      <w:r>
        <w:rPr>
          <w:rFonts w:hint="eastAsia"/>
          <w:sz w:val="24"/>
          <w:szCs w:val="24"/>
        </w:rPr>
        <w:t>类似</w:t>
      </w:r>
      <w:r>
        <w:rPr>
          <w:sz w:val="24"/>
          <w:szCs w:val="24"/>
        </w:rPr>
        <w:t>废水处理工艺，能够做到达标排放。</w:t>
      </w:r>
    </w:p>
    <w:p>
      <w:pPr>
        <w:spacing w:line="520" w:lineRule="exact"/>
        <w:ind w:firstLine="420"/>
        <w:rPr>
          <w:sz w:val="24"/>
          <w:szCs w:val="24"/>
        </w:rPr>
      </w:pPr>
      <w:r>
        <w:rPr>
          <w:sz w:val="24"/>
          <w:szCs w:val="24"/>
        </w:rPr>
        <w:t>综上，本项目污水处理站处理能力和处理工艺可行。</w:t>
      </w:r>
    </w:p>
    <w:p>
      <w:pPr>
        <w:spacing w:line="520" w:lineRule="exact"/>
        <w:ind w:firstLine="420"/>
        <w:rPr>
          <w:sz w:val="24"/>
          <w:szCs w:val="24"/>
        </w:rPr>
      </w:pPr>
      <w:r>
        <w:rPr>
          <w:sz w:val="24"/>
          <w:szCs w:val="24"/>
        </w:rPr>
        <w:t>（3）污水处理站处理废水达标分析</w:t>
      </w:r>
    </w:p>
    <w:p>
      <w:pPr>
        <w:spacing w:line="520" w:lineRule="exact"/>
        <w:ind w:firstLine="420"/>
        <w:rPr>
          <w:sz w:val="24"/>
          <w:szCs w:val="24"/>
        </w:rPr>
      </w:pPr>
      <w:r>
        <w:rPr>
          <w:sz w:val="24"/>
          <w:szCs w:val="24"/>
        </w:rPr>
        <w:t>本项目废水进入厂区污水处理站处理水质情况见表7.2-1。</w:t>
      </w:r>
    </w:p>
    <w:p>
      <w:pPr>
        <w:spacing w:line="520" w:lineRule="exact"/>
        <w:ind w:firstLine="420"/>
        <w:rPr>
          <w:rFonts w:eastAsia="黑体"/>
          <w:bCs/>
          <w:sz w:val="24"/>
          <w:szCs w:val="24"/>
        </w:rPr>
      </w:pPr>
      <w:r>
        <w:rPr>
          <w:rFonts w:eastAsia="黑体"/>
          <w:bCs/>
          <w:sz w:val="24"/>
          <w:szCs w:val="24"/>
        </w:rPr>
        <w:t>表7.2-1        本次工程废水经污水处理站处理排放情况一览</w:t>
      </w:r>
    </w:p>
    <w:tbl>
      <w:tblPr>
        <w:tblStyle w:val="49"/>
        <w:tblW w:w="5000" w:type="pct"/>
        <w:tblInd w:w="2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627"/>
        <w:gridCol w:w="1208"/>
        <w:gridCol w:w="855"/>
        <w:gridCol w:w="855"/>
        <w:gridCol w:w="713"/>
        <w:gridCol w:w="997"/>
        <w:gridCol w:w="713"/>
        <w:gridCol w:w="784"/>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restart"/>
            <w:tcBorders>
              <w:top w:val="single" w:color="auto" w:sz="8" w:space="0"/>
              <w:left w:val="single" w:color="auto" w:sz="8" w:space="0"/>
              <w:bottom w:val="single" w:color="auto" w:sz="4" w:space="0"/>
              <w:tl2br w:val="single" w:color="auto" w:sz="6" w:space="0"/>
            </w:tcBorders>
            <w:tcMar>
              <w:top w:w="0" w:type="dxa"/>
              <w:left w:w="11" w:type="dxa"/>
              <w:bottom w:w="0" w:type="dxa"/>
              <w:right w:w="11" w:type="dxa"/>
            </w:tcMar>
            <w:vAlign w:val="center"/>
          </w:tcPr>
          <w:p>
            <w:pPr>
              <w:ind w:right="211"/>
              <w:jc w:val="right"/>
              <w:rPr>
                <w:b/>
                <w:bCs/>
                <w:color w:val="000000"/>
                <w:szCs w:val="21"/>
              </w:rPr>
            </w:pPr>
            <w:r>
              <w:rPr>
                <w:rFonts w:hint="eastAsia"/>
                <w:b/>
                <w:bCs/>
                <w:color w:val="000000"/>
                <w:szCs w:val="21"/>
              </w:rPr>
              <w:t>指标</w:t>
            </w:r>
          </w:p>
          <w:p>
            <w:pPr>
              <w:rPr>
                <w:rFonts w:ascii="Calibri" w:hAnsi="Calibri"/>
                <w:szCs w:val="24"/>
              </w:rPr>
            </w:pPr>
          </w:p>
          <w:p>
            <w:pPr>
              <w:jc w:val="left"/>
              <w:rPr>
                <w:b/>
                <w:bCs/>
                <w:color w:val="000000"/>
                <w:szCs w:val="21"/>
              </w:rPr>
            </w:pPr>
            <w:r>
              <w:rPr>
                <w:rFonts w:hint="eastAsia"/>
                <w:b/>
                <w:bCs/>
                <w:color w:val="000000"/>
                <w:szCs w:val="21"/>
              </w:rPr>
              <w:t>处理构筑物</w:t>
            </w:r>
          </w:p>
        </w:tc>
        <w:tc>
          <w:tcPr>
            <w:tcW w:w="1151" w:type="dxa"/>
            <w:vMerge w:val="restart"/>
            <w:tcBorders>
              <w:top w:val="single" w:color="auto" w:sz="8"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污染源</w:t>
            </w:r>
          </w:p>
        </w:tc>
        <w:tc>
          <w:tcPr>
            <w:tcW w:w="5634" w:type="dxa"/>
            <w:gridSpan w:val="7"/>
            <w:tcBorders>
              <w:top w:val="single" w:color="auto" w:sz="8" w:space="0"/>
              <w:bottom w:val="single" w:color="auto" w:sz="4" w:space="0"/>
              <w:right w:val="single" w:color="auto" w:sz="8" w:space="0"/>
            </w:tcBorders>
            <w:tcMar>
              <w:top w:w="0" w:type="dxa"/>
              <w:left w:w="11" w:type="dxa"/>
              <w:bottom w:w="0" w:type="dxa"/>
              <w:right w:w="11" w:type="dxa"/>
            </w:tcMar>
            <w:vAlign w:val="center"/>
          </w:tcPr>
          <w:p>
            <w:pPr>
              <w:jc w:val="center"/>
              <w:rPr>
                <w:b/>
                <w:bCs/>
                <w:color w:val="000000"/>
                <w:szCs w:val="21"/>
              </w:rPr>
            </w:pPr>
            <w:r>
              <w:rPr>
                <w:b/>
                <w:bCs/>
                <w:color w:val="000000"/>
                <w:szCs w:val="21"/>
              </w:rPr>
              <w:t>污染物浓度(mg/L)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b/>
                <w:bCs/>
                <w:color w:val="000000"/>
                <w:szCs w:val="21"/>
              </w:rPr>
            </w:pPr>
          </w:p>
        </w:tc>
        <w:tc>
          <w:tcPr>
            <w:tcW w:w="1151" w:type="dxa"/>
            <w:vMerge w:val="continue"/>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COD</w:t>
            </w:r>
            <w:r>
              <w:rPr>
                <w:rFonts w:hint="eastAsia"/>
                <w:b/>
                <w:bCs/>
                <w:color w:val="000000"/>
                <w:szCs w:val="21"/>
              </w:rPr>
              <w:t>cr</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BOD</w:t>
            </w:r>
            <w:r>
              <w:rPr>
                <w:b/>
                <w:bCs/>
                <w:color w:val="000000"/>
                <w:szCs w:val="21"/>
                <w:vertAlign w:val="subscript"/>
              </w:rPr>
              <w:t>5</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SS</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NH</w:t>
            </w:r>
            <w:r>
              <w:rPr>
                <w:b/>
                <w:bCs/>
                <w:color w:val="000000"/>
                <w:szCs w:val="21"/>
                <w:vertAlign w:val="subscript"/>
              </w:rPr>
              <w:t>3</w:t>
            </w:r>
            <w:r>
              <w:rPr>
                <w:b/>
                <w:bCs/>
                <w:color w:val="000000"/>
                <w:szCs w:val="21"/>
              </w:rPr>
              <w:t>-N</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TN</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b/>
                <w:bCs/>
                <w:color w:val="000000"/>
                <w:szCs w:val="21"/>
              </w:rPr>
            </w:pPr>
            <w:r>
              <w:rPr>
                <w:b/>
                <w:bCs/>
                <w:color w:val="000000"/>
                <w:szCs w:val="21"/>
              </w:rPr>
              <w:t>TP</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b/>
                <w:bCs/>
                <w:color w:val="000000"/>
                <w:szCs w:val="21"/>
              </w:rPr>
            </w:pPr>
            <w:r>
              <w:rPr>
                <w:rFonts w:hint="eastAsia"/>
                <w:b/>
                <w:bCs/>
                <w:color w:val="000000"/>
                <w:szCs w:val="21"/>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restart"/>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格栅</w:t>
            </w:r>
            <w:r>
              <w:rPr>
                <w:color w:val="000000"/>
                <w:szCs w:val="21"/>
              </w:rPr>
              <w:t>+</w:t>
            </w:r>
            <w:r>
              <w:rPr>
                <w:rFonts w:hint="eastAsia"/>
                <w:color w:val="000000"/>
                <w:szCs w:val="21"/>
              </w:rPr>
              <w:t>集水池+超微过滤机+初沉池</w:t>
            </w:r>
          </w:p>
        </w:tc>
        <w:tc>
          <w:tcPr>
            <w:tcW w:w="11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进水</w:t>
            </w: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3</w:t>
            </w:r>
            <w:r>
              <w:rPr>
                <w:rFonts w:hint="eastAsia"/>
                <w:color w:val="000000"/>
                <w:szCs w:val="21"/>
              </w:rPr>
              <w:t>000</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2</w:t>
            </w:r>
            <w:r>
              <w:rPr>
                <w:rFonts w:hint="eastAsia"/>
                <w:color w:val="000000"/>
                <w:szCs w:val="21"/>
              </w:rPr>
              <w:t>00</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1</w:t>
            </w:r>
            <w:r>
              <w:rPr>
                <w:rFonts w:hint="eastAsia"/>
                <w:color w:val="000000"/>
                <w:szCs w:val="21"/>
              </w:rPr>
              <w:t>5</w:t>
            </w:r>
            <w:r>
              <w:rPr>
                <w:color w:val="000000"/>
                <w:szCs w:val="21"/>
              </w:rPr>
              <w:t>00</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100</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200</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30</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11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去除率%</w:t>
            </w: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0</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4</w:t>
            </w:r>
            <w:r>
              <w:rPr>
                <w:color w:val="000000"/>
                <w:szCs w:val="21"/>
              </w:rPr>
              <w:t>0</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60</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5</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15</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11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出水</w:t>
            </w: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500</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20</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00</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5</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70</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2</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restart"/>
            <w:tcBorders>
              <w:top w:val="single" w:color="auto" w:sz="4" w:space="0"/>
              <w:lef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水解酸化池</w:t>
            </w:r>
          </w:p>
        </w:tc>
        <w:tc>
          <w:tcPr>
            <w:tcW w:w="11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进水</w:t>
            </w: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500</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20</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00</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5</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70</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2</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continue"/>
            <w:tcBorders>
              <w:left w:val="single" w:color="auto" w:sz="8" w:space="0"/>
            </w:tcBorders>
            <w:tcMar>
              <w:top w:w="0" w:type="dxa"/>
              <w:left w:w="11" w:type="dxa"/>
              <w:bottom w:w="0" w:type="dxa"/>
              <w:right w:w="11" w:type="dxa"/>
            </w:tcMar>
            <w:vAlign w:val="center"/>
          </w:tcPr>
          <w:p>
            <w:pPr>
              <w:jc w:val="center"/>
              <w:rPr>
                <w:color w:val="000000"/>
                <w:szCs w:val="21"/>
              </w:rPr>
            </w:pPr>
          </w:p>
        </w:tc>
        <w:tc>
          <w:tcPr>
            <w:tcW w:w="11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去除率%</w:t>
            </w: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0</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0</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-15</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r>
              <w:rPr>
                <w:color w:val="000000"/>
                <w:szCs w:val="21"/>
              </w:rPr>
              <w:t>5</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r>
              <w:rPr>
                <w:color w:val="000000"/>
                <w:szCs w:val="21"/>
              </w:rPr>
              <w:t>10</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continue"/>
            <w:tcBorders>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11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出水</w:t>
            </w: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050</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04</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2</w:t>
            </w:r>
            <w:r>
              <w:rPr>
                <w:color w:val="000000"/>
                <w:szCs w:val="21"/>
              </w:rPr>
              <w:t>40</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9</w:t>
            </w:r>
            <w:r>
              <w:rPr>
                <w:color w:val="000000"/>
                <w:szCs w:val="21"/>
              </w:rPr>
              <w:t>7.8</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78.5</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3.2</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restart"/>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A</w:t>
            </w:r>
            <w:r>
              <w:rPr>
                <w:color w:val="000000"/>
                <w:szCs w:val="21"/>
                <w:vertAlign w:val="superscript"/>
              </w:rPr>
              <w:t>2</w:t>
            </w:r>
            <w:r>
              <w:rPr>
                <w:color w:val="000000"/>
                <w:szCs w:val="21"/>
              </w:rPr>
              <w:t>O</w:t>
            </w:r>
            <w:r>
              <w:rPr>
                <w:rFonts w:hint="eastAsia"/>
                <w:color w:val="000000"/>
                <w:szCs w:val="21"/>
              </w:rPr>
              <w:t>反应池+二沉池</w:t>
            </w:r>
          </w:p>
        </w:tc>
        <w:tc>
          <w:tcPr>
            <w:tcW w:w="11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进水</w:t>
            </w: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050</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04</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2</w:t>
            </w:r>
            <w:r>
              <w:rPr>
                <w:color w:val="000000"/>
                <w:szCs w:val="21"/>
              </w:rPr>
              <w:t>40</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9</w:t>
            </w:r>
            <w:r>
              <w:rPr>
                <w:color w:val="000000"/>
                <w:szCs w:val="21"/>
              </w:rPr>
              <w:t>7.8</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78.5</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3.2</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11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去除率%</w:t>
            </w: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9</w:t>
            </w:r>
            <w:r>
              <w:rPr>
                <w:color w:val="000000"/>
                <w:szCs w:val="21"/>
              </w:rPr>
              <w:t>0</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9</w:t>
            </w:r>
            <w:r>
              <w:rPr>
                <w:color w:val="000000"/>
                <w:szCs w:val="21"/>
              </w:rPr>
              <w:t>5</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80</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0</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0</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6</w:t>
            </w: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11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出水</w:t>
            </w: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05</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2</w:t>
            </w:r>
            <w:r>
              <w:rPr>
                <w:color w:val="000000"/>
                <w:szCs w:val="21"/>
              </w:rPr>
              <w:t>5.2</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4</w:t>
            </w:r>
            <w:r>
              <w:rPr>
                <w:color w:val="000000"/>
                <w:szCs w:val="21"/>
              </w:rPr>
              <w:t>8</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9.6</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5.7</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.3</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restart"/>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三沉池</w:t>
            </w:r>
          </w:p>
        </w:tc>
        <w:tc>
          <w:tcPr>
            <w:tcW w:w="11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进水</w:t>
            </w: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05</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2</w:t>
            </w:r>
            <w:r>
              <w:rPr>
                <w:color w:val="000000"/>
                <w:szCs w:val="21"/>
              </w:rPr>
              <w:t>5.2</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4</w:t>
            </w:r>
            <w:r>
              <w:rPr>
                <w:color w:val="000000"/>
                <w:szCs w:val="21"/>
              </w:rPr>
              <w:t>8</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9.6</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5.7</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r>
              <w:rPr>
                <w:color w:val="000000"/>
                <w:szCs w:val="21"/>
              </w:rPr>
              <w:t>.3</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11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去除率%</w:t>
            </w: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0</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0</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70</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8</w:t>
            </w:r>
            <w:r>
              <w:rPr>
                <w:color w:val="000000"/>
                <w:szCs w:val="21"/>
              </w:rPr>
              <w:t>5</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vMerge w:val="continue"/>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p>
        </w:tc>
        <w:tc>
          <w:tcPr>
            <w:tcW w:w="11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出水</w:t>
            </w: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7</w:t>
            </w:r>
            <w:r>
              <w:rPr>
                <w:color w:val="000000"/>
                <w:szCs w:val="21"/>
              </w:rPr>
              <w:t>3.5</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7.6</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4.4</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1</w:t>
            </w:r>
            <w:r>
              <w:rPr>
                <w:color w:val="000000"/>
                <w:szCs w:val="21"/>
              </w:rPr>
              <w:t>9.6</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3</w:t>
            </w:r>
            <w:r>
              <w:rPr>
                <w:color w:val="000000"/>
                <w:szCs w:val="21"/>
              </w:rPr>
              <w:t>5.7</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0.8</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tcBorders>
              <w:top w:val="single" w:color="auto" w:sz="4" w:space="0"/>
              <w:left w:val="single" w:color="auto" w:sz="8"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《污水综合排放标准》（GB8978-1996）表4</w:t>
            </w:r>
            <w:r>
              <w:rPr>
                <w:rFonts w:hint="eastAsia"/>
                <w:color w:val="000000"/>
                <w:szCs w:val="21"/>
              </w:rPr>
              <w:t>二</w:t>
            </w:r>
            <w:r>
              <w:rPr>
                <w:color w:val="000000"/>
                <w:szCs w:val="21"/>
              </w:rPr>
              <w:t>级标准</w:t>
            </w:r>
          </w:p>
        </w:tc>
        <w:tc>
          <w:tcPr>
            <w:tcW w:w="1151"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color w:val="000000"/>
                <w:szCs w:val="21"/>
              </w:rPr>
              <w:t>/</w:t>
            </w:r>
          </w:p>
        </w:tc>
        <w:tc>
          <w:tcPr>
            <w:tcW w:w="815"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814"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94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679"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746" w:type="dxa"/>
            <w:tcBorders>
              <w:top w:val="single" w:color="auto" w:sz="4" w:space="0"/>
              <w:bottom w:val="single" w:color="auto" w:sz="4"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c>
          <w:tcPr>
            <w:tcW w:w="952" w:type="dxa"/>
            <w:tcBorders>
              <w:top w:val="single" w:color="auto" w:sz="4" w:space="0"/>
              <w:bottom w:val="single" w:color="auto" w:sz="4" w:space="0"/>
              <w:right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550" w:type="dxa"/>
            <w:tcBorders>
              <w:top w:val="single" w:color="auto" w:sz="4" w:space="0"/>
              <w:left w:val="single" w:color="auto" w:sz="8" w:space="0"/>
              <w:bottom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原阳县产业集聚区污水处理厂进水水质</w:t>
            </w:r>
            <w:r>
              <w:rPr>
                <w:color w:val="000000"/>
                <w:szCs w:val="21"/>
              </w:rPr>
              <w:t>标准</w:t>
            </w:r>
          </w:p>
        </w:tc>
        <w:tc>
          <w:tcPr>
            <w:tcW w:w="1151"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w:t>
            </w:r>
          </w:p>
        </w:tc>
        <w:tc>
          <w:tcPr>
            <w:tcW w:w="815"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420</w:t>
            </w:r>
          </w:p>
        </w:tc>
        <w:tc>
          <w:tcPr>
            <w:tcW w:w="814"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21</w:t>
            </w:r>
            <w:r>
              <w:rPr>
                <w:rFonts w:hint="eastAsia"/>
                <w:color w:val="000000"/>
                <w:szCs w:val="21"/>
              </w:rPr>
              <w:t>0</w:t>
            </w:r>
          </w:p>
        </w:tc>
        <w:tc>
          <w:tcPr>
            <w:tcW w:w="679"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350</w:t>
            </w:r>
          </w:p>
        </w:tc>
        <w:tc>
          <w:tcPr>
            <w:tcW w:w="949"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40</w:t>
            </w:r>
          </w:p>
        </w:tc>
        <w:tc>
          <w:tcPr>
            <w:tcW w:w="679"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50</w:t>
            </w:r>
          </w:p>
        </w:tc>
        <w:tc>
          <w:tcPr>
            <w:tcW w:w="746" w:type="dxa"/>
            <w:tcBorders>
              <w:top w:val="single" w:color="auto" w:sz="4" w:space="0"/>
              <w:bottom w:val="single" w:color="auto" w:sz="8" w:space="0"/>
            </w:tcBorders>
            <w:tcMar>
              <w:top w:w="0" w:type="dxa"/>
              <w:left w:w="11" w:type="dxa"/>
              <w:bottom w:w="0" w:type="dxa"/>
              <w:right w:w="11" w:type="dxa"/>
            </w:tcMar>
            <w:vAlign w:val="center"/>
          </w:tcPr>
          <w:p>
            <w:pPr>
              <w:jc w:val="center"/>
              <w:rPr>
                <w:color w:val="000000"/>
                <w:szCs w:val="21"/>
              </w:rPr>
            </w:pPr>
            <w:r>
              <w:rPr>
                <w:color w:val="000000"/>
                <w:szCs w:val="21"/>
              </w:rPr>
              <w:t>4</w:t>
            </w:r>
          </w:p>
        </w:tc>
        <w:tc>
          <w:tcPr>
            <w:tcW w:w="952" w:type="dxa"/>
            <w:tcBorders>
              <w:top w:val="single" w:color="auto" w:sz="4" w:space="0"/>
              <w:bottom w:val="single" w:color="auto" w:sz="8" w:space="0"/>
              <w:right w:val="single" w:color="auto" w:sz="8" w:space="0"/>
            </w:tcBorders>
            <w:tcMar>
              <w:top w:w="0" w:type="dxa"/>
              <w:left w:w="11" w:type="dxa"/>
              <w:bottom w:w="0" w:type="dxa"/>
              <w:right w:w="11" w:type="dxa"/>
            </w:tcMar>
            <w:vAlign w:val="center"/>
          </w:tcPr>
          <w:p>
            <w:pPr>
              <w:jc w:val="center"/>
              <w:rPr>
                <w:color w:val="000000"/>
                <w:szCs w:val="21"/>
              </w:rPr>
            </w:pPr>
            <w:r>
              <w:rPr>
                <w:rFonts w:hint="eastAsia"/>
                <w:color w:val="000000"/>
                <w:szCs w:val="21"/>
              </w:rPr>
              <w:t>—</w:t>
            </w:r>
          </w:p>
        </w:tc>
      </w:tr>
    </w:tbl>
    <w:p>
      <w:pPr>
        <w:spacing w:line="520" w:lineRule="exact"/>
        <w:ind w:firstLine="480" w:firstLineChars="200"/>
        <w:rPr>
          <w:sz w:val="24"/>
          <w:szCs w:val="24"/>
        </w:rPr>
      </w:pPr>
      <w:r>
        <w:rPr>
          <w:rFonts w:hint="eastAsia"/>
          <w:sz w:val="24"/>
          <w:szCs w:val="24"/>
        </w:rPr>
        <w:t>根据上表，本项目污水处理站废水出水动植物油污染浓度达到《污水综合排放标准》（G</w:t>
      </w:r>
      <w:r>
        <w:rPr>
          <w:sz w:val="24"/>
          <w:szCs w:val="24"/>
        </w:rPr>
        <w:t>B 8978-1996</w:t>
      </w:r>
      <w:r>
        <w:rPr>
          <w:rFonts w:hint="eastAsia"/>
          <w:sz w:val="24"/>
          <w:szCs w:val="24"/>
        </w:rPr>
        <w:t>）中二级标准：动植物油1</w:t>
      </w:r>
      <w:r>
        <w:rPr>
          <w:sz w:val="24"/>
          <w:szCs w:val="24"/>
        </w:rPr>
        <w:t>5mg/L</w:t>
      </w:r>
      <w:r>
        <w:rPr>
          <w:rFonts w:hint="eastAsia"/>
          <w:sz w:val="24"/>
          <w:szCs w:val="24"/>
        </w:rPr>
        <w:t>的标准限值，其他污染物满足原阳县产业集聚区污水处理厂收水标准（</w:t>
      </w:r>
      <w:r>
        <w:rPr>
          <w:sz w:val="24"/>
          <w:szCs w:val="24"/>
        </w:rPr>
        <w:t>COD 420</w:t>
      </w:r>
      <w:r>
        <w:rPr>
          <w:rFonts w:hint="eastAsia"/>
          <w:sz w:val="24"/>
          <w:szCs w:val="24"/>
        </w:rPr>
        <w:t>mg/L、B</w:t>
      </w:r>
      <w:r>
        <w:rPr>
          <w:sz w:val="24"/>
          <w:szCs w:val="24"/>
        </w:rPr>
        <w:t>OD</w:t>
      </w:r>
      <w:r>
        <w:rPr>
          <w:sz w:val="24"/>
          <w:szCs w:val="24"/>
          <w:vertAlign w:val="subscript"/>
        </w:rPr>
        <w:t>5</w:t>
      </w:r>
      <w:r>
        <w:rPr>
          <w:sz w:val="24"/>
          <w:szCs w:val="24"/>
        </w:rPr>
        <w:t xml:space="preserve"> 210</w:t>
      </w:r>
      <w:r>
        <w:rPr>
          <w:rFonts w:hint="eastAsia"/>
          <w:sz w:val="24"/>
          <w:szCs w:val="24"/>
        </w:rPr>
        <w:t>mg/L、S</w:t>
      </w:r>
      <w:r>
        <w:rPr>
          <w:sz w:val="24"/>
          <w:szCs w:val="24"/>
        </w:rPr>
        <w:t>S 350</w:t>
      </w:r>
      <w:r>
        <w:rPr>
          <w:rFonts w:hint="eastAsia"/>
          <w:sz w:val="24"/>
          <w:szCs w:val="24"/>
        </w:rPr>
        <w:t>mg/L、氨氮</w:t>
      </w:r>
      <w:r>
        <w:rPr>
          <w:sz w:val="24"/>
          <w:szCs w:val="24"/>
        </w:rPr>
        <w:t>40</w:t>
      </w:r>
      <w:r>
        <w:rPr>
          <w:rFonts w:hint="eastAsia"/>
          <w:sz w:val="24"/>
          <w:szCs w:val="24"/>
        </w:rPr>
        <w:t>mg/L、T</w:t>
      </w:r>
      <w:r>
        <w:rPr>
          <w:sz w:val="24"/>
          <w:szCs w:val="24"/>
        </w:rPr>
        <w:t>P 4</w:t>
      </w:r>
      <w:r>
        <w:rPr>
          <w:rFonts w:hint="eastAsia"/>
          <w:sz w:val="24"/>
          <w:szCs w:val="24"/>
        </w:rPr>
        <w:t>mg/L、T</w:t>
      </w:r>
      <w:r>
        <w:rPr>
          <w:sz w:val="24"/>
          <w:szCs w:val="24"/>
        </w:rPr>
        <w:t>N 50</w:t>
      </w:r>
      <w:r>
        <w:rPr>
          <w:rFonts w:hint="eastAsia"/>
          <w:sz w:val="24"/>
          <w:szCs w:val="24"/>
        </w:rPr>
        <w:t>mg/L）。</w:t>
      </w:r>
    </w:p>
    <w:p>
      <w:pPr>
        <w:spacing w:line="520" w:lineRule="exact"/>
        <w:outlineLvl w:val="3"/>
        <w:rPr>
          <w:kern w:val="0"/>
          <w:sz w:val="24"/>
          <w:szCs w:val="28"/>
        </w:rPr>
      </w:pPr>
      <w:r>
        <w:rPr>
          <w:kern w:val="0"/>
          <w:sz w:val="24"/>
          <w:szCs w:val="28"/>
        </w:rPr>
        <w:t>7.2.1.4污水处理费用合理性分析</w:t>
      </w:r>
    </w:p>
    <w:p>
      <w:pPr>
        <w:spacing w:line="520" w:lineRule="exact"/>
        <w:ind w:firstLine="480" w:firstLineChars="200"/>
        <w:rPr>
          <w:kern w:val="0"/>
          <w:sz w:val="24"/>
          <w:szCs w:val="24"/>
          <w:lang w:bidi="ar"/>
        </w:rPr>
      </w:pPr>
      <w:r>
        <w:rPr>
          <w:kern w:val="0"/>
          <w:sz w:val="24"/>
          <w:szCs w:val="24"/>
          <w:lang w:bidi="ar"/>
        </w:rPr>
        <w:t>污水处理费用包括药剂费、电费、人员工资等，废水处理费用</w:t>
      </w:r>
      <w:r>
        <w:rPr>
          <w:rFonts w:hint="eastAsia"/>
          <w:kern w:val="0"/>
          <w:sz w:val="24"/>
          <w:szCs w:val="24"/>
          <w:lang w:bidi="ar"/>
        </w:rPr>
        <w:t>最高</w:t>
      </w:r>
      <w:r>
        <w:rPr>
          <w:kern w:val="0"/>
          <w:sz w:val="24"/>
          <w:szCs w:val="24"/>
          <w:lang w:bidi="ar"/>
        </w:rPr>
        <w:t>约138.7万元</w:t>
      </w:r>
      <w:r>
        <w:rPr>
          <w:rFonts w:hint="eastAsia"/>
          <w:kern w:val="0"/>
          <w:sz w:val="24"/>
          <w:szCs w:val="24"/>
          <w:lang w:bidi="ar"/>
        </w:rPr>
        <w:t>/年，详见下表。</w:t>
      </w:r>
    </w:p>
    <w:p>
      <w:pPr>
        <w:spacing w:line="500" w:lineRule="exact"/>
        <w:ind w:firstLine="480"/>
        <w:rPr>
          <w:rFonts w:eastAsia="黑体"/>
          <w:sz w:val="24"/>
          <w:szCs w:val="24"/>
        </w:rPr>
      </w:pPr>
      <w:r>
        <w:rPr>
          <w:rFonts w:eastAsia="黑体"/>
          <w:sz w:val="24"/>
          <w:szCs w:val="24"/>
        </w:rPr>
        <w:t xml:space="preserve">表7.2-3             </w:t>
      </w:r>
      <w:r>
        <w:rPr>
          <w:rFonts w:hint="eastAsia" w:eastAsia="黑体"/>
          <w:sz w:val="24"/>
          <w:szCs w:val="24"/>
        </w:rPr>
        <w:t>污水处理费用一览表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2082"/>
        <w:gridCol w:w="3128"/>
        <w:gridCol w:w="2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Cs w:val="21"/>
              </w:rPr>
            </w:pPr>
            <w:r>
              <w:rPr>
                <w:rFonts w:hint="eastAsia"/>
                <w:b/>
                <w:bCs/>
                <w:szCs w:val="21"/>
              </w:rPr>
              <w:t>序号</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Cs w:val="21"/>
              </w:rPr>
            </w:pPr>
            <w:r>
              <w:rPr>
                <w:rFonts w:hint="eastAsia"/>
                <w:b/>
                <w:bCs/>
                <w:szCs w:val="21"/>
              </w:rPr>
              <w:t>费用名称</w:t>
            </w:r>
          </w:p>
        </w:tc>
        <w:tc>
          <w:tcPr>
            <w:tcW w:w="298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Cs w:val="21"/>
              </w:rPr>
            </w:pPr>
            <w:r>
              <w:rPr>
                <w:rFonts w:hint="eastAsia"/>
                <w:b/>
                <w:bCs/>
                <w:szCs w:val="24"/>
              </w:rPr>
              <w:t>单价（元/m</w:t>
            </w:r>
            <w:r>
              <w:rPr>
                <w:rFonts w:hint="eastAsia"/>
                <w:b/>
                <w:bCs/>
                <w:szCs w:val="24"/>
                <w:vertAlign w:val="superscript"/>
              </w:rPr>
              <w:t>3</w:t>
            </w:r>
            <w:r>
              <w:rPr>
                <w:rFonts w:hint="eastAsia"/>
                <w:b/>
                <w:bCs/>
                <w:szCs w:val="24"/>
              </w:rPr>
              <w:t>废水）</w:t>
            </w:r>
          </w:p>
        </w:tc>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Cs w:val="21"/>
              </w:rPr>
            </w:pPr>
            <w:r>
              <w:rPr>
                <w:rFonts w:hint="eastAsia"/>
                <w:b/>
                <w:bCs/>
                <w:szCs w:val="24"/>
              </w:rPr>
              <w:t>总价（万元/年）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1</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szCs w:val="24"/>
              </w:rPr>
              <w:t>药剂费</w:t>
            </w:r>
          </w:p>
        </w:tc>
        <w:tc>
          <w:tcPr>
            <w:tcW w:w="2982"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0</w:t>
            </w:r>
            <w:r>
              <w:rPr>
                <w:szCs w:val="24"/>
              </w:rPr>
              <w:t>.61-0.94</w:t>
            </w:r>
          </w:p>
        </w:tc>
        <w:tc>
          <w:tcPr>
            <w:tcW w:w="2178"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36.6</w:t>
            </w:r>
            <w:r>
              <w:rPr>
                <w:szCs w:val="24"/>
              </w:rPr>
              <w:t>-</w:t>
            </w:r>
            <w:r>
              <w:rPr>
                <w:rFonts w:hint="eastAsia"/>
                <w:szCs w:val="24"/>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2</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szCs w:val="24"/>
              </w:rPr>
              <w:t>电费</w:t>
            </w:r>
          </w:p>
        </w:tc>
        <w:tc>
          <w:tcPr>
            <w:tcW w:w="2982"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0</w:t>
            </w:r>
            <w:r>
              <w:rPr>
                <w:szCs w:val="24"/>
              </w:rPr>
              <w:t>.74</w:t>
            </w:r>
          </w:p>
        </w:tc>
        <w:tc>
          <w:tcPr>
            <w:tcW w:w="2178"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3</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人工费</w:t>
            </w:r>
          </w:p>
        </w:tc>
        <w:tc>
          <w:tcPr>
            <w:tcW w:w="2982"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0</w:t>
            </w:r>
            <w:r>
              <w:rPr>
                <w:szCs w:val="24"/>
              </w:rPr>
              <w:t>.22</w:t>
            </w:r>
          </w:p>
        </w:tc>
        <w:tc>
          <w:tcPr>
            <w:tcW w:w="2178"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合计</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w:t>
            </w:r>
          </w:p>
        </w:tc>
        <w:tc>
          <w:tcPr>
            <w:tcW w:w="2982"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1</w:t>
            </w:r>
            <w:r>
              <w:rPr>
                <w:szCs w:val="24"/>
              </w:rPr>
              <w:t>.57-1.90</w:t>
            </w:r>
          </w:p>
        </w:tc>
        <w:tc>
          <w:tcPr>
            <w:tcW w:w="2178"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94.2</w:t>
            </w:r>
            <w:r>
              <w:rPr>
                <w:szCs w:val="24"/>
              </w:rPr>
              <w:t>-</w:t>
            </w:r>
            <w:r>
              <w:rPr>
                <w:rFonts w:hint="eastAsia"/>
                <w:szCs w:val="24"/>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9" w:type="dxa"/>
            <w:gridSpan w:val="4"/>
            <w:tcBorders>
              <w:top w:val="single" w:color="auto" w:sz="4" w:space="0"/>
              <w:left w:val="single" w:color="auto" w:sz="4" w:space="0"/>
              <w:bottom w:val="single" w:color="auto" w:sz="4" w:space="0"/>
              <w:right w:val="single" w:color="auto" w:sz="4" w:space="0"/>
            </w:tcBorders>
            <w:vAlign w:val="center"/>
          </w:tcPr>
          <w:p>
            <w:pPr>
              <w:jc w:val="center"/>
              <w:rPr>
                <w:szCs w:val="24"/>
              </w:rPr>
            </w:pPr>
            <w:r>
              <w:rPr>
                <w:rFonts w:hint="eastAsia"/>
                <w:szCs w:val="24"/>
              </w:rPr>
              <w:t>废水处理量60万m</w:t>
            </w:r>
            <w:r>
              <w:rPr>
                <w:szCs w:val="24"/>
                <w:vertAlign w:val="superscript"/>
              </w:rPr>
              <w:t>3</w:t>
            </w:r>
            <w:r>
              <w:rPr>
                <w:szCs w:val="24"/>
              </w:rPr>
              <w:t>/</w:t>
            </w:r>
            <w:r>
              <w:rPr>
                <w:rFonts w:hint="eastAsia"/>
                <w:szCs w:val="24"/>
              </w:rPr>
              <w:t>年</w:t>
            </w:r>
          </w:p>
        </w:tc>
      </w:tr>
    </w:tbl>
    <w:p>
      <w:pPr>
        <w:spacing w:line="520" w:lineRule="exact"/>
        <w:ind w:firstLine="480" w:firstLineChars="200"/>
        <w:rPr>
          <w:kern w:val="0"/>
          <w:sz w:val="24"/>
          <w:szCs w:val="24"/>
          <w:lang w:bidi="ar"/>
        </w:rPr>
      </w:pPr>
      <w:r>
        <w:rPr>
          <w:kern w:val="0"/>
          <w:sz w:val="24"/>
          <w:szCs w:val="24"/>
          <w:lang w:bidi="ar"/>
        </w:rPr>
        <w:t>本项目建成后年均净利润4940.95万元，占年均净利润的2.</w:t>
      </w:r>
      <w:r>
        <w:rPr>
          <w:rFonts w:hint="eastAsia"/>
          <w:kern w:val="0"/>
          <w:sz w:val="24"/>
          <w:szCs w:val="24"/>
          <w:lang w:bidi="ar"/>
        </w:rPr>
        <w:t>3</w:t>
      </w:r>
      <w:r>
        <w:rPr>
          <w:kern w:val="0"/>
          <w:sz w:val="24"/>
          <w:szCs w:val="24"/>
          <w:lang w:bidi="ar"/>
        </w:rPr>
        <w:t>1%，占比较小，在企业能够承受的范围之内。</w:t>
      </w:r>
    </w:p>
    <w:p>
      <w:pPr>
        <w:adjustRightInd w:val="0"/>
        <w:snapToGrid w:val="0"/>
        <w:spacing w:line="520" w:lineRule="exact"/>
        <w:ind w:firstLine="480" w:firstLineChars="200"/>
        <w:textAlignment w:val="baseline"/>
        <w:rPr>
          <w:kern w:val="0"/>
          <w:sz w:val="24"/>
          <w:szCs w:val="24"/>
        </w:rPr>
      </w:pPr>
      <w:r>
        <w:rPr>
          <w:kern w:val="0"/>
          <w:sz w:val="24"/>
          <w:szCs w:val="20"/>
        </w:rPr>
        <w:t>根据以上技术、经济分析，评价认为厂区废水处理工艺成熟、可靠，能保证本项目废水稳定达标排放，措施可行</w:t>
      </w:r>
      <w:r>
        <w:rPr>
          <w:kern w:val="0"/>
          <w:sz w:val="24"/>
          <w:szCs w:val="24"/>
        </w:rPr>
        <w:t>。</w:t>
      </w:r>
    </w:p>
    <w:p>
      <w:pPr>
        <w:spacing w:line="520" w:lineRule="exact"/>
        <w:outlineLvl w:val="3"/>
        <w:rPr>
          <w:kern w:val="0"/>
          <w:sz w:val="24"/>
          <w:szCs w:val="28"/>
        </w:rPr>
      </w:pPr>
      <w:r>
        <w:rPr>
          <w:kern w:val="0"/>
          <w:sz w:val="24"/>
          <w:szCs w:val="28"/>
        </w:rPr>
        <w:t>7.2.1.5</w:t>
      </w:r>
      <w:r>
        <w:rPr>
          <w:rFonts w:hint="eastAsia"/>
          <w:kern w:val="0"/>
          <w:sz w:val="24"/>
          <w:szCs w:val="28"/>
        </w:rPr>
        <w:t>原阳县产业集聚区</w:t>
      </w:r>
      <w:r>
        <w:rPr>
          <w:kern w:val="0"/>
          <w:sz w:val="24"/>
          <w:szCs w:val="28"/>
        </w:rPr>
        <w:t>污水处理厂运行情况</w:t>
      </w:r>
    </w:p>
    <w:p>
      <w:pPr>
        <w:spacing w:line="520" w:lineRule="exact"/>
        <w:ind w:firstLine="480" w:firstLineChars="200"/>
        <w:rPr>
          <w:sz w:val="24"/>
          <w:szCs w:val="24"/>
          <w:highlight w:val="yellow"/>
        </w:rPr>
      </w:pPr>
      <w:bookmarkStart w:id="165" w:name="_Hlk97374583"/>
      <w:r>
        <w:rPr>
          <w:sz w:val="24"/>
          <w:szCs w:val="24"/>
        </w:rPr>
        <w:t>本工程外排达标废水进入</w:t>
      </w:r>
      <w:r>
        <w:rPr>
          <w:rFonts w:hint="eastAsia"/>
          <w:sz w:val="24"/>
          <w:szCs w:val="24"/>
        </w:rPr>
        <w:t>原阳县产业集聚区</w:t>
      </w:r>
      <w:r>
        <w:rPr>
          <w:sz w:val="24"/>
          <w:szCs w:val="24"/>
        </w:rPr>
        <w:t>污水处理厂进一步处理后排入</w:t>
      </w:r>
      <w:r>
        <w:rPr>
          <w:rFonts w:hint="eastAsia"/>
          <w:sz w:val="24"/>
          <w:szCs w:val="24"/>
        </w:rPr>
        <w:t>东关排，最终汇入文岩渠</w:t>
      </w:r>
      <w:r>
        <w:rPr>
          <w:sz w:val="24"/>
          <w:szCs w:val="24"/>
        </w:rPr>
        <w:t>。</w:t>
      </w:r>
      <w:bookmarkEnd w:id="165"/>
      <w:r>
        <w:rPr>
          <w:rFonts w:hint="eastAsia"/>
          <w:color w:val="000000"/>
          <w:sz w:val="24"/>
          <w:szCs w:val="24"/>
        </w:rPr>
        <w:t>原阳县产业集聚区污水处理厂位于原阳县S</w:t>
      </w:r>
      <w:r>
        <w:rPr>
          <w:color w:val="000000"/>
          <w:sz w:val="24"/>
          <w:szCs w:val="24"/>
        </w:rPr>
        <w:t>310省道与滨河</w:t>
      </w:r>
      <w:r>
        <w:rPr>
          <w:rFonts w:hint="eastAsia"/>
          <w:color w:val="000000"/>
          <w:sz w:val="24"/>
          <w:szCs w:val="24"/>
        </w:rPr>
        <w:t>街交叉口南侧，占地面积6</w:t>
      </w:r>
      <w:r>
        <w:rPr>
          <w:color w:val="000000"/>
          <w:sz w:val="24"/>
          <w:szCs w:val="24"/>
        </w:rPr>
        <w:t>5亩（</w:t>
      </w:r>
      <w:r>
        <w:rPr>
          <w:rFonts w:hint="eastAsia"/>
          <w:color w:val="000000"/>
          <w:sz w:val="24"/>
          <w:szCs w:val="24"/>
        </w:rPr>
        <w:t>4</w:t>
      </w:r>
      <w:r>
        <w:rPr>
          <w:color w:val="000000"/>
          <w:sz w:val="24"/>
          <w:szCs w:val="24"/>
        </w:rPr>
        <w:t>3333.5m</w:t>
      </w:r>
      <w:r>
        <w:rPr>
          <w:color w:val="000000"/>
          <w:sz w:val="24"/>
          <w:szCs w:val="24"/>
          <w:vertAlign w:val="superscript"/>
        </w:rPr>
        <w:t>2</w:t>
      </w:r>
      <w:r>
        <w:rPr>
          <w:color w:val="000000"/>
          <w:sz w:val="24"/>
          <w:szCs w:val="24"/>
        </w:rPr>
        <w:t>）</w:t>
      </w:r>
      <w:r>
        <w:rPr>
          <w:rFonts w:hint="eastAsia"/>
          <w:color w:val="000000"/>
          <w:sz w:val="24"/>
          <w:szCs w:val="24"/>
        </w:rPr>
        <w:t>，设计规模3</w:t>
      </w:r>
      <w:r>
        <w:rPr>
          <w:color w:val="000000"/>
          <w:sz w:val="24"/>
          <w:szCs w:val="24"/>
        </w:rPr>
        <w:t>万</w:t>
      </w:r>
      <w:r>
        <w:rPr>
          <w:rFonts w:hint="eastAsia"/>
          <w:color w:val="000000"/>
          <w:sz w:val="24"/>
          <w:szCs w:val="24"/>
        </w:rPr>
        <w:t>m</w:t>
      </w:r>
      <w:r>
        <w:rPr>
          <w:rFonts w:hint="eastAsia"/>
          <w:color w:val="000000"/>
          <w:sz w:val="24"/>
          <w:szCs w:val="24"/>
          <w:vertAlign w:val="superscript"/>
        </w:rPr>
        <w:t>3</w:t>
      </w:r>
      <w:r>
        <w:rPr>
          <w:rFonts w:hint="eastAsia"/>
          <w:color w:val="000000"/>
          <w:sz w:val="24"/>
          <w:szCs w:val="24"/>
        </w:rPr>
        <w:t>/d，已经建成，收水范围为原阳县产业集聚区，污水处理工艺为“预处理+</w:t>
      </w:r>
      <w:r>
        <w:rPr>
          <w:color w:val="000000"/>
          <w:sz w:val="24"/>
          <w:szCs w:val="24"/>
        </w:rPr>
        <w:t>二级生化处理（</w:t>
      </w:r>
      <w:r>
        <w:rPr>
          <w:rFonts w:hint="eastAsia"/>
          <w:color w:val="000000"/>
          <w:sz w:val="24"/>
          <w:szCs w:val="24"/>
        </w:rPr>
        <w:t>多段式A</w:t>
      </w:r>
      <w:r>
        <w:rPr>
          <w:color w:val="000000"/>
          <w:sz w:val="24"/>
          <w:szCs w:val="24"/>
        </w:rPr>
        <w:t>AO生化池）</w:t>
      </w:r>
      <w:r>
        <w:rPr>
          <w:rFonts w:hint="eastAsia"/>
          <w:color w:val="000000"/>
          <w:sz w:val="24"/>
          <w:szCs w:val="24"/>
        </w:rPr>
        <w:t>+</w:t>
      </w:r>
      <w:r>
        <w:rPr>
          <w:color w:val="000000"/>
          <w:sz w:val="24"/>
          <w:szCs w:val="24"/>
        </w:rPr>
        <w:t>三级深度处理</w:t>
      </w:r>
      <w:r>
        <w:rPr>
          <w:rFonts w:hint="eastAsia"/>
          <w:color w:val="000000"/>
          <w:sz w:val="24"/>
          <w:szCs w:val="24"/>
        </w:rPr>
        <w:t>”，TN、SS指标执行《城镇污水处理厂污染物排放标准》GB18918-2002)中一级A标准（TN</w:t>
      </w:r>
      <w:r>
        <w:rPr>
          <w:color w:val="000000"/>
          <w:sz w:val="24"/>
          <w:szCs w:val="24"/>
        </w:rPr>
        <w:t xml:space="preserve"> 15</w:t>
      </w:r>
      <w:r>
        <w:rPr>
          <w:rFonts w:hint="eastAsia"/>
          <w:color w:val="000000"/>
          <w:sz w:val="24"/>
          <w:szCs w:val="24"/>
        </w:rPr>
        <w:t>mg/L、SS</w:t>
      </w:r>
      <w:r>
        <w:rPr>
          <w:color w:val="000000"/>
          <w:sz w:val="24"/>
          <w:szCs w:val="24"/>
        </w:rPr>
        <w:t xml:space="preserve"> 10</w:t>
      </w:r>
      <w:r>
        <w:rPr>
          <w:rFonts w:hint="eastAsia"/>
          <w:color w:val="000000"/>
          <w:sz w:val="24"/>
          <w:szCs w:val="24"/>
        </w:rPr>
        <w:t>mg/L），COD、BOD</w:t>
      </w:r>
      <w:r>
        <w:rPr>
          <w:rFonts w:hint="eastAsia"/>
          <w:color w:val="000000"/>
          <w:sz w:val="24"/>
          <w:szCs w:val="24"/>
          <w:vertAlign w:val="subscript"/>
        </w:rPr>
        <w:t>5</w:t>
      </w:r>
      <w:r>
        <w:rPr>
          <w:rFonts w:hint="eastAsia"/>
          <w:color w:val="000000"/>
          <w:sz w:val="24"/>
          <w:szCs w:val="24"/>
        </w:rPr>
        <w:t>、NH-N、TP指标执行《地表水环境质量标准》（GB3838-2002）V类水质标准（COD</w:t>
      </w:r>
      <w:r>
        <w:rPr>
          <w:color w:val="000000"/>
          <w:sz w:val="24"/>
          <w:szCs w:val="24"/>
        </w:rPr>
        <w:t xml:space="preserve"> 40</w:t>
      </w:r>
      <w:r>
        <w:rPr>
          <w:rFonts w:hint="eastAsia"/>
          <w:color w:val="000000"/>
          <w:sz w:val="24"/>
          <w:szCs w:val="24"/>
        </w:rPr>
        <w:t>mg/L、BOD</w:t>
      </w:r>
      <w:r>
        <w:rPr>
          <w:rFonts w:hint="eastAsia"/>
          <w:color w:val="000000"/>
          <w:sz w:val="24"/>
          <w:szCs w:val="24"/>
          <w:vertAlign w:val="subscript"/>
        </w:rPr>
        <w:t>5</w:t>
      </w:r>
      <w:r>
        <w:rPr>
          <w:color w:val="000000"/>
          <w:sz w:val="24"/>
          <w:szCs w:val="24"/>
        </w:rPr>
        <w:t xml:space="preserve"> 10</w:t>
      </w:r>
      <w:r>
        <w:rPr>
          <w:rFonts w:hint="eastAsia"/>
          <w:color w:val="000000"/>
          <w:sz w:val="24"/>
          <w:szCs w:val="24"/>
        </w:rPr>
        <w:t>mg/L、NH-N</w:t>
      </w:r>
      <w:r>
        <w:rPr>
          <w:color w:val="000000"/>
          <w:sz w:val="24"/>
          <w:szCs w:val="24"/>
        </w:rPr>
        <w:t xml:space="preserve"> 2</w:t>
      </w:r>
      <w:r>
        <w:rPr>
          <w:rFonts w:hint="eastAsia"/>
          <w:color w:val="000000"/>
          <w:sz w:val="24"/>
          <w:szCs w:val="24"/>
        </w:rPr>
        <w:t>mg/L、TP</w:t>
      </w:r>
      <w:r>
        <w:rPr>
          <w:color w:val="000000"/>
          <w:sz w:val="24"/>
          <w:szCs w:val="24"/>
        </w:rPr>
        <w:t xml:space="preserve"> 0.4</w:t>
      </w:r>
      <w:r>
        <w:rPr>
          <w:rFonts w:hint="eastAsia"/>
          <w:color w:val="000000"/>
          <w:sz w:val="24"/>
          <w:szCs w:val="24"/>
        </w:rPr>
        <w:t>mg/L），排水进入东关排，最终汇入文岩渠。</w:t>
      </w:r>
    </w:p>
    <w:p>
      <w:pPr>
        <w:adjustRightInd w:val="0"/>
        <w:snapToGrid w:val="0"/>
        <w:spacing w:line="520" w:lineRule="exact"/>
        <w:ind w:firstLine="480" w:firstLineChars="200"/>
        <w:textAlignment w:val="baseline"/>
        <w:rPr>
          <w:kern w:val="0"/>
          <w:sz w:val="24"/>
          <w:szCs w:val="20"/>
        </w:rPr>
      </w:pPr>
      <w:r>
        <w:rPr>
          <w:rFonts w:hint="eastAsia"/>
          <w:kern w:val="0"/>
          <w:sz w:val="24"/>
          <w:szCs w:val="20"/>
        </w:rPr>
        <w:t>原阳县产业集聚区</w:t>
      </w:r>
      <w:r>
        <w:rPr>
          <w:kern w:val="0"/>
          <w:sz w:val="24"/>
          <w:szCs w:val="20"/>
        </w:rPr>
        <w:t>污水处理厂进、出水水质指标见表7.2-3、污水处理厂202</w:t>
      </w:r>
      <w:r>
        <w:rPr>
          <w:rFonts w:hint="eastAsia"/>
          <w:kern w:val="0"/>
          <w:sz w:val="24"/>
          <w:szCs w:val="20"/>
        </w:rPr>
        <w:t>3</w:t>
      </w:r>
      <w:r>
        <w:rPr>
          <w:kern w:val="0"/>
          <w:sz w:val="24"/>
          <w:szCs w:val="20"/>
        </w:rPr>
        <w:t>年7-12月份运行情况见表7.2-4。</w:t>
      </w:r>
    </w:p>
    <w:p>
      <w:pPr>
        <w:spacing w:line="500" w:lineRule="exact"/>
        <w:ind w:firstLine="480"/>
        <w:rPr>
          <w:rFonts w:eastAsia="黑体"/>
          <w:sz w:val="24"/>
          <w:szCs w:val="24"/>
        </w:rPr>
      </w:pPr>
      <w:r>
        <w:rPr>
          <w:rFonts w:eastAsia="黑体"/>
          <w:sz w:val="24"/>
          <w:szCs w:val="24"/>
        </w:rPr>
        <w:t>表7.2-3 原阳县</w:t>
      </w:r>
      <w:r>
        <w:rPr>
          <w:rFonts w:hint="eastAsia" w:eastAsia="黑体"/>
          <w:sz w:val="24"/>
          <w:szCs w:val="24"/>
        </w:rPr>
        <w:t>产业集聚区</w:t>
      </w:r>
      <w:r>
        <w:rPr>
          <w:rFonts w:eastAsia="黑体"/>
          <w:sz w:val="24"/>
          <w:szCs w:val="24"/>
        </w:rPr>
        <w:t>污水处理厂进、出水水质指标</w:t>
      </w:r>
      <w:r>
        <w:rPr>
          <w:sz w:val="24"/>
          <w:szCs w:val="24"/>
        </w:rPr>
        <w:t>（</w:t>
      </w:r>
      <w:r>
        <w:rPr>
          <w:rFonts w:eastAsia="黑体"/>
          <w:sz w:val="24"/>
          <w:szCs w:val="24"/>
        </w:rPr>
        <w:t>单位</w:t>
      </w:r>
      <w:r>
        <w:rPr>
          <w:sz w:val="24"/>
          <w:szCs w:val="24"/>
        </w:rPr>
        <w:t>：</w:t>
      </w:r>
      <w:r>
        <w:rPr>
          <w:rFonts w:eastAsia="黑体"/>
          <w:sz w:val="24"/>
          <w:szCs w:val="24"/>
        </w:rPr>
        <w:t>mg/L）</w:t>
      </w:r>
    </w:p>
    <w:tbl>
      <w:tblPr>
        <w:tblStyle w:val="49"/>
        <w:tblW w:w="8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1386"/>
        <w:gridCol w:w="1292"/>
        <w:gridCol w:w="1235"/>
        <w:gridCol w:w="1212"/>
        <w:gridCol w:w="1153"/>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Cs w:val="21"/>
              </w:rPr>
            </w:pPr>
            <w:r>
              <w:rPr>
                <w:b/>
                <w:bCs/>
                <w:szCs w:val="21"/>
              </w:rPr>
              <w:t>项目</w:t>
            </w:r>
          </w:p>
        </w:tc>
        <w:tc>
          <w:tcPr>
            <w:tcW w:w="138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Cs w:val="21"/>
              </w:rPr>
            </w:pPr>
            <w:r>
              <w:rPr>
                <w:b/>
                <w:bCs/>
                <w:szCs w:val="24"/>
              </w:rPr>
              <w:t>COD</w:t>
            </w:r>
          </w:p>
        </w:tc>
        <w:tc>
          <w:tcPr>
            <w:tcW w:w="129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Cs w:val="21"/>
              </w:rPr>
            </w:pPr>
            <w:r>
              <w:rPr>
                <w:b/>
                <w:bCs/>
                <w:szCs w:val="24"/>
              </w:rPr>
              <w:t>BOD</w:t>
            </w:r>
            <w:r>
              <w:rPr>
                <w:b/>
                <w:bCs/>
                <w:szCs w:val="24"/>
                <w:vertAlign w:val="subscript"/>
              </w:rPr>
              <w:t>5</w:t>
            </w:r>
          </w:p>
        </w:tc>
        <w:tc>
          <w:tcPr>
            <w:tcW w:w="1235" w:type="dxa"/>
            <w:tcBorders>
              <w:top w:val="single" w:color="auto" w:sz="4" w:space="0"/>
              <w:left w:val="single" w:color="auto" w:sz="4" w:space="0"/>
              <w:bottom w:val="single" w:color="auto" w:sz="4" w:space="0"/>
              <w:right w:val="single" w:color="auto" w:sz="8" w:space="0"/>
            </w:tcBorders>
            <w:vAlign w:val="center"/>
          </w:tcPr>
          <w:p>
            <w:pPr>
              <w:spacing w:line="360" w:lineRule="exact"/>
              <w:jc w:val="center"/>
              <w:rPr>
                <w:b/>
                <w:bCs/>
                <w:szCs w:val="21"/>
              </w:rPr>
            </w:pPr>
            <w:r>
              <w:rPr>
                <w:b/>
                <w:bCs/>
                <w:szCs w:val="24"/>
              </w:rPr>
              <w:t>SS</w:t>
            </w:r>
          </w:p>
        </w:tc>
        <w:tc>
          <w:tcPr>
            <w:tcW w:w="1212" w:type="dxa"/>
            <w:tcBorders>
              <w:top w:val="single" w:color="auto" w:sz="4" w:space="0"/>
              <w:left w:val="single" w:color="auto" w:sz="8" w:space="0"/>
              <w:bottom w:val="single" w:color="auto" w:sz="4" w:space="0"/>
              <w:right w:val="single" w:color="auto" w:sz="4" w:space="0"/>
            </w:tcBorders>
            <w:vAlign w:val="center"/>
          </w:tcPr>
          <w:p>
            <w:pPr>
              <w:spacing w:line="360" w:lineRule="exact"/>
              <w:jc w:val="center"/>
              <w:rPr>
                <w:b/>
                <w:bCs/>
                <w:szCs w:val="21"/>
              </w:rPr>
            </w:pPr>
            <w:r>
              <w:rPr>
                <w:b/>
                <w:bCs/>
                <w:szCs w:val="24"/>
              </w:rPr>
              <w:t>NH</w:t>
            </w:r>
            <w:r>
              <w:rPr>
                <w:b/>
                <w:bCs/>
                <w:szCs w:val="24"/>
                <w:vertAlign w:val="subscript"/>
              </w:rPr>
              <w:t>3</w:t>
            </w:r>
            <w:r>
              <w:rPr>
                <w:b/>
                <w:bCs/>
                <w:szCs w:val="24"/>
              </w:rPr>
              <w:t>-N</w:t>
            </w:r>
          </w:p>
        </w:tc>
        <w:tc>
          <w:tcPr>
            <w:tcW w:w="11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Cs w:val="21"/>
              </w:rPr>
            </w:pPr>
            <w:r>
              <w:rPr>
                <w:b/>
                <w:bCs/>
                <w:szCs w:val="24"/>
              </w:rPr>
              <w:t>TN</w:t>
            </w:r>
          </w:p>
        </w:tc>
        <w:tc>
          <w:tcPr>
            <w:tcW w:w="121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Cs w:val="21"/>
              </w:rPr>
            </w:pPr>
            <w:r>
              <w:rPr>
                <w:b/>
                <w:bCs/>
                <w:szCs w:val="24"/>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szCs w:val="24"/>
              </w:rPr>
              <w:t>进水水质</w:t>
            </w:r>
          </w:p>
        </w:tc>
        <w:tc>
          <w:tcPr>
            <w:tcW w:w="1386"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szCs w:val="24"/>
              </w:rPr>
              <w:t>420</w:t>
            </w:r>
          </w:p>
        </w:tc>
        <w:tc>
          <w:tcPr>
            <w:tcW w:w="1292"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szCs w:val="24"/>
              </w:rPr>
              <w:t>210</w:t>
            </w:r>
          </w:p>
        </w:tc>
        <w:tc>
          <w:tcPr>
            <w:tcW w:w="1235" w:type="dxa"/>
            <w:tcBorders>
              <w:top w:val="single" w:color="auto" w:sz="4" w:space="0"/>
              <w:left w:val="single" w:color="auto" w:sz="4" w:space="0"/>
              <w:bottom w:val="single" w:color="auto" w:sz="4" w:space="0"/>
              <w:right w:val="single" w:color="auto" w:sz="8" w:space="0"/>
            </w:tcBorders>
            <w:vAlign w:val="center"/>
          </w:tcPr>
          <w:p>
            <w:pPr>
              <w:jc w:val="center"/>
              <w:rPr>
                <w:szCs w:val="24"/>
              </w:rPr>
            </w:pPr>
            <w:r>
              <w:rPr>
                <w:szCs w:val="24"/>
              </w:rPr>
              <w:t>350</w:t>
            </w:r>
          </w:p>
        </w:tc>
        <w:tc>
          <w:tcPr>
            <w:tcW w:w="1212" w:type="dxa"/>
            <w:tcBorders>
              <w:top w:val="single" w:color="auto" w:sz="4" w:space="0"/>
              <w:left w:val="single" w:color="auto" w:sz="8" w:space="0"/>
              <w:bottom w:val="single" w:color="auto" w:sz="4" w:space="0"/>
              <w:right w:val="single" w:color="auto" w:sz="4" w:space="0"/>
            </w:tcBorders>
            <w:vAlign w:val="center"/>
          </w:tcPr>
          <w:p>
            <w:pPr>
              <w:jc w:val="center"/>
              <w:rPr>
                <w:szCs w:val="24"/>
              </w:rPr>
            </w:pPr>
            <w:r>
              <w:rPr>
                <w:szCs w:val="24"/>
              </w:rPr>
              <w:t>40</w:t>
            </w: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szCs w:val="24"/>
              </w:rPr>
              <w:t>50</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szCs w:val="24"/>
              </w:rPr>
              <w:t>出水水质</w:t>
            </w:r>
          </w:p>
        </w:tc>
        <w:tc>
          <w:tcPr>
            <w:tcW w:w="1386"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szCs w:val="24"/>
              </w:rPr>
              <w:t>40</w:t>
            </w:r>
          </w:p>
        </w:tc>
        <w:tc>
          <w:tcPr>
            <w:tcW w:w="1292"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szCs w:val="24"/>
              </w:rPr>
              <w:t>10</w:t>
            </w:r>
          </w:p>
        </w:tc>
        <w:tc>
          <w:tcPr>
            <w:tcW w:w="1235" w:type="dxa"/>
            <w:tcBorders>
              <w:top w:val="single" w:color="auto" w:sz="4" w:space="0"/>
              <w:left w:val="single" w:color="auto" w:sz="4" w:space="0"/>
              <w:bottom w:val="single" w:color="auto" w:sz="4" w:space="0"/>
              <w:right w:val="single" w:color="auto" w:sz="8" w:space="0"/>
            </w:tcBorders>
            <w:vAlign w:val="center"/>
          </w:tcPr>
          <w:p>
            <w:pPr>
              <w:jc w:val="center"/>
              <w:rPr>
                <w:szCs w:val="24"/>
              </w:rPr>
            </w:pPr>
            <w:r>
              <w:rPr>
                <w:szCs w:val="24"/>
              </w:rPr>
              <w:t>10</w:t>
            </w:r>
          </w:p>
        </w:tc>
        <w:tc>
          <w:tcPr>
            <w:tcW w:w="1212" w:type="dxa"/>
            <w:tcBorders>
              <w:top w:val="single" w:color="auto" w:sz="4" w:space="0"/>
              <w:left w:val="single" w:color="auto" w:sz="8" w:space="0"/>
              <w:bottom w:val="single" w:color="auto" w:sz="4" w:space="0"/>
              <w:right w:val="single" w:color="auto" w:sz="4" w:space="0"/>
            </w:tcBorders>
            <w:vAlign w:val="center"/>
          </w:tcPr>
          <w:p>
            <w:pPr>
              <w:jc w:val="center"/>
              <w:rPr>
                <w:szCs w:val="24"/>
              </w:rPr>
            </w:pPr>
            <w:r>
              <w:rPr>
                <w:szCs w:val="24"/>
              </w:rPr>
              <w:t>2</w:t>
            </w: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szCs w:val="24"/>
              </w:rPr>
              <w:t>15</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szCs w:val="24"/>
              </w:rPr>
            </w:pPr>
            <w:r>
              <w:rPr>
                <w:szCs w:val="24"/>
              </w:rPr>
              <w:t>0.4</w:t>
            </w:r>
          </w:p>
        </w:tc>
      </w:tr>
    </w:tbl>
    <w:p>
      <w:pPr>
        <w:spacing w:line="520" w:lineRule="exact"/>
        <w:ind w:firstLine="482"/>
        <w:rPr>
          <w:rFonts w:eastAsia="黑体"/>
          <w:bCs/>
          <w:sz w:val="24"/>
          <w:szCs w:val="24"/>
        </w:rPr>
      </w:pPr>
      <w:r>
        <w:rPr>
          <w:rFonts w:eastAsia="黑体"/>
          <w:bCs/>
          <w:sz w:val="24"/>
          <w:szCs w:val="24"/>
        </w:rPr>
        <w:t>表7.2-4   原阳县</w:t>
      </w:r>
      <w:r>
        <w:rPr>
          <w:rFonts w:hint="eastAsia" w:eastAsia="黑体"/>
          <w:bCs/>
          <w:sz w:val="24"/>
          <w:szCs w:val="24"/>
        </w:rPr>
        <w:t>产业集聚区</w:t>
      </w:r>
      <w:r>
        <w:rPr>
          <w:rFonts w:eastAsia="黑体"/>
          <w:bCs/>
          <w:sz w:val="24"/>
          <w:szCs w:val="24"/>
        </w:rPr>
        <w:t>污水处理厂进出水运行情况一览表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745"/>
        <w:gridCol w:w="1745"/>
        <w:gridCol w:w="1576"/>
        <w:gridCol w:w="1358"/>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vMerge w:val="restart"/>
            <w:tcBorders>
              <w:top w:val="single" w:color="auto" w:sz="4" w:space="0"/>
              <w:left w:val="single" w:color="auto" w:sz="4" w:space="0"/>
              <w:right w:val="single" w:color="auto" w:sz="4" w:space="0"/>
            </w:tcBorders>
            <w:noWrap/>
            <w:vAlign w:val="center"/>
          </w:tcPr>
          <w:p>
            <w:pPr>
              <w:jc w:val="center"/>
              <w:rPr>
                <w:b/>
                <w:bCs/>
                <w:color w:val="000000"/>
                <w:szCs w:val="21"/>
              </w:rPr>
            </w:pPr>
            <w:r>
              <w:rPr>
                <w:b/>
                <w:bCs/>
                <w:color w:val="000000"/>
                <w:szCs w:val="21"/>
              </w:rPr>
              <w:t>时间</w:t>
            </w:r>
          </w:p>
        </w:tc>
        <w:tc>
          <w:tcPr>
            <w:tcW w:w="975" w:type="pct"/>
            <w:vMerge w:val="restart"/>
            <w:tcBorders>
              <w:top w:val="single" w:color="auto" w:sz="4" w:space="0"/>
              <w:left w:val="single" w:color="auto" w:sz="4" w:space="0"/>
              <w:right w:val="single" w:color="auto" w:sz="4" w:space="0"/>
            </w:tcBorders>
            <w:vAlign w:val="center"/>
          </w:tcPr>
          <w:p>
            <w:pPr>
              <w:jc w:val="center"/>
              <w:rPr>
                <w:b/>
                <w:bCs/>
                <w:color w:val="000000"/>
                <w:szCs w:val="21"/>
              </w:rPr>
            </w:pPr>
            <w:r>
              <w:rPr>
                <w:b/>
                <w:bCs/>
                <w:color w:val="000000"/>
                <w:szCs w:val="21"/>
              </w:rPr>
              <w:t>水量均值m</w:t>
            </w:r>
            <w:r>
              <w:rPr>
                <w:b/>
                <w:bCs/>
                <w:color w:val="000000"/>
                <w:szCs w:val="21"/>
                <w:vertAlign w:val="superscript"/>
              </w:rPr>
              <w:t>3</w:t>
            </w:r>
            <w:r>
              <w:rPr>
                <w:b/>
                <w:bCs/>
                <w:color w:val="000000"/>
                <w:szCs w:val="21"/>
              </w:rPr>
              <w:t>/d</w:t>
            </w:r>
          </w:p>
        </w:tc>
        <w:tc>
          <w:tcPr>
            <w:tcW w:w="3377" w:type="pct"/>
            <w:gridSpan w:val="4"/>
            <w:tcBorders>
              <w:top w:val="single" w:color="auto" w:sz="4" w:space="0"/>
              <w:left w:val="single" w:color="auto" w:sz="4" w:space="0"/>
              <w:bottom w:val="single" w:color="auto" w:sz="4" w:space="0"/>
              <w:right w:val="single" w:color="auto" w:sz="4" w:space="0"/>
            </w:tcBorders>
            <w:vAlign w:val="center"/>
          </w:tcPr>
          <w:p>
            <w:pPr>
              <w:jc w:val="center"/>
              <w:rPr>
                <w:b/>
                <w:bCs/>
                <w:color w:val="000000"/>
                <w:szCs w:val="21"/>
              </w:rPr>
            </w:pPr>
            <w:r>
              <w:rPr>
                <w:b/>
                <w:bCs/>
                <w:color w:val="000000"/>
                <w:szCs w:val="21"/>
              </w:rPr>
              <w:t>污水处理厂2023年7-12月出水运行情况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vMerge w:val="continue"/>
            <w:tcBorders>
              <w:left w:val="single" w:color="auto" w:sz="4" w:space="0"/>
              <w:bottom w:val="single" w:color="auto" w:sz="4" w:space="0"/>
              <w:right w:val="single" w:color="auto" w:sz="4" w:space="0"/>
            </w:tcBorders>
            <w:vAlign w:val="center"/>
          </w:tcPr>
          <w:p>
            <w:pPr>
              <w:widowControl/>
              <w:jc w:val="center"/>
              <w:rPr>
                <w:b/>
                <w:bCs/>
                <w:color w:val="000000"/>
                <w:szCs w:val="21"/>
                <w:highlight w:val="yellow"/>
              </w:rPr>
            </w:pPr>
          </w:p>
        </w:tc>
        <w:tc>
          <w:tcPr>
            <w:tcW w:w="975" w:type="pct"/>
            <w:vMerge w:val="continue"/>
            <w:tcBorders>
              <w:left w:val="single" w:color="auto" w:sz="4" w:space="0"/>
              <w:bottom w:val="single" w:color="auto" w:sz="4" w:space="0"/>
              <w:right w:val="single" w:color="auto" w:sz="4" w:space="0"/>
            </w:tcBorders>
            <w:vAlign w:val="center"/>
          </w:tcPr>
          <w:p>
            <w:pPr>
              <w:widowControl/>
              <w:jc w:val="center"/>
              <w:rPr>
                <w:b/>
                <w:bCs/>
                <w:color w:val="000000"/>
                <w:szCs w:val="21"/>
                <w:highlight w:val="yellow"/>
              </w:rPr>
            </w:pP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color w:val="000000"/>
                <w:szCs w:val="21"/>
              </w:rPr>
            </w:pPr>
            <w:r>
              <w:rPr>
                <w:b/>
                <w:bCs/>
                <w:color w:val="000000"/>
                <w:szCs w:val="21"/>
              </w:rPr>
              <w:t>COD均值</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color w:val="000000"/>
                <w:szCs w:val="21"/>
              </w:rPr>
            </w:pPr>
            <w:r>
              <w:rPr>
                <w:b/>
                <w:bCs/>
                <w:color w:val="000000"/>
                <w:szCs w:val="21"/>
              </w:rPr>
              <w:t>氨氮均值</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color w:val="000000"/>
                <w:szCs w:val="21"/>
              </w:rPr>
            </w:pPr>
            <w:r>
              <w:rPr>
                <w:b/>
                <w:bCs/>
                <w:color w:val="000000"/>
                <w:szCs w:val="21"/>
              </w:rPr>
              <w:t>总氮均值</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b/>
                <w:bCs/>
                <w:color w:val="000000"/>
                <w:szCs w:val="21"/>
              </w:rPr>
            </w:pPr>
            <w:r>
              <w:rPr>
                <w:b/>
                <w:bCs/>
                <w:color w:val="000000"/>
                <w:szCs w:val="21"/>
              </w:rPr>
              <w:t>总磷均值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olor w:val="000000"/>
                <w:szCs w:val="21"/>
              </w:rPr>
            </w:pPr>
            <w:r>
              <w:rPr>
                <w:rFonts w:eastAsia="等线"/>
                <w:color w:val="000000"/>
                <w:szCs w:val="21"/>
              </w:rPr>
              <w:t>2023-07</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21654.36</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7.02</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0.07681</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5.442</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0.1766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olor w:val="000000"/>
                <w:szCs w:val="21"/>
              </w:rPr>
            </w:pPr>
            <w:r>
              <w:rPr>
                <w:rFonts w:eastAsia="等线"/>
                <w:color w:val="000000"/>
                <w:szCs w:val="21"/>
              </w:rPr>
              <w:t>2023-08</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18709.95</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4.968</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0.03352</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4.147</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0.11567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olor w:val="000000"/>
                <w:szCs w:val="21"/>
              </w:rPr>
            </w:pPr>
            <w:r>
              <w:rPr>
                <w:rFonts w:eastAsia="等线"/>
                <w:color w:val="000000"/>
                <w:szCs w:val="21"/>
              </w:rPr>
              <w:t>2023-09</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19414.13</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7.384</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0.09735</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5.831</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0.09744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olor w:val="000000"/>
                <w:szCs w:val="21"/>
              </w:rPr>
            </w:pPr>
            <w:r>
              <w:rPr>
                <w:rFonts w:eastAsia="等线"/>
                <w:color w:val="000000"/>
                <w:szCs w:val="21"/>
              </w:rPr>
              <w:t>2023-10</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16732.07</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6.189</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0.08338</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5.641</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0.08772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olor w:val="000000"/>
                <w:szCs w:val="21"/>
              </w:rPr>
            </w:pPr>
            <w:r>
              <w:rPr>
                <w:rFonts w:eastAsia="等线"/>
                <w:color w:val="000000"/>
                <w:szCs w:val="21"/>
              </w:rPr>
              <w:t>2023-11</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19564.48</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6.4</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0.079</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6.03</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0.09904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olor w:val="000000"/>
                <w:szCs w:val="21"/>
              </w:rPr>
            </w:pPr>
            <w:r>
              <w:rPr>
                <w:rFonts w:eastAsia="等线"/>
                <w:color w:val="000000"/>
                <w:szCs w:val="21"/>
              </w:rPr>
              <w:t>2023-12</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25620.15</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12.17</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0.07309</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8.026</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0.11866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szCs w:val="21"/>
              </w:rPr>
            </w:pPr>
            <w:r>
              <w:rPr>
                <w:color w:val="000000"/>
                <w:szCs w:val="21"/>
              </w:rPr>
              <w:t>平均值</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20282.523</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7.355</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0.07386</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5.853</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szCs w:val="21"/>
              </w:rPr>
              <w:t>0.11586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7" w:type="pct"/>
            <w:tcBorders>
              <w:top w:val="single" w:color="auto" w:sz="4" w:space="0"/>
              <w:left w:val="single" w:color="auto" w:sz="4" w:space="0"/>
              <w:bottom w:val="single" w:color="auto" w:sz="4" w:space="0"/>
              <w:right w:val="single" w:color="auto" w:sz="4" w:space="0"/>
            </w:tcBorders>
            <w:noWrap/>
            <w:vAlign w:val="center"/>
          </w:tcPr>
          <w:p>
            <w:pPr>
              <w:widowControl/>
              <w:jc w:val="center"/>
              <w:rPr>
                <w:color w:val="000000"/>
                <w:szCs w:val="21"/>
              </w:rPr>
            </w:pPr>
            <w:r>
              <w:rPr>
                <w:color w:val="000000"/>
                <w:szCs w:val="21"/>
              </w:rPr>
              <w:t>标准值</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rFonts w:eastAsia="等线"/>
                <w:color w:val="000000"/>
                <w:szCs w:val="21"/>
              </w:rPr>
              <w:t>/</w:t>
            </w:r>
          </w:p>
        </w:tc>
        <w:tc>
          <w:tcPr>
            <w:tcW w:w="97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rFonts w:eastAsia="等线"/>
                <w:color w:val="000000"/>
                <w:szCs w:val="21"/>
              </w:rPr>
              <w:t>40</w:t>
            </w:r>
          </w:p>
        </w:tc>
        <w:tc>
          <w:tcPr>
            <w:tcW w:w="88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rFonts w:eastAsia="等线"/>
                <w:color w:val="000000"/>
                <w:szCs w:val="21"/>
              </w:rPr>
              <w:t>2</w:t>
            </w:r>
          </w:p>
        </w:tc>
        <w:tc>
          <w:tcPr>
            <w:tcW w:w="759"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rFonts w:eastAsia="等线"/>
                <w:color w:val="000000"/>
                <w:szCs w:val="21"/>
              </w:rPr>
              <w:t>15</w:t>
            </w:r>
          </w:p>
        </w:tc>
        <w:tc>
          <w:tcPr>
            <w:tcW w:w="762"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等线"/>
                <w:color w:val="000000"/>
                <w:szCs w:val="21"/>
              </w:rPr>
            </w:pPr>
            <w:r>
              <w:rPr>
                <w:rFonts w:eastAsia="等线"/>
                <w:color w:val="000000"/>
                <w:szCs w:val="21"/>
              </w:rPr>
              <w:t>0.4</w:t>
            </w:r>
          </w:p>
        </w:tc>
      </w:tr>
    </w:tbl>
    <w:p>
      <w:pPr>
        <w:spacing w:line="520" w:lineRule="exact"/>
        <w:ind w:firstLine="480" w:firstLineChars="200"/>
        <w:rPr>
          <w:sz w:val="24"/>
          <w:szCs w:val="24"/>
          <w:highlight w:val="yellow"/>
        </w:rPr>
      </w:pPr>
      <w:r>
        <w:rPr>
          <w:sz w:val="24"/>
          <w:szCs w:val="24"/>
        </w:rPr>
        <w:t>根据上表数据，</w:t>
      </w:r>
      <w:r>
        <w:rPr>
          <w:rFonts w:hint="eastAsia"/>
          <w:sz w:val="24"/>
          <w:szCs w:val="24"/>
        </w:rPr>
        <w:t>原阳县产业集聚区</w:t>
      </w:r>
      <w:r>
        <w:rPr>
          <w:sz w:val="24"/>
          <w:szCs w:val="24"/>
        </w:rPr>
        <w:t>污水处理厂出水水质</w:t>
      </w:r>
      <w:r>
        <w:rPr>
          <w:rFonts w:hint="eastAsia"/>
          <w:sz w:val="24"/>
          <w:szCs w:val="24"/>
        </w:rPr>
        <w:t>COD、NH</w:t>
      </w:r>
      <w:r>
        <w:rPr>
          <w:sz w:val="24"/>
          <w:szCs w:val="24"/>
        </w:rPr>
        <w:t>3</w:t>
      </w:r>
      <w:r>
        <w:rPr>
          <w:rFonts w:hint="eastAsia"/>
          <w:sz w:val="24"/>
          <w:szCs w:val="24"/>
        </w:rPr>
        <w:t>-N、TP</w:t>
      </w:r>
      <w:r>
        <w:rPr>
          <w:sz w:val="24"/>
          <w:szCs w:val="24"/>
        </w:rPr>
        <w:t>能够满足</w:t>
      </w:r>
      <w:r>
        <w:rPr>
          <w:rFonts w:hint="eastAsia"/>
          <w:sz w:val="24"/>
          <w:szCs w:val="24"/>
        </w:rPr>
        <w:t>《地表水环境质量标准》（GB3838-2002）V类水质标准（COD</w:t>
      </w:r>
      <w:r>
        <w:rPr>
          <w:sz w:val="24"/>
          <w:szCs w:val="24"/>
        </w:rPr>
        <w:t xml:space="preserve"> 40</w:t>
      </w:r>
      <w:r>
        <w:rPr>
          <w:rFonts w:hint="eastAsia"/>
          <w:sz w:val="24"/>
          <w:szCs w:val="24"/>
        </w:rPr>
        <w:t>mg/L、NH</w:t>
      </w:r>
      <w:r>
        <w:rPr>
          <w:sz w:val="24"/>
          <w:szCs w:val="24"/>
        </w:rPr>
        <w:t>3</w:t>
      </w:r>
      <w:r>
        <w:rPr>
          <w:rFonts w:hint="eastAsia"/>
          <w:sz w:val="24"/>
          <w:szCs w:val="24"/>
        </w:rPr>
        <w:t>-N</w:t>
      </w:r>
      <w:r>
        <w:rPr>
          <w:sz w:val="24"/>
          <w:szCs w:val="24"/>
        </w:rPr>
        <w:t xml:space="preserve"> 2</w:t>
      </w:r>
      <w:r>
        <w:rPr>
          <w:rFonts w:hint="eastAsia"/>
          <w:sz w:val="24"/>
          <w:szCs w:val="24"/>
        </w:rPr>
        <w:t>mg/L、TP</w:t>
      </w:r>
      <w:r>
        <w:rPr>
          <w:sz w:val="24"/>
          <w:szCs w:val="24"/>
        </w:rPr>
        <w:t xml:space="preserve"> 0.4</w:t>
      </w:r>
      <w:r>
        <w:rPr>
          <w:rFonts w:hint="eastAsia"/>
          <w:sz w:val="24"/>
          <w:szCs w:val="24"/>
        </w:rPr>
        <w:t>mg/L），TN</w:t>
      </w:r>
      <w:r>
        <w:rPr>
          <w:sz w:val="24"/>
          <w:szCs w:val="24"/>
        </w:rPr>
        <w:t>能够满足《城镇污水处理厂污染物排放标准》（GB18918-2002）一级A的要求：TN 15mg/L。</w:t>
      </w:r>
    </w:p>
    <w:p>
      <w:pPr>
        <w:spacing w:line="520" w:lineRule="exact"/>
        <w:outlineLvl w:val="3"/>
        <w:rPr>
          <w:kern w:val="0"/>
          <w:sz w:val="24"/>
          <w:szCs w:val="28"/>
        </w:rPr>
      </w:pPr>
      <w:r>
        <w:rPr>
          <w:kern w:val="0"/>
          <w:sz w:val="24"/>
          <w:szCs w:val="28"/>
        </w:rPr>
        <w:t>7.2.1.6本项目排水方案可行性</w:t>
      </w:r>
    </w:p>
    <w:p>
      <w:pPr>
        <w:spacing w:line="520" w:lineRule="exact"/>
        <w:ind w:firstLine="480" w:firstLineChars="200"/>
        <w:rPr>
          <w:sz w:val="24"/>
          <w:szCs w:val="24"/>
        </w:rPr>
      </w:pPr>
      <w:r>
        <w:rPr>
          <w:sz w:val="24"/>
          <w:szCs w:val="24"/>
        </w:rPr>
        <w:t>本项目</w:t>
      </w:r>
      <w:r>
        <w:rPr>
          <w:rFonts w:hint="eastAsia"/>
          <w:sz w:val="24"/>
          <w:szCs w:val="24"/>
        </w:rPr>
        <w:t>设计</w:t>
      </w:r>
      <w:r>
        <w:rPr>
          <w:sz w:val="24"/>
          <w:szCs w:val="24"/>
        </w:rPr>
        <w:t>废水总量为</w:t>
      </w:r>
      <w:r>
        <w:rPr>
          <w:rFonts w:hint="eastAsia"/>
          <w:sz w:val="24"/>
          <w:szCs w:val="24"/>
        </w:rPr>
        <w:t>60万</w:t>
      </w:r>
      <w:r>
        <w:rPr>
          <w:sz w:val="24"/>
          <w:szCs w:val="24"/>
        </w:rPr>
        <w:t>m</w:t>
      </w:r>
      <w:r>
        <w:rPr>
          <w:sz w:val="24"/>
          <w:szCs w:val="24"/>
          <w:vertAlign w:val="superscript"/>
        </w:rPr>
        <w:t>3</w:t>
      </w:r>
      <w:r>
        <w:rPr>
          <w:sz w:val="24"/>
          <w:szCs w:val="24"/>
        </w:rPr>
        <w:t>/a（2000m</w:t>
      </w:r>
      <w:r>
        <w:rPr>
          <w:sz w:val="24"/>
          <w:szCs w:val="24"/>
          <w:vertAlign w:val="superscript"/>
        </w:rPr>
        <w:t>3</w:t>
      </w:r>
      <w:r>
        <w:rPr>
          <w:sz w:val="24"/>
          <w:szCs w:val="24"/>
        </w:rPr>
        <w:t>/d），各污染物</w:t>
      </w:r>
      <w:r>
        <w:rPr>
          <w:rFonts w:hint="eastAsia"/>
          <w:sz w:val="24"/>
          <w:szCs w:val="24"/>
        </w:rPr>
        <w:t>设计</w:t>
      </w:r>
      <w:r>
        <w:rPr>
          <w:sz w:val="24"/>
          <w:szCs w:val="24"/>
        </w:rPr>
        <w:t>排放浓度分别为pH 6~9、COD 73.5mg/L、BOD</w:t>
      </w:r>
      <w:r>
        <w:rPr>
          <w:sz w:val="24"/>
          <w:szCs w:val="24"/>
          <w:vertAlign w:val="subscript"/>
        </w:rPr>
        <w:t>5</w:t>
      </w:r>
      <w:r>
        <w:rPr>
          <w:sz w:val="24"/>
          <w:szCs w:val="24"/>
        </w:rPr>
        <w:t xml:space="preserve"> 17.6mg/L、SS 14.4mg/L、NH</w:t>
      </w:r>
      <w:r>
        <w:rPr>
          <w:sz w:val="24"/>
          <w:szCs w:val="24"/>
          <w:vertAlign w:val="subscript"/>
        </w:rPr>
        <w:t>3</w:t>
      </w:r>
      <w:r>
        <w:rPr>
          <w:sz w:val="24"/>
          <w:szCs w:val="24"/>
        </w:rPr>
        <w:t>-N 19.6mg/L、TN 35.7mg/L、TP 0.8mg/L</w:t>
      </w:r>
      <w:r>
        <w:rPr>
          <w:rFonts w:hint="eastAsia"/>
          <w:sz w:val="24"/>
          <w:szCs w:val="24"/>
        </w:rPr>
        <w:t>、动植物油</w:t>
      </w:r>
      <w:r>
        <w:rPr>
          <w:sz w:val="24"/>
          <w:szCs w:val="24"/>
        </w:rPr>
        <w:t>5mg/L，能够满足</w:t>
      </w:r>
      <w:r>
        <w:rPr>
          <w:rFonts w:hint="eastAsia"/>
          <w:bCs/>
          <w:sz w:val="24"/>
          <w:szCs w:val="24"/>
        </w:rPr>
        <w:t>原阳县产业集聚区污水处理厂收水标准（</w:t>
      </w:r>
      <w:r>
        <w:rPr>
          <w:bCs/>
          <w:sz w:val="24"/>
          <w:szCs w:val="24"/>
        </w:rPr>
        <w:t>COD 420</w:t>
      </w:r>
      <w:r>
        <w:rPr>
          <w:rFonts w:hint="eastAsia"/>
          <w:bCs/>
          <w:sz w:val="24"/>
          <w:szCs w:val="24"/>
        </w:rPr>
        <w:t>mg/L、B</w:t>
      </w:r>
      <w:r>
        <w:rPr>
          <w:bCs/>
          <w:sz w:val="24"/>
          <w:szCs w:val="24"/>
        </w:rPr>
        <w:t>OD</w:t>
      </w:r>
      <w:r>
        <w:rPr>
          <w:bCs/>
          <w:sz w:val="24"/>
          <w:szCs w:val="24"/>
          <w:vertAlign w:val="subscript"/>
        </w:rPr>
        <w:t>5</w:t>
      </w:r>
      <w:r>
        <w:rPr>
          <w:bCs/>
          <w:sz w:val="24"/>
          <w:szCs w:val="24"/>
        </w:rPr>
        <w:t xml:space="preserve"> 210</w:t>
      </w:r>
      <w:r>
        <w:rPr>
          <w:rFonts w:hint="eastAsia"/>
          <w:bCs/>
          <w:sz w:val="24"/>
          <w:szCs w:val="24"/>
        </w:rPr>
        <w:t>mg/L、S</w:t>
      </w:r>
      <w:r>
        <w:rPr>
          <w:bCs/>
          <w:sz w:val="24"/>
          <w:szCs w:val="24"/>
        </w:rPr>
        <w:t>S 350</w:t>
      </w:r>
      <w:r>
        <w:rPr>
          <w:rFonts w:hint="eastAsia"/>
          <w:bCs/>
          <w:sz w:val="24"/>
          <w:szCs w:val="24"/>
        </w:rPr>
        <w:t>mg/L、氨氮</w:t>
      </w:r>
      <w:r>
        <w:rPr>
          <w:bCs/>
          <w:sz w:val="24"/>
          <w:szCs w:val="24"/>
        </w:rPr>
        <w:t>40</w:t>
      </w:r>
      <w:r>
        <w:rPr>
          <w:rFonts w:hint="eastAsia"/>
          <w:bCs/>
          <w:sz w:val="24"/>
          <w:szCs w:val="24"/>
        </w:rPr>
        <w:t>mg/L、T</w:t>
      </w:r>
      <w:r>
        <w:rPr>
          <w:bCs/>
          <w:sz w:val="24"/>
          <w:szCs w:val="24"/>
        </w:rPr>
        <w:t>P 4</w:t>
      </w:r>
      <w:r>
        <w:rPr>
          <w:rFonts w:hint="eastAsia"/>
          <w:bCs/>
          <w:sz w:val="24"/>
          <w:szCs w:val="24"/>
        </w:rPr>
        <w:t>mg/L、T</w:t>
      </w:r>
      <w:r>
        <w:rPr>
          <w:bCs/>
          <w:sz w:val="24"/>
          <w:szCs w:val="24"/>
        </w:rPr>
        <w:t>N 50</w:t>
      </w:r>
      <w:r>
        <w:rPr>
          <w:rFonts w:hint="eastAsia"/>
          <w:bCs/>
          <w:sz w:val="24"/>
          <w:szCs w:val="24"/>
        </w:rPr>
        <w:t>mg/L）和《污水综合排放标准》（G</w:t>
      </w:r>
      <w:r>
        <w:rPr>
          <w:bCs/>
          <w:sz w:val="24"/>
          <w:szCs w:val="24"/>
        </w:rPr>
        <w:t>B 8978-1996</w:t>
      </w:r>
      <w:r>
        <w:rPr>
          <w:rFonts w:hint="eastAsia"/>
          <w:bCs/>
          <w:sz w:val="24"/>
          <w:szCs w:val="24"/>
        </w:rPr>
        <w:t>）中二级标准：动植物油1</w:t>
      </w:r>
      <w:r>
        <w:rPr>
          <w:bCs/>
          <w:sz w:val="24"/>
          <w:szCs w:val="24"/>
        </w:rPr>
        <w:t>5mg/L</w:t>
      </w:r>
      <w:r>
        <w:rPr>
          <w:rFonts w:hint="eastAsia"/>
          <w:bCs/>
          <w:sz w:val="24"/>
          <w:szCs w:val="24"/>
        </w:rPr>
        <w:t>的标准限值。</w:t>
      </w:r>
    </w:p>
    <w:p>
      <w:pPr>
        <w:spacing w:line="520" w:lineRule="exact"/>
        <w:ind w:firstLine="480" w:firstLineChars="200"/>
        <w:rPr>
          <w:sz w:val="24"/>
          <w:szCs w:val="24"/>
        </w:rPr>
      </w:pPr>
      <w:r>
        <w:rPr>
          <w:rFonts w:hint="eastAsia"/>
          <w:sz w:val="24"/>
          <w:szCs w:val="24"/>
        </w:rPr>
        <w:t>原阳县产业集聚区污水处理厂设计规模3万m</w:t>
      </w:r>
      <w:r>
        <w:rPr>
          <w:rFonts w:hint="eastAsia"/>
          <w:sz w:val="24"/>
          <w:szCs w:val="24"/>
          <w:vertAlign w:val="superscript"/>
        </w:rPr>
        <w:t>3</w:t>
      </w:r>
      <w:r>
        <w:rPr>
          <w:rFonts w:hint="eastAsia"/>
          <w:sz w:val="24"/>
          <w:szCs w:val="24"/>
        </w:rPr>
        <w:t>/d。</w:t>
      </w:r>
      <w:r>
        <w:rPr>
          <w:sz w:val="24"/>
          <w:szCs w:val="24"/>
        </w:rPr>
        <w:t>根据</w:t>
      </w:r>
      <w:r>
        <w:rPr>
          <w:rFonts w:hint="eastAsia"/>
          <w:sz w:val="24"/>
          <w:szCs w:val="24"/>
        </w:rPr>
        <w:t>原阳县产业集聚区</w:t>
      </w:r>
      <w:r>
        <w:rPr>
          <w:sz w:val="24"/>
          <w:szCs w:val="24"/>
        </w:rPr>
        <w:t>污水处理厂2023年</w:t>
      </w:r>
      <w:r>
        <w:rPr>
          <w:rFonts w:hint="eastAsia"/>
          <w:sz w:val="24"/>
          <w:szCs w:val="24"/>
        </w:rPr>
        <w:t>排污许可证执行年报可知</w:t>
      </w:r>
      <w:r>
        <w:rPr>
          <w:sz w:val="24"/>
          <w:szCs w:val="24"/>
        </w:rPr>
        <w:t>，</w:t>
      </w:r>
      <w:r>
        <w:rPr>
          <w:rFonts w:hint="eastAsia"/>
          <w:sz w:val="24"/>
          <w:szCs w:val="24"/>
        </w:rPr>
        <w:t>2</w:t>
      </w:r>
      <w:r>
        <w:rPr>
          <w:sz w:val="24"/>
          <w:szCs w:val="24"/>
        </w:rPr>
        <w:t>023</w:t>
      </w:r>
      <w:r>
        <w:rPr>
          <w:rFonts w:hint="eastAsia"/>
          <w:sz w:val="24"/>
          <w:szCs w:val="24"/>
        </w:rPr>
        <w:t>年原阳县产业集聚区污水处理厂废水处理量均值为</w:t>
      </w:r>
      <w:r>
        <w:rPr>
          <w:sz w:val="24"/>
          <w:szCs w:val="24"/>
        </w:rPr>
        <w:t>18800.92</w:t>
      </w:r>
      <w:r>
        <w:rPr>
          <w:rFonts w:hint="eastAsia"/>
          <w:sz w:val="24"/>
          <w:szCs w:val="24"/>
        </w:rPr>
        <w:t>m</w:t>
      </w:r>
      <w:r>
        <w:rPr>
          <w:rFonts w:hint="eastAsia"/>
          <w:sz w:val="24"/>
          <w:szCs w:val="24"/>
          <w:vertAlign w:val="superscript"/>
        </w:rPr>
        <w:t>3</w:t>
      </w:r>
      <w:r>
        <w:rPr>
          <w:rFonts w:hint="eastAsia"/>
          <w:sz w:val="24"/>
          <w:szCs w:val="24"/>
        </w:rPr>
        <w:t>/d。原阳县产业集聚区污水处理厂剩余处理能力为</w:t>
      </w:r>
      <w:r>
        <w:rPr>
          <w:sz w:val="24"/>
          <w:szCs w:val="24"/>
        </w:rPr>
        <w:t>11199.08</w:t>
      </w:r>
      <w:r>
        <w:rPr>
          <w:rFonts w:hint="eastAsia"/>
          <w:sz w:val="24"/>
          <w:szCs w:val="24"/>
        </w:rPr>
        <w:t>m</w:t>
      </w:r>
      <w:r>
        <w:rPr>
          <w:rFonts w:hint="eastAsia"/>
          <w:sz w:val="24"/>
          <w:szCs w:val="24"/>
          <w:vertAlign w:val="superscript"/>
        </w:rPr>
        <w:t>3</w:t>
      </w:r>
      <w:r>
        <w:rPr>
          <w:rFonts w:hint="eastAsia"/>
          <w:sz w:val="24"/>
          <w:szCs w:val="24"/>
        </w:rPr>
        <w:t>/d。</w:t>
      </w:r>
      <w:r>
        <w:rPr>
          <w:sz w:val="24"/>
          <w:szCs w:val="24"/>
        </w:rPr>
        <w:t>本项目</w:t>
      </w:r>
      <w:r>
        <w:rPr>
          <w:rFonts w:hint="eastAsia"/>
          <w:sz w:val="24"/>
          <w:szCs w:val="24"/>
        </w:rPr>
        <w:t>设计</w:t>
      </w:r>
      <w:r>
        <w:rPr>
          <w:sz w:val="24"/>
          <w:szCs w:val="24"/>
        </w:rPr>
        <w:t>外排废水</w:t>
      </w:r>
      <w:r>
        <w:rPr>
          <w:rFonts w:hint="eastAsia"/>
          <w:sz w:val="24"/>
          <w:szCs w:val="24"/>
        </w:rPr>
        <w:t>量为</w:t>
      </w:r>
      <w:r>
        <w:rPr>
          <w:sz w:val="24"/>
          <w:szCs w:val="24"/>
        </w:rPr>
        <w:t>2000m</w:t>
      </w:r>
      <w:r>
        <w:rPr>
          <w:sz w:val="24"/>
          <w:szCs w:val="24"/>
          <w:vertAlign w:val="superscript"/>
        </w:rPr>
        <w:t>3</w:t>
      </w:r>
      <w:r>
        <w:rPr>
          <w:sz w:val="24"/>
          <w:szCs w:val="24"/>
        </w:rPr>
        <w:t>/d，占</w:t>
      </w:r>
      <w:r>
        <w:rPr>
          <w:rFonts w:hint="eastAsia"/>
          <w:sz w:val="24"/>
          <w:szCs w:val="24"/>
        </w:rPr>
        <w:t>污水处理厂剩余处理能力</w:t>
      </w:r>
      <w:r>
        <w:rPr>
          <w:sz w:val="24"/>
          <w:szCs w:val="24"/>
        </w:rPr>
        <w:t>的17.86%，满足项目处理的需要，</w:t>
      </w:r>
      <w:r>
        <w:rPr>
          <w:rFonts w:hint="eastAsia"/>
          <w:sz w:val="24"/>
          <w:szCs w:val="24"/>
        </w:rPr>
        <w:t>在本项目负荷运行的情况下，排入污水处理厂的水量仍然在污水处理厂的设计处理水量之内，</w:t>
      </w:r>
      <w:r>
        <w:rPr>
          <w:sz w:val="24"/>
          <w:szCs w:val="24"/>
        </w:rPr>
        <w:t>可以稳定达标排放。</w:t>
      </w:r>
    </w:p>
    <w:p>
      <w:pPr>
        <w:spacing w:line="520" w:lineRule="exact"/>
        <w:ind w:firstLine="480" w:firstLineChars="200"/>
        <w:rPr>
          <w:bCs/>
          <w:sz w:val="24"/>
          <w:szCs w:val="24"/>
        </w:rPr>
      </w:pPr>
      <w:r>
        <w:rPr>
          <w:bCs/>
          <w:sz w:val="24"/>
          <w:szCs w:val="24"/>
        </w:rPr>
        <w:t>综上所述，从水质、水量分析，本项目外排废水排入</w:t>
      </w:r>
      <w:r>
        <w:rPr>
          <w:rFonts w:hint="eastAsia"/>
          <w:sz w:val="24"/>
          <w:szCs w:val="24"/>
        </w:rPr>
        <w:t>原阳县产业集聚区</w:t>
      </w:r>
      <w:r>
        <w:rPr>
          <w:bCs/>
          <w:sz w:val="24"/>
          <w:szCs w:val="24"/>
        </w:rPr>
        <w:t>污水处理厂是可行的，项目外排废水对地表水环境影响较小。</w:t>
      </w:r>
    </w:p>
    <w:p>
      <w:pPr>
        <w:spacing w:line="520" w:lineRule="exact"/>
        <w:outlineLvl w:val="2"/>
        <w:rPr>
          <w:rFonts w:eastAsia="黑体"/>
          <w:sz w:val="28"/>
          <w:szCs w:val="28"/>
        </w:rPr>
      </w:pPr>
      <w:r>
        <w:rPr>
          <w:rFonts w:eastAsia="黑体"/>
          <w:sz w:val="28"/>
          <w:szCs w:val="28"/>
        </w:rPr>
        <w:t>7.2.2废气污染物防治措施分析</w:t>
      </w:r>
    </w:p>
    <w:p>
      <w:pPr>
        <w:spacing w:line="520" w:lineRule="exact"/>
        <w:ind w:firstLine="480" w:firstLineChars="200"/>
        <w:rPr>
          <w:sz w:val="24"/>
          <w:szCs w:val="24"/>
        </w:rPr>
      </w:pPr>
      <w:bookmarkStart w:id="166" w:name="_Hlk107411441"/>
      <w:bookmarkStart w:id="167" w:name="_Hlk107411415"/>
      <w:r>
        <w:rPr>
          <w:sz w:val="24"/>
          <w:szCs w:val="24"/>
        </w:rPr>
        <w:t>本</w:t>
      </w:r>
      <w:r>
        <w:rPr>
          <w:rFonts w:hint="eastAsia"/>
          <w:sz w:val="24"/>
          <w:szCs w:val="24"/>
        </w:rPr>
        <w:t>项目营运期污水处理站产生</w:t>
      </w:r>
      <w:r>
        <w:rPr>
          <w:sz w:val="24"/>
          <w:szCs w:val="24"/>
        </w:rPr>
        <w:t>废气主要为</w:t>
      </w:r>
      <w:r>
        <w:rPr>
          <w:rFonts w:hint="eastAsia"/>
          <w:sz w:val="24"/>
          <w:szCs w:val="24"/>
        </w:rPr>
        <w:t>恶臭气体，主要排放的单元为机械格栅、集水池、初沉池、调节池、水解酸化池、厌氧池、缺氧池、好氧池、污泥池、污泥脱水间等</w:t>
      </w:r>
      <w:r>
        <w:rPr>
          <w:sz w:val="24"/>
          <w:szCs w:val="24"/>
        </w:rPr>
        <w:t>。</w:t>
      </w:r>
      <w:r>
        <w:rPr>
          <w:rFonts w:hint="eastAsia"/>
          <w:sz w:val="24"/>
          <w:szCs w:val="24"/>
        </w:rPr>
        <w:t>本项目拟对主要产臭气单元进行加盖密闭后负压抽吸，经“碱喷淋+生物除臭剂喷淋”处理后经1根1</w:t>
      </w:r>
      <w:r>
        <w:rPr>
          <w:sz w:val="24"/>
          <w:szCs w:val="24"/>
        </w:rPr>
        <w:t>5m</w:t>
      </w:r>
      <w:r>
        <w:rPr>
          <w:rFonts w:hint="eastAsia"/>
          <w:sz w:val="24"/>
          <w:szCs w:val="24"/>
        </w:rPr>
        <w:t>高排气筒排放。恶臭气体主要成分为</w:t>
      </w:r>
      <w:r>
        <w:rPr>
          <w:sz w:val="24"/>
          <w:szCs w:val="24"/>
        </w:rPr>
        <w:t>NH</w:t>
      </w:r>
      <w:r>
        <w:rPr>
          <w:sz w:val="24"/>
          <w:szCs w:val="24"/>
          <w:vertAlign w:val="subscript"/>
        </w:rPr>
        <w:t>3</w:t>
      </w:r>
      <w:r>
        <w:rPr>
          <w:sz w:val="24"/>
          <w:szCs w:val="24"/>
        </w:rPr>
        <w:t>、H</w:t>
      </w:r>
      <w:r>
        <w:rPr>
          <w:sz w:val="24"/>
          <w:szCs w:val="24"/>
          <w:vertAlign w:val="subscript"/>
        </w:rPr>
        <w:t>2</w:t>
      </w:r>
      <w:r>
        <w:rPr>
          <w:sz w:val="24"/>
          <w:szCs w:val="24"/>
        </w:rPr>
        <w:t>S等。理化性质如下：</w:t>
      </w:r>
    </w:p>
    <w:p>
      <w:pPr>
        <w:spacing w:line="520" w:lineRule="exact"/>
        <w:ind w:firstLine="480" w:firstLineChars="200"/>
        <w:rPr>
          <w:sz w:val="24"/>
          <w:szCs w:val="24"/>
        </w:rPr>
      </w:pPr>
      <w:r>
        <w:rPr>
          <w:sz w:val="24"/>
          <w:szCs w:val="24"/>
        </w:rPr>
        <w:t>NH</w:t>
      </w:r>
      <w:r>
        <w:rPr>
          <w:sz w:val="24"/>
          <w:szCs w:val="24"/>
          <w:vertAlign w:val="subscript"/>
        </w:rPr>
        <w:t>3</w:t>
      </w:r>
      <w:r>
        <w:rPr>
          <w:sz w:val="24"/>
          <w:szCs w:val="24"/>
        </w:rPr>
        <w:t>：具有强烈刺激性，主要刺激眼睛和上呼吸道黏膜；</w:t>
      </w:r>
    </w:p>
    <w:p>
      <w:pPr>
        <w:spacing w:line="520" w:lineRule="exact"/>
        <w:ind w:firstLine="480" w:firstLineChars="200"/>
        <w:rPr>
          <w:sz w:val="24"/>
          <w:szCs w:val="24"/>
        </w:rPr>
      </w:pPr>
      <w:r>
        <w:rPr>
          <w:sz w:val="24"/>
          <w:szCs w:val="24"/>
        </w:rPr>
        <w:t>H</w:t>
      </w:r>
      <w:r>
        <w:rPr>
          <w:sz w:val="24"/>
          <w:szCs w:val="24"/>
          <w:vertAlign w:val="subscript"/>
        </w:rPr>
        <w:t>2</w:t>
      </w:r>
      <w:r>
        <w:rPr>
          <w:sz w:val="24"/>
          <w:szCs w:val="24"/>
        </w:rPr>
        <w:t>S：具有臭鸡蛋味，并具有毒性。</w:t>
      </w:r>
    </w:p>
    <w:bookmarkEnd w:id="166"/>
    <w:bookmarkEnd w:id="167"/>
    <w:p>
      <w:pPr>
        <w:spacing w:line="520" w:lineRule="exact"/>
        <w:outlineLvl w:val="3"/>
        <w:rPr>
          <w:kern w:val="0"/>
          <w:sz w:val="24"/>
          <w:szCs w:val="28"/>
        </w:rPr>
      </w:pPr>
      <w:r>
        <w:rPr>
          <w:rFonts w:hint="eastAsia"/>
          <w:kern w:val="0"/>
          <w:sz w:val="24"/>
          <w:szCs w:val="28"/>
        </w:rPr>
        <w:t>（1）除臭工艺方案比选</w:t>
      </w:r>
    </w:p>
    <w:p>
      <w:pPr>
        <w:spacing w:line="520" w:lineRule="exact"/>
        <w:ind w:firstLine="480" w:firstLineChars="200"/>
        <w:rPr>
          <w:sz w:val="24"/>
          <w:szCs w:val="24"/>
        </w:rPr>
      </w:pPr>
      <w:r>
        <w:rPr>
          <w:sz w:val="24"/>
          <w:szCs w:val="24"/>
        </w:rPr>
        <w:t>恶臭气体处理方法的目的在于经过物理、化学、生物的作用，使恶臭气体的物质结构发生改变，消除恶臭。常规的恶臭气体常见处理方法及其特点见表7.2-5。</w:t>
      </w:r>
    </w:p>
    <w:p>
      <w:pPr>
        <w:spacing w:line="520" w:lineRule="exact"/>
        <w:ind w:firstLine="460" w:firstLineChars="200"/>
        <w:rPr>
          <w:rFonts w:eastAsia="黑体"/>
          <w:szCs w:val="24"/>
        </w:rPr>
      </w:pPr>
      <w:r>
        <w:rPr>
          <w:rFonts w:eastAsia="黑体"/>
          <w:spacing w:val="-5"/>
          <w:sz w:val="24"/>
          <w:szCs w:val="24"/>
        </w:rPr>
        <w:t>表</w:t>
      </w:r>
      <w:r>
        <w:rPr>
          <w:rFonts w:hint="eastAsia" w:eastAsia="黑体"/>
          <w:spacing w:val="-5"/>
          <w:sz w:val="24"/>
          <w:szCs w:val="24"/>
        </w:rPr>
        <w:t>7</w:t>
      </w:r>
      <w:r>
        <w:rPr>
          <w:rFonts w:eastAsia="黑体"/>
          <w:spacing w:val="-5"/>
          <w:sz w:val="24"/>
          <w:szCs w:val="24"/>
        </w:rPr>
        <w:t>.2-5</w:t>
      </w:r>
      <w:r>
        <w:rPr>
          <w:rFonts w:eastAsia="Times New Roman"/>
          <w:spacing w:val="-3"/>
          <w:sz w:val="24"/>
          <w:szCs w:val="24"/>
        </w:rPr>
        <w:t xml:space="preserve">   </w:t>
      </w:r>
      <w:r>
        <w:rPr>
          <w:spacing w:val="-3"/>
          <w:sz w:val="24"/>
          <w:szCs w:val="24"/>
        </w:rPr>
        <w:t xml:space="preserve">        </w:t>
      </w:r>
      <w:r>
        <w:rPr>
          <w:rFonts w:eastAsia="黑体"/>
          <w:spacing w:val="-3"/>
          <w:sz w:val="24"/>
          <w:szCs w:val="24"/>
        </w:rPr>
        <w:t>常见恶臭气体处理方法比较</w:t>
      </w:r>
    </w:p>
    <w:tbl>
      <w:tblPr>
        <w:tblStyle w:val="49"/>
        <w:tblW w:w="5000"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28" w:type="dxa"/>
          <w:bottom w:w="0" w:type="dxa"/>
          <w:right w:w="28" w:type="dxa"/>
        </w:tblCellMar>
      </w:tblPr>
      <w:tblGrid>
        <w:gridCol w:w="1138"/>
        <w:gridCol w:w="2911"/>
        <w:gridCol w:w="1934"/>
        <w:gridCol w:w="2804"/>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28" w:type="dxa"/>
            <w:bottom w:w="0" w:type="dxa"/>
            <w:right w:w="28" w:type="dxa"/>
          </w:tblCellMar>
        </w:tblPrEx>
        <w:trPr>
          <w:trHeight w:val="454" w:hRule="atLeast"/>
          <w:jc w:val="center"/>
        </w:trPr>
        <w:tc>
          <w:tcPr>
            <w:tcW w:w="1083" w:type="dxa"/>
            <w:shd w:val="clear" w:color="auto" w:fill="auto"/>
            <w:vAlign w:val="center"/>
          </w:tcPr>
          <w:p>
            <w:pPr>
              <w:jc w:val="center"/>
              <w:rPr>
                <w:rFonts w:ascii="Calibri" w:hAnsi="Calibri" w:eastAsia="Times New Roman"/>
                <w:b/>
                <w:bCs/>
                <w:szCs w:val="21"/>
              </w:rPr>
            </w:pPr>
            <w:r>
              <w:rPr>
                <w:b/>
                <w:bCs/>
                <w:spacing w:val="7"/>
                <w:szCs w:val="21"/>
              </w:rPr>
              <w:t>处</w:t>
            </w:r>
            <w:r>
              <w:rPr>
                <w:b/>
                <w:bCs/>
                <w:spacing w:val="6"/>
                <w:szCs w:val="21"/>
              </w:rPr>
              <w:t>理方法</w:t>
            </w:r>
          </w:p>
        </w:tc>
        <w:tc>
          <w:tcPr>
            <w:tcW w:w="2773" w:type="dxa"/>
            <w:shd w:val="clear" w:color="auto" w:fill="auto"/>
            <w:vAlign w:val="center"/>
          </w:tcPr>
          <w:p>
            <w:pPr>
              <w:jc w:val="center"/>
              <w:rPr>
                <w:rFonts w:ascii="Calibri" w:hAnsi="Calibri" w:eastAsia="Times New Roman"/>
                <w:b/>
                <w:bCs/>
                <w:szCs w:val="21"/>
              </w:rPr>
            </w:pPr>
            <w:r>
              <w:rPr>
                <w:b/>
                <w:bCs/>
                <w:spacing w:val="3"/>
                <w:szCs w:val="21"/>
              </w:rPr>
              <w:t>定</w:t>
            </w:r>
            <w:r>
              <w:rPr>
                <w:b/>
                <w:bCs/>
                <w:spacing w:val="2"/>
                <w:szCs w:val="21"/>
              </w:rPr>
              <w:t>义</w:t>
            </w:r>
          </w:p>
        </w:tc>
        <w:tc>
          <w:tcPr>
            <w:tcW w:w="1842" w:type="dxa"/>
            <w:shd w:val="clear" w:color="auto" w:fill="auto"/>
            <w:vAlign w:val="center"/>
          </w:tcPr>
          <w:p>
            <w:pPr>
              <w:jc w:val="center"/>
              <w:rPr>
                <w:rFonts w:ascii="Calibri" w:hAnsi="Calibri" w:eastAsia="Times New Roman"/>
                <w:b/>
                <w:bCs/>
                <w:szCs w:val="21"/>
              </w:rPr>
            </w:pPr>
            <w:r>
              <w:rPr>
                <w:b/>
                <w:bCs/>
                <w:spacing w:val="8"/>
                <w:szCs w:val="21"/>
              </w:rPr>
              <w:t>适</w:t>
            </w:r>
            <w:r>
              <w:rPr>
                <w:b/>
                <w:bCs/>
                <w:spacing w:val="7"/>
                <w:szCs w:val="21"/>
              </w:rPr>
              <w:t>用范围</w:t>
            </w:r>
          </w:p>
        </w:tc>
        <w:tc>
          <w:tcPr>
            <w:tcW w:w="2671" w:type="dxa"/>
            <w:shd w:val="clear" w:color="auto" w:fill="auto"/>
            <w:vAlign w:val="center"/>
          </w:tcPr>
          <w:p>
            <w:pPr>
              <w:jc w:val="center"/>
              <w:rPr>
                <w:rFonts w:ascii="Calibri" w:hAnsi="Calibri" w:eastAsia="Times New Roman"/>
                <w:b/>
                <w:bCs/>
                <w:szCs w:val="21"/>
              </w:rPr>
            </w:pPr>
            <w:r>
              <w:rPr>
                <w:b/>
                <w:bCs/>
                <w:spacing w:val="5"/>
                <w:szCs w:val="21"/>
              </w:rPr>
              <w:t>特点</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28" w:type="dxa"/>
            <w:bottom w:w="0" w:type="dxa"/>
            <w:right w:w="28" w:type="dxa"/>
          </w:tblCellMar>
        </w:tblPrEx>
        <w:trPr>
          <w:trHeight w:val="454" w:hRule="atLeast"/>
          <w:jc w:val="center"/>
        </w:trPr>
        <w:tc>
          <w:tcPr>
            <w:tcW w:w="1083" w:type="dxa"/>
            <w:shd w:val="clear" w:color="auto" w:fill="auto"/>
            <w:vAlign w:val="center"/>
          </w:tcPr>
          <w:p>
            <w:pPr>
              <w:jc w:val="center"/>
              <w:rPr>
                <w:rFonts w:ascii="Calibri" w:hAnsi="Calibri" w:eastAsia="Times New Roman"/>
                <w:spacing w:val="3"/>
                <w:szCs w:val="21"/>
              </w:rPr>
            </w:pPr>
            <w:r>
              <w:rPr>
                <w:spacing w:val="3"/>
                <w:szCs w:val="21"/>
              </w:rPr>
              <w:t>燃烧法</w:t>
            </w:r>
          </w:p>
        </w:tc>
        <w:tc>
          <w:tcPr>
            <w:tcW w:w="2773" w:type="dxa"/>
            <w:shd w:val="clear" w:color="auto" w:fill="auto"/>
            <w:vAlign w:val="center"/>
          </w:tcPr>
          <w:p>
            <w:pPr>
              <w:jc w:val="center"/>
              <w:rPr>
                <w:rFonts w:ascii="Calibri" w:hAnsi="Calibri" w:eastAsia="Times New Roman"/>
                <w:spacing w:val="3"/>
                <w:szCs w:val="21"/>
              </w:rPr>
            </w:pPr>
            <w:r>
              <w:rPr>
                <w:spacing w:val="3"/>
                <w:szCs w:val="21"/>
              </w:rPr>
              <w:t>通过强氧化反应降解可燃性恶臭物质的方法</w:t>
            </w:r>
            <w:r>
              <w:rPr>
                <w:rFonts w:hint="eastAsia"/>
                <w:spacing w:val="3"/>
                <w:szCs w:val="21"/>
              </w:rPr>
              <w:t>。</w:t>
            </w:r>
          </w:p>
        </w:tc>
        <w:tc>
          <w:tcPr>
            <w:tcW w:w="1842" w:type="dxa"/>
            <w:shd w:val="clear" w:color="auto" w:fill="auto"/>
            <w:vAlign w:val="center"/>
          </w:tcPr>
          <w:p>
            <w:pPr>
              <w:jc w:val="center"/>
              <w:rPr>
                <w:rFonts w:ascii="Calibri" w:hAnsi="Calibri" w:eastAsia="Times New Roman"/>
                <w:spacing w:val="3"/>
                <w:szCs w:val="21"/>
              </w:rPr>
            </w:pPr>
            <w:r>
              <w:rPr>
                <w:spacing w:val="3"/>
                <w:szCs w:val="21"/>
              </w:rPr>
              <w:t>适用于高浓度、小气量的可燃性恶臭物质的处理。</w:t>
            </w:r>
          </w:p>
        </w:tc>
        <w:tc>
          <w:tcPr>
            <w:tcW w:w="2671" w:type="dxa"/>
            <w:shd w:val="clear" w:color="auto" w:fill="auto"/>
            <w:vAlign w:val="center"/>
          </w:tcPr>
          <w:p>
            <w:pPr>
              <w:jc w:val="center"/>
              <w:rPr>
                <w:rFonts w:ascii="Calibri" w:hAnsi="Calibri" w:eastAsia="Times New Roman"/>
                <w:spacing w:val="3"/>
                <w:szCs w:val="21"/>
              </w:rPr>
            </w:pPr>
            <w:r>
              <w:rPr>
                <w:spacing w:val="3"/>
                <w:szCs w:val="21"/>
              </w:rPr>
              <w:t>分解效率高，但设备易腐蚀，消耗燃料，成本高，处理中可能生成二次污染物。</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28" w:type="dxa"/>
            <w:bottom w:w="0" w:type="dxa"/>
            <w:right w:w="28" w:type="dxa"/>
          </w:tblCellMar>
        </w:tblPrEx>
        <w:trPr>
          <w:trHeight w:val="454" w:hRule="atLeast"/>
          <w:jc w:val="center"/>
        </w:trPr>
        <w:tc>
          <w:tcPr>
            <w:tcW w:w="1083" w:type="dxa"/>
            <w:shd w:val="clear" w:color="auto" w:fill="auto"/>
            <w:vAlign w:val="center"/>
          </w:tcPr>
          <w:p>
            <w:pPr>
              <w:jc w:val="center"/>
              <w:rPr>
                <w:rFonts w:ascii="Calibri" w:hAnsi="Calibri" w:eastAsia="Times New Roman"/>
                <w:spacing w:val="3"/>
                <w:szCs w:val="21"/>
              </w:rPr>
            </w:pPr>
            <w:r>
              <w:rPr>
                <w:spacing w:val="3"/>
                <w:szCs w:val="21"/>
              </w:rPr>
              <w:t>氧化法</w:t>
            </w:r>
          </w:p>
        </w:tc>
        <w:tc>
          <w:tcPr>
            <w:tcW w:w="2773" w:type="dxa"/>
            <w:shd w:val="clear" w:color="auto" w:fill="auto"/>
            <w:vAlign w:val="center"/>
          </w:tcPr>
          <w:p>
            <w:pPr>
              <w:jc w:val="center"/>
              <w:rPr>
                <w:rFonts w:ascii="Calibri" w:hAnsi="Calibri" w:eastAsia="Times New Roman"/>
                <w:spacing w:val="3"/>
                <w:szCs w:val="21"/>
              </w:rPr>
            </w:pPr>
            <w:r>
              <w:rPr>
                <w:spacing w:val="3"/>
                <w:szCs w:val="21"/>
              </w:rPr>
              <w:t>利用氧化剂氧化恶臭物质的方法</w:t>
            </w:r>
            <w:r>
              <w:rPr>
                <w:rFonts w:hint="eastAsia"/>
                <w:spacing w:val="3"/>
                <w:szCs w:val="21"/>
              </w:rPr>
              <w:t>。</w:t>
            </w:r>
          </w:p>
        </w:tc>
        <w:tc>
          <w:tcPr>
            <w:tcW w:w="1842" w:type="dxa"/>
            <w:shd w:val="clear" w:color="auto" w:fill="auto"/>
            <w:vAlign w:val="center"/>
          </w:tcPr>
          <w:p>
            <w:pPr>
              <w:jc w:val="center"/>
              <w:rPr>
                <w:rFonts w:ascii="Calibri" w:hAnsi="Calibri" w:eastAsia="Times New Roman"/>
                <w:spacing w:val="3"/>
                <w:szCs w:val="21"/>
              </w:rPr>
            </w:pPr>
            <w:r>
              <w:rPr>
                <w:spacing w:val="3"/>
                <w:szCs w:val="21"/>
              </w:rPr>
              <w:t>适用于中、低浓度恶臭气体的处理。</w:t>
            </w:r>
          </w:p>
        </w:tc>
        <w:tc>
          <w:tcPr>
            <w:tcW w:w="2671" w:type="dxa"/>
            <w:shd w:val="clear" w:color="auto" w:fill="auto"/>
            <w:vAlign w:val="center"/>
          </w:tcPr>
          <w:p>
            <w:pPr>
              <w:jc w:val="center"/>
              <w:rPr>
                <w:rFonts w:ascii="Calibri" w:hAnsi="Calibri" w:eastAsia="Times New Roman"/>
                <w:spacing w:val="3"/>
                <w:szCs w:val="21"/>
              </w:rPr>
            </w:pPr>
            <w:r>
              <w:rPr>
                <w:spacing w:val="3"/>
                <w:szCs w:val="21"/>
              </w:rPr>
              <w:t>处理效率高，但需要氧化剂，处理费用高。</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28" w:type="dxa"/>
            <w:bottom w:w="0" w:type="dxa"/>
            <w:right w:w="28" w:type="dxa"/>
          </w:tblCellMar>
        </w:tblPrEx>
        <w:trPr>
          <w:trHeight w:val="454" w:hRule="atLeast"/>
          <w:jc w:val="center"/>
        </w:trPr>
        <w:tc>
          <w:tcPr>
            <w:tcW w:w="1083" w:type="dxa"/>
            <w:shd w:val="clear" w:color="auto" w:fill="auto"/>
            <w:vAlign w:val="center"/>
          </w:tcPr>
          <w:p>
            <w:pPr>
              <w:jc w:val="center"/>
              <w:rPr>
                <w:rFonts w:ascii="Calibri" w:hAnsi="Calibri" w:eastAsia="Times New Roman"/>
                <w:spacing w:val="3"/>
                <w:szCs w:val="21"/>
              </w:rPr>
            </w:pPr>
            <w:r>
              <w:rPr>
                <w:spacing w:val="3"/>
                <w:szCs w:val="21"/>
              </w:rPr>
              <w:t>吸附法</w:t>
            </w:r>
          </w:p>
        </w:tc>
        <w:tc>
          <w:tcPr>
            <w:tcW w:w="2773" w:type="dxa"/>
            <w:shd w:val="clear" w:color="auto" w:fill="auto"/>
            <w:vAlign w:val="center"/>
          </w:tcPr>
          <w:p>
            <w:pPr>
              <w:jc w:val="center"/>
              <w:rPr>
                <w:rFonts w:ascii="Calibri" w:hAnsi="Calibri" w:eastAsia="Times New Roman"/>
                <w:spacing w:val="3"/>
                <w:szCs w:val="21"/>
              </w:rPr>
            </w:pPr>
            <w:r>
              <w:rPr>
                <w:spacing w:val="3"/>
                <w:szCs w:val="21"/>
              </w:rPr>
              <w:t>利用吸附剂吸附去除恶臭气体中恶臭物质</w:t>
            </w:r>
            <w:r>
              <w:rPr>
                <w:rFonts w:hint="eastAsia"/>
                <w:spacing w:val="3"/>
                <w:szCs w:val="21"/>
              </w:rPr>
              <w:t>。</w:t>
            </w:r>
          </w:p>
        </w:tc>
        <w:tc>
          <w:tcPr>
            <w:tcW w:w="1842" w:type="dxa"/>
            <w:shd w:val="clear" w:color="auto" w:fill="auto"/>
            <w:vAlign w:val="center"/>
          </w:tcPr>
          <w:p>
            <w:pPr>
              <w:jc w:val="center"/>
              <w:rPr>
                <w:rFonts w:ascii="Calibri" w:hAnsi="Calibri" w:eastAsia="Times New Roman"/>
                <w:spacing w:val="3"/>
                <w:szCs w:val="21"/>
              </w:rPr>
            </w:pPr>
            <w:r>
              <w:rPr>
                <w:spacing w:val="3"/>
                <w:szCs w:val="21"/>
              </w:rPr>
              <w:t>常用于低浓度臭气和脱臭的后处理。</w:t>
            </w:r>
          </w:p>
        </w:tc>
        <w:tc>
          <w:tcPr>
            <w:tcW w:w="2671" w:type="dxa"/>
            <w:shd w:val="clear" w:color="auto" w:fill="auto"/>
            <w:vAlign w:val="center"/>
          </w:tcPr>
          <w:p>
            <w:pPr>
              <w:jc w:val="center"/>
              <w:rPr>
                <w:rFonts w:ascii="Calibri" w:hAnsi="Calibri" w:eastAsia="Times New Roman"/>
                <w:spacing w:val="3"/>
                <w:szCs w:val="21"/>
              </w:rPr>
            </w:pPr>
            <w:r>
              <w:rPr>
                <w:spacing w:val="3"/>
                <w:szCs w:val="21"/>
              </w:rPr>
              <w:t>对多种恶臭气体都可达到较好的吸附效果。但运行费用高，其吸附具有一饱和期，超过这一期限就必须更换活性炭。</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28" w:type="dxa"/>
            <w:bottom w:w="0" w:type="dxa"/>
            <w:right w:w="28" w:type="dxa"/>
          </w:tblCellMar>
        </w:tblPrEx>
        <w:trPr>
          <w:trHeight w:val="454" w:hRule="atLeast"/>
          <w:jc w:val="center"/>
        </w:trPr>
        <w:tc>
          <w:tcPr>
            <w:tcW w:w="1083" w:type="dxa"/>
            <w:shd w:val="clear" w:color="auto" w:fill="auto"/>
            <w:vAlign w:val="center"/>
          </w:tcPr>
          <w:p>
            <w:pPr>
              <w:jc w:val="center"/>
              <w:rPr>
                <w:rFonts w:ascii="Calibri" w:hAnsi="Calibri" w:eastAsia="Times New Roman"/>
                <w:spacing w:val="3"/>
                <w:szCs w:val="21"/>
              </w:rPr>
            </w:pPr>
            <w:r>
              <w:rPr>
                <w:rFonts w:hint="eastAsia"/>
                <w:spacing w:val="3"/>
                <w:szCs w:val="21"/>
              </w:rPr>
              <w:t>化学</w:t>
            </w:r>
            <w:r>
              <w:rPr>
                <w:spacing w:val="3"/>
                <w:szCs w:val="21"/>
              </w:rPr>
              <w:t>吸收法</w:t>
            </w:r>
          </w:p>
        </w:tc>
        <w:tc>
          <w:tcPr>
            <w:tcW w:w="2773" w:type="dxa"/>
            <w:shd w:val="clear" w:color="auto" w:fill="auto"/>
            <w:vAlign w:val="center"/>
          </w:tcPr>
          <w:p>
            <w:pPr>
              <w:jc w:val="center"/>
              <w:rPr>
                <w:rFonts w:ascii="Calibri" w:hAnsi="Calibri" w:eastAsia="Times New Roman"/>
                <w:spacing w:val="3"/>
                <w:szCs w:val="21"/>
              </w:rPr>
            </w:pPr>
            <w:r>
              <w:rPr>
                <w:rFonts w:hint="eastAsia"/>
                <w:spacing w:val="3"/>
                <w:szCs w:val="21"/>
              </w:rPr>
              <w:t>采用碱液、酸液等</w:t>
            </w:r>
            <w:r>
              <w:rPr>
                <w:spacing w:val="3"/>
                <w:szCs w:val="21"/>
              </w:rPr>
              <w:t>溶剂吸收臭气中的</w:t>
            </w:r>
            <w:r>
              <w:rPr>
                <w:rFonts w:hint="eastAsia"/>
                <w:spacing w:val="3"/>
                <w:szCs w:val="21"/>
              </w:rPr>
              <w:t>酸碱性</w:t>
            </w:r>
            <w:r>
              <w:rPr>
                <w:spacing w:val="3"/>
                <w:szCs w:val="21"/>
              </w:rPr>
              <w:t>恶臭物质</w:t>
            </w:r>
            <w:r>
              <w:rPr>
                <w:rFonts w:hint="eastAsia"/>
                <w:spacing w:val="3"/>
                <w:szCs w:val="21"/>
              </w:rPr>
              <w:t>，其原理是酸碱中和反应，从</w:t>
            </w:r>
            <w:r>
              <w:rPr>
                <w:spacing w:val="3"/>
                <w:szCs w:val="21"/>
              </w:rPr>
              <w:t>而使气体脱臭的方法。</w:t>
            </w:r>
          </w:p>
        </w:tc>
        <w:tc>
          <w:tcPr>
            <w:tcW w:w="1842" w:type="dxa"/>
            <w:shd w:val="clear" w:color="auto" w:fill="auto"/>
            <w:vAlign w:val="center"/>
          </w:tcPr>
          <w:p>
            <w:pPr>
              <w:jc w:val="center"/>
              <w:rPr>
                <w:rFonts w:ascii="Calibri" w:hAnsi="Calibri" w:eastAsia="Times New Roman"/>
                <w:spacing w:val="3"/>
                <w:szCs w:val="21"/>
              </w:rPr>
            </w:pPr>
            <w:r>
              <w:rPr>
                <w:spacing w:val="3"/>
                <w:szCs w:val="21"/>
              </w:rPr>
              <w:t>适用于处理流量大，高、中浓度的恶臭气体。</w:t>
            </w:r>
          </w:p>
        </w:tc>
        <w:tc>
          <w:tcPr>
            <w:tcW w:w="2671" w:type="dxa"/>
            <w:shd w:val="clear" w:color="auto" w:fill="auto"/>
            <w:vAlign w:val="center"/>
          </w:tcPr>
          <w:p>
            <w:pPr>
              <w:jc w:val="center"/>
              <w:rPr>
                <w:rFonts w:ascii="Calibri" w:hAnsi="Calibri" w:eastAsia="Times New Roman"/>
                <w:spacing w:val="3"/>
                <w:szCs w:val="21"/>
              </w:rPr>
            </w:pPr>
            <w:r>
              <w:rPr>
                <w:spacing w:val="3"/>
                <w:szCs w:val="21"/>
              </w:rPr>
              <w:t>工艺成熟简单，对中性的有机成份不能起到很好的吸收效果，未端还需连接其他的治理设施，消耗吸收剂。</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28" w:type="dxa"/>
            <w:bottom w:w="0" w:type="dxa"/>
            <w:right w:w="28" w:type="dxa"/>
          </w:tblCellMar>
        </w:tblPrEx>
        <w:trPr>
          <w:trHeight w:val="454" w:hRule="atLeast"/>
          <w:jc w:val="center"/>
        </w:trPr>
        <w:tc>
          <w:tcPr>
            <w:tcW w:w="1083" w:type="dxa"/>
            <w:shd w:val="clear" w:color="auto" w:fill="auto"/>
            <w:vAlign w:val="center"/>
          </w:tcPr>
          <w:p>
            <w:pPr>
              <w:jc w:val="center"/>
              <w:rPr>
                <w:rFonts w:ascii="Calibri" w:hAnsi="Calibri" w:eastAsia="Times New Roman"/>
                <w:spacing w:val="3"/>
                <w:szCs w:val="21"/>
              </w:rPr>
            </w:pPr>
            <w:r>
              <w:rPr>
                <w:spacing w:val="3"/>
                <w:szCs w:val="21"/>
              </w:rPr>
              <w:t>生物滤池法</w:t>
            </w:r>
          </w:p>
        </w:tc>
        <w:tc>
          <w:tcPr>
            <w:tcW w:w="2773" w:type="dxa"/>
            <w:shd w:val="clear" w:color="auto" w:fill="auto"/>
            <w:vAlign w:val="center"/>
          </w:tcPr>
          <w:p>
            <w:pPr>
              <w:jc w:val="center"/>
              <w:rPr>
                <w:rFonts w:ascii="Calibri" w:hAnsi="Calibri" w:eastAsia="Times New Roman"/>
                <w:spacing w:val="3"/>
                <w:szCs w:val="21"/>
              </w:rPr>
            </w:pPr>
            <w:r>
              <w:rPr>
                <w:spacing w:val="3"/>
                <w:szCs w:val="21"/>
              </w:rPr>
              <w:t>利用微生物降解恶臭物质而使气体脱臭的方法。</w:t>
            </w:r>
          </w:p>
        </w:tc>
        <w:tc>
          <w:tcPr>
            <w:tcW w:w="1842" w:type="dxa"/>
            <w:shd w:val="clear" w:color="auto" w:fill="auto"/>
            <w:vAlign w:val="center"/>
          </w:tcPr>
          <w:p>
            <w:pPr>
              <w:jc w:val="center"/>
              <w:rPr>
                <w:rFonts w:ascii="Calibri" w:hAnsi="Calibri" w:eastAsia="Times New Roman"/>
                <w:spacing w:val="3"/>
                <w:szCs w:val="21"/>
              </w:rPr>
            </w:pPr>
            <w:r>
              <w:rPr>
                <w:spacing w:val="3"/>
                <w:szCs w:val="21"/>
              </w:rPr>
              <w:t>适用于可生物降解水溶性恶臭物质的去除。</w:t>
            </w:r>
          </w:p>
        </w:tc>
        <w:tc>
          <w:tcPr>
            <w:tcW w:w="2671" w:type="dxa"/>
            <w:shd w:val="clear" w:color="auto" w:fill="auto"/>
            <w:vAlign w:val="center"/>
          </w:tcPr>
          <w:p>
            <w:pPr>
              <w:jc w:val="center"/>
              <w:rPr>
                <w:rFonts w:ascii="Calibri" w:hAnsi="Calibri" w:eastAsia="Times New Roman"/>
                <w:spacing w:val="3"/>
                <w:szCs w:val="21"/>
              </w:rPr>
            </w:pPr>
            <w:r>
              <w:rPr>
                <w:spacing w:val="3"/>
                <w:szCs w:val="21"/>
              </w:rPr>
              <w:t>去除效率高，占地面积大，耗能大，填料和菌种需要定期更换，运行成本高，脱臭过程不易控制。</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28" w:type="dxa"/>
            <w:bottom w:w="0" w:type="dxa"/>
            <w:right w:w="28" w:type="dxa"/>
          </w:tblCellMar>
        </w:tblPrEx>
        <w:trPr>
          <w:trHeight w:val="454" w:hRule="atLeast"/>
          <w:jc w:val="center"/>
        </w:trPr>
        <w:tc>
          <w:tcPr>
            <w:tcW w:w="1083" w:type="dxa"/>
            <w:shd w:val="clear" w:color="auto" w:fill="auto"/>
            <w:vAlign w:val="center"/>
          </w:tcPr>
          <w:p>
            <w:pPr>
              <w:jc w:val="center"/>
              <w:rPr>
                <w:rFonts w:ascii="Calibri" w:hAnsi="Calibri" w:eastAsia="Times New Roman"/>
                <w:spacing w:val="3"/>
                <w:szCs w:val="21"/>
              </w:rPr>
            </w:pPr>
            <w:r>
              <w:rPr>
                <w:spacing w:val="3"/>
                <w:szCs w:val="21"/>
              </w:rPr>
              <w:t>低温等离子法</w:t>
            </w:r>
          </w:p>
        </w:tc>
        <w:tc>
          <w:tcPr>
            <w:tcW w:w="2773" w:type="dxa"/>
            <w:shd w:val="clear" w:color="auto" w:fill="auto"/>
            <w:vAlign w:val="center"/>
          </w:tcPr>
          <w:p>
            <w:pPr>
              <w:jc w:val="center"/>
              <w:rPr>
                <w:rFonts w:ascii="Calibri" w:hAnsi="Calibri" w:eastAsia="Times New Roman"/>
                <w:spacing w:val="3"/>
                <w:szCs w:val="21"/>
              </w:rPr>
            </w:pPr>
            <w:r>
              <w:rPr>
                <w:spacing w:val="3"/>
                <w:szCs w:val="21"/>
              </w:rPr>
              <w:t>等离子体法靠分子激发器使用高频、高压，采用分子共振的原理使气体中有机物分子链被断开，发生一系列复杂的氧化还原反应，生成CO</w:t>
            </w:r>
            <w:r>
              <w:rPr>
                <w:rFonts w:hint="eastAsia"/>
                <w:spacing w:val="3"/>
                <w:szCs w:val="21"/>
                <w:vertAlign w:val="subscript"/>
              </w:rPr>
              <w:t>2</w:t>
            </w:r>
            <w:r>
              <w:rPr>
                <w:spacing w:val="3"/>
                <w:szCs w:val="21"/>
              </w:rPr>
              <w:t>、H</w:t>
            </w:r>
            <w:r>
              <w:rPr>
                <w:rFonts w:hint="eastAsia"/>
                <w:spacing w:val="3"/>
                <w:szCs w:val="21"/>
                <w:vertAlign w:val="subscript"/>
              </w:rPr>
              <w:t>2</w:t>
            </w:r>
            <w:r>
              <w:rPr>
                <w:spacing w:val="3"/>
                <w:szCs w:val="21"/>
              </w:rPr>
              <w:t>O等无害物质。</w:t>
            </w:r>
          </w:p>
        </w:tc>
        <w:tc>
          <w:tcPr>
            <w:tcW w:w="1842" w:type="dxa"/>
            <w:shd w:val="clear" w:color="auto" w:fill="auto"/>
            <w:vAlign w:val="center"/>
          </w:tcPr>
          <w:p>
            <w:pPr>
              <w:jc w:val="center"/>
              <w:rPr>
                <w:rFonts w:ascii="Calibri" w:hAnsi="Calibri" w:eastAsia="Times New Roman"/>
                <w:spacing w:val="3"/>
                <w:szCs w:val="21"/>
              </w:rPr>
            </w:pPr>
            <w:r>
              <w:rPr>
                <w:spacing w:val="3"/>
                <w:szCs w:val="21"/>
              </w:rPr>
              <w:t>适用于其它方法难以处理的多组分恶臭气体，如化工、医药等行业。</w:t>
            </w:r>
          </w:p>
        </w:tc>
        <w:tc>
          <w:tcPr>
            <w:tcW w:w="2671" w:type="dxa"/>
            <w:shd w:val="clear" w:color="auto" w:fill="auto"/>
            <w:vAlign w:val="center"/>
          </w:tcPr>
          <w:p>
            <w:pPr>
              <w:jc w:val="center"/>
              <w:rPr>
                <w:rFonts w:ascii="Calibri" w:hAnsi="Calibri" w:eastAsia="Times New Roman"/>
                <w:spacing w:val="3"/>
                <w:szCs w:val="21"/>
              </w:rPr>
            </w:pPr>
            <w:r>
              <w:rPr>
                <w:spacing w:val="3"/>
                <w:szCs w:val="21"/>
              </w:rPr>
              <w:t>具有净化效率高，占地小、操作方便和运行费用低等优点。缺点：处理效果受浓度影响、投资成本高、需定期更换离子管，价格昂贵，并有自燃爆炸的可能性。易产生氮氧化物，造成二次污染。</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28" w:type="dxa"/>
            <w:bottom w:w="0" w:type="dxa"/>
            <w:right w:w="28" w:type="dxa"/>
          </w:tblCellMar>
        </w:tblPrEx>
        <w:trPr>
          <w:trHeight w:val="454" w:hRule="atLeast"/>
          <w:jc w:val="center"/>
        </w:trPr>
        <w:tc>
          <w:tcPr>
            <w:tcW w:w="1083" w:type="dxa"/>
            <w:shd w:val="clear" w:color="auto" w:fill="auto"/>
            <w:vAlign w:val="center"/>
          </w:tcPr>
          <w:p>
            <w:pPr>
              <w:jc w:val="center"/>
              <w:rPr>
                <w:rFonts w:ascii="Calibri" w:hAnsi="Calibri" w:eastAsia="Times New Roman"/>
                <w:spacing w:val="3"/>
                <w:szCs w:val="21"/>
              </w:rPr>
            </w:pPr>
            <w:r>
              <w:rPr>
                <w:spacing w:val="3"/>
                <w:szCs w:val="21"/>
              </w:rPr>
              <w:t>光催化氧化法</w:t>
            </w:r>
          </w:p>
        </w:tc>
        <w:tc>
          <w:tcPr>
            <w:tcW w:w="2773" w:type="dxa"/>
            <w:shd w:val="clear" w:color="auto" w:fill="auto"/>
            <w:vAlign w:val="center"/>
          </w:tcPr>
          <w:p>
            <w:pPr>
              <w:jc w:val="center"/>
              <w:rPr>
                <w:rFonts w:ascii="Calibri" w:hAnsi="Calibri" w:eastAsia="Times New Roman"/>
                <w:spacing w:val="3"/>
                <w:szCs w:val="21"/>
              </w:rPr>
            </w:pPr>
            <w:r>
              <w:rPr>
                <w:spacing w:val="3"/>
                <w:szCs w:val="21"/>
              </w:rPr>
              <w:t>用高能UV紫外线，在光解净化设备内，裂解氧化恶臭物质分子链，改变物质结构，将高分子污染物质裂解、氧化为低分子无害物质。</w:t>
            </w:r>
          </w:p>
        </w:tc>
        <w:tc>
          <w:tcPr>
            <w:tcW w:w="1842" w:type="dxa"/>
            <w:shd w:val="clear" w:color="auto" w:fill="auto"/>
            <w:vAlign w:val="center"/>
          </w:tcPr>
          <w:p>
            <w:pPr>
              <w:jc w:val="center"/>
              <w:rPr>
                <w:rFonts w:ascii="Calibri" w:hAnsi="Calibri" w:eastAsia="Times New Roman"/>
                <w:spacing w:val="3"/>
                <w:szCs w:val="21"/>
              </w:rPr>
            </w:pPr>
            <w:r>
              <w:rPr>
                <w:spacing w:val="3"/>
                <w:szCs w:val="21"/>
              </w:rPr>
              <w:t>适用范围广、可持续运行、适合常温处理。</w:t>
            </w:r>
          </w:p>
        </w:tc>
        <w:tc>
          <w:tcPr>
            <w:tcW w:w="2671" w:type="dxa"/>
            <w:shd w:val="clear" w:color="auto" w:fill="auto"/>
            <w:vAlign w:val="center"/>
          </w:tcPr>
          <w:p>
            <w:pPr>
              <w:jc w:val="center"/>
              <w:rPr>
                <w:rFonts w:ascii="Calibri" w:hAnsi="Calibri" w:eastAsia="Times New Roman"/>
                <w:spacing w:val="3"/>
                <w:szCs w:val="21"/>
              </w:rPr>
            </w:pPr>
            <w:r>
              <w:rPr>
                <w:spacing w:val="3"/>
                <w:szCs w:val="21"/>
              </w:rPr>
              <w:t>投资成本低、处理风量范围广，运行成本低、净化效率高、无二次污染。</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28" w:type="dxa"/>
            <w:bottom w:w="0" w:type="dxa"/>
            <w:right w:w="28" w:type="dxa"/>
          </w:tblCellMar>
        </w:tblPrEx>
        <w:trPr>
          <w:trHeight w:val="454" w:hRule="atLeast"/>
          <w:jc w:val="center"/>
        </w:trPr>
        <w:tc>
          <w:tcPr>
            <w:tcW w:w="1083" w:type="dxa"/>
            <w:shd w:val="clear" w:color="auto" w:fill="auto"/>
            <w:vAlign w:val="center"/>
          </w:tcPr>
          <w:p>
            <w:pPr>
              <w:jc w:val="center"/>
              <w:rPr>
                <w:rFonts w:ascii="Calibri" w:hAnsi="Calibri" w:eastAsia="Times New Roman"/>
                <w:spacing w:val="3"/>
                <w:szCs w:val="21"/>
              </w:rPr>
            </w:pPr>
            <w:r>
              <w:rPr>
                <w:spacing w:val="3"/>
                <w:szCs w:val="21"/>
              </w:rPr>
              <w:t>水</w:t>
            </w:r>
            <w:r>
              <w:rPr>
                <w:rFonts w:hint="eastAsia"/>
                <w:spacing w:val="3"/>
                <w:szCs w:val="21"/>
              </w:rPr>
              <w:t>喷淋</w:t>
            </w:r>
            <w:r>
              <w:rPr>
                <w:spacing w:val="3"/>
                <w:szCs w:val="21"/>
              </w:rPr>
              <w:t>法</w:t>
            </w:r>
          </w:p>
        </w:tc>
        <w:tc>
          <w:tcPr>
            <w:tcW w:w="2773" w:type="dxa"/>
            <w:shd w:val="clear" w:color="auto" w:fill="auto"/>
            <w:vAlign w:val="center"/>
          </w:tcPr>
          <w:p>
            <w:pPr>
              <w:jc w:val="center"/>
              <w:rPr>
                <w:rFonts w:ascii="Calibri" w:hAnsi="Calibri" w:eastAsia="Times New Roman"/>
                <w:spacing w:val="3"/>
                <w:szCs w:val="21"/>
              </w:rPr>
            </w:pPr>
            <w:r>
              <w:rPr>
                <w:spacing w:val="3"/>
                <w:szCs w:val="21"/>
              </w:rPr>
              <w:t>利用臭气中某些物质易溶于水的特性，使臭气成分直接与水接触，从而溶解于水达到脱臭目的。</w:t>
            </w:r>
          </w:p>
        </w:tc>
        <w:tc>
          <w:tcPr>
            <w:tcW w:w="1842" w:type="dxa"/>
            <w:shd w:val="clear" w:color="auto" w:fill="auto"/>
            <w:vAlign w:val="center"/>
          </w:tcPr>
          <w:p>
            <w:pPr>
              <w:jc w:val="center"/>
              <w:rPr>
                <w:rFonts w:ascii="Calibri" w:hAnsi="Calibri" w:eastAsia="Times New Roman"/>
                <w:spacing w:val="3"/>
                <w:szCs w:val="21"/>
              </w:rPr>
            </w:pPr>
            <w:r>
              <w:rPr>
                <w:spacing w:val="3"/>
                <w:szCs w:val="21"/>
              </w:rPr>
              <w:t>适用水溶性的恶臭气体</w:t>
            </w:r>
            <w:r>
              <w:rPr>
                <w:rFonts w:hint="eastAsia"/>
                <w:spacing w:val="3"/>
                <w:szCs w:val="21"/>
              </w:rPr>
              <w:t>。</w:t>
            </w:r>
          </w:p>
        </w:tc>
        <w:tc>
          <w:tcPr>
            <w:tcW w:w="2671" w:type="dxa"/>
            <w:shd w:val="clear" w:color="auto" w:fill="auto"/>
            <w:vAlign w:val="center"/>
          </w:tcPr>
          <w:p>
            <w:pPr>
              <w:jc w:val="center"/>
              <w:rPr>
                <w:rFonts w:ascii="Calibri" w:hAnsi="Calibri" w:eastAsia="Times New Roman"/>
                <w:spacing w:val="3"/>
                <w:szCs w:val="21"/>
              </w:rPr>
            </w:pPr>
            <w:r>
              <w:rPr>
                <w:spacing w:val="3"/>
                <w:szCs w:val="21"/>
              </w:rPr>
              <w:t>该法工艺简单，净化效率较低，产生二次污染。</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28" w:type="dxa"/>
            <w:bottom w:w="0" w:type="dxa"/>
            <w:right w:w="28" w:type="dxa"/>
          </w:tblCellMar>
        </w:tblPrEx>
        <w:trPr>
          <w:trHeight w:val="454" w:hRule="atLeast"/>
          <w:jc w:val="center"/>
        </w:trPr>
        <w:tc>
          <w:tcPr>
            <w:tcW w:w="1083" w:type="dxa"/>
            <w:shd w:val="clear" w:color="auto" w:fill="auto"/>
            <w:vAlign w:val="center"/>
          </w:tcPr>
          <w:p>
            <w:pPr>
              <w:jc w:val="center"/>
              <w:rPr>
                <w:rFonts w:ascii="Calibri" w:hAnsi="Calibri" w:eastAsia="Times New Roman"/>
                <w:spacing w:val="3"/>
                <w:szCs w:val="21"/>
              </w:rPr>
            </w:pPr>
            <w:r>
              <w:rPr>
                <w:rFonts w:hint="eastAsia"/>
                <w:spacing w:val="3"/>
                <w:szCs w:val="21"/>
              </w:rPr>
              <w:t>生物</w:t>
            </w:r>
            <w:r>
              <w:rPr>
                <w:spacing w:val="3"/>
                <w:szCs w:val="21"/>
              </w:rPr>
              <w:t>除臭剂喷淋除臭法</w:t>
            </w:r>
          </w:p>
        </w:tc>
        <w:tc>
          <w:tcPr>
            <w:tcW w:w="2773" w:type="dxa"/>
            <w:shd w:val="clear" w:color="auto" w:fill="auto"/>
            <w:vAlign w:val="center"/>
          </w:tcPr>
          <w:p>
            <w:pPr>
              <w:jc w:val="center"/>
              <w:rPr>
                <w:rFonts w:ascii="Calibri" w:hAnsi="Calibri" w:eastAsia="Times New Roman"/>
                <w:spacing w:val="3"/>
                <w:szCs w:val="21"/>
              </w:rPr>
            </w:pPr>
            <w:r>
              <w:rPr>
                <w:spacing w:val="3"/>
                <w:szCs w:val="21"/>
              </w:rPr>
              <w:t>生物除臭剂是通过微生物提取和混合发酵技术研发的新一代微生物除臭除味剂，具有常规微生物制剂无法比拟的优越性，富含大量益生菌及多种有益细菌，可快速对臭味源进行分解转化，降解臭味源中的有机物质，降低氨、氮含量，去除臭味效果优异，更能有效的抑制臭味的再次发生。</w:t>
            </w:r>
          </w:p>
        </w:tc>
        <w:tc>
          <w:tcPr>
            <w:tcW w:w="1842" w:type="dxa"/>
            <w:shd w:val="clear" w:color="auto" w:fill="auto"/>
            <w:vAlign w:val="center"/>
          </w:tcPr>
          <w:p>
            <w:pPr>
              <w:jc w:val="center"/>
              <w:rPr>
                <w:rFonts w:ascii="Calibri" w:hAnsi="Calibri" w:eastAsia="Times New Roman"/>
                <w:spacing w:val="3"/>
                <w:szCs w:val="21"/>
              </w:rPr>
            </w:pPr>
            <w:r>
              <w:rPr>
                <w:spacing w:val="3"/>
                <w:szCs w:val="21"/>
              </w:rPr>
              <w:t>物除臭适用于各种不同的场所。它们可以用于家庭商业和工业环中，例如餐厨垃圾、厕所下水道、垃圾桶、垃圾场、养殖场、有机肥、化粪池、粪便</w:t>
            </w:r>
            <w:r>
              <w:rPr>
                <w:rFonts w:hint="eastAsia"/>
                <w:spacing w:val="3"/>
                <w:szCs w:val="21"/>
              </w:rPr>
              <w:t>、污水处理厂</w:t>
            </w:r>
            <w:r>
              <w:rPr>
                <w:spacing w:val="3"/>
                <w:szCs w:val="21"/>
              </w:rPr>
              <w:t>等。</w:t>
            </w:r>
          </w:p>
        </w:tc>
        <w:tc>
          <w:tcPr>
            <w:tcW w:w="2671" w:type="dxa"/>
            <w:shd w:val="clear" w:color="auto" w:fill="auto"/>
            <w:vAlign w:val="center"/>
          </w:tcPr>
          <w:p>
            <w:pPr>
              <w:jc w:val="center"/>
              <w:rPr>
                <w:rFonts w:ascii="Calibri" w:hAnsi="Calibri" w:eastAsia="Times New Roman"/>
                <w:spacing w:val="3"/>
                <w:szCs w:val="21"/>
              </w:rPr>
            </w:pPr>
            <w:r>
              <w:rPr>
                <w:spacing w:val="3"/>
                <w:szCs w:val="21"/>
              </w:rPr>
              <w:t>微生物除臭技术通过微生物的代谢过程来降解恶臭气体，具有无毒、无二次污染、所需设备简单、容易操作、运行费用低廉、处理效率较高、管理维护方便的特点</w:t>
            </w:r>
            <w:r>
              <w:rPr>
                <w:rFonts w:hint="eastAsia"/>
                <w:spacing w:val="3"/>
                <w:szCs w:val="21"/>
              </w:rPr>
              <w:t>。</w:t>
            </w:r>
          </w:p>
        </w:tc>
      </w:tr>
    </w:tbl>
    <w:p>
      <w:pPr>
        <w:spacing w:line="520" w:lineRule="exact"/>
        <w:ind w:firstLine="480" w:firstLineChars="200"/>
        <w:rPr>
          <w:sz w:val="24"/>
          <w:szCs w:val="24"/>
        </w:rPr>
      </w:pPr>
      <w:r>
        <w:rPr>
          <w:rFonts w:hint="eastAsia"/>
          <w:sz w:val="24"/>
          <w:szCs w:val="24"/>
        </w:rPr>
        <w:t>针对上述除臭技术方法，经对比分析、结合同类企业实际运行效果和考虑占地面积、投资运行费用、去除效果等方面，本项目采用“碱喷淋+生物除臭剂喷淋”工艺处理污水处理站产生的恶臭气体。</w:t>
      </w:r>
    </w:p>
    <w:p>
      <w:pPr>
        <w:spacing w:line="520" w:lineRule="exact"/>
        <w:outlineLvl w:val="3"/>
        <w:rPr>
          <w:kern w:val="0"/>
          <w:sz w:val="24"/>
          <w:szCs w:val="28"/>
        </w:rPr>
      </w:pPr>
      <w:r>
        <w:rPr>
          <w:rFonts w:hint="eastAsia"/>
          <w:kern w:val="0"/>
          <w:sz w:val="24"/>
          <w:szCs w:val="28"/>
        </w:rPr>
        <w:t>（2）</w:t>
      </w:r>
      <w:r>
        <w:rPr>
          <w:kern w:val="0"/>
          <w:sz w:val="24"/>
          <w:szCs w:val="28"/>
        </w:rPr>
        <w:t>污水处理站废气治理措施分析</w:t>
      </w:r>
    </w:p>
    <w:p>
      <w:pPr>
        <w:adjustRightInd w:val="0"/>
        <w:snapToGrid w:val="0"/>
        <w:spacing w:line="520" w:lineRule="exact"/>
        <w:ind w:firstLine="566" w:firstLineChars="236"/>
        <w:rPr>
          <w:sz w:val="24"/>
          <w:szCs w:val="24"/>
        </w:rPr>
      </w:pPr>
      <w:r>
        <w:rPr>
          <w:rFonts w:hint="eastAsia"/>
          <w:sz w:val="24"/>
          <w:szCs w:val="24"/>
        </w:rPr>
        <w:t>①</w:t>
      </w:r>
      <w:r>
        <w:rPr>
          <w:sz w:val="24"/>
          <w:szCs w:val="24"/>
        </w:rPr>
        <w:t>污水处理站废气收集及治理情况</w:t>
      </w:r>
    </w:p>
    <w:p>
      <w:pPr>
        <w:adjustRightInd w:val="0"/>
        <w:snapToGrid w:val="0"/>
        <w:spacing w:line="520" w:lineRule="exact"/>
        <w:ind w:firstLine="566" w:firstLineChars="236"/>
        <w:rPr>
          <w:sz w:val="24"/>
          <w:szCs w:val="24"/>
        </w:rPr>
      </w:pPr>
      <w:bookmarkStart w:id="168" w:name="_Hlk107411548"/>
      <w:r>
        <w:rPr>
          <w:sz w:val="24"/>
          <w:szCs w:val="24"/>
        </w:rPr>
        <w:t>厂区拟建1座污水处理站，污水处理站运行过程中会</w:t>
      </w:r>
      <w:r>
        <w:rPr>
          <w:bCs/>
          <w:sz w:val="24"/>
          <w:szCs w:val="24"/>
        </w:rPr>
        <w:t>产生恶臭气体，主要污染物为氨、硫化氢和臭气浓度</w:t>
      </w:r>
      <w:r>
        <w:rPr>
          <w:sz w:val="24"/>
          <w:szCs w:val="24"/>
        </w:rPr>
        <w:t>。污水处理站废气采用</w:t>
      </w:r>
      <w:r>
        <w:rPr>
          <w:bCs/>
          <w:sz w:val="24"/>
          <w:szCs w:val="24"/>
        </w:rPr>
        <w:t>“</w:t>
      </w:r>
      <w:r>
        <w:rPr>
          <w:rFonts w:hint="eastAsia"/>
          <w:bCs/>
          <w:sz w:val="24"/>
          <w:szCs w:val="24"/>
        </w:rPr>
        <w:t>洗涤除臭装置（</w:t>
      </w:r>
      <w:r>
        <w:rPr>
          <w:rFonts w:hint="eastAsia"/>
          <w:sz w:val="24"/>
          <w:szCs w:val="24"/>
        </w:rPr>
        <w:t>碱喷淋+生物除臭剂喷淋</w:t>
      </w:r>
      <w:r>
        <w:rPr>
          <w:rFonts w:hint="eastAsia"/>
          <w:bCs/>
          <w:sz w:val="24"/>
          <w:szCs w:val="24"/>
        </w:rPr>
        <w:t>）</w:t>
      </w:r>
      <w:r>
        <w:rPr>
          <w:bCs/>
          <w:sz w:val="24"/>
          <w:szCs w:val="24"/>
        </w:rPr>
        <w:t>”进行处理，处理达标后经1根15m高排气筒。</w:t>
      </w:r>
      <w:bookmarkEnd w:id="168"/>
      <w:r>
        <w:rPr>
          <w:rFonts w:hint="eastAsia"/>
          <w:bCs/>
          <w:sz w:val="24"/>
          <w:szCs w:val="24"/>
        </w:rPr>
        <w:t>“洗涤除臭装置（碱喷淋+生物除臭剂喷淋）”</w:t>
      </w:r>
      <w:r>
        <w:rPr>
          <w:sz w:val="24"/>
          <w:szCs w:val="24"/>
        </w:rPr>
        <w:t>对氨、硫化氢的去除效率为95%。</w:t>
      </w:r>
    </w:p>
    <w:p>
      <w:pPr>
        <w:adjustRightInd w:val="0"/>
        <w:snapToGrid w:val="0"/>
        <w:spacing w:line="520" w:lineRule="exact"/>
        <w:ind w:firstLine="566" w:firstLineChars="236"/>
        <w:rPr>
          <w:sz w:val="24"/>
          <w:szCs w:val="24"/>
        </w:rPr>
      </w:pPr>
      <w:r>
        <w:rPr>
          <w:rFonts w:hint="eastAsia"/>
          <w:sz w:val="24"/>
          <w:szCs w:val="24"/>
        </w:rPr>
        <w:t>②</w:t>
      </w:r>
      <w:r>
        <w:rPr>
          <w:sz w:val="24"/>
          <w:szCs w:val="24"/>
        </w:rPr>
        <w:t>废气治理措施介绍</w:t>
      </w:r>
    </w:p>
    <w:p>
      <w:pPr>
        <w:spacing w:line="520" w:lineRule="exact"/>
        <w:ind w:firstLine="480" w:firstLineChars="200"/>
        <w:rPr>
          <w:sz w:val="24"/>
          <w:szCs w:val="24"/>
        </w:rPr>
      </w:pPr>
      <w:r>
        <w:rPr>
          <w:rFonts w:hint="eastAsia"/>
          <w:sz w:val="24"/>
          <w:szCs w:val="24"/>
        </w:rPr>
        <w:t>洗涤除臭装置分为化学洗涤段和生物洗涤段，从臭气收集管道出来的臭气首先经过化学洗涤段，经自下向上运动与自上向下喷洒的氢氧化钠溶液通过中间介质多面空心球填料的不断接触，气液两相充分接触传质，使臭气中以硫化氢为主的酸性有害气体污染物得到吸收净化；经过一级化学洗涤段的初次去除后，进入生物洗涤段，生物洗涤段喷洒的药液为生物除臭剂，利用微生物的净化作用，去除臭气中剩余的恶臭组分，经过处理后的臭气达标排放。污水处理站除臭系统工艺流程图如下。</w:t>
      </w:r>
    </w:p>
    <w:p>
      <w:pPr>
        <w:autoSpaceDE w:val="0"/>
        <w:autoSpaceDN w:val="0"/>
        <w:adjustRightInd w:val="0"/>
        <w:jc w:val="left"/>
        <w:rPr>
          <w:color w:val="000000"/>
          <w:kern w:val="0"/>
          <w:sz w:val="24"/>
          <w:szCs w:val="24"/>
        </w:rPr>
      </w:pPr>
      <w:r>
        <w:rPr>
          <w:color w:val="000000"/>
          <w:kern w:val="0"/>
          <w:sz w:val="24"/>
          <w:szCs w:val="24"/>
        </w:rPr>
        <w:drawing>
          <wp:inline distT="0" distB="0" distL="0" distR="0">
            <wp:extent cx="5278755" cy="4291330"/>
            <wp:effectExtent l="0" t="0" r="17145" b="13970"/>
            <wp:docPr id="707935097" name="图片 4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35097" name="图片 41" descr="图示&#10;&#10;描述已自动生成"/>
                    <pic:cNvPicPr>
                      <a:picLocks noChangeAspect="1" noChangeArrowheads="1"/>
                    </pic:cNvPicPr>
                  </pic:nvPicPr>
                  <pic:blipFill>
                    <a:blip r:embed="rId206"/>
                    <a:srcRect/>
                    <a:stretch>
                      <a:fillRect/>
                    </a:stretch>
                  </pic:blipFill>
                  <pic:spPr>
                    <a:xfrm>
                      <a:off x="0" y="0"/>
                      <a:ext cx="5278755" cy="4291330"/>
                    </a:xfrm>
                    <a:prstGeom prst="rect">
                      <a:avLst/>
                    </a:prstGeom>
                    <a:noFill/>
                    <a:ln>
                      <a:noFill/>
                    </a:ln>
                  </pic:spPr>
                </pic:pic>
              </a:graphicData>
            </a:graphic>
          </wp:inline>
        </w:drawing>
      </w:r>
    </w:p>
    <w:p>
      <w:pPr>
        <w:spacing w:line="520" w:lineRule="exact"/>
        <w:jc w:val="center"/>
        <w:rPr>
          <w:sz w:val="24"/>
          <w:szCs w:val="24"/>
        </w:rPr>
      </w:pPr>
      <w:r>
        <w:rPr>
          <w:rFonts w:eastAsia="黑体"/>
          <w:sz w:val="24"/>
          <w:szCs w:val="24"/>
        </w:rPr>
        <w:t>图</w:t>
      </w:r>
      <w:r>
        <w:rPr>
          <w:sz w:val="24"/>
          <w:szCs w:val="24"/>
        </w:rPr>
        <w:t>7.2-2</w:t>
      </w:r>
      <w:r>
        <w:rPr>
          <w:rFonts w:eastAsia="黑体"/>
          <w:sz w:val="24"/>
          <w:szCs w:val="24"/>
        </w:rPr>
        <w:t xml:space="preserve">       污水处理站</w:t>
      </w:r>
      <w:r>
        <w:rPr>
          <w:rFonts w:hint="eastAsia" w:eastAsia="黑体"/>
          <w:sz w:val="24"/>
          <w:szCs w:val="24"/>
        </w:rPr>
        <w:t>除臭系统</w:t>
      </w:r>
      <w:r>
        <w:rPr>
          <w:rFonts w:eastAsia="黑体"/>
          <w:sz w:val="24"/>
          <w:szCs w:val="24"/>
        </w:rPr>
        <w:t>工艺流程图</w:t>
      </w:r>
    </w:p>
    <w:p>
      <w:pPr>
        <w:adjustRightInd w:val="0"/>
        <w:snapToGrid w:val="0"/>
        <w:spacing w:line="520" w:lineRule="exact"/>
        <w:ind w:firstLine="566" w:firstLineChars="236"/>
        <w:rPr>
          <w:sz w:val="24"/>
          <w:szCs w:val="24"/>
        </w:rPr>
      </w:pPr>
      <w:r>
        <w:rPr>
          <w:rFonts w:hint="eastAsia"/>
          <w:sz w:val="24"/>
          <w:szCs w:val="24"/>
        </w:rPr>
        <w:t>③</w:t>
      </w:r>
      <w:r>
        <w:rPr>
          <w:sz w:val="24"/>
          <w:szCs w:val="24"/>
        </w:rPr>
        <w:t>污水处理站废气排放达标情况</w:t>
      </w:r>
    </w:p>
    <w:p>
      <w:pPr>
        <w:spacing w:line="520" w:lineRule="exact"/>
        <w:ind w:firstLine="480" w:firstLineChars="200"/>
        <w:rPr>
          <w:sz w:val="24"/>
          <w:szCs w:val="24"/>
        </w:rPr>
      </w:pPr>
      <w:r>
        <w:rPr>
          <w:sz w:val="24"/>
          <w:szCs w:val="24"/>
        </w:rPr>
        <w:t>本项目污水处理站废气经</w:t>
      </w:r>
      <w:r>
        <w:rPr>
          <w:rFonts w:hint="eastAsia"/>
          <w:sz w:val="24"/>
          <w:szCs w:val="24"/>
        </w:rPr>
        <w:t>“洗涤除臭装置（碱喷淋+生物除臭剂喷淋）”</w:t>
      </w:r>
      <w:r>
        <w:rPr>
          <w:sz w:val="24"/>
          <w:szCs w:val="24"/>
        </w:rPr>
        <w:t>处理后氨、硫化氢</w:t>
      </w:r>
      <w:r>
        <w:rPr>
          <w:rFonts w:hint="eastAsia"/>
          <w:sz w:val="24"/>
          <w:szCs w:val="24"/>
        </w:rPr>
        <w:t>、恶臭气体</w:t>
      </w:r>
      <w:r>
        <w:rPr>
          <w:sz w:val="24"/>
          <w:szCs w:val="24"/>
        </w:rPr>
        <w:t>排放浓度</w:t>
      </w:r>
      <w:r>
        <w:rPr>
          <w:rFonts w:hint="eastAsia"/>
          <w:sz w:val="24"/>
          <w:szCs w:val="24"/>
        </w:rPr>
        <w:t>、</w:t>
      </w:r>
      <w:r>
        <w:rPr>
          <w:sz w:val="24"/>
          <w:szCs w:val="24"/>
        </w:rPr>
        <w:t>排放速率能够满足《恶臭污染物排放标准》（GB14554-93）（有组织硫化氢：0.33kg/h、有组织氨：4.9kg/h、有组织臭气浓度：2000）。</w:t>
      </w:r>
    </w:p>
    <w:p>
      <w:pPr>
        <w:spacing w:line="520" w:lineRule="exact"/>
        <w:outlineLvl w:val="3"/>
        <w:rPr>
          <w:kern w:val="0"/>
          <w:sz w:val="24"/>
          <w:szCs w:val="28"/>
        </w:rPr>
      </w:pPr>
      <w:bookmarkStart w:id="169" w:name="_Hlk107411533"/>
      <w:r>
        <w:rPr>
          <w:rFonts w:hint="eastAsia"/>
          <w:kern w:val="0"/>
          <w:sz w:val="24"/>
          <w:szCs w:val="28"/>
        </w:rPr>
        <w:t>（3）</w:t>
      </w:r>
      <w:bookmarkEnd w:id="169"/>
      <w:bookmarkStart w:id="170" w:name="_Hlk107411555"/>
      <w:r>
        <w:rPr>
          <w:rFonts w:hint="eastAsia"/>
          <w:kern w:val="0"/>
          <w:sz w:val="24"/>
          <w:szCs w:val="28"/>
        </w:rPr>
        <w:t>污水处理站恶臭气体治理设施工艺可行性分析</w:t>
      </w:r>
    </w:p>
    <w:p>
      <w:pPr>
        <w:spacing w:line="520" w:lineRule="exact"/>
        <w:ind w:firstLine="480" w:firstLineChars="200"/>
        <w:rPr>
          <w:sz w:val="24"/>
          <w:szCs w:val="24"/>
        </w:rPr>
      </w:pPr>
      <w:r>
        <w:rPr>
          <w:rFonts w:hint="eastAsia"/>
          <w:sz w:val="24"/>
          <w:szCs w:val="24"/>
        </w:rPr>
        <w:t>根据《排污许可证申请与核发技术规范 水处理（试行）》（H</w:t>
      </w:r>
      <w:r>
        <w:rPr>
          <w:sz w:val="24"/>
          <w:szCs w:val="24"/>
        </w:rPr>
        <w:t>J 978-2018</w:t>
      </w:r>
      <w:r>
        <w:rPr>
          <w:rFonts w:hint="eastAsia"/>
          <w:sz w:val="24"/>
          <w:szCs w:val="24"/>
        </w:rPr>
        <w:t>）表5</w:t>
      </w:r>
      <w:r>
        <w:rPr>
          <w:sz w:val="24"/>
          <w:szCs w:val="24"/>
        </w:rPr>
        <w:t xml:space="preserve"> </w:t>
      </w:r>
      <w:r>
        <w:rPr>
          <w:rFonts w:hint="eastAsia"/>
          <w:sz w:val="24"/>
          <w:szCs w:val="24"/>
        </w:rPr>
        <w:t>废气治理可行技术参照表，预处理段、污泥处理段等产生恶臭气体的工段产生的氨气、硫化氢等恶臭气体采用的可行技术有生物过滤、化学洗涤、活性炭吸附，故本项目采用“化学洗涤+生物洗涤”（“碱喷淋+生物除臭剂喷淋”）工艺处理污水处理站产生的恶臭气体技术可行。</w:t>
      </w:r>
      <w:bookmarkEnd w:id="170"/>
      <w:bookmarkStart w:id="171" w:name="_Hlk107411573"/>
    </w:p>
    <w:bookmarkEnd w:id="171"/>
    <w:p>
      <w:pPr>
        <w:spacing w:line="520" w:lineRule="exact"/>
        <w:outlineLvl w:val="2"/>
        <w:rPr>
          <w:rFonts w:eastAsia="黑体"/>
          <w:sz w:val="28"/>
          <w:szCs w:val="28"/>
        </w:rPr>
      </w:pPr>
      <w:r>
        <w:rPr>
          <w:rFonts w:eastAsia="黑体"/>
          <w:sz w:val="28"/>
          <w:szCs w:val="28"/>
        </w:rPr>
        <w:t>7.2.3固废处置措施可行性分析</w:t>
      </w:r>
    </w:p>
    <w:p>
      <w:pPr>
        <w:spacing w:line="520" w:lineRule="exact"/>
        <w:ind w:firstLine="480" w:firstLineChars="200"/>
        <w:rPr>
          <w:bCs/>
          <w:sz w:val="24"/>
          <w:szCs w:val="24"/>
          <w:highlight w:val="yellow"/>
        </w:rPr>
      </w:pPr>
      <w:bookmarkStart w:id="172" w:name="_Hlk136423301"/>
      <w:bookmarkStart w:id="173" w:name="_Hlk97384503"/>
      <w:r>
        <w:rPr>
          <w:bCs/>
          <w:sz w:val="24"/>
          <w:szCs w:val="24"/>
        </w:rPr>
        <w:t>本工程的固废</w:t>
      </w:r>
      <w:r>
        <w:rPr>
          <w:rFonts w:hint="eastAsia"/>
          <w:bCs/>
          <w:sz w:val="24"/>
          <w:szCs w:val="24"/>
        </w:rPr>
        <w:t>主要为</w:t>
      </w:r>
      <w:r>
        <w:rPr>
          <w:bCs/>
          <w:sz w:val="24"/>
          <w:szCs w:val="24"/>
        </w:rPr>
        <w:t>一般工业固废</w:t>
      </w:r>
      <w:r>
        <w:rPr>
          <w:rFonts w:hint="eastAsia"/>
          <w:bCs/>
          <w:sz w:val="24"/>
          <w:szCs w:val="24"/>
        </w:rPr>
        <w:t>，主要包括格栅和超微过滤机产生的废渣</w:t>
      </w:r>
      <w:r>
        <w:rPr>
          <w:bCs/>
          <w:sz w:val="24"/>
          <w:szCs w:val="24"/>
        </w:rPr>
        <w:t>、</w:t>
      </w:r>
      <w:r>
        <w:rPr>
          <w:rFonts w:hint="eastAsia"/>
          <w:bCs/>
          <w:sz w:val="24"/>
          <w:szCs w:val="24"/>
        </w:rPr>
        <w:t>污泥脱水后的污泥</w:t>
      </w:r>
      <w:bookmarkEnd w:id="172"/>
      <w:r>
        <w:rPr>
          <w:rFonts w:hint="eastAsia"/>
          <w:bCs/>
          <w:sz w:val="24"/>
          <w:szCs w:val="24"/>
        </w:rPr>
        <w:t>，总产生量为</w:t>
      </w:r>
      <w:r>
        <w:rPr>
          <w:bCs/>
          <w:sz w:val="24"/>
          <w:szCs w:val="24"/>
        </w:rPr>
        <w:t>2</w:t>
      </w:r>
      <w:r>
        <w:rPr>
          <w:rFonts w:hint="eastAsia"/>
          <w:bCs/>
          <w:sz w:val="24"/>
          <w:szCs w:val="24"/>
        </w:rPr>
        <w:t>114.04t/a。其中</w:t>
      </w:r>
      <w:bookmarkStart w:id="174" w:name="_Hlk136423251"/>
      <w:r>
        <w:rPr>
          <w:rFonts w:hint="eastAsia"/>
          <w:bCs/>
          <w:sz w:val="24"/>
          <w:szCs w:val="24"/>
        </w:rPr>
        <w:t>废渣在一般固废间暂存后经垃圾车拉走。污泥在污泥暂存间暂存后交由污泥处置单位处置。</w:t>
      </w:r>
      <w:bookmarkEnd w:id="174"/>
    </w:p>
    <w:bookmarkEnd w:id="173"/>
    <w:p>
      <w:pPr>
        <w:spacing w:line="520" w:lineRule="exact"/>
        <w:outlineLvl w:val="3"/>
        <w:rPr>
          <w:kern w:val="0"/>
          <w:sz w:val="24"/>
          <w:szCs w:val="28"/>
        </w:rPr>
      </w:pPr>
      <w:r>
        <w:rPr>
          <w:kern w:val="0"/>
          <w:sz w:val="24"/>
          <w:szCs w:val="28"/>
        </w:rPr>
        <w:t>7.2.3.1一般固废管理措施</w:t>
      </w:r>
    </w:p>
    <w:p>
      <w:pPr>
        <w:spacing w:line="500" w:lineRule="exact"/>
        <w:ind w:firstLine="480" w:firstLineChars="200"/>
        <w:jc w:val="left"/>
        <w:rPr>
          <w:sz w:val="24"/>
          <w:szCs w:val="24"/>
          <w:highlight w:val="yellow"/>
        </w:rPr>
      </w:pPr>
      <w:r>
        <w:rPr>
          <w:sz w:val="24"/>
          <w:szCs w:val="24"/>
        </w:rPr>
        <w:t>厂区拟建</w:t>
      </w:r>
      <w:bookmarkStart w:id="175" w:name="_Hlk136439758"/>
      <w:r>
        <w:rPr>
          <w:sz w:val="24"/>
          <w:szCs w:val="24"/>
        </w:rPr>
        <w:t>1座15m</w:t>
      </w:r>
      <w:r>
        <w:rPr>
          <w:sz w:val="24"/>
          <w:szCs w:val="24"/>
          <w:vertAlign w:val="superscript"/>
        </w:rPr>
        <w:t>2</w:t>
      </w:r>
      <w:r>
        <w:rPr>
          <w:sz w:val="24"/>
          <w:szCs w:val="24"/>
        </w:rPr>
        <w:t>的</w:t>
      </w:r>
      <w:r>
        <w:rPr>
          <w:rFonts w:hint="eastAsia"/>
          <w:sz w:val="24"/>
          <w:szCs w:val="24"/>
        </w:rPr>
        <w:t>一般固废间和</w:t>
      </w:r>
      <w:r>
        <w:rPr>
          <w:sz w:val="24"/>
          <w:szCs w:val="24"/>
        </w:rPr>
        <w:t>15m</w:t>
      </w:r>
      <w:r>
        <w:rPr>
          <w:sz w:val="24"/>
          <w:szCs w:val="24"/>
          <w:vertAlign w:val="superscript"/>
        </w:rPr>
        <w:t>2</w:t>
      </w:r>
      <w:r>
        <w:rPr>
          <w:sz w:val="24"/>
          <w:szCs w:val="24"/>
        </w:rPr>
        <w:t>的</w:t>
      </w:r>
      <w:r>
        <w:rPr>
          <w:rFonts w:hint="eastAsia"/>
          <w:sz w:val="24"/>
          <w:szCs w:val="24"/>
        </w:rPr>
        <w:t>污泥暂存间</w:t>
      </w:r>
      <w:bookmarkEnd w:id="175"/>
      <w:r>
        <w:rPr>
          <w:sz w:val="24"/>
          <w:szCs w:val="24"/>
        </w:rPr>
        <w:t>。</w:t>
      </w:r>
      <w:bookmarkStart w:id="176" w:name="_Hlk107411885"/>
      <w:r>
        <w:rPr>
          <w:sz w:val="24"/>
          <w:szCs w:val="24"/>
        </w:rPr>
        <w:t>建设单位应严格按照</w:t>
      </w:r>
      <w:bookmarkStart w:id="177" w:name="_Hlk97384533"/>
      <w:r>
        <w:rPr>
          <w:sz w:val="24"/>
          <w:szCs w:val="24"/>
        </w:rPr>
        <w:t>《一般工业固体废物贮存和填埋污染控制标准》（GB18599-2020）的要求进行建设</w:t>
      </w:r>
      <w:bookmarkEnd w:id="177"/>
      <w:r>
        <w:rPr>
          <w:sz w:val="24"/>
          <w:szCs w:val="24"/>
        </w:rPr>
        <w:t>。</w:t>
      </w:r>
      <w:bookmarkEnd w:id="176"/>
      <w:r>
        <w:rPr>
          <w:sz w:val="24"/>
          <w:szCs w:val="24"/>
        </w:rPr>
        <w:t>一般工业固体废物废物出厂要做好记录和跟踪，并负责监督处置单位妥善处置一般工业固废，不能随意丢弃，造成环境污染。</w:t>
      </w:r>
    </w:p>
    <w:p>
      <w:pPr>
        <w:adjustRightInd w:val="0"/>
        <w:snapToGrid w:val="0"/>
        <w:spacing w:line="520" w:lineRule="exact"/>
        <w:ind w:firstLine="480" w:firstLineChars="200"/>
        <w:textAlignment w:val="baseline"/>
        <w:rPr>
          <w:kern w:val="0"/>
          <w:sz w:val="24"/>
          <w:szCs w:val="20"/>
        </w:rPr>
      </w:pPr>
      <w:r>
        <w:rPr>
          <w:kern w:val="0"/>
          <w:sz w:val="24"/>
          <w:szCs w:val="20"/>
        </w:rPr>
        <w:t>评价认为，项目营运期间固体废物去向明确，处置安全合理，不会对环境造成二次污染影响</w:t>
      </w:r>
      <w:r>
        <w:rPr>
          <w:rFonts w:hint="eastAsia"/>
          <w:kern w:val="0"/>
          <w:sz w:val="24"/>
          <w:szCs w:val="20"/>
        </w:rPr>
        <w:t>，</w:t>
      </w:r>
      <w:r>
        <w:rPr>
          <w:kern w:val="0"/>
          <w:sz w:val="24"/>
          <w:szCs w:val="20"/>
        </w:rPr>
        <w:t>固体废物污染防治措施可行。</w:t>
      </w:r>
    </w:p>
    <w:p>
      <w:pPr>
        <w:spacing w:line="520" w:lineRule="exact"/>
        <w:outlineLvl w:val="2"/>
        <w:rPr>
          <w:rFonts w:eastAsia="黑体"/>
          <w:sz w:val="28"/>
          <w:szCs w:val="28"/>
        </w:rPr>
      </w:pPr>
      <w:r>
        <w:rPr>
          <w:rFonts w:eastAsia="黑体"/>
          <w:sz w:val="28"/>
          <w:szCs w:val="28"/>
        </w:rPr>
        <w:t>7.2.4噪声污染治理措施分析</w:t>
      </w:r>
    </w:p>
    <w:p>
      <w:pPr>
        <w:spacing w:line="500" w:lineRule="exact"/>
        <w:ind w:firstLine="479"/>
        <w:rPr>
          <w:sz w:val="24"/>
          <w:szCs w:val="24"/>
          <w:lang w:val="zh-CN" w:bidi="zh-CN"/>
        </w:rPr>
      </w:pPr>
      <w:bookmarkStart w:id="178" w:name="_Hlk107411839"/>
      <w:bookmarkStart w:id="179" w:name="_Hlk97384577"/>
      <w:r>
        <w:rPr>
          <w:sz w:val="24"/>
          <w:szCs w:val="24"/>
          <w:lang w:val="zh-CN" w:bidi="zh-CN"/>
        </w:rPr>
        <w:t>本工程高噪声设备主要为</w:t>
      </w:r>
      <w:r>
        <w:rPr>
          <w:rFonts w:hint="eastAsia"/>
          <w:sz w:val="24"/>
          <w:szCs w:val="24"/>
          <w:lang w:bidi="zh-CN"/>
        </w:rPr>
        <w:t>各种风机、</w:t>
      </w:r>
      <w:r>
        <w:rPr>
          <w:rFonts w:hint="eastAsia"/>
          <w:bCs/>
          <w:sz w:val="24"/>
          <w:szCs w:val="24"/>
          <w:lang w:bidi="zh-CN"/>
        </w:rPr>
        <w:t>超微过滤机、叠螺污泥脱水机</w:t>
      </w:r>
      <w:r>
        <w:rPr>
          <w:rFonts w:hint="eastAsia"/>
          <w:sz w:val="24"/>
          <w:szCs w:val="24"/>
          <w:lang w:bidi="zh-CN"/>
        </w:rPr>
        <w:t>、各种泵类</w:t>
      </w:r>
      <w:r>
        <w:rPr>
          <w:sz w:val="24"/>
          <w:szCs w:val="24"/>
          <w:lang w:val="zh-CN" w:bidi="zh-CN"/>
        </w:rPr>
        <w:t>等，噪声源强在80-90dB（A）。</w:t>
      </w:r>
      <w:bookmarkEnd w:id="178"/>
      <w:r>
        <w:rPr>
          <w:spacing w:val="-6"/>
          <w:sz w:val="24"/>
          <w:szCs w:val="24"/>
          <w:lang w:val="zh-CN" w:bidi="zh-CN"/>
        </w:rPr>
        <w:t>通过采取基础</w:t>
      </w:r>
      <w:r>
        <w:rPr>
          <w:rFonts w:hint="eastAsia"/>
          <w:spacing w:val="-6"/>
          <w:sz w:val="24"/>
          <w:szCs w:val="24"/>
          <w:lang w:val="zh-CN" w:bidi="zh-CN"/>
        </w:rPr>
        <w:t>减振</w:t>
      </w:r>
      <w:r>
        <w:rPr>
          <w:spacing w:val="-6"/>
          <w:sz w:val="24"/>
          <w:szCs w:val="24"/>
          <w:lang w:val="zh-CN" w:bidi="zh-CN"/>
        </w:rPr>
        <w:t>、加消</w:t>
      </w:r>
      <w:r>
        <w:rPr>
          <w:rFonts w:hint="eastAsia"/>
          <w:spacing w:val="-6"/>
          <w:sz w:val="24"/>
          <w:szCs w:val="24"/>
          <w:lang w:val="zh-CN" w:bidi="zh-CN"/>
        </w:rPr>
        <w:t>声</w:t>
      </w:r>
      <w:r>
        <w:rPr>
          <w:spacing w:val="-6"/>
          <w:sz w:val="24"/>
          <w:szCs w:val="24"/>
          <w:lang w:val="zh-CN" w:bidi="zh-CN"/>
        </w:rPr>
        <w:t>器、厂房隔</w:t>
      </w:r>
      <w:r>
        <w:rPr>
          <w:rFonts w:hint="eastAsia"/>
          <w:spacing w:val="-6"/>
          <w:sz w:val="24"/>
          <w:szCs w:val="24"/>
          <w:lang w:val="zh-CN" w:bidi="zh-CN"/>
        </w:rPr>
        <w:t>声</w:t>
      </w:r>
      <w:r>
        <w:rPr>
          <w:spacing w:val="-6"/>
          <w:sz w:val="24"/>
          <w:szCs w:val="24"/>
          <w:lang w:val="zh-CN" w:bidi="zh-CN"/>
        </w:rPr>
        <w:t>等措施降低噪声源强</w:t>
      </w:r>
      <w:r>
        <w:rPr>
          <w:sz w:val="24"/>
          <w:szCs w:val="24"/>
          <w:lang w:val="zh-CN" w:bidi="zh-CN"/>
        </w:rPr>
        <w:t>，减轻对周围声环境的影响。</w:t>
      </w:r>
      <w:bookmarkEnd w:id="179"/>
      <w:r>
        <w:rPr>
          <w:sz w:val="24"/>
          <w:szCs w:val="24"/>
          <w:lang w:val="zh-CN" w:bidi="zh-CN"/>
        </w:rPr>
        <w:t>本项目设计中采取的噪声防治措施有：</w:t>
      </w:r>
    </w:p>
    <w:p>
      <w:pPr>
        <w:numPr>
          <w:ilvl w:val="0"/>
          <w:numId w:val="8"/>
        </w:numPr>
        <w:spacing w:line="500" w:lineRule="exact"/>
        <w:rPr>
          <w:sz w:val="24"/>
          <w:szCs w:val="24"/>
          <w:lang w:val="zh-CN" w:bidi="zh-CN"/>
        </w:rPr>
      </w:pPr>
      <w:r>
        <w:rPr>
          <w:sz w:val="24"/>
          <w:szCs w:val="24"/>
          <w:lang w:val="zh-CN" w:bidi="zh-CN"/>
        </w:rPr>
        <w:t>从噪声源上控制噪声，即在设备选型时要求各专业选用低噪声设备。</w:t>
      </w:r>
    </w:p>
    <w:p>
      <w:pPr>
        <w:spacing w:line="500" w:lineRule="exact"/>
        <w:ind w:firstLine="479"/>
        <w:rPr>
          <w:sz w:val="24"/>
          <w:szCs w:val="24"/>
          <w:lang w:val="zh-CN" w:bidi="zh-CN"/>
        </w:rPr>
      </w:pPr>
      <w:r>
        <w:rPr>
          <w:rFonts w:hint="eastAsia" w:ascii="宋体" w:hAnsi="宋体" w:cs="宋体"/>
          <w:sz w:val="24"/>
          <w:szCs w:val="24"/>
          <w:lang w:val="zh-CN" w:bidi="zh-CN"/>
        </w:rPr>
        <w:t>②</w:t>
      </w:r>
      <w:r>
        <w:rPr>
          <w:sz w:val="24"/>
          <w:szCs w:val="24"/>
          <w:lang w:bidi="zh-CN"/>
        </w:rPr>
        <w:t>功率大于30KW以上的电机采取消声措施，采用隔声或隔音罩等措施降低噪声。</w:t>
      </w:r>
    </w:p>
    <w:p>
      <w:pPr>
        <w:spacing w:line="500" w:lineRule="exact"/>
        <w:ind w:firstLine="479"/>
        <w:rPr>
          <w:rFonts w:ascii="宋体" w:hAnsi="宋体" w:cs="宋体"/>
          <w:sz w:val="24"/>
          <w:szCs w:val="24"/>
          <w:lang w:val="zh-CN" w:bidi="zh-CN"/>
        </w:rPr>
      </w:pPr>
      <w:r>
        <w:rPr>
          <w:rFonts w:hint="eastAsia" w:ascii="宋体" w:hAnsi="宋体" w:cs="宋体"/>
          <w:sz w:val="24"/>
          <w:szCs w:val="24"/>
          <w:lang w:val="zh-CN" w:bidi="zh-CN"/>
        </w:rPr>
        <w:t>③</w:t>
      </w:r>
      <w:r>
        <w:rPr>
          <w:rFonts w:ascii="宋体" w:hAnsi="宋体" w:cs="宋体"/>
          <w:sz w:val="24"/>
          <w:szCs w:val="24"/>
          <w:lang w:bidi="zh-CN"/>
        </w:rPr>
        <w:t>风机、泵房及噪声较大的操作室，设置隔声室等进行消声处理</w:t>
      </w:r>
      <w:r>
        <w:rPr>
          <w:rFonts w:hint="eastAsia" w:ascii="宋体" w:hAnsi="宋体" w:cs="宋体"/>
          <w:sz w:val="24"/>
          <w:szCs w:val="24"/>
          <w:lang w:bidi="zh-CN"/>
        </w:rPr>
        <w:t>。</w:t>
      </w:r>
    </w:p>
    <w:p>
      <w:pPr>
        <w:spacing w:line="500" w:lineRule="exact"/>
        <w:ind w:firstLine="479"/>
        <w:rPr>
          <w:sz w:val="24"/>
          <w:szCs w:val="24"/>
          <w:lang w:val="zh-CN" w:bidi="zh-CN"/>
        </w:rPr>
      </w:pPr>
      <w:r>
        <w:rPr>
          <w:rFonts w:hint="eastAsia" w:ascii="宋体" w:hAnsi="宋体" w:cs="宋体"/>
          <w:sz w:val="24"/>
          <w:szCs w:val="24"/>
          <w:lang w:val="zh-CN" w:bidi="zh-CN"/>
        </w:rPr>
        <w:t>④</w:t>
      </w:r>
      <w:r>
        <w:rPr>
          <w:sz w:val="24"/>
          <w:szCs w:val="24"/>
          <w:lang w:val="zh-CN" w:bidi="zh-CN"/>
        </w:rPr>
        <w:t>风机在运转时产生的噪声主要来源于气体进出口产生的空气动力性噪声、电机轴承运动时产生的机械噪声。各部分噪声中以进出口空气动力性噪声最高，对于这类噪声可采取在风机进出风口采用阻抗复合消声器，同时对管道采用柔性连接和基础减振并安装隔声罩的措施进行降噪处理，采取以上措施可以整体降噪20dB(A)以上。</w:t>
      </w:r>
    </w:p>
    <w:p>
      <w:pPr>
        <w:spacing w:line="500" w:lineRule="exact"/>
        <w:ind w:firstLine="479"/>
        <w:rPr>
          <w:sz w:val="24"/>
          <w:szCs w:val="24"/>
          <w:lang w:val="zh-CN" w:bidi="zh-CN"/>
        </w:rPr>
      </w:pPr>
      <w:r>
        <w:rPr>
          <w:rFonts w:hint="eastAsia" w:ascii="宋体" w:hAnsi="宋体" w:cs="宋体"/>
          <w:sz w:val="24"/>
          <w:szCs w:val="24"/>
          <w:lang w:val="zh-CN" w:bidi="zh-CN"/>
        </w:rPr>
        <w:t>⑤</w:t>
      </w:r>
      <w:r>
        <w:rPr>
          <w:sz w:val="24"/>
          <w:szCs w:val="24"/>
          <w:lang w:val="zh-CN" w:bidi="zh-CN"/>
        </w:rPr>
        <w:t>加强对高噪声设备的管理和维护。随着使用年限的增加，有些设备噪声可能有所增加，故应在有关环保人员的统一管理下，定期检查、监测，发现噪声超标要及时治理并增加相关操作岗位工人的个体防护。玻璃窗等如发现破碎应及时修补，减少噪声透射。</w:t>
      </w:r>
    </w:p>
    <w:p>
      <w:pPr>
        <w:spacing w:line="520" w:lineRule="exact"/>
        <w:ind w:firstLine="480" w:firstLineChars="200"/>
        <w:rPr>
          <w:sz w:val="24"/>
          <w:szCs w:val="24"/>
          <w:lang w:val="zh-CN" w:bidi="zh-CN"/>
        </w:rPr>
      </w:pPr>
      <w:r>
        <w:rPr>
          <w:rFonts w:hint="eastAsia" w:ascii="宋体" w:hAnsi="宋体" w:cs="宋体"/>
          <w:sz w:val="24"/>
          <w:szCs w:val="24"/>
          <w:lang w:val="zh-CN" w:bidi="zh-CN"/>
        </w:rPr>
        <w:t>⑥</w:t>
      </w:r>
      <w:r>
        <w:rPr>
          <w:sz w:val="24"/>
          <w:szCs w:val="24"/>
          <w:lang w:val="zh-CN" w:bidi="zh-CN"/>
        </w:rPr>
        <w:t>加强厂区绿化，沿厂区周围种植乔木绿化带，以减少噪声对环境的影响。</w:t>
      </w:r>
    </w:p>
    <w:p>
      <w:pPr>
        <w:spacing w:line="500" w:lineRule="exact"/>
        <w:ind w:firstLine="479"/>
        <w:rPr>
          <w:sz w:val="24"/>
          <w:szCs w:val="24"/>
          <w:lang w:val="zh-CN" w:bidi="zh-CN"/>
        </w:rPr>
      </w:pPr>
      <w:bookmarkStart w:id="180" w:name="_Hlk97384593"/>
      <w:r>
        <w:rPr>
          <w:sz w:val="24"/>
          <w:szCs w:val="24"/>
          <w:lang w:val="zh-CN" w:bidi="zh-CN"/>
        </w:rPr>
        <w:t>在采取以上噪声防治措施后，经过距离衰减，工程对厂界的噪声预测值可满足《工业企业厂界噪声排放标准》（GB12348-2008）中3类标准。</w:t>
      </w:r>
    </w:p>
    <w:bookmarkEnd w:id="180"/>
    <w:p>
      <w:pPr>
        <w:spacing w:line="500" w:lineRule="exact"/>
        <w:ind w:firstLine="479"/>
        <w:rPr>
          <w:sz w:val="24"/>
          <w:szCs w:val="24"/>
          <w:highlight w:val="yellow"/>
          <w:lang w:val="zh-CN" w:bidi="zh-CN"/>
        </w:rPr>
      </w:pPr>
      <w:r>
        <w:rPr>
          <w:sz w:val="24"/>
          <w:szCs w:val="24"/>
          <w:lang w:val="zh-CN" w:bidi="zh-CN"/>
        </w:rPr>
        <w:t>评价认为本工程采取的噪声污染防治措施可行。</w:t>
      </w:r>
    </w:p>
    <w:p>
      <w:pPr>
        <w:spacing w:line="520" w:lineRule="exact"/>
        <w:outlineLvl w:val="2"/>
        <w:rPr>
          <w:rFonts w:eastAsia="黑体"/>
          <w:sz w:val="28"/>
          <w:szCs w:val="28"/>
        </w:rPr>
      </w:pPr>
      <w:bookmarkStart w:id="181" w:name="_bookmark62"/>
      <w:bookmarkEnd w:id="181"/>
      <w:r>
        <w:rPr>
          <w:rFonts w:eastAsia="黑体"/>
          <w:sz w:val="28"/>
          <w:szCs w:val="28"/>
        </w:rPr>
        <w:t>7.2.5土壤保护措施及厂区绿化</w:t>
      </w:r>
    </w:p>
    <w:p>
      <w:pPr>
        <w:spacing w:line="520" w:lineRule="exact"/>
        <w:outlineLvl w:val="3"/>
        <w:rPr>
          <w:kern w:val="0"/>
          <w:sz w:val="24"/>
          <w:szCs w:val="28"/>
        </w:rPr>
      </w:pPr>
      <w:r>
        <w:rPr>
          <w:kern w:val="0"/>
          <w:sz w:val="24"/>
          <w:szCs w:val="28"/>
        </w:rPr>
        <w:t>7.2.5.1源头控制措施</w:t>
      </w:r>
    </w:p>
    <w:p>
      <w:pPr>
        <w:tabs>
          <w:tab w:val="left" w:pos="619"/>
        </w:tabs>
        <w:spacing w:line="500" w:lineRule="exact"/>
        <w:ind w:firstLine="480" w:firstLineChars="200"/>
        <w:rPr>
          <w:sz w:val="24"/>
          <w:szCs w:val="24"/>
          <w:lang w:bidi="zh-CN"/>
        </w:rPr>
      </w:pPr>
      <w:r>
        <w:rPr>
          <w:sz w:val="24"/>
          <w:szCs w:val="24"/>
          <w:lang w:bidi="zh-CN"/>
        </w:rPr>
        <w:t>本项目属于污染影响型建设项目，</w:t>
      </w:r>
      <w:bookmarkStart w:id="182" w:name="_Hlk107412045"/>
      <w:r>
        <w:rPr>
          <w:sz w:val="24"/>
          <w:szCs w:val="24"/>
          <w:lang w:bidi="zh-CN"/>
        </w:rPr>
        <w:t>可能对土壤环境造成影响的污染因素为废气、废水和固废。</w:t>
      </w:r>
      <w:bookmarkEnd w:id="182"/>
      <w:r>
        <w:rPr>
          <w:sz w:val="24"/>
          <w:szCs w:val="24"/>
          <w:lang w:bidi="zh-CN"/>
        </w:rPr>
        <w:t>首先应该</w:t>
      </w:r>
      <w:bookmarkStart w:id="183" w:name="_Hlk107412070"/>
      <w:r>
        <w:rPr>
          <w:sz w:val="24"/>
          <w:szCs w:val="24"/>
          <w:lang w:bidi="zh-CN"/>
        </w:rPr>
        <w:t>采取源头控制的措施</w:t>
      </w:r>
      <w:r>
        <w:rPr>
          <w:rFonts w:hint="eastAsia"/>
          <w:sz w:val="24"/>
          <w:szCs w:val="24"/>
          <w:lang w:bidi="zh-CN"/>
        </w:rPr>
        <w:t>，具体如下：</w:t>
      </w:r>
    </w:p>
    <w:p>
      <w:pPr>
        <w:tabs>
          <w:tab w:val="left" w:pos="619"/>
        </w:tabs>
        <w:spacing w:line="500" w:lineRule="exact"/>
        <w:ind w:firstLine="480" w:firstLineChars="200"/>
        <w:rPr>
          <w:sz w:val="24"/>
          <w:szCs w:val="24"/>
          <w:lang w:bidi="zh-CN"/>
        </w:rPr>
      </w:pPr>
      <w:r>
        <w:rPr>
          <w:rFonts w:hint="eastAsia"/>
          <w:sz w:val="24"/>
          <w:szCs w:val="24"/>
          <w:lang w:bidi="zh-CN"/>
        </w:rPr>
        <w:t>①严格按照地下水防控要求，做好各项防渗措施，加强施工质量。确保项目正常运行期间，确保液态药剂、废水无渗漏。</w:t>
      </w:r>
    </w:p>
    <w:p>
      <w:pPr>
        <w:tabs>
          <w:tab w:val="left" w:pos="619"/>
        </w:tabs>
        <w:spacing w:line="500" w:lineRule="exact"/>
        <w:ind w:firstLine="480" w:firstLineChars="200"/>
        <w:rPr>
          <w:sz w:val="24"/>
          <w:szCs w:val="24"/>
          <w:highlight w:val="yellow"/>
          <w:lang w:bidi="zh-CN"/>
        </w:rPr>
      </w:pPr>
      <w:r>
        <w:rPr>
          <w:rFonts w:hint="eastAsia"/>
          <w:sz w:val="24"/>
          <w:szCs w:val="24"/>
          <w:lang w:bidi="zh-CN"/>
        </w:rPr>
        <w:t>②加强日常管理，确保废气得到妥善的收集处理，尽量降低无组织排放。各项原料、固体废物及危险废物必须妥善贮存于各自的库房，禁止露天存放，杜绝因雨淋造成的污染物下渗。</w:t>
      </w:r>
      <w:bookmarkEnd w:id="183"/>
    </w:p>
    <w:p>
      <w:pPr>
        <w:spacing w:line="520" w:lineRule="exact"/>
        <w:outlineLvl w:val="3"/>
        <w:rPr>
          <w:kern w:val="0"/>
          <w:sz w:val="24"/>
          <w:szCs w:val="28"/>
        </w:rPr>
      </w:pPr>
      <w:r>
        <w:rPr>
          <w:kern w:val="0"/>
          <w:sz w:val="24"/>
          <w:szCs w:val="28"/>
        </w:rPr>
        <w:t>7.2.5.2过程防控措施</w:t>
      </w:r>
    </w:p>
    <w:p>
      <w:pPr>
        <w:tabs>
          <w:tab w:val="left" w:pos="619"/>
        </w:tabs>
        <w:spacing w:line="500" w:lineRule="exact"/>
        <w:ind w:firstLine="480" w:firstLineChars="200"/>
        <w:rPr>
          <w:sz w:val="24"/>
          <w:szCs w:val="24"/>
          <w:lang w:bidi="zh-CN"/>
        </w:rPr>
      </w:pPr>
      <w:r>
        <w:rPr>
          <w:rFonts w:hint="eastAsia"/>
          <w:sz w:val="24"/>
          <w:szCs w:val="24"/>
          <w:lang w:bidi="zh-CN"/>
        </w:rPr>
        <w:t>①加强厂区绿化，占地范围内应多种植具有较强吸附能力的植被，并以吸附力强的常绿植被为主。</w:t>
      </w:r>
    </w:p>
    <w:p>
      <w:pPr>
        <w:tabs>
          <w:tab w:val="left" w:pos="619"/>
        </w:tabs>
        <w:spacing w:line="500" w:lineRule="exact"/>
        <w:ind w:firstLine="480" w:firstLineChars="200"/>
        <w:rPr>
          <w:sz w:val="24"/>
          <w:szCs w:val="24"/>
          <w:lang w:bidi="zh-CN"/>
        </w:rPr>
      </w:pPr>
      <w:r>
        <w:rPr>
          <w:rFonts w:hint="eastAsia"/>
          <w:sz w:val="24"/>
          <w:szCs w:val="24"/>
          <w:lang w:bidi="zh-CN"/>
        </w:rPr>
        <w:t>②分区防渗。与地下水分区防渗措施一致。</w:t>
      </w:r>
    </w:p>
    <w:p>
      <w:pPr>
        <w:tabs>
          <w:tab w:val="left" w:pos="619"/>
        </w:tabs>
        <w:spacing w:line="500" w:lineRule="exact"/>
        <w:ind w:firstLine="480" w:firstLineChars="200"/>
        <w:rPr>
          <w:sz w:val="24"/>
          <w:szCs w:val="24"/>
          <w:lang w:bidi="zh-CN"/>
        </w:rPr>
      </w:pPr>
      <w:r>
        <w:rPr>
          <w:rFonts w:hint="eastAsia"/>
          <w:sz w:val="24"/>
          <w:szCs w:val="24"/>
          <w:lang w:bidi="zh-CN"/>
        </w:rPr>
        <w:t>③设专人定期检查各污水处理设施、废气处理设施，一旦发现非正常工作或泄漏现象，应立刻停止生产，并妥善检修，在确保各设施正常运转后方可开机运行。</w:t>
      </w:r>
    </w:p>
    <w:p>
      <w:pPr>
        <w:tabs>
          <w:tab w:val="left" w:pos="619"/>
        </w:tabs>
        <w:spacing w:line="500" w:lineRule="exact"/>
        <w:ind w:firstLine="480" w:firstLineChars="200"/>
        <w:rPr>
          <w:sz w:val="24"/>
          <w:szCs w:val="24"/>
          <w:lang w:val="zh-CN" w:bidi="zh-CN"/>
        </w:rPr>
      </w:pPr>
      <w:r>
        <w:rPr>
          <w:rFonts w:hint="eastAsia"/>
          <w:sz w:val="24"/>
          <w:szCs w:val="24"/>
          <w:lang w:val="zh-CN" w:bidi="zh-CN"/>
        </w:rPr>
        <w:t>④</w:t>
      </w:r>
      <w:r>
        <w:rPr>
          <w:sz w:val="24"/>
          <w:szCs w:val="24"/>
          <w:lang w:val="zh-CN" w:bidi="zh-CN"/>
        </w:rPr>
        <w:t>厂区事故废水池收集管线要畅通，保证在各种事故状态下废水排入，不进入到裸露的土壤中。确保废气处置过程环保措施的运行稳定，使废气污染物达标排放，最大程度降低废气入环境总量，降低大气沉降累积污染。</w:t>
      </w:r>
    </w:p>
    <w:p>
      <w:pPr>
        <w:spacing w:line="520" w:lineRule="exact"/>
        <w:outlineLvl w:val="3"/>
        <w:rPr>
          <w:kern w:val="0"/>
          <w:sz w:val="24"/>
          <w:szCs w:val="28"/>
        </w:rPr>
      </w:pPr>
      <w:r>
        <w:rPr>
          <w:kern w:val="0"/>
          <w:sz w:val="24"/>
          <w:szCs w:val="28"/>
        </w:rPr>
        <w:t>7.2.5.3厂区绿化措施</w:t>
      </w:r>
    </w:p>
    <w:p>
      <w:pPr>
        <w:spacing w:line="500" w:lineRule="exact"/>
        <w:ind w:firstLine="479"/>
        <w:rPr>
          <w:sz w:val="24"/>
          <w:szCs w:val="24"/>
          <w:lang w:val="zh-CN" w:bidi="zh-CN"/>
        </w:rPr>
      </w:pPr>
      <w:r>
        <w:rPr>
          <w:sz w:val="24"/>
          <w:szCs w:val="24"/>
          <w:lang w:val="zh-CN" w:bidi="zh-CN"/>
        </w:rPr>
        <w:t>植物可以吸收有毒有害气体、滞留吸附粉尘、杀菌、净化水质、减噪以及监测大气污染程度等。绿化环境对调节生态平衡、改善小气候、促进人的身心健康起着特殊重要的作用，搞好绿化是企业环保工作的重要组成部分，是企业现代化文明生产的重要标志。</w:t>
      </w:r>
    </w:p>
    <w:p>
      <w:pPr>
        <w:spacing w:line="500" w:lineRule="exact"/>
        <w:ind w:firstLine="480" w:firstLineChars="200"/>
        <w:jc w:val="left"/>
        <w:rPr>
          <w:kern w:val="0"/>
          <w:sz w:val="24"/>
        </w:rPr>
      </w:pPr>
      <w:r>
        <w:rPr>
          <w:kern w:val="0"/>
          <w:sz w:val="24"/>
        </w:rPr>
        <w:t>绿化是一项重要的环保措施，包括植树、种草等，是改善厂区环境最主要的途径之一，绿化不仅具有挡风、除尘、减噪、美化环境等诸多功能，而且还是防止大气污染、净化大气的一种经济易行且效果良好的重要措施。考虑到绿化对净化大气有显著功能，因此本项目应把绿化作为一项主要的环保工作来对待，在绿化植物选择上，注重选择能防尘、防火、降噪、调节及改善气候的绿化植物，在树种的配置上应结合草坪、灌木、乔木等实行高中低立体绿化。在高噪声设备的周围宜选择降噪能力强、树冠矮、分枝低、枝叶茂密的乔、灌木，高低搭配，形成隔声带；职工活动场所及道路两旁的绿化应不妨碍、办公楼前的绿化主要以净化空气、美化环境功能为主，故对树形、色彩的选择应与环境协调，在配置树种时还应兼顾采光和通风的要求。</w:t>
      </w:r>
    </w:p>
    <w:p>
      <w:pPr>
        <w:spacing w:line="520" w:lineRule="exact"/>
        <w:outlineLvl w:val="3"/>
        <w:rPr>
          <w:kern w:val="0"/>
          <w:sz w:val="24"/>
          <w:szCs w:val="28"/>
        </w:rPr>
      </w:pPr>
      <w:r>
        <w:rPr>
          <w:kern w:val="0"/>
          <w:sz w:val="24"/>
          <w:szCs w:val="28"/>
        </w:rPr>
        <w:t>7.2.5.4跟踪监测</w:t>
      </w:r>
    </w:p>
    <w:p>
      <w:pPr>
        <w:spacing w:line="500" w:lineRule="exact"/>
        <w:ind w:firstLine="480" w:firstLineChars="200"/>
        <w:jc w:val="left"/>
        <w:rPr>
          <w:kern w:val="0"/>
          <w:sz w:val="24"/>
        </w:rPr>
      </w:pPr>
      <w:r>
        <w:rPr>
          <w:kern w:val="0"/>
          <w:sz w:val="24"/>
        </w:rPr>
        <w:t>（1）土壤跟踪监测计划</w:t>
      </w:r>
    </w:p>
    <w:p>
      <w:pPr>
        <w:spacing w:line="500" w:lineRule="exact"/>
        <w:ind w:firstLine="480" w:firstLineChars="200"/>
        <w:jc w:val="left"/>
        <w:rPr>
          <w:kern w:val="0"/>
          <w:sz w:val="24"/>
          <w:highlight w:val="yellow"/>
        </w:rPr>
      </w:pPr>
      <w:r>
        <w:rPr>
          <w:kern w:val="0"/>
          <w:sz w:val="24"/>
        </w:rPr>
        <w:t>评价建议建设单位结合集聚区的土壤监控计划，</w:t>
      </w:r>
      <w:bookmarkStart w:id="184" w:name="_Hlk107412115"/>
      <w:r>
        <w:rPr>
          <w:kern w:val="0"/>
          <w:sz w:val="24"/>
        </w:rPr>
        <w:t>制定本项目土壤跟踪监测计划，对厂区及周边土壤进行监测</w:t>
      </w:r>
      <w:bookmarkEnd w:id="184"/>
      <w:r>
        <w:rPr>
          <w:kern w:val="0"/>
          <w:sz w:val="24"/>
        </w:rPr>
        <w:t>，一旦发生土壤污染，应立即停止生产，查明污染来源。评价建议设置3个土壤跟踪监测点位，</w:t>
      </w:r>
      <w:r>
        <w:rPr>
          <w:rFonts w:hint="eastAsia"/>
          <w:kern w:val="0"/>
          <w:sz w:val="24"/>
        </w:rPr>
        <w:t>表层土壤</w:t>
      </w:r>
      <w:r>
        <w:rPr>
          <w:kern w:val="0"/>
          <w:sz w:val="24"/>
        </w:rPr>
        <w:t>每</w:t>
      </w:r>
      <w:r>
        <w:rPr>
          <w:rFonts w:hint="eastAsia"/>
          <w:kern w:val="0"/>
          <w:sz w:val="24"/>
        </w:rPr>
        <w:t>1</w:t>
      </w:r>
      <w:r>
        <w:rPr>
          <w:kern w:val="0"/>
          <w:sz w:val="24"/>
        </w:rPr>
        <w:t>年监测一次，</w:t>
      </w:r>
      <w:r>
        <w:rPr>
          <w:rFonts w:hint="eastAsia"/>
          <w:kern w:val="0"/>
          <w:sz w:val="24"/>
        </w:rPr>
        <w:t>深层土壤</w:t>
      </w:r>
      <w:r>
        <w:rPr>
          <w:kern w:val="0"/>
          <w:sz w:val="24"/>
        </w:rPr>
        <w:t>每3年监测一次，一旦土壤监测结果发生异常，应增加监测频率。</w:t>
      </w:r>
    </w:p>
    <w:p>
      <w:pPr>
        <w:spacing w:line="500" w:lineRule="exact"/>
        <w:ind w:firstLine="480" w:firstLineChars="200"/>
        <w:jc w:val="left"/>
        <w:rPr>
          <w:kern w:val="0"/>
          <w:sz w:val="24"/>
        </w:rPr>
      </w:pPr>
      <w:r>
        <w:rPr>
          <w:kern w:val="0"/>
          <w:sz w:val="24"/>
        </w:rPr>
        <w:t>土壤跟踪监测计划见表7.2-8。</w:t>
      </w:r>
    </w:p>
    <w:p>
      <w:pPr>
        <w:spacing w:line="520" w:lineRule="exact"/>
        <w:ind w:firstLine="482"/>
        <w:rPr>
          <w:rFonts w:eastAsia="黑体"/>
          <w:sz w:val="24"/>
          <w:szCs w:val="24"/>
        </w:rPr>
      </w:pPr>
      <w:r>
        <w:rPr>
          <w:rFonts w:eastAsia="黑体"/>
          <w:sz w:val="24"/>
          <w:szCs w:val="24"/>
        </w:rPr>
        <w:t>表7.2-8         土壤跟踪监测计划一览表</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558"/>
        <w:gridCol w:w="1664"/>
        <w:gridCol w:w="1460"/>
        <w:gridCol w:w="1637"/>
        <w:gridCol w:w="1190"/>
        <w:gridCol w:w="1637"/>
        <w:gridCol w:w="80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2" w:type="pct"/>
            <w:vAlign w:val="center"/>
          </w:tcPr>
          <w:p>
            <w:pPr>
              <w:jc w:val="center"/>
              <w:rPr>
                <w:b/>
                <w:bCs/>
                <w:szCs w:val="20"/>
              </w:rPr>
            </w:pPr>
            <w:r>
              <w:rPr>
                <w:b/>
                <w:bCs/>
                <w:szCs w:val="20"/>
              </w:rPr>
              <w:t>序号</w:t>
            </w:r>
          </w:p>
        </w:tc>
        <w:tc>
          <w:tcPr>
            <w:tcW w:w="930" w:type="pct"/>
            <w:shd w:val="clear" w:color="auto" w:fill="auto"/>
            <w:vAlign w:val="center"/>
          </w:tcPr>
          <w:p>
            <w:pPr>
              <w:jc w:val="center"/>
              <w:rPr>
                <w:b/>
                <w:bCs/>
                <w:szCs w:val="20"/>
              </w:rPr>
            </w:pPr>
            <w:r>
              <w:rPr>
                <w:b/>
                <w:bCs/>
                <w:szCs w:val="20"/>
              </w:rPr>
              <w:t>监测点位</w:t>
            </w:r>
          </w:p>
        </w:tc>
        <w:tc>
          <w:tcPr>
            <w:tcW w:w="816" w:type="pct"/>
            <w:vAlign w:val="center"/>
          </w:tcPr>
          <w:p>
            <w:pPr>
              <w:jc w:val="center"/>
              <w:rPr>
                <w:b/>
                <w:bCs/>
                <w:szCs w:val="20"/>
              </w:rPr>
            </w:pPr>
            <w:r>
              <w:rPr>
                <w:b/>
                <w:bCs/>
                <w:szCs w:val="20"/>
              </w:rPr>
              <w:t>监测指标</w:t>
            </w:r>
          </w:p>
        </w:tc>
        <w:tc>
          <w:tcPr>
            <w:tcW w:w="915" w:type="pct"/>
            <w:vAlign w:val="center"/>
          </w:tcPr>
          <w:p>
            <w:pPr>
              <w:contextualSpacing/>
              <w:jc w:val="center"/>
              <w:textAlignment w:val="baseline"/>
              <w:rPr>
                <w:bCs/>
                <w:kern w:val="0"/>
                <w:szCs w:val="21"/>
              </w:rPr>
            </w:pPr>
            <w:r>
              <w:rPr>
                <w:rFonts w:hint="eastAsia"/>
                <w:bCs/>
                <w:kern w:val="0"/>
                <w:szCs w:val="21"/>
              </w:rPr>
              <w:t>采样深度</w:t>
            </w:r>
          </w:p>
        </w:tc>
        <w:tc>
          <w:tcPr>
            <w:tcW w:w="665" w:type="pct"/>
            <w:tcBorders>
              <w:bottom w:val="single" w:color="auto" w:sz="4" w:space="0"/>
            </w:tcBorders>
            <w:vAlign w:val="center"/>
          </w:tcPr>
          <w:p>
            <w:pPr>
              <w:jc w:val="center"/>
              <w:rPr>
                <w:b/>
                <w:bCs/>
                <w:szCs w:val="20"/>
              </w:rPr>
            </w:pPr>
            <w:r>
              <w:rPr>
                <w:b/>
                <w:bCs/>
                <w:szCs w:val="20"/>
              </w:rPr>
              <w:t>监测频次</w:t>
            </w:r>
          </w:p>
        </w:tc>
        <w:tc>
          <w:tcPr>
            <w:tcW w:w="915" w:type="pct"/>
            <w:tcBorders>
              <w:bottom w:val="single" w:color="auto" w:sz="4" w:space="0"/>
            </w:tcBorders>
            <w:vAlign w:val="center"/>
          </w:tcPr>
          <w:p>
            <w:pPr>
              <w:jc w:val="center"/>
              <w:rPr>
                <w:b/>
                <w:bCs/>
                <w:szCs w:val="20"/>
              </w:rPr>
            </w:pPr>
            <w:r>
              <w:rPr>
                <w:b/>
                <w:bCs/>
                <w:szCs w:val="20"/>
              </w:rPr>
              <w:t>执行标准</w:t>
            </w:r>
          </w:p>
        </w:tc>
        <w:tc>
          <w:tcPr>
            <w:tcW w:w="447" w:type="pct"/>
            <w:tcBorders>
              <w:bottom w:val="single" w:color="auto" w:sz="4" w:space="0"/>
            </w:tcBorders>
            <w:vAlign w:val="center"/>
          </w:tcPr>
          <w:p>
            <w:pPr>
              <w:jc w:val="center"/>
              <w:rPr>
                <w:b/>
                <w:bCs/>
                <w:szCs w:val="20"/>
              </w:rPr>
            </w:pPr>
            <w:r>
              <w:rPr>
                <w:b/>
                <w:bCs/>
                <w:szCs w:val="2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2" w:type="pct"/>
            <w:vAlign w:val="center"/>
          </w:tcPr>
          <w:p>
            <w:pPr>
              <w:contextualSpacing/>
              <w:jc w:val="center"/>
              <w:textAlignment w:val="baseline"/>
              <w:rPr>
                <w:kern w:val="0"/>
                <w:szCs w:val="21"/>
              </w:rPr>
            </w:pPr>
            <w:r>
              <w:rPr>
                <w:kern w:val="0"/>
                <w:szCs w:val="21"/>
              </w:rPr>
              <w:t>1</w:t>
            </w:r>
          </w:p>
        </w:tc>
        <w:tc>
          <w:tcPr>
            <w:tcW w:w="930" w:type="pct"/>
            <w:vMerge w:val="restart"/>
            <w:shd w:val="clear" w:color="auto" w:fill="auto"/>
            <w:vAlign w:val="center"/>
          </w:tcPr>
          <w:p>
            <w:pPr>
              <w:contextualSpacing/>
              <w:jc w:val="center"/>
              <w:textAlignment w:val="baseline"/>
              <w:rPr>
                <w:kern w:val="0"/>
                <w:szCs w:val="21"/>
              </w:rPr>
            </w:pPr>
            <w:r>
              <w:rPr>
                <w:kern w:val="0"/>
                <w:szCs w:val="21"/>
              </w:rPr>
              <w:t>污水处理站附近</w:t>
            </w:r>
          </w:p>
        </w:tc>
        <w:tc>
          <w:tcPr>
            <w:tcW w:w="816" w:type="pct"/>
            <w:vMerge w:val="restart"/>
            <w:vAlign w:val="center"/>
          </w:tcPr>
          <w:p>
            <w:pPr>
              <w:contextualSpacing/>
              <w:jc w:val="center"/>
              <w:textAlignment w:val="baseline"/>
              <w:rPr>
                <w:kern w:val="0"/>
                <w:szCs w:val="21"/>
              </w:rPr>
            </w:pPr>
            <w:r>
              <w:rPr>
                <w:rFonts w:hint="eastAsia"/>
                <w:kern w:val="0"/>
                <w:szCs w:val="21"/>
              </w:rPr>
              <w:t>pH、石油烃</w:t>
            </w:r>
          </w:p>
        </w:tc>
        <w:tc>
          <w:tcPr>
            <w:tcW w:w="915" w:type="pct"/>
            <w:vAlign w:val="center"/>
          </w:tcPr>
          <w:p>
            <w:pPr>
              <w:contextualSpacing/>
              <w:jc w:val="center"/>
              <w:textAlignment w:val="baseline"/>
              <w:rPr>
                <w:kern w:val="0"/>
                <w:szCs w:val="21"/>
              </w:rPr>
            </w:pPr>
            <w:r>
              <w:rPr>
                <w:rFonts w:hint="eastAsia"/>
                <w:kern w:val="0"/>
                <w:szCs w:val="21"/>
              </w:rPr>
              <w:t>略低于其对应的隐蔽性重点设施设备底部与土壤接触面</w:t>
            </w:r>
          </w:p>
        </w:tc>
        <w:tc>
          <w:tcPr>
            <w:tcW w:w="665" w:type="pct"/>
            <w:tcBorders>
              <w:top w:val="single" w:color="auto" w:sz="4" w:space="0"/>
              <w:right w:val="single" w:color="auto" w:sz="4" w:space="0"/>
            </w:tcBorders>
            <w:vAlign w:val="center"/>
          </w:tcPr>
          <w:p>
            <w:pPr>
              <w:contextualSpacing/>
              <w:jc w:val="center"/>
              <w:textAlignment w:val="baseline"/>
              <w:rPr>
                <w:kern w:val="0"/>
                <w:szCs w:val="21"/>
              </w:rPr>
            </w:pPr>
            <w:r>
              <w:rPr>
                <w:rFonts w:hint="eastAsia"/>
                <w:kern w:val="0"/>
                <w:szCs w:val="21"/>
              </w:rPr>
              <w:t>1次/</w:t>
            </w:r>
            <w:r>
              <w:rPr>
                <w:kern w:val="0"/>
                <w:szCs w:val="21"/>
              </w:rPr>
              <w:t>3</w:t>
            </w:r>
            <w:r>
              <w:rPr>
                <w:rFonts w:hint="eastAsia"/>
                <w:kern w:val="0"/>
                <w:szCs w:val="21"/>
              </w:rPr>
              <w:t>年</w:t>
            </w:r>
          </w:p>
        </w:tc>
        <w:tc>
          <w:tcPr>
            <w:tcW w:w="915" w:type="pct"/>
            <w:vMerge w:val="restart"/>
            <w:tcBorders>
              <w:top w:val="single" w:color="auto" w:sz="4" w:space="0"/>
              <w:left w:val="single" w:color="auto" w:sz="4" w:space="0"/>
              <w:right w:val="single" w:color="auto" w:sz="4" w:space="0"/>
            </w:tcBorders>
            <w:vAlign w:val="center"/>
          </w:tcPr>
          <w:p>
            <w:pPr>
              <w:contextualSpacing/>
              <w:jc w:val="center"/>
              <w:textAlignment w:val="baseline"/>
              <w:rPr>
                <w:kern w:val="0"/>
                <w:szCs w:val="21"/>
              </w:rPr>
            </w:pPr>
            <w:r>
              <w:rPr>
                <w:kern w:val="0"/>
                <w:szCs w:val="21"/>
              </w:rPr>
              <w:t xml:space="preserve">GB36600-2018 </w:t>
            </w:r>
          </w:p>
        </w:tc>
        <w:tc>
          <w:tcPr>
            <w:tcW w:w="447" w:type="pct"/>
            <w:vMerge w:val="restart"/>
            <w:tcBorders>
              <w:top w:val="single" w:color="auto" w:sz="4" w:space="0"/>
              <w:left w:val="single" w:color="auto" w:sz="4" w:space="0"/>
              <w:right w:val="single" w:color="auto" w:sz="4" w:space="0"/>
            </w:tcBorders>
            <w:vAlign w:val="center"/>
          </w:tcPr>
          <w:p>
            <w:pPr>
              <w:contextualSpacing/>
              <w:jc w:val="center"/>
              <w:textAlignment w:val="baseline"/>
              <w:rPr>
                <w:kern w:val="0"/>
                <w:szCs w:val="21"/>
              </w:rPr>
            </w:pPr>
            <w:r>
              <w:rPr>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2" w:type="pct"/>
            <w:vAlign w:val="center"/>
          </w:tcPr>
          <w:p>
            <w:pPr>
              <w:contextualSpacing/>
              <w:jc w:val="center"/>
              <w:textAlignment w:val="baseline"/>
              <w:rPr>
                <w:kern w:val="0"/>
                <w:szCs w:val="21"/>
              </w:rPr>
            </w:pPr>
            <w:r>
              <w:rPr>
                <w:rFonts w:hint="eastAsia"/>
                <w:kern w:val="0"/>
                <w:szCs w:val="21"/>
              </w:rPr>
              <w:t>2</w:t>
            </w:r>
          </w:p>
        </w:tc>
        <w:tc>
          <w:tcPr>
            <w:tcW w:w="930" w:type="pct"/>
            <w:vMerge w:val="continue"/>
            <w:shd w:val="clear" w:color="auto" w:fill="auto"/>
            <w:vAlign w:val="center"/>
          </w:tcPr>
          <w:p>
            <w:pPr>
              <w:contextualSpacing/>
              <w:jc w:val="center"/>
              <w:textAlignment w:val="baseline"/>
              <w:rPr>
                <w:kern w:val="0"/>
                <w:szCs w:val="21"/>
              </w:rPr>
            </w:pPr>
          </w:p>
        </w:tc>
        <w:tc>
          <w:tcPr>
            <w:tcW w:w="816" w:type="pct"/>
            <w:vMerge w:val="continue"/>
            <w:vAlign w:val="center"/>
          </w:tcPr>
          <w:p>
            <w:pPr>
              <w:contextualSpacing/>
              <w:jc w:val="center"/>
              <w:textAlignment w:val="baseline"/>
              <w:rPr>
                <w:kern w:val="0"/>
                <w:szCs w:val="21"/>
              </w:rPr>
            </w:pPr>
          </w:p>
        </w:tc>
        <w:tc>
          <w:tcPr>
            <w:tcW w:w="915" w:type="pct"/>
            <w:vAlign w:val="center"/>
          </w:tcPr>
          <w:p>
            <w:pPr>
              <w:contextualSpacing/>
              <w:jc w:val="center"/>
              <w:textAlignment w:val="baseline"/>
              <w:rPr>
                <w:kern w:val="0"/>
                <w:szCs w:val="21"/>
              </w:rPr>
            </w:pPr>
            <w:r>
              <w:rPr>
                <w:rFonts w:hint="eastAsia"/>
                <w:kern w:val="0"/>
                <w:szCs w:val="21"/>
              </w:rPr>
              <w:t>0~</w:t>
            </w:r>
            <w:r>
              <w:rPr>
                <w:kern w:val="0"/>
                <w:szCs w:val="21"/>
              </w:rPr>
              <w:t>0.5m</w:t>
            </w:r>
          </w:p>
        </w:tc>
        <w:tc>
          <w:tcPr>
            <w:tcW w:w="665" w:type="pct"/>
            <w:vMerge w:val="restart"/>
            <w:tcBorders>
              <w:right w:val="single" w:color="auto" w:sz="4" w:space="0"/>
            </w:tcBorders>
            <w:vAlign w:val="center"/>
          </w:tcPr>
          <w:p>
            <w:pPr>
              <w:contextualSpacing/>
              <w:jc w:val="center"/>
              <w:textAlignment w:val="baseline"/>
              <w:rPr>
                <w:kern w:val="0"/>
                <w:szCs w:val="21"/>
              </w:rPr>
            </w:pPr>
            <w:r>
              <w:rPr>
                <w:kern w:val="0"/>
                <w:szCs w:val="21"/>
              </w:rPr>
              <w:t>1次/1年</w:t>
            </w:r>
          </w:p>
        </w:tc>
        <w:tc>
          <w:tcPr>
            <w:tcW w:w="915" w:type="pct"/>
            <w:vMerge w:val="continue"/>
            <w:tcBorders>
              <w:left w:val="single" w:color="auto" w:sz="4" w:space="0"/>
              <w:right w:val="single" w:color="auto" w:sz="4" w:space="0"/>
            </w:tcBorders>
            <w:vAlign w:val="center"/>
          </w:tcPr>
          <w:p>
            <w:pPr>
              <w:contextualSpacing/>
              <w:jc w:val="center"/>
              <w:textAlignment w:val="baseline"/>
              <w:rPr>
                <w:kern w:val="0"/>
                <w:szCs w:val="21"/>
              </w:rPr>
            </w:pPr>
          </w:p>
        </w:tc>
        <w:tc>
          <w:tcPr>
            <w:tcW w:w="447" w:type="pct"/>
            <w:vMerge w:val="continue"/>
            <w:tcBorders>
              <w:left w:val="single" w:color="auto" w:sz="4" w:space="0"/>
              <w:right w:val="single" w:color="auto" w:sz="4" w:space="0"/>
            </w:tcBorders>
            <w:vAlign w:val="center"/>
          </w:tcPr>
          <w:p>
            <w:pPr>
              <w:contextualSpacing/>
              <w:jc w:val="center"/>
              <w:textAlignment w:val="baseline"/>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2" w:type="pct"/>
            <w:vAlign w:val="center"/>
          </w:tcPr>
          <w:p>
            <w:pPr>
              <w:contextualSpacing/>
              <w:jc w:val="center"/>
              <w:textAlignment w:val="baseline"/>
              <w:rPr>
                <w:kern w:val="0"/>
                <w:szCs w:val="21"/>
              </w:rPr>
            </w:pPr>
            <w:r>
              <w:rPr>
                <w:rFonts w:hint="eastAsia"/>
                <w:kern w:val="0"/>
                <w:szCs w:val="21"/>
              </w:rPr>
              <w:t>3</w:t>
            </w:r>
          </w:p>
        </w:tc>
        <w:tc>
          <w:tcPr>
            <w:tcW w:w="930" w:type="pct"/>
            <w:shd w:val="clear" w:color="auto" w:fill="auto"/>
            <w:vAlign w:val="center"/>
          </w:tcPr>
          <w:p>
            <w:pPr>
              <w:contextualSpacing/>
              <w:jc w:val="center"/>
              <w:textAlignment w:val="baseline"/>
              <w:rPr>
                <w:kern w:val="0"/>
                <w:szCs w:val="21"/>
              </w:rPr>
            </w:pPr>
            <w:r>
              <w:rPr>
                <w:rFonts w:hint="eastAsia"/>
                <w:kern w:val="0"/>
                <w:szCs w:val="21"/>
              </w:rPr>
              <w:t>管理中心处</w:t>
            </w:r>
          </w:p>
        </w:tc>
        <w:tc>
          <w:tcPr>
            <w:tcW w:w="816" w:type="pct"/>
            <w:vMerge w:val="continue"/>
            <w:vAlign w:val="center"/>
          </w:tcPr>
          <w:p>
            <w:pPr>
              <w:contextualSpacing/>
              <w:jc w:val="center"/>
              <w:textAlignment w:val="baseline"/>
              <w:rPr>
                <w:kern w:val="0"/>
                <w:szCs w:val="21"/>
              </w:rPr>
            </w:pPr>
          </w:p>
        </w:tc>
        <w:tc>
          <w:tcPr>
            <w:tcW w:w="915" w:type="pct"/>
            <w:vAlign w:val="center"/>
          </w:tcPr>
          <w:p>
            <w:pPr>
              <w:contextualSpacing/>
              <w:jc w:val="center"/>
              <w:textAlignment w:val="baseline"/>
              <w:rPr>
                <w:kern w:val="0"/>
                <w:szCs w:val="21"/>
              </w:rPr>
            </w:pPr>
            <w:r>
              <w:rPr>
                <w:rFonts w:hint="eastAsia"/>
                <w:kern w:val="0"/>
                <w:szCs w:val="21"/>
              </w:rPr>
              <w:t>0~</w:t>
            </w:r>
            <w:r>
              <w:rPr>
                <w:kern w:val="0"/>
                <w:szCs w:val="21"/>
              </w:rPr>
              <w:t>0.5m</w:t>
            </w:r>
          </w:p>
        </w:tc>
        <w:tc>
          <w:tcPr>
            <w:tcW w:w="665" w:type="pct"/>
            <w:vMerge w:val="continue"/>
            <w:tcBorders>
              <w:right w:val="single" w:color="auto" w:sz="4" w:space="0"/>
            </w:tcBorders>
            <w:vAlign w:val="center"/>
          </w:tcPr>
          <w:p>
            <w:pPr>
              <w:contextualSpacing/>
              <w:jc w:val="center"/>
              <w:textAlignment w:val="baseline"/>
              <w:rPr>
                <w:kern w:val="0"/>
                <w:szCs w:val="21"/>
              </w:rPr>
            </w:pPr>
          </w:p>
        </w:tc>
        <w:tc>
          <w:tcPr>
            <w:tcW w:w="915" w:type="pct"/>
            <w:vMerge w:val="continue"/>
            <w:tcBorders>
              <w:left w:val="single" w:color="auto" w:sz="4" w:space="0"/>
              <w:right w:val="single" w:color="auto" w:sz="4" w:space="0"/>
            </w:tcBorders>
            <w:vAlign w:val="center"/>
          </w:tcPr>
          <w:p>
            <w:pPr>
              <w:contextualSpacing/>
              <w:jc w:val="center"/>
              <w:textAlignment w:val="baseline"/>
              <w:rPr>
                <w:kern w:val="0"/>
                <w:szCs w:val="21"/>
              </w:rPr>
            </w:pPr>
          </w:p>
        </w:tc>
        <w:tc>
          <w:tcPr>
            <w:tcW w:w="447" w:type="pct"/>
            <w:vMerge w:val="continue"/>
            <w:tcBorders>
              <w:left w:val="single" w:color="auto" w:sz="4" w:space="0"/>
              <w:right w:val="single" w:color="auto" w:sz="4" w:space="0"/>
            </w:tcBorders>
            <w:vAlign w:val="center"/>
          </w:tcPr>
          <w:p>
            <w:pPr>
              <w:contextualSpacing/>
              <w:jc w:val="center"/>
              <w:textAlignment w:val="baseline"/>
              <w:rPr>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2" w:type="pct"/>
            <w:vAlign w:val="center"/>
          </w:tcPr>
          <w:p>
            <w:pPr>
              <w:contextualSpacing/>
              <w:jc w:val="center"/>
              <w:textAlignment w:val="baseline"/>
              <w:rPr>
                <w:kern w:val="0"/>
                <w:szCs w:val="21"/>
              </w:rPr>
            </w:pPr>
            <w:r>
              <w:rPr>
                <w:rFonts w:hint="eastAsia"/>
                <w:kern w:val="0"/>
                <w:szCs w:val="21"/>
              </w:rPr>
              <w:t>4</w:t>
            </w:r>
          </w:p>
        </w:tc>
        <w:tc>
          <w:tcPr>
            <w:tcW w:w="930" w:type="pct"/>
            <w:shd w:val="clear" w:color="auto" w:fill="auto"/>
            <w:vAlign w:val="center"/>
          </w:tcPr>
          <w:p>
            <w:pPr>
              <w:contextualSpacing/>
              <w:jc w:val="center"/>
              <w:textAlignment w:val="baseline"/>
              <w:rPr>
                <w:kern w:val="0"/>
                <w:szCs w:val="21"/>
              </w:rPr>
            </w:pPr>
            <w:r>
              <w:rPr>
                <w:rFonts w:hint="eastAsia"/>
                <w:kern w:val="0"/>
                <w:szCs w:val="21"/>
              </w:rPr>
              <w:t>厂区中心空地</w:t>
            </w:r>
          </w:p>
        </w:tc>
        <w:tc>
          <w:tcPr>
            <w:tcW w:w="816" w:type="pct"/>
            <w:vMerge w:val="continue"/>
            <w:vAlign w:val="center"/>
          </w:tcPr>
          <w:p>
            <w:pPr>
              <w:contextualSpacing/>
              <w:jc w:val="center"/>
              <w:textAlignment w:val="baseline"/>
              <w:rPr>
                <w:kern w:val="0"/>
                <w:szCs w:val="21"/>
              </w:rPr>
            </w:pPr>
          </w:p>
        </w:tc>
        <w:tc>
          <w:tcPr>
            <w:tcW w:w="915" w:type="pct"/>
            <w:vAlign w:val="center"/>
          </w:tcPr>
          <w:p>
            <w:pPr>
              <w:contextualSpacing/>
              <w:jc w:val="center"/>
              <w:textAlignment w:val="baseline"/>
              <w:rPr>
                <w:kern w:val="0"/>
                <w:szCs w:val="21"/>
              </w:rPr>
            </w:pPr>
            <w:r>
              <w:rPr>
                <w:rFonts w:hint="eastAsia"/>
                <w:kern w:val="0"/>
                <w:szCs w:val="21"/>
              </w:rPr>
              <w:t>0~</w:t>
            </w:r>
            <w:r>
              <w:rPr>
                <w:kern w:val="0"/>
                <w:szCs w:val="21"/>
              </w:rPr>
              <w:t>0.5m</w:t>
            </w:r>
          </w:p>
        </w:tc>
        <w:tc>
          <w:tcPr>
            <w:tcW w:w="665" w:type="pct"/>
            <w:vMerge w:val="continue"/>
            <w:tcBorders>
              <w:right w:val="single" w:color="auto" w:sz="4" w:space="0"/>
            </w:tcBorders>
            <w:vAlign w:val="center"/>
          </w:tcPr>
          <w:p>
            <w:pPr>
              <w:contextualSpacing/>
              <w:jc w:val="center"/>
              <w:textAlignment w:val="baseline"/>
              <w:rPr>
                <w:kern w:val="0"/>
                <w:szCs w:val="21"/>
              </w:rPr>
            </w:pPr>
          </w:p>
        </w:tc>
        <w:tc>
          <w:tcPr>
            <w:tcW w:w="915" w:type="pct"/>
            <w:vMerge w:val="continue"/>
            <w:tcBorders>
              <w:left w:val="single" w:color="auto" w:sz="4" w:space="0"/>
              <w:bottom w:val="single" w:color="auto" w:sz="4" w:space="0"/>
              <w:right w:val="single" w:color="auto" w:sz="4" w:space="0"/>
            </w:tcBorders>
            <w:vAlign w:val="center"/>
          </w:tcPr>
          <w:p>
            <w:pPr>
              <w:contextualSpacing/>
              <w:jc w:val="center"/>
              <w:textAlignment w:val="baseline"/>
              <w:rPr>
                <w:kern w:val="0"/>
                <w:szCs w:val="21"/>
              </w:rPr>
            </w:pPr>
          </w:p>
        </w:tc>
        <w:tc>
          <w:tcPr>
            <w:tcW w:w="447" w:type="pct"/>
            <w:vMerge w:val="continue"/>
            <w:tcBorders>
              <w:left w:val="single" w:color="auto" w:sz="4" w:space="0"/>
              <w:bottom w:val="single" w:color="auto" w:sz="4" w:space="0"/>
              <w:right w:val="single" w:color="auto" w:sz="4" w:space="0"/>
            </w:tcBorders>
            <w:vAlign w:val="center"/>
          </w:tcPr>
          <w:p>
            <w:pPr>
              <w:contextualSpacing/>
              <w:jc w:val="center"/>
              <w:textAlignment w:val="baseline"/>
              <w:rPr>
                <w:kern w:val="0"/>
                <w:szCs w:val="21"/>
              </w:rPr>
            </w:pPr>
          </w:p>
        </w:tc>
      </w:tr>
    </w:tbl>
    <w:p>
      <w:pPr>
        <w:spacing w:line="500" w:lineRule="exact"/>
        <w:ind w:firstLine="480" w:firstLineChars="200"/>
        <w:jc w:val="left"/>
        <w:rPr>
          <w:kern w:val="0"/>
          <w:sz w:val="24"/>
        </w:rPr>
      </w:pPr>
      <w:r>
        <w:rPr>
          <w:kern w:val="0"/>
          <w:sz w:val="24"/>
        </w:rPr>
        <w:t>（2）信息公开</w:t>
      </w:r>
    </w:p>
    <w:p>
      <w:pPr>
        <w:spacing w:line="500" w:lineRule="exact"/>
        <w:ind w:firstLine="480" w:firstLineChars="200"/>
        <w:jc w:val="left"/>
        <w:rPr>
          <w:kern w:val="0"/>
          <w:sz w:val="24"/>
        </w:rPr>
      </w:pPr>
      <w:r>
        <w:rPr>
          <w:kern w:val="0"/>
          <w:sz w:val="24"/>
        </w:rPr>
        <w:t>评价建议企业在其公司网站或地方政府网站及时公开土壤监测结果。公示内容：监测时间、监测点位、监测因子及监测结果、达标分析等内容。</w:t>
      </w:r>
    </w:p>
    <w:p>
      <w:pPr>
        <w:spacing w:line="520" w:lineRule="exact"/>
        <w:outlineLvl w:val="2"/>
        <w:rPr>
          <w:rFonts w:eastAsia="黑体"/>
          <w:sz w:val="28"/>
          <w:szCs w:val="28"/>
        </w:rPr>
      </w:pPr>
      <w:r>
        <w:rPr>
          <w:rFonts w:eastAsia="黑体"/>
          <w:sz w:val="28"/>
          <w:szCs w:val="28"/>
        </w:rPr>
        <w:t>7.2.6地下水污染控制措施分析</w:t>
      </w:r>
    </w:p>
    <w:p>
      <w:pPr>
        <w:spacing w:line="520" w:lineRule="exact"/>
        <w:ind w:firstLine="480" w:firstLineChars="200"/>
        <w:jc w:val="left"/>
        <w:rPr>
          <w:kern w:val="0"/>
          <w:sz w:val="24"/>
        </w:rPr>
      </w:pPr>
      <w:bookmarkStart w:id="185" w:name="_Hlk97374993"/>
      <w:r>
        <w:rPr>
          <w:kern w:val="0"/>
          <w:sz w:val="24"/>
        </w:rPr>
        <w:t>本项目在污水处理过程中，主要污染物为高化学需氧量的废水。污水处理站如不采取合理的防渗措施或在非正常状况下，废水有可能渗入包气带，从而影响土壤和地下水环境。</w:t>
      </w:r>
      <w:bookmarkStart w:id="186" w:name="_Hlk107412139"/>
      <w:r>
        <w:rPr>
          <w:kern w:val="0"/>
          <w:sz w:val="24"/>
        </w:rPr>
        <w:t>为针对本项目可能发生的地下水污染，本项目地下水污染防治措施将按照“源头控制、分区防治、污染监控、应急响应”相结合的原则，从污染物的产生、入渗、扩散、应急响应全方位进行控制。</w:t>
      </w:r>
      <w:bookmarkEnd w:id="186"/>
    </w:p>
    <w:bookmarkEnd w:id="185"/>
    <w:p>
      <w:pPr>
        <w:spacing w:line="520" w:lineRule="exact"/>
        <w:outlineLvl w:val="3"/>
        <w:rPr>
          <w:kern w:val="0"/>
          <w:sz w:val="24"/>
          <w:szCs w:val="28"/>
        </w:rPr>
      </w:pPr>
      <w:r>
        <w:rPr>
          <w:kern w:val="0"/>
          <w:sz w:val="24"/>
          <w:szCs w:val="28"/>
        </w:rPr>
        <w:t>7.2.6.1源头控制</w:t>
      </w:r>
    </w:p>
    <w:p>
      <w:pPr>
        <w:spacing w:line="520" w:lineRule="exact"/>
        <w:ind w:firstLine="480" w:firstLineChars="200"/>
        <w:jc w:val="left"/>
        <w:rPr>
          <w:kern w:val="0"/>
          <w:sz w:val="24"/>
        </w:rPr>
      </w:pPr>
      <w:r>
        <w:rPr>
          <w:kern w:val="0"/>
          <w:sz w:val="24"/>
        </w:rPr>
        <w:t>定期对厂区内的废水输送管线、</w:t>
      </w:r>
      <w:r>
        <w:rPr>
          <w:rFonts w:hint="eastAsia"/>
          <w:kern w:val="0"/>
          <w:sz w:val="24"/>
        </w:rPr>
        <w:t>集水</w:t>
      </w:r>
      <w:r>
        <w:rPr>
          <w:kern w:val="0"/>
          <w:sz w:val="24"/>
        </w:rPr>
        <w:t>池</w:t>
      </w:r>
      <w:r>
        <w:rPr>
          <w:rFonts w:hint="eastAsia"/>
          <w:kern w:val="0"/>
          <w:sz w:val="24"/>
        </w:rPr>
        <w:t>、调节池</w:t>
      </w:r>
      <w:r>
        <w:rPr>
          <w:kern w:val="0"/>
          <w:sz w:val="24"/>
        </w:rPr>
        <w:t>等</w:t>
      </w:r>
      <w:r>
        <w:rPr>
          <w:rFonts w:hint="eastAsia"/>
          <w:kern w:val="0"/>
          <w:sz w:val="24"/>
        </w:rPr>
        <w:t>废水</w:t>
      </w:r>
      <w:r>
        <w:rPr>
          <w:kern w:val="0"/>
          <w:sz w:val="24"/>
        </w:rPr>
        <w:t>处理单元进行检查，对出现的裂缝、防渗层破损处进行及时的修复，防止和降低污染物的跑、冒、滴、漏。同时，建设单位应尽可能从源头上减少污染物排放，将污染物泄漏的环境风险事故降到最低程度。</w:t>
      </w:r>
    </w:p>
    <w:p>
      <w:pPr>
        <w:spacing w:line="520" w:lineRule="exact"/>
        <w:outlineLvl w:val="3"/>
        <w:rPr>
          <w:kern w:val="0"/>
          <w:sz w:val="24"/>
          <w:szCs w:val="28"/>
        </w:rPr>
      </w:pPr>
      <w:r>
        <w:rPr>
          <w:kern w:val="0"/>
          <w:sz w:val="24"/>
          <w:szCs w:val="28"/>
        </w:rPr>
        <w:t>7.2.6.2分区防渗</w:t>
      </w:r>
    </w:p>
    <w:p>
      <w:pPr>
        <w:spacing w:line="520" w:lineRule="exact"/>
        <w:ind w:firstLine="480" w:firstLineChars="200"/>
        <w:jc w:val="left"/>
        <w:rPr>
          <w:kern w:val="0"/>
          <w:sz w:val="24"/>
        </w:rPr>
      </w:pPr>
      <w:r>
        <w:rPr>
          <w:kern w:val="0"/>
          <w:sz w:val="24"/>
        </w:rPr>
        <w:t>1、厂区地下水防渗分区划分</w:t>
      </w:r>
    </w:p>
    <w:p>
      <w:pPr>
        <w:spacing w:line="520" w:lineRule="exact"/>
        <w:ind w:firstLine="480" w:firstLineChars="200"/>
        <w:jc w:val="left"/>
        <w:rPr>
          <w:kern w:val="0"/>
          <w:sz w:val="24"/>
        </w:rPr>
      </w:pPr>
      <w:r>
        <w:rPr>
          <w:kern w:val="0"/>
          <w:sz w:val="24"/>
        </w:rPr>
        <w:t>参考《石油化工防渗工程技术规范》有关要求，结合物料或者污染物泄漏的途径和生产功能单元所处的位置，将本次工程划分为重点防渗区、一般防渗区、简单防渗区。</w:t>
      </w:r>
    </w:p>
    <w:p>
      <w:pPr>
        <w:spacing w:line="520" w:lineRule="exact"/>
        <w:ind w:firstLine="480" w:firstLineChars="200"/>
        <w:jc w:val="left"/>
        <w:rPr>
          <w:kern w:val="0"/>
          <w:sz w:val="24"/>
        </w:rPr>
      </w:pPr>
      <w:r>
        <w:rPr>
          <w:kern w:val="0"/>
          <w:sz w:val="24"/>
        </w:rPr>
        <w:t>重点防渗区：主要为污水处理站、</w:t>
      </w:r>
      <w:r>
        <w:rPr>
          <w:rFonts w:hint="eastAsia"/>
          <w:kern w:val="0"/>
          <w:sz w:val="24"/>
        </w:rPr>
        <w:t>污泥间</w:t>
      </w:r>
      <w:r>
        <w:rPr>
          <w:kern w:val="0"/>
          <w:sz w:val="24"/>
        </w:rPr>
        <w:t>、</w:t>
      </w:r>
      <w:r>
        <w:rPr>
          <w:rFonts w:hint="eastAsia"/>
          <w:kern w:val="0"/>
          <w:sz w:val="24"/>
        </w:rPr>
        <w:t>一般固废间</w:t>
      </w:r>
      <w:r>
        <w:rPr>
          <w:kern w:val="0"/>
          <w:sz w:val="24"/>
        </w:rPr>
        <w:t>等区域；防渗性能应与6.0m厚粘土层(渗透系数1.0×10</w:t>
      </w:r>
      <w:r>
        <w:rPr>
          <w:kern w:val="0"/>
          <w:sz w:val="24"/>
          <w:vertAlign w:val="superscript"/>
        </w:rPr>
        <w:t>-7</w:t>
      </w:r>
      <w:r>
        <w:rPr>
          <w:kern w:val="0"/>
          <w:sz w:val="24"/>
        </w:rPr>
        <w:t>cm/s)等效。</w:t>
      </w:r>
    </w:p>
    <w:p>
      <w:pPr>
        <w:spacing w:line="520" w:lineRule="exact"/>
        <w:ind w:firstLine="480" w:firstLineChars="200"/>
        <w:jc w:val="left"/>
        <w:rPr>
          <w:kern w:val="0"/>
          <w:sz w:val="24"/>
        </w:rPr>
      </w:pPr>
      <w:r>
        <w:rPr>
          <w:kern w:val="0"/>
          <w:sz w:val="24"/>
        </w:rPr>
        <w:t>一般防渗区：原料仓库、</w:t>
      </w:r>
      <w:r>
        <w:rPr>
          <w:rFonts w:hint="eastAsia"/>
          <w:kern w:val="0"/>
          <w:sz w:val="24"/>
        </w:rPr>
        <w:t>废气</w:t>
      </w:r>
      <w:r>
        <w:rPr>
          <w:kern w:val="0"/>
          <w:sz w:val="24"/>
        </w:rPr>
        <w:t>环保设施区等；防渗性能应与1.5m厚粘土层</w:t>
      </w:r>
      <w:r>
        <w:rPr>
          <w:rFonts w:hint="eastAsia"/>
          <w:kern w:val="0"/>
          <w:sz w:val="24"/>
        </w:rPr>
        <w:t>（</w:t>
      </w:r>
      <w:r>
        <w:rPr>
          <w:kern w:val="0"/>
          <w:sz w:val="24"/>
        </w:rPr>
        <w:t>渗透系数1.0×10</w:t>
      </w:r>
      <w:r>
        <w:rPr>
          <w:kern w:val="0"/>
          <w:sz w:val="24"/>
          <w:vertAlign w:val="superscript"/>
        </w:rPr>
        <w:t>-7</w:t>
      </w:r>
      <w:r>
        <w:rPr>
          <w:kern w:val="0"/>
          <w:sz w:val="24"/>
        </w:rPr>
        <w:t>cm/s</w:t>
      </w:r>
      <w:r>
        <w:rPr>
          <w:rFonts w:hint="eastAsia"/>
          <w:kern w:val="0"/>
          <w:sz w:val="24"/>
        </w:rPr>
        <w:t>）</w:t>
      </w:r>
      <w:r>
        <w:rPr>
          <w:kern w:val="0"/>
          <w:sz w:val="24"/>
        </w:rPr>
        <w:t>等效。</w:t>
      </w:r>
    </w:p>
    <w:p>
      <w:pPr>
        <w:spacing w:line="520" w:lineRule="exact"/>
        <w:ind w:firstLine="480" w:firstLineChars="200"/>
        <w:jc w:val="left"/>
        <w:rPr>
          <w:kern w:val="0"/>
          <w:sz w:val="24"/>
        </w:rPr>
      </w:pPr>
      <w:r>
        <w:rPr>
          <w:kern w:val="0"/>
          <w:sz w:val="24"/>
        </w:rPr>
        <w:t>简单防渗区：办公区；地面硬化或绿化，不要求防渗系数。</w:t>
      </w:r>
    </w:p>
    <w:p>
      <w:pPr>
        <w:spacing w:line="520" w:lineRule="exact"/>
        <w:ind w:firstLine="480" w:firstLineChars="200"/>
        <w:jc w:val="left"/>
        <w:rPr>
          <w:kern w:val="0"/>
          <w:sz w:val="24"/>
        </w:rPr>
      </w:pPr>
      <w:r>
        <w:rPr>
          <w:kern w:val="0"/>
          <w:sz w:val="24"/>
        </w:rPr>
        <w:t>2、地面防渗措施一般要求</w:t>
      </w:r>
    </w:p>
    <w:p>
      <w:pPr>
        <w:spacing w:line="520" w:lineRule="exact"/>
        <w:ind w:firstLine="480" w:firstLineChars="200"/>
        <w:jc w:val="left"/>
        <w:rPr>
          <w:kern w:val="0"/>
          <w:sz w:val="24"/>
        </w:rPr>
      </w:pPr>
      <w:r>
        <w:rPr>
          <w:kern w:val="0"/>
          <w:sz w:val="24"/>
        </w:rPr>
        <w:t>地面防渗措施一般要求主要包括以下几个方面：</w:t>
      </w:r>
    </w:p>
    <w:p>
      <w:pPr>
        <w:spacing w:line="520" w:lineRule="exact"/>
        <w:ind w:firstLine="480" w:firstLineChars="200"/>
        <w:jc w:val="left"/>
        <w:rPr>
          <w:kern w:val="0"/>
          <w:sz w:val="24"/>
        </w:rPr>
      </w:pPr>
      <w:r>
        <w:rPr>
          <w:kern w:val="0"/>
          <w:sz w:val="24"/>
        </w:rPr>
        <w:t>（1）地面防渗方案可采用粘土防渗、抗渗混凝土、HDPE膜防渗和钠基膨润土防水毯防渗层。</w:t>
      </w:r>
    </w:p>
    <w:p>
      <w:pPr>
        <w:spacing w:line="520" w:lineRule="exact"/>
        <w:ind w:firstLine="480" w:firstLineChars="200"/>
        <w:jc w:val="left"/>
        <w:rPr>
          <w:kern w:val="0"/>
          <w:sz w:val="24"/>
        </w:rPr>
      </w:pPr>
      <w:r>
        <w:rPr>
          <w:kern w:val="0"/>
          <w:sz w:val="24"/>
        </w:rPr>
        <w:t>（2）污染防治区地面应坡向排水口/沟，地面坡度根据总体竖向布置确定，坡度不宜小于0.3%。</w:t>
      </w:r>
    </w:p>
    <w:p>
      <w:pPr>
        <w:spacing w:line="520" w:lineRule="exact"/>
        <w:ind w:firstLine="480" w:firstLineChars="200"/>
        <w:jc w:val="left"/>
        <w:rPr>
          <w:kern w:val="0"/>
          <w:sz w:val="24"/>
        </w:rPr>
      </w:pPr>
      <w:r>
        <w:rPr>
          <w:kern w:val="0"/>
          <w:sz w:val="24"/>
        </w:rPr>
        <w:t>（3）当污染物对防渗层有腐蚀作用时，应进行防腐处理。</w:t>
      </w:r>
    </w:p>
    <w:p>
      <w:pPr>
        <w:spacing w:line="520" w:lineRule="exact"/>
        <w:ind w:firstLine="480" w:firstLineChars="200"/>
        <w:jc w:val="left"/>
        <w:rPr>
          <w:kern w:val="0"/>
          <w:sz w:val="24"/>
        </w:rPr>
      </w:pPr>
      <w:r>
        <w:rPr>
          <w:kern w:val="0"/>
          <w:sz w:val="24"/>
        </w:rPr>
        <w:t>（4）地基土采用原土压</w:t>
      </w:r>
      <w:r>
        <w:rPr>
          <w:rFonts w:hint="eastAsia"/>
          <w:kern w:val="0"/>
          <w:sz w:val="24"/>
        </w:rPr>
        <w:t>（</w:t>
      </w:r>
      <w:r>
        <w:rPr>
          <w:kern w:val="0"/>
          <w:sz w:val="24"/>
        </w:rPr>
        <w:t>夯</w:t>
      </w:r>
      <w:r>
        <w:rPr>
          <w:rFonts w:hint="eastAsia"/>
          <w:kern w:val="0"/>
          <w:sz w:val="24"/>
        </w:rPr>
        <w:t>）</w:t>
      </w:r>
      <w:r>
        <w:rPr>
          <w:kern w:val="0"/>
          <w:sz w:val="24"/>
        </w:rPr>
        <w:t>实，处理要求应符合国家现行标准《建筑地面设计规范》（GB50037-2013）的规定。</w:t>
      </w:r>
    </w:p>
    <w:p>
      <w:pPr>
        <w:spacing w:line="520" w:lineRule="exact"/>
        <w:ind w:firstLine="480" w:firstLineChars="200"/>
        <w:jc w:val="left"/>
        <w:rPr>
          <w:kern w:val="0"/>
          <w:sz w:val="24"/>
        </w:rPr>
      </w:pPr>
      <w:r>
        <w:rPr>
          <w:kern w:val="0"/>
          <w:sz w:val="24"/>
        </w:rPr>
        <w:t>（5）垫层宜采用中粗砂、碎石或混凝土垫层，处理要求应符合国家现行标准《建筑地面设计规范》（GB50037-2013）的规定。</w:t>
      </w:r>
    </w:p>
    <w:p>
      <w:pPr>
        <w:spacing w:line="520" w:lineRule="exact"/>
        <w:ind w:firstLine="480" w:firstLineChars="200"/>
        <w:jc w:val="left"/>
        <w:rPr>
          <w:kern w:val="0"/>
          <w:sz w:val="24"/>
        </w:rPr>
      </w:pPr>
      <w:r>
        <w:rPr>
          <w:kern w:val="0"/>
          <w:sz w:val="24"/>
        </w:rPr>
        <w:t>3、地面防渗措施方案</w:t>
      </w:r>
    </w:p>
    <w:p>
      <w:pPr>
        <w:spacing w:line="520" w:lineRule="exact"/>
        <w:ind w:firstLine="480" w:firstLineChars="200"/>
        <w:jc w:val="left"/>
        <w:rPr>
          <w:kern w:val="0"/>
          <w:sz w:val="24"/>
        </w:rPr>
      </w:pPr>
      <w:r>
        <w:rPr>
          <w:kern w:val="0"/>
          <w:sz w:val="24"/>
        </w:rPr>
        <w:t>（1）重点防渗区防渗方案</w:t>
      </w:r>
    </w:p>
    <w:p>
      <w:pPr>
        <w:spacing w:line="520" w:lineRule="exact"/>
        <w:ind w:firstLine="480" w:firstLineChars="200"/>
        <w:jc w:val="left"/>
        <w:rPr>
          <w:kern w:val="0"/>
          <w:sz w:val="24"/>
        </w:rPr>
      </w:pPr>
      <w:r>
        <w:rPr>
          <w:kern w:val="0"/>
          <w:sz w:val="24"/>
        </w:rPr>
        <w:t>重点防渗区的防渗包括地面防渗、管道防渗、水池防渗，具体如下：</w:t>
      </w:r>
    </w:p>
    <w:p>
      <w:pPr>
        <w:spacing w:line="520" w:lineRule="exact"/>
        <w:ind w:firstLine="480" w:firstLineChars="200"/>
        <w:jc w:val="left"/>
        <w:rPr>
          <w:kern w:val="0"/>
          <w:sz w:val="24"/>
        </w:rPr>
      </w:pPr>
      <w:r>
        <w:rPr>
          <w:kern w:val="0"/>
          <w:sz w:val="24"/>
        </w:rPr>
        <w:t>地面防渗层要求：重点污染防治区抗渗混凝土的强度等级不应低于C25，抗渗等级不应低于P6，厚度不宜小于100mm。污染防治区内的汽车装卸及检修作业区地面宜采用抗渗钢筋（钢纤维）混凝土，其厚度不宜小于200mm。抗渗混凝土地面应设置缩缝和变形缝，接缝处等细部构造应做防渗处理。</w:t>
      </w:r>
    </w:p>
    <w:p>
      <w:pPr>
        <w:spacing w:line="520" w:lineRule="exact"/>
        <w:ind w:firstLine="480" w:firstLineChars="200"/>
        <w:jc w:val="left"/>
        <w:rPr>
          <w:kern w:val="0"/>
          <w:sz w:val="24"/>
        </w:rPr>
      </w:pPr>
      <w:r>
        <w:rPr>
          <w:kern w:val="0"/>
          <w:sz w:val="24"/>
        </w:rPr>
        <w:t>地下污水管道防渗：地下污水管道防渗宜采用抗渗钢筋混凝土管沟或HDPE膜防渗层。抗渗钢筋混凝土管沟的强度等级不宜小于C30；混凝土中应掺加水泥基渗透结晶型防水剂，掺加量宜为0.8%~1.5%；抗渗钢筋混凝土管沟的渗透系数不应大于1.0×10</w:t>
      </w:r>
      <w:r>
        <w:rPr>
          <w:kern w:val="0"/>
          <w:sz w:val="24"/>
          <w:vertAlign w:val="superscript"/>
        </w:rPr>
        <w:t>-10</w:t>
      </w:r>
      <w:r>
        <w:rPr>
          <w:kern w:val="0"/>
          <w:sz w:val="24"/>
        </w:rPr>
        <w:t>cm/s；混凝土垫层的强度等级不宜小于C15；地下抗渗钢筋混凝土管沟顶板的强度等级不宜小于C30，渗透系数不应大于1.0×10</w:t>
      </w:r>
      <w:r>
        <w:rPr>
          <w:kern w:val="0"/>
          <w:sz w:val="24"/>
          <w:vertAlign w:val="superscript"/>
        </w:rPr>
        <w:t>-10</w:t>
      </w:r>
      <w:r>
        <w:rPr>
          <w:kern w:val="0"/>
          <w:sz w:val="24"/>
        </w:rPr>
        <w:t>cm/s。</w:t>
      </w:r>
    </w:p>
    <w:p>
      <w:pPr>
        <w:spacing w:line="520" w:lineRule="exact"/>
        <w:ind w:firstLine="480" w:firstLineChars="200"/>
        <w:jc w:val="left"/>
        <w:rPr>
          <w:kern w:val="0"/>
          <w:sz w:val="24"/>
        </w:rPr>
      </w:pPr>
      <w:r>
        <w:rPr>
          <w:kern w:val="0"/>
          <w:sz w:val="24"/>
        </w:rPr>
        <w:t>水池主体防渗：由于污水处理系统所承载的废水浓度相对较高，因此建议对污水处理系统在采用整体式钢筋混凝土结构的基础上，同时采用结构外柔性防水涂料法进一步做防渗处理，结构本身要求选用防渗性能良好、防渗等级较高的混凝土，防水涂料建议采用防渗性能好、适应性强的高分子防水涂料。同时建议对混凝土结构内壁进行防腐处理，以有效防止混凝土破坏，同时提高整体的抗渗能力，建议其渗透系数≤10</w:t>
      </w:r>
      <w:r>
        <w:rPr>
          <w:kern w:val="0"/>
          <w:sz w:val="24"/>
          <w:vertAlign w:val="superscript"/>
        </w:rPr>
        <w:t>-10</w:t>
      </w:r>
      <w:r>
        <w:rPr>
          <w:kern w:val="0"/>
          <w:sz w:val="24"/>
        </w:rPr>
        <w:t>cm/s。水池采用抗渗钢筋混凝土结构，混凝土强度等级不宜小于C30；钢筋混凝土水池的抗渗等级不应小于P8；结构厚度不应小于250mm；最大裂缝宽度不应大于0.20mm，并不得贯通；钢筋的混凝土保护层厚度应根据结构的耐久性和环境类别选用，迎水面钢筋的混凝土保护层厚度不应小于50mm。</w:t>
      </w:r>
    </w:p>
    <w:p>
      <w:pPr>
        <w:spacing w:line="520" w:lineRule="exact"/>
        <w:ind w:firstLine="480" w:firstLineChars="200"/>
        <w:jc w:val="left"/>
        <w:rPr>
          <w:kern w:val="0"/>
          <w:sz w:val="24"/>
        </w:rPr>
      </w:pPr>
      <w:r>
        <w:rPr>
          <w:kern w:val="0"/>
          <w:sz w:val="24"/>
        </w:rPr>
        <w:t>（2）一般防渗区</w:t>
      </w:r>
    </w:p>
    <w:p>
      <w:pPr>
        <w:spacing w:line="520" w:lineRule="exact"/>
        <w:ind w:firstLine="480" w:firstLineChars="200"/>
        <w:jc w:val="left"/>
        <w:rPr>
          <w:kern w:val="0"/>
          <w:sz w:val="24"/>
        </w:rPr>
      </w:pPr>
      <w:r>
        <w:rPr>
          <w:kern w:val="0"/>
          <w:sz w:val="24"/>
        </w:rPr>
        <w:t>一般防渗区混凝土防渗层的强度等级不应小于C20，水灰比不宜大于0.50；一般污染防治区抗渗混凝土的抗渗等级不宜小于P8，其厚度不宜小于100mm；</w:t>
      </w:r>
    </w:p>
    <w:p>
      <w:pPr>
        <w:spacing w:line="520" w:lineRule="exact"/>
        <w:ind w:firstLine="480" w:firstLineChars="200"/>
        <w:jc w:val="left"/>
        <w:rPr>
          <w:kern w:val="0"/>
          <w:sz w:val="24"/>
        </w:rPr>
      </w:pPr>
      <w:r>
        <w:rPr>
          <w:kern w:val="0"/>
          <w:sz w:val="24"/>
        </w:rPr>
        <w:t>（3）规格要求：</w:t>
      </w:r>
    </w:p>
    <w:p>
      <w:pPr>
        <w:spacing w:line="520" w:lineRule="exact"/>
        <w:ind w:firstLine="480" w:firstLineChars="200"/>
        <w:jc w:val="left"/>
        <w:rPr>
          <w:kern w:val="0"/>
          <w:sz w:val="24"/>
        </w:rPr>
      </w:pPr>
      <w:r>
        <w:rPr>
          <w:rFonts w:hint="eastAsia" w:ascii="宋体" w:hAnsi="宋体" w:cs="宋体"/>
          <w:kern w:val="0"/>
          <w:sz w:val="24"/>
        </w:rPr>
        <w:t>①</w:t>
      </w:r>
      <w:r>
        <w:rPr>
          <w:kern w:val="0"/>
          <w:sz w:val="24"/>
        </w:rPr>
        <w:t>粘土防渗层</w:t>
      </w:r>
    </w:p>
    <w:p>
      <w:pPr>
        <w:spacing w:line="520" w:lineRule="exact"/>
        <w:ind w:firstLine="480" w:firstLineChars="200"/>
        <w:jc w:val="left"/>
        <w:rPr>
          <w:kern w:val="0"/>
          <w:sz w:val="24"/>
        </w:rPr>
      </w:pPr>
      <w:r>
        <w:rPr>
          <w:kern w:val="0"/>
          <w:sz w:val="24"/>
        </w:rPr>
        <w:t>粘土防渗层应符合下列要求：</w:t>
      </w:r>
    </w:p>
    <w:p>
      <w:pPr>
        <w:spacing w:line="520" w:lineRule="exact"/>
        <w:ind w:firstLine="480" w:firstLineChars="200"/>
        <w:jc w:val="left"/>
        <w:rPr>
          <w:kern w:val="0"/>
          <w:sz w:val="24"/>
        </w:rPr>
      </w:pPr>
      <w:r>
        <w:rPr>
          <w:kern w:val="0"/>
          <w:sz w:val="24"/>
        </w:rPr>
        <w:t>a、防渗层的渗透系数不应大于1.0×10</w:t>
      </w:r>
      <w:r>
        <w:rPr>
          <w:kern w:val="0"/>
          <w:sz w:val="24"/>
          <w:vertAlign w:val="superscript"/>
        </w:rPr>
        <w:t>-7</w:t>
      </w:r>
      <w:r>
        <w:rPr>
          <w:kern w:val="0"/>
          <w:sz w:val="24"/>
        </w:rPr>
        <w:t>cm/s；</w:t>
      </w:r>
    </w:p>
    <w:p>
      <w:pPr>
        <w:spacing w:line="520" w:lineRule="exact"/>
        <w:ind w:firstLine="480" w:firstLineChars="200"/>
        <w:jc w:val="left"/>
        <w:rPr>
          <w:kern w:val="0"/>
          <w:sz w:val="24"/>
        </w:rPr>
      </w:pPr>
      <w:r>
        <w:rPr>
          <w:kern w:val="0"/>
          <w:sz w:val="24"/>
        </w:rPr>
        <w:t>b、一般污染防治区粘土防渗层厚度不应小于1.5m；重点污染防治区粘土防渗层厚度不应小于6m。</w:t>
      </w:r>
    </w:p>
    <w:p>
      <w:pPr>
        <w:spacing w:line="520" w:lineRule="exact"/>
        <w:ind w:firstLine="480" w:firstLineChars="200"/>
        <w:jc w:val="left"/>
        <w:rPr>
          <w:kern w:val="0"/>
          <w:sz w:val="24"/>
        </w:rPr>
      </w:pPr>
      <w:r>
        <w:rPr>
          <w:rFonts w:hint="eastAsia" w:ascii="宋体" w:hAnsi="宋体" w:cs="宋体"/>
          <w:kern w:val="0"/>
          <w:sz w:val="24"/>
        </w:rPr>
        <w:t>②</w:t>
      </w:r>
      <w:r>
        <w:rPr>
          <w:kern w:val="0"/>
          <w:sz w:val="24"/>
        </w:rPr>
        <w:t>混凝土防渗层</w:t>
      </w:r>
    </w:p>
    <w:p>
      <w:pPr>
        <w:spacing w:line="520" w:lineRule="exact"/>
        <w:ind w:firstLine="480" w:firstLineChars="200"/>
        <w:jc w:val="left"/>
        <w:rPr>
          <w:kern w:val="0"/>
          <w:sz w:val="24"/>
        </w:rPr>
      </w:pPr>
      <w:r>
        <w:rPr>
          <w:kern w:val="0"/>
          <w:sz w:val="24"/>
        </w:rPr>
        <w:t>混凝土防渗层可采用抗渗素混凝土、抗渗钢筋混凝土和抗渗钢纤维混凝土。混凝土防渗层应符合下列规定：</w:t>
      </w:r>
    </w:p>
    <w:p>
      <w:pPr>
        <w:spacing w:line="520" w:lineRule="exact"/>
        <w:ind w:firstLine="480" w:firstLineChars="200"/>
        <w:jc w:val="left"/>
        <w:rPr>
          <w:kern w:val="0"/>
          <w:sz w:val="24"/>
        </w:rPr>
      </w:pPr>
      <w:r>
        <w:rPr>
          <w:kern w:val="0"/>
          <w:sz w:val="24"/>
        </w:rPr>
        <w:t>a、混凝土防渗层的强度等级不应小于C20，水灰比不宜大于0.50；</w:t>
      </w:r>
    </w:p>
    <w:p>
      <w:pPr>
        <w:spacing w:line="520" w:lineRule="exact"/>
        <w:ind w:firstLine="480" w:firstLineChars="200"/>
        <w:jc w:val="left"/>
        <w:rPr>
          <w:kern w:val="0"/>
          <w:sz w:val="24"/>
        </w:rPr>
      </w:pPr>
      <w:r>
        <w:rPr>
          <w:kern w:val="0"/>
          <w:sz w:val="24"/>
        </w:rPr>
        <w:t>b、一般污染防治区抗渗混凝土的抗渗等级不宜小于P8，其厚度不宜小于100mm；</w:t>
      </w:r>
    </w:p>
    <w:p>
      <w:pPr>
        <w:spacing w:line="520" w:lineRule="exact"/>
        <w:ind w:firstLine="480" w:firstLineChars="200"/>
        <w:jc w:val="left"/>
        <w:rPr>
          <w:kern w:val="0"/>
          <w:sz w:val="24"/>
        </w:rPr>
      </w:pPr>
      <w:r>
        <w:rPr>
          <w:kern w:val="0"/>
          <w:sz w:val="24"/>
        </w:rPr>
        <w:t>c、重点污染防治区抗渗混凝土的抗渗等级不宜小于P10，其厚度不宜小于150mm。</w:t>
      </w:r>
    </w:p>
    <w:p>
      <w:pPr>
        <w:spacing w:line="520" w:lineRule="exact"/>
        <w:ind w:firstLine="480" w:firstLineChars="200"/>
        <w:jc w:val="left"/>
        <w:rPr>
          <w:kern w:val="0"/>
          <w:sz w:val="24"/>
        </w:rPr>
      </w:pPr>
      <w:r>
        <w:rPr>
          <w:rFonts w:hint="eastAsia" w:ascii="宋体" w:hAnsi="宋体" w:cs="宋体"/>
          <w:kern w:val="0"/>
          <w:sz w:val="24"/>
        </w:rPr>
        <w:t>③</w:t>
      </w:r>
      <w:r>
        <w:rPr>
          <w:kern w:val="0"/>
          <w:sz w:val="24"/>
        </w:rPr>
        <w:t>HDPE膜防渗层应符合下列规定：</w:t>
      </w:r>
    </w:p>
    <w:p>
      <w:pPr>
        <w:spacing w:line="520" w:lineRule="exact"/>
        <w:ind w:firstLine="480" w:firstLineChars="200"/>
        <w:jc w:val="left"/>
        <w:rPr>
          <w:kern w:val="0"/>
          <w:sz w:val="24"/>
        </w:rPr>
      </w:pPr>
      <w:r>
        <w:rPr>
          <w:kern w:val="0"/>
          <w:sz w:val="24"/>
        </w:rPr>
        <w:t>a、膜上保护层，可采用长丝无纺土工布，其规格不宜小于600g/m</w:t>
      </w:r>
      <w:r>
        <w:rPr>
          <w:kern w:val="0"/>
          <w:sz w:val="24"/>
          <w:vertAlign w:val="superscript"/>
        </w:rPr>
        <w:t>2</w:t>
      </w:r>
      <w:r>
        <w:rPr>
          <w:kern w:val="0"/>
          <w:sz w:val="24"/>
        </w:rPr>
        <w:t>；</w:t>
      </w:r>
    </w:p>
    <w:p>
      <w:pPr>
        <w:spacing w:line="520" w:lineRule="exact"/>
        <w:ind w:firstLine="480" w:firstLineChars="200"/>
        <w:jc w:val="left"/>
        <w:rPr>
          <w:kern w:val="0"/>
          <w:sz w:val="24"/>
        </w:rPr>
      </w:pPr>
      <w:r>
        <w:rPr>
          <w:kern w:val="0"/>
          <w:sz w:val="24"/>
        </w:rPr>
        <w:t>b、HDPE膜层，厚度不宜小于1.5mm，HDPE膜宜在地面以下不小于300mm；</w:t>
      </w:r>
    </w:p>
    <w:p>
      <w:pPr>
        <w:spacing w:line="520" w:lineRule="exact"/>
        <w:ind w:firstLine="480" w:firstLineChars="200"/>
        <w:jc w:val="left"/>
        <w:rPr>
          <w:kern w:val="0"/>
          <w:sz w:val="24"/>
        </w:rPr>
      </w:pPr>
      <w:r>
        <w:rPr>
          <w:kern w:val="0"/>
          <w:sz w:val="24"/>
        </w:rPr>
        <w:t>c、膜下保护层，可采用长丝无纺土工布，其规格不宜小于600g/m</w:t>
      </w:r>
      <w:r>
        <w:rPr>
          <w:kern w:val="0"/>
          <w:sz w:val="24"/>
          <w:vertAlign w:val="superscript"/>
        </w:rPr>
        <w:t>2</w:t>
      </w:r>
      <w:r>
        <w:rPr>
          <w:kern w:val="0"/>
          <w:sz w:val="24"/>
        </w:rPr>
        <w:t>，也可采用不含尖锐颗粒的砂层，砂层厚度不宜小于100mm。</w:t>
      </w:r>
    </w:p>
    <w:p>
      <w:pPr>
        <w:spacing w:line="520" w:lineRule="exact"/>
        <w:ind w:firstLine="480" w:firstLineChars="200"/>
        <w:jc w:val="left"/>
        <w:rPr>
          <w:kern w:val="0"/>
          <w:sz w:val="24"/>
        </w:rPr>
      </w:pPr>
      <w:r>
        <w:rPr>
          <w:kern w:val="0"/>
          <w:sz w:val="24"/>
        </w:rPr>
        <w:t>项目厂区分区防渗区见下图：</w:t>
      </w:r>
    </w:p>
    <w:p>
      <w:pPr>
        <w:spacing w:line="360" w:lineRule="auto"/>
        <w:jc w:val="center"/>
        <w:rPr>
          <w:rFonts w:eastAsia="黑体"/>
          <w:bCs/>
          <w:kern w:val="0"/>
          <w:sz w:val="24"/>
          <w:lang w:bidi="zh-CN"/>
        </w:rPr>
      </w:pPr>
      <w:r>
        <w:rPr>
          <w:rFonts w:ascii="Calibri" w:hAnsi="Calibri"/>
          <w:kern w:val="0"/>
          <w:sz w:val="24"/>
        </w:rPr>
        <w:drawing>
          <wp:anchor distT="0" distB="0" distL="114300" distR="114300" simplePos="0" relativeHeight="251746304" behindDoc="1" locked="0" layoutInCell="1" allowOverlap="1">
            <wp:simplePos x="0" y="0"/>
            <wp:positionH relativeFrom="page">
              <wp:posOffset>1010285</wp:posOffset>
            </wp:positionH>
            <wp:positionV relativeFrom="page">
              <wp:posOffset>1773555</wp:posOffset>
            </wp:positionV>
            <wp:extent cx="5278755" cy="4376420"/>
            <wp:effectExtent l="12700" t="12700" r="23495" b="30480"/>
            <wp:wrapTight wrapText="bothSides">
              <wp:wrapPolygon>
                <wp:start x="0" y="0"/>
                <wp:lineTo x="0" y="21600"/>
                <wp:lineTo x="21600" y="21600"/>
                <wp:lineTo x="21600" y="0"/>
                <wp:lineTo x="0" y="0"/>
              </wp:wrapPolygon>
            </wp:wrapTight>
            <wp:docPr id="899890846" name="图片 42"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90846" name="图片 42" descr="图片包含 地图&#10;&#10;描述已自动生成"/>
                    <pic:cNvPicPr>
                      <a:picLocks noChangeAspect="1" noChangeArrowheads="1"/>
                    </pic:cNvPicPr>
                  </pic:nvPicPr>
                  <pic:blipFill>
                    <a:blip r:embed="rId207"/>
                    <a:srcRect/>
                    <a:stretch>
                      <a:fillRect/>
                    </a:stretch>
                  </pic:blipFill>
                  <pic:spPr>
                    <a:xfrm>
                      <a:off x="0" y="0"/>
                      <a:ext cx="5278755" cy="4376420"/>
                    </a:xfrm>
                    <a:prstGeom prst="rect">
                      <a:avLst/>
                    </a:prstGeom>
                    <a:noFill/>
                    <a:ln w="12700">
                      <a:solidFill>
                        <a:srgbClr val="000000"/>
                      </a:solidFill>
                      <a:miter lim="800000"/>
                      <a:headEnd/>
                      <a:tailEnd/>
                    </a:ln>
                  </pic:spPr>
                </pic:pic>
              </a:graphicData>
            </a:graphic>
          </wp:anchor>
        </w:drawing>
      </w:r>
      <w:r>
        <w:rPr>
          <w:rFonts w:eastAsia="黑体"/>
          <w:bCs/>
          <w:kern w:val="0"/>
          <w:sz w:val="24"/>
          <w:lang w:bidi="zh-CN"/>
        </w:rPr>
        <w:t>图7.2-3    项目厂区分区防渗图</w:t>
      </w:r>
    </w:p>
    <w:p>
      <w:pPr>
        <w:spacing w:line="520" w:lineRule="exact"/>
        <w:outlineLvl w:val="3"/>
        <w:rPr>
          <w:kern w:val="0"/>
          <w:sz w:val="24"/>
          <w:szCs w:val="28"/>
        </w:rPr>
      </w:pPr>
      <w:r>
        <w:rPr>
          <w:kern w:val="0"/>
          <w:sz w:val="24"/>
          <w:szCs w:val="28"/>
        </w:rPr>
        <w:t>7.2.6.3地下水监测计划</w:t>
      </w:r>
    </w:p>
    <w:p>
      <w:pPr>
        <w:spacing w:line="500" w:lineRule="exact"/>
        <w:ind w:firstLine="480" w:firstLineChars="200"/>
        <w:jc w:val="left"/>
        <w:rPr>
          <w:kern w:val="0"/>
          <w:sz w:val="24"/>
        </w:rPr>
      </w:pPr>
      <w:r>
        <w:rPr>
          <w:kern w:val="0"/>
          <w:sz w:val="24"/>
        </w:rPr>
        <w:t>本项目地下水环境监测依据《地下水环境监测技术规范》（HJ164-2020）、《工业企业土壤和地下水自行监测 技术指南（试行）》（HJ 1209—2021），并结合项目区含水层系统和地下水径流系统特征，考虑潜在污染源、环境保护目标等因素，并结合模型预测的结果来布置地下水监测点。</w:t>
      </w:r>
    </w:p>
    <w:p>
      <w:pPr>
        <w:spacing w:line="500" w:lineRule="exact"/>
        <w:ind w:firstLine="480" w:firstLineChars="200"/>
        <w:jc w:val="left"/>
        <w:rPr>
          <w:kern w:val="0"/>
          <w:sz w:val="24"/>
        </w:rPr>
      </w:pPr>
      <w:r>
        <w:rPr>
          <w:kern w:val="0"/>
          <w:sz w:val="24"/>
        </w:rPr>
        <w:t>（1）监测点布设</w:t>
      </w:r>
    </w:p>
    <w:p>
      <w:pPr>
        <w:spacing w:line="500" w:lineRule="exact"/>
        <w:ind w:firstLine="480" w:firstLineChars="200"/>
        <w:jc w:val="left"/>
        <w:rPr>
          <w:kern w:val="0"/>
          <w:sz w:val="24"/>
        </w:rPr>
      </w:pPr>
      <w:r>
        <w:rPr>
          <w:kern w:val="0"/>
          <w:sz w:val="24"/>
        </w:rPr>
        <w:t>本项目所在区域地下水流向由西南向东北流。项目位于</w:t>
      </w:r>
      <w:r>
        <w:rPr>
          <w:rFonts w:hint="eastAsia"/>
          <w:kern w:val="0"/>
          <w:sz w:val="24"/>
        </w:rPr>
        <w:t>原阳县</w:t>
      </w:r>
      <w:r>
        <w:rPr>
          <w:kern w:val="0"/>
          <w:sz w:val="24"/>
        </w:rPr>
        <w:t>产业集聚区，周边均为污染性生产企业。考虑在项目上游、下游、</w:t>
      </w:r>
      <w:r>
        <w:rPr>
          <w:rFonts w:hint="eastAsia"/>
          <w:kern w:val="0"/>
          <w:sz w:val="24"/>
        </w:rPr>
        <w:t>下游两</w:t>
      </w:r>
      <w:r>
        <w:rPr>
          <w:kern w:val="0"/>
          <w:sz w:val="24"/>
        </w:rPr>
        <w:t>侧各布设1个监测点。</w:t>
      </w:r>
    </w:p>
    <w:p>
      <w:pPr>
        <w:spacing w:line="500" w:lineRule="exact"/>
        <w:ind w:firstLine="480" w:firstLineChars="200"/>
        <w:jc w:val="left"/>
        <w:rPr>
          <w:kern w:val="0"/>
          <w:sz w:val="24"/>
        </w:rPr>
      </w:pPr>
      <w:r>
        <w:rPr>
          <w:kern w:val="0"/>
          <w:sz w:val="24"/>
        </w:rPr>
        <w:t>（2）监测频率</w:t>
      </w:r>
    </w:p>
    <w:p>
      <w:pPr>
        <w:spacing w:line="500" w:lineRule="exact"/>
        <w:ind w:firstLine="480" w:firstLineChars="200"/>
        <w:jc w:val="left"/>
        <w:rPr>
          <w:kern w:val="0"/>
          <w:sz w:val="24"/>
        </w:rPr>
      </w:pPr>
      <w:r>
        <w:rPr>
          <w:kern w:val="0"/>
          <w:sz w:val="24"/>
        </w:rPr>
        <w:t>参照《地下水环境监测技术规范》（HJ164-2020）、《工业企业土壤和地下水自行监测 技术指南（试行）》（HJ 1209—2021），监测井每</w:t>
      </w:r>
      <w:r>
        <w:rPr>
          <w:rFonts w:hint="eastAsia"/>
          <w:kern w:val="0"/>
          <w:sz w:val="24"/>
        </w:rPr>
        <w:t>季度</w:t>
      </w:r>
      <w:r>
        <w:rPr>
          <w:kern w:val="0"/>
          <w:sz w:val="24"/>
        </w:rPr>
        <w:t>采样1次，全年4次。</w:t>
      </w:r>
    </w:p>
    <w:p>
      <w:pPr>
        <w:spacing w:line="500" w:lineRule="exact"/>
        <w:ind w:firstLine="480" w:firstLineChars="200"/>
        <w:jc w:val="left"/>
        <w:rPr>
          <w:kern w:val="0"/>
          <w:sz w:val="24"/>
        </w:rPr>
      </w:pPr>
      <w:r>
        <w:rPr>
          <w:kern w:val="0"/>
          <w:sz w:val="24"/>
        </w:rPr>
        <w:t>（3）监测项目</w:t>
      </w:r>
    </w:p>
    <w:p>
      <w:pPr>
        <w:spacing w:line="500" w:lineRule="exact"/>
        <w:ind w:firstLine="480" w:firstLineChars="200"/>
        <w:jc w:val="left"/>
        <w:rPr>
          <w:kern w:val="0"/>
          <w:sz w:val="24"/>
        </w:rPr>
      </w:pPr>
      <w:r>
        <w:rPr>
          <w:kern w:val="0"/>
          <w:sz w:val="24"/>
        </w:rPr>
        <w:t>监测项目主要包括：pH值、K</w:t>
      </w:r>
      <w:r>
        <w:rPr>
          <w:kern w:val="0"/>
          <w:sz w:val="24"/>
          <w:vertAlign w:val="superscript"/>
        </w:rPr>
        <w:t>+</w:t>
      </w:r>
      <w:r>
        <w:rPr>
          <w:kern w:val="0"/>
          <w:sz w:val="24"/>
        </w:rPr>
        <w:t>、Na</w:t>
      </w:r>
      <w:r>
        <w:rPr>
          <w:kern w:val="0"/>
          <w:sz w:val="24"/>
          <w:vertAlign w:val="superscript"/>
        </w:rPr>
        <w:t>+</w:t>
      </w:r>
      <w:r>
        <w:rPr>
          <w:kern w:val="0"/>
          <w:sz w:val="24"/>
        </w:rPr>
        <w:t>、Ca</w:t>
      </w:r>
      <w:r>
        <w:rPr>
          <w:kern w:val="0"/>
          <w:sz w:val="24"/>
          <w:vertAlign w:val="superscript"/>
        </w:rPr>
        <w:t>2+</w:t>
      </w:r>
      <w:r>
        <w:rPr>
          <w:kern w:val="0"/>
          <w:sz w:val="24"/>
        </w:rPr>
        <w:t>、Mg</w:t>
      </w:r>
      <w:r>
        <w:rPr>
          <w:kern w:val="0"/>
          <w:sz w:val="24"/>
          <w:vertAlign w:val="superscript"/>
        </w:rPr>
        <w:t>2+</w:t>
      </w:r>
      <w:r>
        <w:rPr>
          <w:kern w:val="0"/>
          <w:sz w:val="24"/>
        </w:rPr>
        <w:t>、CO</w:t>
      </w:r>
      <w:r>
        <w:rPr>
          <w:kern w:val="0"/>
          <w:sz w:val="24"/>
          <w:vertAlign w:val="subscript"/>
        </w:rPr>
        <w:t>3</w:t>
      </w:r>
      <w:r>
        <w:rPr>
          <w:kern w:val="0"/>
          <w:sz w:val="24"/>
          <w:vertAlign w:val="superscript"/>
        </w:rPr>
        <w:t>2-</w:t>
      </w:r>
      <w:r>
        <w:rPr>
          <w:kern w:val="0"/>
          <w:sz w:val="24"/>
        </w:rPr>
        <w:t>、HCO</w:t>
      </w:r>
      <w:r>
        <w:rPr>
          <w:kern w:val="0"/>
          <w:sz w:val="24"/>
          <w:vertAlign w:val="subscript"/>
        </w:rPr>
        <w:t>3</w:t>
      </w:r>
      <w:r>
        <w:rPr>
          <w:kern w:val="0"/>
          <w:sz w:val="24"/>
          <w:vertAlign w:val="superscript"/>
        </w:rPr>
        <w:t>-</w:t>
      </w:r>
      <w:r>
        <w:rPr>
          <w:kern w:val="0"/>
          <w:sz w:val="24"/>
        </w:rPr>
        <w:t>、Cl</w:t>
      </w:r>
      <w:r>
        <w:rPr>
          <w:kern w:val="0"/>
          <w:sz w:val="24"/>
          <w:vertAlign w:val="superscript"/>
        </w:rPr>
        <w:t>-</w:t>
      </w:r>
      <w:r>
        <w:rPr>
          <w:kern w:val="0"/>
          <w:sz w:val="24"/>
        </w:rPr>
        <w:t>、SO</w:t>
      </w:r>
      <w:r>
        <w:rPr>
          <w:kern w:val="0"/>
          <w:sz w:val="24"/>
          <w:vertAlign w:val="subscript"/>
        </w:rPr>
        <w:t>4</w:t>
      </w:r>
      <w:r>
        <w:rPr>
          <w:kern w:val="0"/>
          <w:sz w:val="24"/>
          <w:vertAlign w:val="superscript"/>
        </w:rPr>
        <w:t>2-</w:t>
      </w:r>
      <w:r>
        <w:rPr>
          <w:kern w:val="0"/>
          <w:sz w:val="24"/>
        </w:rPr>
        <w:t>、氨氮、硝酸盐、亚硝酸盐、挥发性酚类、</w:t>
      </w:r>
      <w:r>
        <w:rPr>
          <w:bCs/>
          <w:kern w:val="0"/>
          <w:sz w:val="24"/>
        </w:rPr>
        <w:t>氰化物、砷、汞、六价铬、总硬度、铅、氟</w:t>
      </w:r>
      <w:r>
        <w:rPr>
          <w:rFonts w:hint="eastAsia"/>
          <w:bCs/>
          <w:kern w:val="0"/>
          <w:sz w:val="24"/>
        </w:rPr>
        <w:t>化物</w:t>
      </w:r>
      <w:r>
        <w:rPr>
          <w:bCs/>
          <w:kern w:val="0"/>
          <w:sz w:val="24"/>
        </w:rPr>
        <w:t>、镉、铁、锰、溶解性总固体、耗氧量、总大肠菌群、菌落总数、</w:t>
      </w:r>
      <w:r>
        <w:rPr>
          <w:rFonts w:hint="eastAsia"/>
          <w:bCs/>
          <w:kern w:val="0"/>
          <w:sz w:val="24"/>
        </w:rPr>
        <w:t>硫化物、可萃取石油烃</w:t>
      </w:r>
      <w:r>
        <w:rPr>
          <w:kern w:val="0"/>
          <w:sz w:val="24"/>
        </w:rPr>
        <w:t>指标。同时监测地下水位、水温、色度、气味等。</w:t>
      </w:r>
    </w:p>
    <w:p>
      <w:pPr>
        <w:spacing w:line="520" w:lineRule="exact"/>
        <w:ind w:firstLine="482"/>
        <w:rPr>
          <w:rFonts w:eastAsia="黑体"/>
          <w:sz w:val="24"/>
          <w:szCs w:val="24"/>
        </w:rPr>
      </w:pPr>
      <w:r>
        <w:rPr>
          <w:rFonts w:eastAsia="黑体"/>
          <w:sz w:val="24"/>
          <w:szCs w:val="24"/>
        </w:rPr>
        <w:t>表7.2-9               地下水跟踪监测要求</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28" w:type="dxa"/>
          <w:bottom w:w="0" w:type="dxa"/>
          <w:right w:w="28" w:type="dxa"/>
        </w:tblCellMar>
      </w:tblPr>
      <w:tblGrid>
        <w:gridCol w:w="538"/>
        <w:gridCol w:w="680"/>
        <w:gridCol w:w="1935"/>
        <w:gridCol w:w="1689"/>
        <w:gridCol w:w="1972"/>
        <w:gridCol w:w="197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07" w:type="pct"/>
            <w:vAlign w:val="center"/>
          </w:tcPr>
          <w:p>
            <w:pPr>
              <w:jc w:val="center"/>
              <w:rPr>
                <w:b/>
                <w:bCs/>
                <w:szCs w:val="20"/>
              </w:rPr>
            </w:pPr>
            <w:r>
              <w:rPr>
                <w:b/>
                <w:bCs/>
                <w:szCs w:val="20"/>
              </w:rPr>
              <w:t>序号</w:t>
            </w:r>
          </w:p>
        </w:tc>
        <w:tc>
          <w:tcPr>
            <w:tcW w:w="387" w:type="pct"/>
            <w:shd w:val="clear" w:color="auto" w:fill="auto"/>
            <w:vAlign w:val="center"/>
          </w:tcPr>
          <w:p>
            <w:pPr>
              <w:jc w:val="center"/>
              <w:rPr>
                <w:b/>
                <w:bCs/>
                <w:szCs w:val="20"/>
              </w:rPr>
            </w:pPr>
            <w:r>
              <w:rPr>
                <w:b/>
                <w:bCs/>
                <w:szCs w:val="20"/>
              </w:rPr>
              <w:t>类别</w:t>
            </w:r>
          </w:p>
        </w:tc>
        <w:tc>
          <w:tcPr>
            <w:tcW w:w="4306" w:type="pct"/>
            <w:gridSpan w:val="4"/>
            <w:vAlign w:val="center"/>
          </w:tcPr>
          <w:p>
            <w:pPr>
              <w:jc w:val="center"/>
              <w:rPr>
                <w:b/>
                <w:bCs/>
                <w:szCs w:val="20"/>
              </w:rPr>
            </w:pPr>
            <w:r>
              <w:rPr>
                <w:b/>
                <w:bCs/>
                <w:szCs w:val="20"/>
              </w:rPr>
              <w:t>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07" w:type="pct"/>
            <w:vAlign w:val="center"/>
          </w:tcPr>
          <w:p>
            <w:pPr>
              <w:contextualSpacing/>
              <w:jc w:val="center"/>
              <w:textAlignment w:val="baseline"/>
              <w:rPr>
                <w:kern w:val="0"/>
                <w:szCs w:val="21"/>
              </w:rPr>
            </w:pPr>
            <w:r>
              <w:rPr>
                <w:kern w:val="0"/>
                <w:szCs w:val="21"/>
              </w:rPr>
              <w:t>1</w:t>
            </w:r>
          </w:p>
        </w:tc>
        <w:tc>
          <w:tcPr>
            <w:tcW w:w="387" w:type="pct"/>
            <w:shd w:val="clear" w:color="auto" w:fill="auto"/>
            <w:vAlign w:val="center"/>
          </w:tcPr>
          <w:p>
            <w:pPr>
              <w:contextualSpacing/>
              <w:jc w:val="center"/>
              <w:textAlignment w:val="baseline"/>
              <w:rPr>
                <w:kern w:val="0"/>
                <w:szCs w:val="21"/>
              </w:rPr>
            </w:pPr>
            <w:r>
              <w:rPr>
                <w:kern w:val="0"/>
                <w:szCs w:val="21"/>
              </w:rPr>
              <w:t>编号</w:t>
            </w:r>
          </w:p>
        </w:tc>
        <w:tc>
          <w:tcPr>
            <w:tcW w:w="1101" w:type="pct"/>
            <w:tcBorders>
              <w:right w:val="single" w:color="auto" w:sz="4" w:space="0"/>
            </w:tcBorders>
            <w:vAlign w:val="center"/>
          </w:tcPr>
          <w:p>
            <w:pPr>
              <w:contextualSpacing/>
              <w:jc w:val="center"/>
              <w:textAlignment w:val="baseline"/>
              <w:rPr>
                <w:kern w:val="0"/>
                <w:szCs w:val="21"/>
              </w:rPr>
            </w:pPr>
            <w:r>
              <w:rPr>
                <w:kern w:val="0"/>
                <w:szCs w:val="21"/>
              </w:rPr>
              <w:t>1#</w:t>
            </w:r>
          </w:p>
        </w:tc>
        <w:tc>
          <w:tcPr>
            <w:tcW w:w="961" w:type="pct"/>
            <w:tcBorders>
              <w:left w:val="single" w:color="auto" w:sz="4" w:space="0"/>
              <w:right w:val="single" w:color="auto" w:sz="4" w:space="0"/>
            </w:tcBorders>
            <w:vAlign w:val="center"/>
          </w:tcPr>
          <w:p>
            <w:pPr>
              <w:contextualSpacing/>
              <w:jc w:val="center"/>
              <w:textAlignment w:val="baseline"/>
              <w:rPr>
                <w:kern w:val="0"/>
                <w:szCs w:val="21"/>
              </w:rPr>
            </w:pPr>
            <w:r>
              <w:rPr>
                <w:kern w:val="0"/>
                <w:szCs w:val="21"/>
              </w:rPr>
              <w:t>2#</w:t>
            </w:r>
          </w:p>
        </w:tc>
        <w:tc>
          <w:tcPr>
            <w:tcW w:w="1122" w:type="pct"/>
            <w:tcBorders>
              <w:left w:val="single" w:color="auto" w:sz="4" w:space="0"/>
              <w:right w:val="single" w:color="auto" w:sz="4" w:space="0"/>
            </w:tcBorders>
            <w:vAlign w:val="center"/>
          </w:tcPr>
          <w:p>
            <w:pPr>
              <w:contextualSpacing/>
              <w:jc w:val="center"/>
              <w:textAlignment w:val="baseline"/>
              <w:rPr>
                <w:kern w:val="0"/>
                <w:szCs w:val="21"/>
              </w:rPr>
            </w:pPr>
            <w:r>
              <w:rPr>
                <w:kern w:val="0"/>
                <w:szCs w:val="21"/>
              </w:rPr>
              <w:t>3#</w:t>
            </w:r>
          </w:p>
        </w:tc>
        <w:tc>
          <w:tcPr>
            <w:tcW w:w="1122" w:type="pct"/>
            <w:tcBorders>
              <w:left w:val="single" w:color="auto" w:sz="4" w:space="0"/>
              <w:right w:val="single" w:color="auto" w:sz="4" w:space="0"/>
            </w:tcBorders>
            <w:vAlign w:val="center"/>
          </w:tcPr>
          <w:p>
            <w:pPr>
              <w:contextualSpacing/>
              <w:jc w:val="center"/>
              <w:textAlignment w:val="baseline"/>
              <w:rPr>
                <w:kern w:val="0"/>
                <w:szCs w:val="21"/>
              </w:rPr>
            </w:pPr>
            <w:r>
              <w:rPr>
                <w:rFonts w:hint="eastAsia"/>
                <w:kern w:val="0"/>
                <w:szCs w:val="21"/>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07" w:type="pct"/>
            <w:vAlign w:val="center"/>
          </w:tcPr>
          <w:p>
            <w:pPr>
              <w:contextualSpacing/>
              <w:jc w:val="center"/>
              <w:textAlignment w:val="baseline"/>
              <w:rPr>
                <w:kern w:val="0"/>
                <w:szCs w:val="21"/>
              </w:rPr>
            </w:pPr>
            <w:r>
              <w:rPr>
                <w:kern w:val="0"/>
                <w:szCs w:val="21"/>
              </w:rPr>
              <w:t>2</w:t>
            </w:r>
          </w:p>
        </w:tc>
        <w:tc>
          <w:tcPr>
            <w:tcW w:w="387" w:type="pct"/>
            <w:shd w:val="clear" w:color="auto" w:fill="auto"/>
            <w:vAlign w:val="center"/>
          </w:tcPr>
          <w:p>
            <w:pPr>
              <w:contextualSpacing/>
              <w:jc w:val="center"/>
              <w:textAlignment w:val="baseline"/>
              <w:rPr>
                <w:kern w:val="0"/>
                <w:szCs w:val="21"/>
              </w:rPr>
            </w:pPr>
            <w:r>
              <w:rPr>
                <w:kern w:val="0"/>
                <w:szCs w:val="21"/>
              </w:rPr>
              <w:t>监测点位</w:t>
            </w:r>
          </w:p>
        </w:tc>
        <w:tc>
          <w:tcPr>
            <w:tcW w:w="1101" w:type="pct"/>
            <w:tcBorders>
              <w:right w:val="single" w:color="auto" w:sz="4" w:space="0"/>
            </w:tcBorders>
            <w:vAlign w:val="center"/>
          </w:tcPr>
          <w:p>
            <w:pPr>
              <w:contextualSpacing/>
              <w:jc w:val="center"/>
              <w:textAlignment w:val="baseline"/>
              <w:rPr>
                <w:kern w:val="0"/>
                <w:szCs w:val="21"/>
              </w:rPr>
            </w:pPr>
            <w:r>
              <w:rPr>
                <w:kern w:val="0"/>
                <w:szCs w:val="21"/>
              </w:rPr>
              <w:t>厂区上游水井</w:t>
            </w:r>
          </w:p>
        </w:tc>
        <w:tc>
          <w:tcPr>
            <w:tcW w:w="961" w:type="pct"/>
            <w:tcBorders>
              <w:left w:val="single" w:color="auto" w:sz="4" w:space="0"/>
              <w:right w:val="single" w:color="auto" w:sz="4" w:space="0"/>
            </w:tcBorders>
            <w:vAlign w:val="center"/>
          </w:tcPr>
          <w:p>
            <w:pPr>
              <w:contextualSpacing/>
              <w:jc w:val="center"/>
              <w:textAlignment w:val="baseline"/>
              <w:rPr>
                <w:kern w:val="0"/>
                <w:szCs w:val="21"/>
              </w:rPr>
            </w:pPr>
            <w:r>
              <w:rPr>
                <w:kern w:val="0"/>
                <w:szCs w:val="21"/>
              </w:rPr>
              <w:t>厂区</w:t>
            </w:r>
            <w:r>
              <w:rPr>
                <w:rFonts w:hint="eastAsia"/>
                <w:kern w:val="0"/>
                <w:szCs w:val="21"/>
              </w:rPr>
              <w:t>下游水</w:t>
            </w:r>
            <w:r>
              <w:rPr>
                <w:kern w:val="0"/>
                <w:szCs w:val="21"/>
              </w:rPr>
              <w:t>井</w:t>
            </w:r>
          </w:p>
        </w:tc>
        <w:tc>
          <w:tcPr>
            <w:tcW w:w="1122" w:type="pct"/>
            <w:tcBorders>
              <w:left w:val="single" w:color="auto" w:sz="4" w:space="0"/>
              <w:right w:val="single" w:color="auto" w:sz="4" w:space="0"/>
            </w:tcBorders>
            <w:vAlign w:val="center"/>
          </w:tcPr>
          <w:p>
            <w:pPr>
              <w:contextualSpacing/>
              <w:jc w:val="center"/>
              <w:textAlignment w:val="baseline"/>
              <w:rPr>
                <w:kern w:val="0"/>
                <w:szCs w:val="21"/>
              </w:rPr>
            </w:pPr>
            <w:r>
              <w:rPr>
                <w:kern w:val="0"/>
                <w:szCs w:val="21"/>
              </w:rPr>
              <w:t>厂区下游</w:t>
            </w:r>
            <w:r>
              <w:rPr>
                <w:rFonts w:hint="eastAsia"/>
                <w:kern w:val="0"/>
                <w:szCs w:val="21"/>
              </w:rPr>
              <w:t>侧向</w:t>
            </w:r>
            <w:r>
              <w:rPr>
                <w:kern w:val="0"/>
                <w:szCs w:val="21"/>
              </w:rPr>
              <w:t>水井</w:t>
            </w:r>
          </w:p>
        </w:tc>
        <w:tc>
          <w:tcPr>
            <w:tcW w:w="1122" w:type="pct"/>
            <w:tcBorders>
              <w:left w:val="single" w:color="auto" w:sz="4" w:space="0"/>
              <w:right w:val="single" w:color="auto" w:sz="4" w:space="0"/>
            </w:tcBorders>
            <w:vAlign w:val="center"/>
          </w:tcPr>
          <w:p>
            <w:pPr>
              <w:contextualSpacing/>
              <w:jc w:val="center"/>
              <w:textAlignment w:val="baseline"/>
              <w:rPr>
                <w:kern w:val="0"/>
                <w:szCs w:val="21"/>
              </w:rPr>
            </w:pPr>
            <w:r>
              <w:rPr>
                <w:kern w:val="0"/>
                <w:szCs w:val="21"/>
              </w:rPr>
              <w:t>厂区</w:t>
            </w:r>
            <w:r>
              <w:rPr>
                <w:rFonts w:hint="eastAsia"/>
                <w:kern w:val="0"/>
                <w:szCs w:val="21"/>
              </w:rPr>
              <w:t>下游侧向水</w:t>
            </w:r>
            <w:r>
              <w:rPr>
                <w:kern w:val="0"/>
                <w:szCs w:val="21"/>
              </w:rPr>
              <w:t>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07" w:type="pct"/>
            <w:vAlign w:val="center"/>
          </w:tcPr>
          <w:p>
            <w:pPr>
              <w:contextualSpacing/>
              <w:jc w:val="center"/>
              <w:textAlignment w:val="baseline"/>
              <w:rPr>
                <w:kern w:val="0"/>
                <w:szCs w:val="21"/>
              </w:rPr>
            </w:pPr>
            <w:r>
              <w:rPr>
                <w:kern w:val="0"/>
                <w:szCs w:val="21"/>
              </w:rPr>
              <w:t>3</w:t>
            </w:r>
          </w:p>
        </w:tc>
        <w:tc>
          <w:tcPr>
            <w:tcW w:w="387" w:type="pct"/>
            <w:shd w:val="clear" w:color="auto" w:fill="auto"/>
            <w:vAlign w:val="center"/>
          </w:tcPr>
          <w:p>
            <w:pPr>
              <w:contextualSpacing/>
              <w:jc w:val="center"/>
              <w:textAlignment w:val="baseline"/>
              <w:rPr>
                <w:kern w:val="0"/>
                <w:szCs w:val="21"/>
              </w:rPr>
            </w:pPr>
            <w:r>
              <w:rPr>
                <w:kern w:val="0"/>
                <w:szCs w:val="21"/>
              </w:rPr>
              <w:t>功能</w:t>
            </w:r>
          </w:p>
        </w:tc>
        <w:tc>
          <w:tcPr>
            <w:tcW w:w="1101" w:type="pct"/>
            <w:tcBorders>
              <w:right w:val="single" w:color="auto" w:sz="4" w:space="0"/>
            </w:tcBorders>
            <w:vAlign w:val="center"/>
          </w:tcPr>
          <w:p>
            <w:pPr>
              <w:contextualSpacing/>
              <w:jc w:val="center"/>
              <w:textAlignment w:val="baseline"/>
              <w:rPr>
                <w:kern w:val="0"/>
                <w:szCs w:val="21"/>
              </w:rPr>
            </w:pPr>
            <w:r>
              <w:rPr>
                <w:kern w:val="0"/>
                <w:szCs w:val="21"/>
              </w:rPr>
              <w:t>地下水对照监测点</w:t>
            </w:r>
          </w:p>
        </w:tc>
        <w:tc>
          <w:tcPr>
            <w:tcW w:w="3205" w:type="pct"/>
            <w:gridSpan w:val="3"/>
            <w:tcBorders>
              <w:left w:val="single" w:color="auto" w:sz="4" w:space="0"/>
              <w:right w:val="single" w:color="auto" w:sz="4" w:space="0"/>
            </w:tcBorders>
            <w:vAlign w:val="center"/>
          </w:tcPr>
          <w:p>
            <w:pPr>
              <w:contextualSpacing/>
              <w:jc w:val="center"/>
              <w:textAlignment w:val="baseline"/>
              <w:rPr>
                <w:kern w:val="0"/>
                <w:szCs w:val="21"/>
              </w:rPr>
            </w:pPr>
            <w:r>
              <w:rPr>
                <w:kern w:val="0"/>
                <w:szCs w:val="21"/>
              </w:rPr>
              <w:t>地下水跟踪监测点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07" w:type="pct"/>
            <w:vAlign w:val="center"/>
          </w:tcPr>
          <w:p>
            <w:pPr>
              <w:contextualSpacing/>
              <w:jc w:val="center"/>
              <w:textAlignment w:val="baseline"/>
              <w:rPr>
                <w:kern w:val="0"/>
                <w:szCs w:val="21"/>
              </w:rPr>
            </w:pPr>
            <w:r>
              <w:rPr>
                <w:kern w:val="0"/>
                <w:szCs w:val="21"/>
              </w:rPr>
              <w:t>4</w:t>
            </w:r>
          </w:p>
        </w:tc>
        <w:tc>
          <w:tcPr>
            <w:tcW w:w="387" w:type="pct"/>
            <w:shd w:val="clear" w:color="auto" w:fill="auto"/>
            <w:vAlign w:val="center"/>
          </w:tcPr>
          <w:p>
            <w:pPr>
              <w:contextualSpacing/>
              <w:jc w:val="center"/>
              <w:textAlignment w:val="baseline"/>
              <w:rPr>
                <w:kern w:val="0"/>
                <w:szCs w:val="21"/>
              </w:rPr>
            </w:pPr>
            <w:r>
              <w:rPr>
                <w:kern w:val="0"/>
                <w:szCs w:val="21"/>
              </w:rPr>
              <w:t>监测层位</w:t>
            </w:r>
          </w:p>
        </w:tc>
        <w:tc>
          <w:tcPr>
            <w:tcW w:w="1101" w:type="pct"/>
            <w:tcBorders>
              <w:right w:val="single" w:color="auto" w:sz="4" w:space="0"/>
            </w:tcBorders>
            <w:vAlign w:val="center"/>
          </w:tcPr>
          <w:p>
            <w:pPr>
              <w:contextualSpacing/>
              <w:jc w:val="center"/>
              <w:textAlignment w:val="baseline"/>
              <w:rPr>
                <w:kern w:val="0"/>
                <w:szCs w:val="21"/>
              </w:rPr>
            </w:pPr>
            <w:r>
              <w:rPr>
                <w:kern w:val="0"/>
                <w:szCs w:val="21"/>
              </w:rPr>
              <w:t>第四系浅层空隙含水层，水位线下1米</w:t>
            </w:r>
          </w:p>
        </w:tc>
        <w:tc>
          <w:tcPr>
            <w:tcW w:w="961" w:type="pct"/>
            <w:tcBorders>
              <w:left w:val="single" w:color="auto" w:sz="4" w:space="0"/>
              <w:right w:val="single" w:color="auto" w:sz="4" w:space="0"/>
            </w:tcBorders>
            <w:vAlign w:val="center"/>
          </w:tcPr>
          <w:p>
            <w:pPr>
              <w:contextualSpacing/>
              <w:jc w:val="center"/>
              <w:textAlignment w:val="baseline"/>
              <w:rPr>
                <w:kern w:val="0"/>
                <w:szCs w:val="21"/>
              </w:rPr>
            </w:pPr>
            <w:r>
              <w:rPr>
                <w:kern w:val="0"/>
                <w:szCs w:val="21"/>
              </w:rPr>
              <w:t>第四系浅层空隙含水层，水位线下1米</w:t>
            </w:r>
          </w:p>
        </w:tc>
        <w:tc>
          <w:tcPr>
            <w:tcW w:w="1122" w:type="pct"/>
            <w:tcBorders>
              <w:left w:val="single" w:color="auto" w:sz="4" w:space="0"/>
              <w:right w:val="single" w:color="auto" w:sz="4" w:space="0"/>
            </w:tcBorders>
            <w:vAlign w:val="center"/>
          </w:tcPr>
          <w:p>
            <w:pPr>
              <w:contextualSpacing/>
              <w:jc w:val="center"/>
              <w:textAlignment w:val="baseline"/>
              <w:rPr>
                <w:kern w:val="0"/>
                <w:szCs w:val="21"/>
              </w:rPr>
            </w:pPr>
            <w:r>
              <w:rPr>
                <w:kern w:val="0"/>
                <w:szCs w:val="21"/>
              </w:rPr>
              <w:t>第四系浅层空隙含水层，水位线下1米</w:t>
            </w:r>
          </w:p>
        </w:tc>
        <w:tc>
          <w:tcPr>
            <w:tcW w:w="1122" w:type="pct"/>
            <w:tcBorders>
              <w:left w:val="single" w:color="auto" w:sz="4" w:space="0"/>
              <w:right w:val="single" w:color="auto" w:sz="4" w:space="0"/>
            </w:tcBorders>
            <w:vAlign w:val="center"/>
          </w:tcPr>
          <w:p>
            <w:pPr>
              <w:contextualSpacing/>
              <w:jc w:val="center"/>
              <w:textAlignment w:val="baseline"/>
              <w:rPr>
                <w:kern w:val="0"/>
                <w:szCs w:val="21"/>
              </w:rPr>
            </w:pPr>
            <w:r>
              <w:rPr>
                <w:kern w:val="0"/>
                <w:szCs w:val="21"/>
              </w:rPr>
              <w:t>第四系浅层空隙含水层，水位线下1米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07" w:type="pct"/>
            <w:vAlign w:val="center"/>
          </w:tcPr>
          <w:p>
            <w:pPr>
              <w:contextualSpacing/>
              <w:jc w:val="center"/>
              <w:textAlignment w:val="baseline"/>
              <w:rPr>
                <w:kern w:val="0"/>
                <w:szCs w:val="21"/>
              </w:rPr>
            </w:pPr>
            <w:r>
              <w:rPr>
                <w:kern w:val="0"/>
                <w:szCs w:val="21"/>
              </w:rPr>
              <w:t>5</w:t>
            </w:r>
          </w:p>
        </w:tc>
        <w:tc>
          <w:tcPr>
            <w:tcW w:w="387" w:type="pct"/>
            <w:shd w:val="clear" w:color="auto" w:fill="auto"/>
            <w:vAlign w:val="center"/>
          </w:tcPr>
          <w:p>
            <w:pPr>
              <w:contextualSpacing/>
              <w:jc w:val="center"/>
              <w:textAlignment w:val="baseline"/>
              <w:rPr>
                <w:kern w:val="0"/>
                <w:szCs w:val="21"/>
              </w:rPr>
            </w:pPr>
            <w:r>
              <w:rPr>
                <w:kern w:val="0"/>
                <w:szCs w:val="21"/>
              </w:rPr>
              <w:t>监测频次</w:t>
            </w:r>
          </w:p>
        </w:tc>
        <w:tc>
          <w:tcPr>
            <w:tcW w:w="4306" w:type="pct"/>
            <w:gridSpan w:val="4"/>
            <w:tcBorders>
              <w:right w:val="single" w:color="auto" w:sz="4" w:space="0"/>
            </w:tcBorders>
            <w:vAlign w:val="center"/>
          </w:tcPr>
          <w:p>
            <w:pPr>
              <w:contextualSpacing/>
              <w:jc w:val="center"/>
              <w:textAlignment w:val="baseline"/>
              <w:rPr>
                <w:kern w:val="0"/>
                <w:szCs w:val="21"/>
              </w:rPr>
            </w:pPr>
            <w:r>
              <w:rPr>
                <w:rFonts w:hint="eastAsia"/>
                <w:kern w:val="0"/>
                <w:szCs w:val="21"/>
              </w:rPr>
              <w:t>每季度1</w:t>
            </w:r>
            <w:r>
              <w:rPr>
                <w:kern w:val="0"/>
                <w:szCs w:val="21"/>
              </w:rPr>
              <w:t>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07" w:type="pct"/>
            <w:vAlign w:val="center"/>
          </w:tcPr>
          <w:p>
            <w:pPr>
              <w:contextualSpacing/>
              <w:jc w:val="center"/>
              <w:textAlignment w:val="baseline"/>
              <w:rPr>
                <w:kern w:val="0"/>
                <w:szCs w:val="21"/>
              </w:rPr>
            </w:pPr>
            <w:r>
              <w:rPr>
                <w:kern w:val="0"/>
                <w:szCs w:val="21"/>
              </w:rPr>
              <w:t>6</w:t>
            </w:r>
          </w:p>
        </w:tc>
        <w:tc>
          <w:tcPr>
            <w:tcW w:w="387" w:type="pct"/>
            <w:shd w:val="clear" w:color="auto" w:fill="auto"/>
            <w:vAlign w:val="center"/>
          </w:tcPr>
          <w:p>
            <w:pPr>
              <w:contextualSpacing/>
              <w:jc w:val="center"/>
              <w:textAlignment w:val="baseline"/>
              <w:rPr>
                <w:kern w:val="0"/>
                <w:szCs w:val="21"/>
              </w:rPr>
            </w:pPr>
            <w:r>
              <w:rPr>
                <w:kern w:val="0"/>
                <w:szCs w:val="21"/>
              </w:rPr>
              <w:t>监测因子</w:t>
            </w:r>
          </w:p>
        </w:tc>
        <w:tc>
          <w:tcPr>
            <w:tcW w:w="4306" w:type="pct"/>
            <w:gridSpan w:val="4"/>
            <w:vAlign w:val="center"/>
          </w:tcPr>
          <w:p>
            <w:pPr>
              <w:contextualSpacing/>
              <w:jc w:val="center"/>
              <w:textAlignment w:val="baseline"/>
              <w:rPr>
                <w:kern w:val="0"/>
                <w:szCs w:val="21"/>
              </w:rPr>
            </w:pPr>
            <w:r>
              <w:rPr>
                <w:kern w:val="0"/>
                <w:szCs w:val="21"/>
              </w:rPr>
              <w:t>pH值、K</w:t>
            </w:r>
            <w:r>
              <w:rPr>
                <w:kern w:val="0"/>
                <w:szCs w:val="21"/>
                <w:vertAlign w:val="superscript"/>
              </w:rPr>
              <w:t>+</w:t>
            </w:r>
            <w:r>
              <w:rPr>
                <w:kern w:val="0"/>
                <w:szCs w:val="21"/>
              </w:rPr>
              <w:t>、Na</w:t>
            </w:r>
            <w:r>
              <w:rPr>
                <w:kern w:val="0"/>
                <w:szCs w:val="21"/>
                <w:vertAlign w:val="superscript"/>
              </w:rPr>
              <w:t>+</w:t>
            </w:r>
            <w:r>
              <w:rPr>
                <w:kern w:val="0"/>
                <w:szCs w:val="21"/>
              </w:rPr>
              <w:t>、Ca</w:t>
            </w:r>
            <w:r>
              <w:rPr>
                <w:kern w:val="0"/>
                <w:szCs w:val="21"/>
                <w:vertAlign w:val="superscript"/>
              </w:rPr>
              <w:t>2+</w:t>
            </w:r>
            <w:r>
              <w:rPr>
                <w:kern w:val="0"/>
                <w:szCs w:val="21"/>
              </w:rPr>
              <w:t>、Mg</w:t>
            </w:r>
            <w:r>
              <w:rPr>
                <w:kern w:val="0"/>
                <w:szCs w:val="21"/>
                <w:vertAlign w:val="superscript"/>
              </w:rPr>
              <w:t>2+</w:t>
            </w:r>
            <w:r>
              <w:rPr>
                <w:kern w:val="0"/>
                <w:szCs w:val="21"/>
              </w:rPr>
              <w:t>、CO</w:t>
            </w:r>
            <w:r>
              <w:rPr>
                <w:kern w:val="0"/>
                <w:szCs w:val="21"/>
                <w:vertAlign w:val="subscript"/>
              </w:rPr>
              <w:t>3</w:t>
            </w:r>
            <w:r>
              <w:rPr>
                <w:kern w:val="0"/>
                <w:szCs w:val="21"/>
                <w:vertAlign w:val="superscript"/>
              </w:rPr>
              <w:t>2-</w:t>
            </w:r>
            <w:r>
              <w:rPr>
                <w:kern w:val="0"/>
                <w:szCs w:val="21"/>
              </w:rPr>
              <w:t>、HCO</w:t>
            </w:r>
            <w:r>
              <w:rPr>
                <w:kern w:val="0"/>
                <w:szCs w:val="21"/>
                <w:vertAlign w:val="subscript"/>
              </w:rPr>
              <w:t>3</w:t>
            </w:r>
            <w:r>
              <w:rPr>
                <w:kern w:val="0"/>
                <w:szCs w:val="21"/>
                <w:vertAlign w:val="superscript"/>
              </w:rPr>
              <w:t>-</w:t>
            </w:r>
            <w:r>
              <w:rPr>
                <w:kern w:val="0"/>
                <w:szCs w:val="21"/>
              </w:rPr>
              <w:t>、Cl</w:t>
            </w:r>
            <w:r>
              <w:rPr>
                <w:kern w:val="0"/>
                <w:szCs w:val="21"/>
                <w:vertAlign w:val="superscript"/>
              </w:rPr>
              <w:t>-</w:t>
            </w:r>
            <w:r>
              <w:rPr>
                <w:kern w:val="0"/>
                <w:szCs w:val="21"/>
              </w:rPr>
              <w:t>、SO</w:t>
            </w:r>
            <w:r>
              <w:rPr>
                <w:kern w:val="0"/>
                <w:szCs w:val="21"/>
                <w:vertAlign w:val="subscript"/>
              </w:rPr>
              <w:t>4</w:t>
            </w:r>
            <w:r>
              <w:rPr>
                <w:kern w:val="0"/>
                <w:szCs w:val="21"/>
                <w:vertAlign w:val="superscript"/>
              </w:rPr>
              <w:t>2-</w:t>
            </w:r>
            <w:r>
              <w:rPr>
                <w:kern w:val="0"/>
                <w:szCs w:val="21"/>
              </w:rPr>
              <w:t>、氨氮、硝酸盐、亚硝酸盐、挥发性酚类、</w:t>
            </w:r>
            <w:r>
              <w:rPr>
                <w:bCs/>
                <w:kern w:val="0"/>
                <w:szCs w:val="21"/>
              </w:rPr>
              <w:t>氰化物、砷、汞、六价铬、总硬度、铅、氟</w:t>
            </w:r>
            <w:r>
              <w:rPr>
                <w:rFonts w:hint="eastAsia"/>
                <w:bCs/>
                <w:kern w:val="0"/>
                <w:szCs w:val="21"/>
              </w:rPr>
              <w:t>化物</w:t>
            </w:r>
            <w:r>
              <w:rPr>
                <w:bCs/>
                <w:kern w:val="0"/>
                <w:szCs w:val="21"/>
              </w:rPr>
              <w:t>、镉、铁、锰、溶解性总固体、耗氧量、总大肠菌群、菌落总数、</w:t>
            </w:r>
            <w:r>
              <w:rPr>
                <w:rFonts w:hint="eastAsia"/>
                <w:bCs/>
                <w:kern w:val="0"/>
                <w:szCs w:val="21"/>
              </w:rPr>
              <w:t>硫化物、可萃取石油烃</w:t>
            </w:r>
            <w:r>
              <w:rPr>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07" w:type="pct"/>
            <w:vAlign w:val="center"/>
          </w:tcPr>
          <w:p>
            <w:pPr>
              <w:contextualSpacing/>
              <w:jc w:val="center"/>
              <w:textAlignment w:val="baseline"/>
              <w:rPr>
                <w:kern w:val="0"/>
                <w:szCs w:val="21"/>
              </w:rPr>
            </w:pPr>
            <w:r>
              <w:rPr>
                <w:kern w:val="0"/>
                <w:szCs w:val="21"/>
              </w:rPr>
              <w:t>7</w:t>
            </w:r>
          </w:p>
        </w:tc>
        <w:tc>
          <w:tcPr>
            <w:tcW w:w="387" w:type="pct"/>
            <w:shd w:val="clear" w:color="auto" w:fill="auto"/>
            <w:vAlign w:val="center"/>
          </w:tcPr>
          <w:p>
            <w:pPr>
              <w:contextualSpacing/>
              <w:jc w:val="center"/>
              <w:textAlignment w:val="baseline"/>
              <w:rPr>
                <w:kern w:val="0"/>
                <w:szCs w:val="21"/>
              </w:rPr>
            </w:pPr>
            <w:r>
              <w:rPr>
                <w:kern w:val="0"/>
                <w:szCs w:val="21"/>
              </w:rPr>
              <w:t>其他</w:t>
            </w:r>
          </w:p>
        </w:tc>
        <w:tc>
          <w:tcPr>
            <w:tcW w:w="4306" w:type="pct"/>
            <w:gridSpan w:val="4"/>
            <w:vAlign w:val="center"/>
          </w:tcPr>
          <w:p>
            <w:pPr>
              <w:contextualSpacing/>
              <w:jc w:val="center"/>
              <w:textAlignment w:val="baseline"/>
              <w:rPr>
                <w:kern w:val="0"/>
                <w:szCs w:val="21"/>
              </w:rPr>
            </w:pPr>
            <w:r>
              <w:rPr>
                <w:kern w:val="0"/>
                <w:szCs w:val="21"/>
              </w:rPr>
              <w:t>同时，包括井径、</w:t>
            </w:r>
            <w:r>
              <w:rPr>
                <w:rFonts w:hint="eastAsia"/>
                <w:kern w:val="0"/>
                <w:szCs w:val="21"/>
              </w:rPr>
              <w:t>埋深</w:t>
            </w:r>
            <w:r>
              <w:rPr>
                <w:kern w:val="0"/>
                <w:szCs w:val="21"/>
              </w:rPr>
              <w:t>、水位埋深等</w:t>
            </w:r>
          </w:p>
        </w:tc>
      </w:tr>
    </w:tbl>
    <w:p>
      <w:pPr>
        <w:spacing w:line="500" w:lineRule="exact"/>
        <w:ind w:firstLine="480" w:firstLineChars="200"/>
        <w:jc w:val="left"/>
        <w:rPr>
          <w:kern w:val="0"/>
          <w:sz w:val="24"/>
        </w:rPr>
      </w:pPr>
      <w:r>
        <w:rPr>
          <w:kern w:val="0"/>
          <w:sz w:val="24"/>
        </w:rPr>
        <w:t>如发现异常或发生事故，加密监测频次，改为每天监测一次，并分析污染原因，确定泄漏污染源，及时采取应急措施。</w:t>
      </w:r>
    </w:p>
    <w:p>
      <w:pPr>
        <w:spacing w:line="500" w:lineRule="exact"/>
        <w:ind w:firstLine="480" w:firstLineChars="200"/>
        <w:jc w:val="left"/>
        <w:rPr>
          <w:kern w:val="0"/>
          <w:sz w:val="24"/>
        </w:rPr>
      </w:pPr>
      <w:r>
        <w:rPr>
          <w:kern w:val="0"/>
          <w:sz w:val="24"/>
        </w:rPr>
        <w:t>（4）信息公开</w:t>
      </w:r>
    </w:p>
    <w:p>
      <w:pPr>
        <w:spacing w:line="500" w:lineRule="exact"/>
        <w:ind w:firstLine="480" w:firstLineChars="200"/>
        <w:jc w:val="left"/>
        <w:rPr>
          <w:kern w:val="0"/>
          <w:sz w:val="24"/>
        </w:rPr>
      </w:pPr>
      <w:r>
        <w:rPr>
          <w:kern w:val="0"/>
          <w:sz w:val="24"/>
        </w:rPr>
        <w:t>上述监测结果应按项目有关规定及时建立档案，并定期向厂区安全环保部门汇报，对于项目</w:t>
      </w:r>
      <w:r>
        <w:rPr>
          <w:rFonts w:hint="eastAsia"/>
          <w:kern w:val="0"/>
          <w:sz w:val="24"/>
        </w:rPr>
        <w:t>污染因子C</w:t>
      </w:r>
      <w:r>
        <w:rPr>
          <w:kern w:val="0"/>
          <w:sz w:val="24"/>
        </w:rPr>
        <w:t>OD</w:t>
      </w:r>
      <w:r>
        <w:rPr>
          <w:rFonts w:hint="eastAsia"/>
          <w:kern w:val="0"/>
          <w:sz w:val="24"/>
        </w:rPr>
        <w:t>、氨氮</w:t>
      </w:r>
      <w:r>
        <w:rPr>
          <w:kern w:val="0"/>
          <w:sz w:val="24"/>
        </w:rPr>
        <w:t>的监测数据应该进行公开。公示内容：监测时间、监测点位、监测因子及监测结果、达标分析等内容。</w:t>
      </w:r>
    </w:p>
    <w:p>
      <w:pPr>
        <w:spacing w:line="520" w:lineRule="exact"/>
        <w:outlineLvl w:val="3"/>
        <w:rPr>
          <w:kern w:val="0"/>
          <w:sz w:val="24"/>
          <w:szCs w:val="28"/>
        </w:rPr>
      </w:pPr>
      <w:r>
        <w:rPr>
          <w:kern w:val="0"/>
          <w:sz w:val="24"/>
          <w:szCs w:val="28"/>
        </w:rPr>
        <w:t>7.2.6.4风险事故应急响应</w:t>
      </w:r>
    </w:p>
    <w:p>
      <w:pPr>
        <w:spacing w:line="500" w:lineRule="exact"/>
        <w:ind w:firstLine="480" w:firstLineChars="200"/>
        <w:jc w:val="left"/>
        <w:rPr>
          <w:kern w:val="0"/>
          <w:sz w:val="24"/>
        </w:rPr>
      </w:pPr>
      <w:r>
        <w:rPr>
          <w:kern w:val="0"/>
          <w:sz w:val="24"/>
        </w:rPr>
        <w:t>建设单位应严格按照相关要求制定地下水风险事故应急响应预案，在事故状态下，应紧急启动应急预案，查明污染源所在位置，并及时采取措施进行污染源处理，并制定行之有效的地下水污染防治措施和实施方案。</w:t>
      </w:r>
    </w:p>
    <w:p>
      <w:pPr>
        <w:spacing w:line="500" w:lineRule="exact"/>
        <w:ind w:firstLine="480" w:firstLineChars="200"/>
        <w:jc w:val="left"/>
        <w:rPr>
          <w:kern w:val="0"/>
          <w:sz w:val="24"/>
        </w:rPr>
      </w:pPr>
      <w:r>
        <w:rPr>
          <w:kern w:val="0"/>
          <w:sz w:val="24"/>
        </w:rPr>
        <w:t>评价认为在严格落实上述措施的基础上，本工程投产后不会对区域地下水环境造成大的不利影响，措施可行。本次工程完成后对地下水环境的影响可以接受。</w:t>
      </w:r>
    </w:p>
    <w:p>
      <w:pPr>
        <w:spacing w:line="520" w:lineRule="exact"/>
        <w:outlineLvl w:val="1"/>
        <w:rPr>
          <w:rFonts w:eastAsia="黑体"/>
          <w:sz w:val="28"/>
          <w:szCs w:val="28"/>
        </w:rPr>
      </w:pPr>
      <w:bookmarkStart w:id="187" w:name="_Toc6342"/>
      <w:r>
        <w:rPr>
          <w:rFonts w:eastAsia="黑体"/>
          <w:sz w:val="28"/>
          <w:szCs w:val="28"/>
        </w:rPr>
        <w:t>7.3工程污染防治措施投资估算</w:t>
      </w:r>
      <w:bookmarkEnd w:id="187"/>
    </w:p>
    <w:p>
      <w:pPr>
        <w:autoSpaceDE w:val="0"/>
        <w:autoSpaceDN w:val="0"/>
        <w:adjustRightInd w:val="0"/>
        <w:spacing w:line="520" w:lineRule="exact"/>
        <w:ind w:firstLine="480" w:firstLineChars="200"/>
        <w:jc w:val="left"/>
        <w:rPr>
          <w:bCs/>
          <w:kern w:val="0"/>
          <w:sz w:val="24"/>
          <w:lang w:bidi="zh-CN"/>
        </w:rPr>
      </w:pPr>
      <w:bookmarkStart w:id="188" w:name="_Hlk107412239"/>
      <w:bookmarkStart w:id="189" w:name="_Hlk97385007"/>
      <w:r>
        <w:rPr>
          <w:bCs/>
          <w:kern w:val="0"/>
          <w:sz w:val="24"/>
          <w:lang w:bidi="zh-CN"/>
        </w:rPr>
        <w:t>本次工程总投资30000万元，环保设施投资1400万元，占工程总投资的4.7%。</w:t>
      </w:r>
      <w:bookmarkEnd w:id="188"/>
      <w:r>
        <w:rPr>
          <w:bCs/>
          <w:sz w:val="24"/>
          <w:szCs w:val="24"/>
        </w:rPr>
        <w:t>企业应保证环保资金的落实，专款专用，并做到环保与环境风险防范设施与主体工程同时设计、同时施工、同时投产使用。</w:t>
      </w:r>
      <w:bookmarkEnd w:id="189"/>
      <w:r>
        <w:rPr>
          <w:bCs/>
          <w:kern w:val="0"/>
          <w:sz w:val="24"/>
          <w:lang w:bidi="zh-CN"/>
        </w:rPr>
        <w:t>本次工程具体环保设施投资情况见表7.3-1。</w:t>
      </w:r>
    </w:p>
    <w:p>
      <w:pPr>
        <w:autoSpaceDE w:val="0"/>
        <w:autoSpaceDN w:val="0"/>
        <w:adjustRightInd w:val="0"/>
        <w:spacing w:line="520" w:lineRule="exact"/>
        <w:ind w:firstLine="480" w:firstLineChars="200"/>
        <w:rPr>
          <w:rFonts w:eastAsia="黑体"/>
          <w:bCs/>
          <w:kern w:val="0"/>
          <w:sz w:val="24"/>
          <w:lang w:bidi="zh-CN"/>
        </w:rPr>
      </w:pPr>
      <w:r>
        <w:rPr>
          <w:rFonts w:eastAsia="黑体"/>
          <w:bCs/>
          <w:kern w:val="0"/>
          <w:sz w:val="24"/>
          <w:lang w:bidi="zh-CN"/>
        </w:rPr>
        <w:t>表</w:t>
      </w:r>
      <w:r>
        <w:rPr>
          <w:rFonts w:eastAsia="黑体"/>
          <w:bCs/>
          <w:kern w:val="0"/>
          <w:sz w:val="24"/>
          <w:szCs w:val="24"/>
        </w:rPr>
        <w:t>7.3</w:t>
      </w:r>
      <w:r>
        <w:rPr>
          <w:rFonts w:eastAsia="黑体"/>
          <w:bCs/>
          <w:kern w:val="0"/>
          <w:sz w:val="24"/>
          <w:lang w:bidi="zh-CN"/>
        </w:rPr>
        <w:t>-1           工程环保设施投资一览表</w:t>
      </w:r>
    </w:p>
    <w:tbl>
      <w:tblPr>
        <w:tblStyle w:val="4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8"/>
        <w:gridCol w:w="673"/>
        <w:gridCol w:w="1556"/>
        <w:gridCol w:w="1640"/>
        <w:gridCol w:w="2980"/>
        <w:gridCol w:w="893"/>
        <w:gridCol w:w="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b/>
                <w:szCs w:val="21"/>
                <w:lang w:val="zh-CN" w:bidi="zh-CN"/>
              </w:rPr>
              <w:t>时期</w:t>
            </w:r>
          </w:p>
        </w:tc>
        <w:tc>
          <w:tcPr>
            <w:tcW w:w="3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b/>
                <w:szCs w:val="21"/>
                <w:lang w:val="zh-CN" w:bidi="zh-CN"/>
              </w:rPr>
              <w:t>类别</w:t>
            </w: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b/>
                <w:szCs w:val="21"/>
                <w:lang w:val="zh-CN" w:bidi="zh-CN"/>
              </w:rPr>
              <w:t>产污环节</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b/>
                <w:szCs w:val="21"/>
                <w:lang w:val="zh-CN" w:bidi="zh-CN"/>
              </w:rPr>
              <w:t>污染物</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b/>
                <w:szCs w:val="21"/>
                <w:lang w:val="zh-CN" w:bidi="zh-CN"/>
              </w:rPr>
              <w:t>治理措施</w:t>
            </w:r>
          </w:p>
        </w:tc>
        <w:tc>
          <w:tcPr>
            <w:tcW w:w="5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b/>
                <w:szCs w:val="21"/>
                <w:lang w:val="zh-CN" w:bidi="zh-CN"/>
              </w:rPr>
              <w:t>投资费用</w:t>
            </w:r>
            <w:r>
              <w:rPr>
                <w:rFonts w:hint="eastAsia"/>
                <w:b/>
                <w:szCs w:val="21"/>
                <w:lang w:val="zh-CN" w:bidi="zh-CN"/>
              </w:rPr>
              <w:t>/</w:t>
            </w:r>
            <w:r>
              <w:rPr>
                <w:b/>
                <w:szCs w:val="21"/>
                <w:lang w:val="zh-CN" w:bidi="zh-CN"/>
              </w:rPr>
              <w:t>万元</w:t>
            </w:r>
          </w:p>
        </w:tc>
        <w:tc>
          <w:tcPr>
            <w:tcW w:w="314"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rFonts w:hint="eastAsia"/>
                <w:b/>
                <w:szCs w:val="21"/>
                <w:lang w:val="zh-CN" w:bidi="zh-CN"/>
              </w:rPr>
              <w:t>实施时段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施工期</w:t>
            </w:r>
          </w:p>
        </w:tc>
        <w:tc>
          <w:tcPr>
            <w:tcW w:w="385"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废气</w:t>
            </w: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施工扬尘</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颗粒物</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篷布覆盖、洒水抑尘等</w:t>
            </w:r>
          </w:p>
        </w:tc>
        <w:tc>
          <w:tcPr>
            <w:tcW w:w="510"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50</w:t>
            </w:r>
          </w:p>
        </w:tc>
        <w:tc>
          <w:tcPr>
            <w:tcW w:w="314"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bidi="zh-CN"/>
              </w:rPr>
              <w:t>与主体工程同时设计、同时施工、同时投入运行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85" w:type="pct"/>
            <w:vMerge w:val="continue"/>
            <w:tcBorders>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汽车尾气</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NOx、CO等</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加强施工管理，减少怠速等</w:t>
            </w:r>
          </w:p>
        </w:tc>
        <w:tc>
          <w:tcPr>
            <w:tcW w:w="510"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85"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废水</w:t>
            </w: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施工人员生活污水</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COD、BOD、悬浮物、氨氮、总氮、总磷等</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4"/>
                <w:lang w:val="zh-CN" w:bidi="zh-CN"/>
              </w:rPr>
              <w:t>化粪池处理后定期清运，不外排</w:t>
            </w:r>
          </w:p>
        </w:tc>
        <w:tc>
          <w:tcPr>
            <w:tcW w:w="510"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85" w:type="pct"/>
            <w:vMerge w:val="continue"/>
            <w:tcBorders>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施工废水</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SS等</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经沉淀池沉淀后回用</w:t>
            </w:r>
          </w:p>
        </w:tc>
        <w:tc>
          <w:tcPr>
            <w:tcW w:w="510"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噪声</w:t>
            </w: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4"/>
                <w:lang w:val="zh-CN" w:bidi="zh-CN"/>
              </w:rPr>
            </w:pPr>
            <w:r>
              <w:rPr>
                <w:bCs/>
                <w:szCs w:val="24"/>
                <w:lang w:val="zh-CN" w:bidi="zh-CN"/>
              </w:rPr>
              <w:t>施工机械和运输车辆</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等效A声级</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选用低噪声设备，加强管理</w:t>
            </w:r>
          </w:p>
        </w:tc>
        <w:tc>
          <w:tcPr>
            <w:tcW w:w="510"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85"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固废</w:t>
            </w: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施工人员生活</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生活垃圾</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由环卫部门清运</w:t>
            </w:r>
          </w:p>
        </w:tc>
        <w:tc>
          <w:tcPr>
            <w:tcW w:w="510"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85" w:type="pct"/>
            <w:vMerge w:val="continue"/>
            <w:tcBorders>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施工过程</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建筑垃圾</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尽量回收利用，不能回收的及时清运</w:t>
            </w:r>
          </w:p>
        </w:tc>
        <w:tc>
          <w:tcPr>
            <w:tcW w:w="510" w:type="pct"/>
            <w:vMerge w:val="continue"/>
            <w:tcBorders>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营运期</w:t>
            </w:r>
          </w:p>
        </w:tc>
        <w:tc>
          <w:tcPr>
            <w:tcW w:w="385" w:type="pc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废气</w:t>
            </w:r>
          </w:p>
        </w:tc>
        <w:tc>
          <w:tcPr>
            <w:tcW w:w="889" w:type="pc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污水处理站</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氨、硫化氢、臭气浓度</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bidi="zh-CN"/>
              </w:rPr>
              <w:t>产臭气</w:t>
            </w:r>
            <w:r>
              <w:rPr>
                <w:bCs/>
                <w:szCs w:val="21"/>
                <w:lang w:bidi="zh-CN"/>
              </w:rPr>
              <w:t>处理单元加盖密闭</w:t>
            </w:r>
            <w:r>
              <w:rPr>
                <w:rFonts w:hint="eastAsia"/>
                <w:bCs/>
                <w:szCs w:val="21"/>
                <w:lang w:bidi="zh-CN"/>
              </w:rPr>
              <w:t>+</w:t>
            </w:r>
            <w:r>
              <w:rPr>
                <w:bCs/>
                <w:szCs w:val="21"/>
                <w:lang w:bidi="zh-CN"/>
              </w:rPr>
              <w:t>负压收集管道</w:t>
            </w:r>
            <w:r>
              <w:rPr>
                <w:rFonts w:hint="eastAsia"/>
                <w:bCs/>
                <w:szCs w:val="21"/>
                <w:lang w:bidi="zh-CN"/>
              </w:rPr>
              <w:t>+洗涤除臭装置（碱喷淋+生物除臭剂喷淋）+</w:t>
            </w:r>
            <w:r>
              <w:rPr>
                <w:bCs/>
                <w:szCs w:val="21"/>
                <w:lang w:val="zh-CN" w:bidi="zh-CN"/>
              </w:rPr>
              <w:t>1根15m高排气筒</w:t>
            </w:r>
            <w:r>
              <w:rPr>
                <w:rFonts w:hint="eastAsia"/>
                <w:bCs/>
                <w:szCs w:val="21"/>
                <w:lang w:val="zh-CN" w:bidi="zh-CN"/>
              </w:rPr>
              <w:t>P</w:t>
            </w:r>
            <w:r>
              <w:rPr>
                <w:bCs/>
                <w:szCs w:val="21"/>
                <w:lang w:val="zh-CN" w:bidi="zh-CN"/>
              </w:rPr>
              <w:t>1</w:t>
            </w:r>
          </w:p>
        </w:tc>
        <w:tc>
          <w:tcPr>
            <w:tcW w:w="510" w:type="pc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110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bCs/>
                <w:szCs w:val="21"/>
                <w:lang w:val="zh-CN" w:bidi="zh-CN"/>
              </w:rPr>
              <w:t>废水</w:t>
            </w:r>
          </w:p>
        </w:tc>
        <w:tc>
          <w:tcPr>
            <w:tcW w:w="889"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rFonts w:hint="eastAsia"/>
                <w:bCs/>
                <w:szCs w:val="24"/>
                <w:lang w:val="zh-CN" w:bidi="zh-CN"/>
              </w:rPr>
              <w:t>入驻园区企业生产废水</w:t>
            </w:r>
          </w:p>
        </w:tc>
        <w:tc>
          <w:tcPr>
            <w:tcW w:w="937"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color w:val="000000"/>
                <w:szCs w:val="24"/>
                <w:lang w:val="zh-CN" w:bidi="zh-CN"/>
              </w:rPr>
              <w:t>COD</w:t>
            </w:r>
            <w:r>
              <w:rPr>
                <w:rFonts w:hAnsi="宋体"/>
                <w:color w:val="000000"/>
                <w:szCs w:val="24"/>
                <w:lang w:val="zh-CN" w:bidi="zh-CN"/>
              </w:rPr>
              <w:t>、</w:t>
            </w:r>
            <w:r>
              <w:rPr>
                <w:color w:val="000000"/>
                <w:szCs w:val="24"/>
                <w:lang w:val="zh-CN" w:bidi="zh-CN"/>
              </w:rPr>
              <w:t>SS</w:t>
            </w:r>
            <w:r>
              <w:rPr>
                <w:rFonts w:hint="eastAsia"/>
                <w:color w:val="000000"/>
                <w:szCs w:val="24"/>
                <w:lang w:val="zh-CN" w:bidi="zh-CN"/>
              </w:rPr>
              <w:t>、B</w:t>
            </w:r>
            <w:r>
              <w:rPr>
                <w:color w:val="000000"/>
                <w:szCs w:val="24"/>
                <w:lang w:val="zh-CN" w:bidi="zh-CN"/>
              </w:rPr>
              <w:t>OD</w:t>
            </w:r>
            <w:r>
              <w:rPr>
                <w:color w:val="000000"/>
                <w:szCs w:val="24"/>
                <w:vertAlign w:val="subscript"/>
                <w:lang w:val="zh-CN" w:bidi="zh-CN"/>
              </w:rPr>
              <w:t>5</w:t>
            </w:r>
            <w:r>
              <w:rPr>
                <w:rFonts w:hint="eastAsia"/>
                <w:color w:val="000000"/>
                <w:szCs w:val="24"/>
                <w:lang w:val="zh-CN" w:bidi="zh-CN"/>
              </w:rPr>
              <w:t>、</w:t>
            </w:r>
            <w:r>
              <w:rPr>
                <w:color w:val="000000"/>
                <w:szCs w:val="24"/>
                <w:lang w:val="zh-CN" w:bidi="zh-CN"/>
              </w:rPr>
              <w:t>NH</w:t>
            </w:r>
            <w:r>
              <w:rPr>
                <w:color w:val="000000"/>
                <w:szCs w:val="24"/>
                <w:vertAlign w:val="subscript"/>
                <w:lang w:val="zh-CN" w:bidi="zh-CN"/>
              </w:rPr>
              <w:t>3</w:t>
            </w:r>
            <w:r>
              <w:rPr>
                <w:color w:val="000000"/>
                <w:szCs w:val="24"/>
                <w:lang w:val="zh-CN" w:bidi="zh-CN"/>
              </w:rPr>
              <w:t>-N</w:t>
            </w:r>
            <w:r>
              <w:rPr>
                <w:rFonts w:hint="eastAsia"/>
                <w:color w:val="000000"/>
                <w:szCs w:val="24"/>
                <w:lang w:val="zh-CN" w:bidi="zh-CN"/>
              </w:rPr>
              <w:t>、TP、TN、动植物油</w:t>
            </w:r>
          </w:p>
        </w:tc>
        <w:tc>
          <w:tcPr>
            <w:tcW w:w="1703" w:type="pc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highlight w:val="yellow"/>
                <w:lang w:bidi="zh-CN"/>
              </w:rPr>
            </w:pPr>
            <w:r>
              <w:rPr>
                <w:rFonts w:hint="eastAsia"/>
                <w:bCs/>
                <w:szCs w:val="21"/>
                <w:lang w:bidi="zh-CN"/>
              </w:rPr>
              <w:t>经园区污水处理站（格栅+集水池+超微过滤机+初沉池+调节池+水解酸化池+厌氧池+缺氧池+好氧池+二沉池+三沉池）处理后排入原阳县产业集聚区污水处理厂进一步处理</w:t>
            </w:r>
          </w:p>
        </w:tc>
        <w:tc>
          <w:tcPr>
            <w:tcW w:w="510" w:type="pc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1000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vMerge w:val="restar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bCs/>
                <w:szCs w:val="21"/>
                <w:lang w:val="zh-CN" w:bidi="zh-CN"/>
              </w:rPr>
              <w:t>固废</w:t>
            </w:r>
          </w:p>
        </w:tc>
        <w:tc>
          <w:tcPr>
            <w:tcW w:w="889"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rFonts w:hint="eastAsia"/>
                <w:bCs/>
                <w:szCs w:val="24"/>
                <w:lang w:val="zh-CN" w:bidi="zh-CN"/>
              </w:rPr>
              <w:t>格栅、超微过滤机</w:t>
            </w:r>
          </w:p>
        </w:tc>
        <w:tc>
          <w:tcPr>
            <w:tcW w:w="937"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rFonts w:hint="eastAsia"/>
                <w:bCs/>
                <w:szCs w:val="24"/>
                <w:lang w:val="zh-CN" w:bidi="zh-CN"/>
              </w:rPr>
              <w:t>废渣</w:t>
            </w:r>
          </w:p>
        </w:tc>
        <w:tc>
          <w:tcPr>
            <w:tcW w:w="1703" w:type="pct"/>
            <w:tcBorders>
              <w:top w:val="single" w:color="auto" w:sz="4" w:space="0"/>
              <w:left w:val="single" w:color="000000" w:sz="8" w:space="0"/>
              <w:bottom w:val="single" w:color="auto" w:sz="4" w:space="0"/>
              <w:right w:val="single" w:color="000000" w:sz="8" w:space="0"/>
            </w:tcBorders>
            <w:shd w:val="clear" w:color="auto" w:fill="FFFFFF"/>
            <w:vAlign w:val="center"/>
          </w:tcPr>
          <w:p>
            <w:pPr>
              <w:spacing w:line="300" w:lineRule="exact"/>
              <w:jc w:val="center"/>
              <w:rPr>
                <w:bCs/>
                <w:szCs w:val="21"/>
                <w:highlight w:val="yellow"/>
                <w:lang w:bidi="zh-CN"/>
              </w:rPr>
            </w:pPr>
            <w:r>
              <w:rPr>
                <w:rFonts w:hint="eastAsia"/>
                <w:bCs/>
                <w:szCs w:val="24"/>
                <w:lang w:bidi="zh-CN"/>
              </w:rPr>
              <w:t>一般固废间暂存后经垃圾车拉走</w:t>
            </w:r>
          </w:p>
        </w:tc>
        <w:tc>
          <w:tcPr>
            <w:tcW w:w="510" w:type="pct"/>
            <w:vMerge w:val="restar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highlight w:val="yellow"/>
                <w:lang w:bidi="zh-CN"/>
              </w:rPr>
            </w:pPr>
            <w:r>
              <w:rPr>
                <w:rFonts w:hint="eastAsia"/>
                <w:bCs/>
                <w:szCs w:val="21"/>
                <w:lang w:bidi="zh-CN"/>
              </w:rPr>
              <w:t>1</w:t>
            </w:r>
            <w:r>
              <w:rPr>
                <w:bCs/>
                <w:szCs w:val="21"/>
                <w:lang w:bidi="zh-CN"/>
              </w:rPr>
              <w:t>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889"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rFonts w:hint="eastAsia" w:ascii="宋体" w:hAnsi="宋体" w:cs="宋体"/>
                <w:bCs/>
                <w:szCs w:val="24"/>
                <w:lang w:val="zh-CN" w:bidi="zh-CN"/>
              </w:rPr>
              <w:t>污泥脱水间</w:t>
            </w:r>
          </w:p>
        </w:tc>
        <w:tc>
          <w:tcPr>
            <w:tcW w:w="937"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rFonts w:hint="eastAsia"/>
                <w:bCs/>
                <w:szCs w:val="24"/>
                <w:lang w:val="zh-CN" w:bidi="zh-CN"/>
              </w:rPr>
              <w:t>污泥</w:t>
            </w:r>
          </w:p>
        </w:tc>
        <w:tc>
          <w:tcPr>
            <w:tcW w:w="1703" w:type="pct"/>
            <w:tcBorders>
              <w:top w:val="single" w:color="auto" w:sz="4" w:space="0"/>
              <w:left w:val="single" w:color="000000" w:sz="8" w:space="0"/>
              <w:bottom w:val="single" w:color="auto" w:sz="4" w:space="0"/>
              <w:right w:val="single" w:color="000000" w:sz="8" w:space="0"/>
            </w:tcBorders>
            <w:shd w:val="clear" w:color="auto" w:fill="FFFFFF"/>
            <w:vAlign w:val="center"/>
          </w:tcPr>
          <w:p>
            <w:pPr>
              <w:spacing w:line="300" w:lineRule="exact"/>
              <w:jc w:val="center"/>
              <w:rPr>
                <w:bCs/>
                <w:szCs w:val="21"/>
                <w:highlight w:val="yellow"/>
                <w:lang w:val="zh-CN" w:bidi="zh-CN"/>
              </w:rPr>
            </w:pPr>
            <w:r>
              <w:rPr>
                <w:rFonts w:hint="eastAsia"/>
                <w:bCs/>
                <w:szCs w:val="24"/>
                <w:lang w:bidi="zh-CN"/>
              </w:rPr>
              <w:t>污泥暂存间暂存后交由污泥处置单位处置</w:t>
            </w:r>
          </w:p>
        </w:tc>
        <w:tc>
          <w:tcPr>
            <w:tcW w:w="510"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噪声</w:t>
            </w:r>
          </w:p>
        </w:tc>
        <w:tc>
          <w:tcPr>
            <w:tcW w:w="889" w:type="pct"/>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bidi="zh-CN"/>
              </w:rPr>
              <w:t>风机、超微过滤机、泵类、叠螺污泥脱水机等</w:t>
            </w:r>
          </w:p>
        </w:tc>
        <w:tc>
          <w:tcPr>
            <w:tcW w:w="937" w:type="pct"/>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val="zh-CN" w:bidi="zh-CN"/>
              </w:rPr>
              <w:t>机械噪声</w:t>
            </w:r>
          </w:p>
        </w:tc>
        <w:tc>
          <w:tcPr>
            <w:tcW w:w="1703" w:type="pct"/>
            <w:tcBorders>
              <w:left w:val="single" w:color="000000" w:sz="8" w:space="0"/>
              <w:bottom w:val="single" w:color="auto" w:sz="4" w:space="0"/>
              <w:right w:val="single" w:color="000000" w:sz="8" w:space="0"/>
            </w:tcBorders>
            <w:shd w:val="clear" w:color="auto" w:fill="FFFFFF"/>
            <w:vAlign w:val="center"/>
          </w:tcPr>
          <w:p>
            <w:pPr>
              <w:spacing w:line="300" w:lineRule="exact"/>
              <w:jc w:val="center"/>
              <w:rPr>
                <w:bCs/>
                <w:szCs w:val="21"/>
                <w:lang w:bidi="zh-CN"/>
              </w:rPr>
            </w:pPr>
            <w:r>
              <w:rPr>
                <w:bCs/>
                <w:szCs w:val="21"/>
                <w:lang w:val="zh-CN" w:bidi="zh-CN"/>
              </w:rPr>
              <w:t>减震基础、装消音器、吸音材料等</w:t>
            </w:r>
          </w:p>
        </w:tc>
        <w:tc>
          <w:tcPr>
            <w:tcW w:w="510" w:type="pct"/>
            <w:tcBorders>
              <w:top w:val="single" w:color="auto" w:sz="4" w:space="0"/>
              <w:left w:val="single" w:color="000000" w:sz="8" w:space="0"/>
              <w:bottom w:val="single" w:color="auto" w:sz="4"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土壤和地下水</w:t>
            </w:r>
          </w:p>
        </w:tc>
        <w:tc>
          <w:tcPr>
            <w:tcW w:w="3529" w:type="pct"/>
            <w:gridSpan w:val="3"/>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加强厂区各重点防渗单元检查，采取地面硬化、分区防渗等措施；厂区绿化；土壤和地下水跟踪监测</w:t>
            </w:r>
          </w:p>
        </w:tc>
        <w:tc>
          <w:tcPr>
            <w:tcW w:w="510" w:type="pct"/>
            <w:tcBorders>
              <w:top w:val="single" w:color="auto" w:sz="4" w:space="0"/>
              <w:left w:val="single" w:color="000000" w:sz="8" w:space="0"/>
              <w:bottom w:val="single" w:color="auto" w:sz="4"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50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风险</w:t>
            </w:r>
          </w:p>
        </w:tc>
        <w:tc>
          <w:tcPr>
            <w:tcW w:w="3529" w:type="pct"/>
            <w:gridSpan w:val="3"/>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消防灭火系统；</w:t>
            </w:r>
            <w:r>
              <w:rPr>
                <w:bCs/>
                <w:spacing w:val="-8"/>
                <w:szCs w:val="21"/>
                <w:lang w:val="zh-CN" w:bidi="zh-CN"/>
              </w:rPr>
              <w:t>防爆电机、防爆电器、监控等；其他人员防护、消防设施、备用电源；</w:t>
            </w:r>
            <w:r>
              <w:rPr>
                <w:bCs/>
                <w:szCs w:val="21"/>
                <w:lang w:val="zh-CN" w:bidi="zh-CN"/>
              </w:rPr>
              <w:t>制定事故应急预案及定期演练</w:t>
            </w:r>
          </w:p>
        </w:tc>
        <w:tc>
          <w:tcPr>
            <w:tcW w:w="510" w:type="pc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140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vMerge w:val="restart"/>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val="zh-CN" w:bidi="zh-CN"/>
              </w:rPr>
              <w:t>监控</w:t>
            </w:r>
          </w:p>
        </w:tc>
        <w:tc>
          <w:tcPr>
            <w:tcW w:w="3529" w:type="pct"/>
            <w:gridSpan w:val="3"/>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bidi="zh-CN"/>
              </w:rPr>
              <w:t>废水总排口安装在线监测设备（流量、p</w:t>
            </w:r>
            <w:r>
              <w:rPr>
                <w:bCs/>
                <w:szCs w:val="21"/>
                <w:lang w:bidi="zh-CN"/>
              </w:rPr>
              <w:t>H</w:t>
            </w:r>
            <w:r>
              <w:rPr>
                <w:rFonts w:hint="eastAsia"/>
                <w:bCs/>
                <w:szCs w:val="21"/>
                <w:lang w:bidi="zh-CN"/>
              </w:rPr>
              <w:t>、COD、氨氮、TP、T</w:t>
            </w:r>
            <w:r>
              <w:rPr>
                <w:bCs/>
                <w:szCs w:val="21"/>
                <w:lang w:bidi="zh-CN"/>
              </w:rPr>
              <w:t>N</w:t>
            </w:r>
            <w:r>
              <w:rPr>
                <w:rFonts w:hint="eastAsia"/>
                <w:bCs/>
                <w:szCs w:val="21"/>
                <w:lang w:bidi="zh-CN"/>
              </w:rPr>
              <w:t>），并与环保部门联网</w:t>
            </w:r>
          </w:p>
        </w:tc>
        <w:tc>
          <w:tcPr>
            <w:tcW w:w="510" w:type="pc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529" w:type="pct"/>
            <w:gridSpan w:val="3"/>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bidi="zh-CN"/>
              </w:rPr>
              <w:t>主要污染物排放口、监测取样处安装视频监控，并与市局联网</w:t>
            </w:r>
          </w:p>
        </w:tc>
        <w:tc>
          <w:tcPr>
            <w:tcW w:w="510" w:type="pc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529" w:type="pct"/>
            <w:gridSpan w:val="3"/>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bidi="zh-CN"/>
              </w:rPr>
              <w:t>总用电处、新增主要生产设施和污染治理设施处安装用电监控设施</w:t>
            </w:r>
          </w:p>
        </w:tc>
        <w:tc>
          <w:tcPr>
            <w:tcW w:w="510" w:type="pc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76" w:type="pct"/>
            <w:gridSpan w:val="5"/>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bCs/>
                <w:szCs w:val="21"/>
                <w:lang w:val="zh-CN" w:bidi="zh-CN"/>
              </w:rPr>
              <w:t>合计</w:t>
            </w:r>
          </w:p>
        </w:tc>
        <w:tc>
          <w:tcPr>
            <w:tcW w:w="510" w:type="pct"/>
            <w:tcBorders>
              <w:top w:val="single" w:color="auto" w:sz="4" w:space="0"/>
              <w:left w:val="single" w:color="000000" w:sz="8" w:space="0"/>
              <w:bottom w:val="single" w:color="auto" w:sz="4" w:space="0"/>
              <w:right w:val="single" w:color="000000" w:sz="8" w:space="0"/>
            </w:tcBorders>
            <w:shd w:val="clear" w:color="auto" w:fill="FFFFFF"/>
            <w:vAlign w:val="center"/>
          </w:tcPr>
          <w:p>
            <w:pPr>
              <w:spacing w:line="300" w:lineRule="exact"/>
              <w:jc w:val="center"/>
              <w:rPr>
                <w:bCs/>
                <w:szCs w:val="21"/>
                <w:highlight w:val="yellow"/>
                <w:lang w:bidi="zh-CN"/>
              </w:rPr>
            </w:pPr>
            <w:r>
              <w:rPr>
                <w:rFonts w:hint="eastAsia"/>
                <w:bCs/>
                <w:szCs w:val="21"/>
                <w:lang w:bidi="zh-CN"/>
              </w:rPr>
              <w:t>1</w:t>
            </w:r>
            <w:r>
              <w:rPr>
                <w:bCs/>
                <w:szCs w:val="21"/>
                <w:lang w:bidi="zh-CN"/>
              </w:rPr>
              <w:t>400</w:t>
            </w:r>
          </w:p>
        </w:tc>
        <w:tc>
          <w:tcPr>
            <w:tcW w:w="314" w:type="pct"/>
            <w:vMerge w:val="continue"/>
            <w:tcBorders>
              <w:left w:val="single" w:color="000000" w:sz="8" w:space="0"/>
              <w:bottom w:val="single" w:color="auto" w:sz="4" w:space="0"/>
              <w:right w:val="single" w:color="000000" w:sz="8" w:space="0"/>
            </w:tcBorders>
            <w:shd w:val="clear" w:color="auto" w:fill="FFFFFF"/>
            <w:vAlign w:val="center"/>
          </w:tcPr>
          <w:p>
            <w:pPr>
              <w:spacing w:line="300" w:lineRule="exact"/>
              <w:jc w:val="center"/>
              <w:rPr>
                <w:b/>
                <w:szCs w:val="21"/>
                <w:highlight w:val="yellow"/>
                <w:u w:val="single"/>
                <w:lang w:bidi="zh-CN"/>
              </w:rPr>
            </w:pPr>
          </w:p>
        </w:tc>
      </w:tr>
    </w:tbl>
    <w:p>
      <w:pPr>
        <w:autoSpaceDE w:val="0"/>
        <w:autoSpaceDN w:val="0"/>
        <w:adjustRightInd w:val="0"/>
        <w:spacing w:line="520" w:lineRule="exact"/>
        <w:ind w:firstLine="480" w:firstLineChars="200"/>
        <w:jc w:val="left"/>
        <w:rPr>
          <w:bCs/>
          <w:kern w:val="0"/>
          <w:sz w:val="24"/>
          <w:lang w:bidi="zh-CN"/>
        </w:rPr>
      </w:pPr>
      <w:r>
        <w:rPr>
          <w:bCs/>
          <w:kern w:val="0"/>
          <w:sz w:val="24"/>
          <w:lang w:bidi="zh-CN"/>
        </w:rPr>
        <w:t>本项目环境保护“三同时”验收设施见下表：</w:t>
      </w:r>
    </w:p>
    <w:p>
      <w:pPr>
        <w:autoSpaceDE w:val="0"/>
        <w:autoSpaceDN w:val="0"/>
        <w:adjustRightInd w:val="0"/>
        <w:spacing w:line="520" w:lineRule="exact"/>
        <w:ind w:firstLine="480" w:firstLineChars="200"/>
        <w:rPr>
          <w:rFonts w:eastAsia="黑体"/>
          <w:bCs/>
          <w:kern w:val="0"/>
          <w:sz w:val="24"/>
          <w:lang w:bidi="zh-CN"/>
        </w:rPr>
      </w:pPr>
      <w:r>
        <w:rPr>
          <w:rFonts w:eastAsia="黑体"/>
          <w:bCs/>
          <w:kern w:val="0"/>
          <w:sz w:val="24"/>
          <w:lang w:bidi="zh-CN"/>
        </w:rPr>
        <w:t>表7.3-2           本工程环保“三同时”验收一览表</w:t>
      </w:r>
    </w:p>
    <w:tbl>
      <w:tblPr>
        <w:tblStyle w:val="49"/>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709"/>
        <w:gridCol w:w="1637"/>
        <w:gridCol w:w="3269"/>
        <w:gridCol w:w="333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6" w:type="pct"/>
            <w:tcBorders>
              <w:top w:val="single" w:color="auto" w:sz="8" w:space="0"/>
              <w:left w:val="single" w:color="auto" w:sz="8" w:space="0"/>
              <w:bottom w:val="single" w:color="auto" w:sz="6" w:space="0"/>
              <w:right w:val="single" w:color="auto" w:sz="6" w:space="0"/>
            </w:tcBorders>
            <w:vAlign w:val="center"/>
          </w:tcPr>
          <w:p>
            <w:pPr>
              <w:jc w:val="center"/>
              <w:rPr>
                <w:b/>
                <w:szCs w:val="24"/>
              </w:rPr>
            </w:pPr>
            <w:r>
              <w:rPr>
                <w:b/>
                <w:szCs w:val="24"/>
              </w:rPr>
              <w:t>项目</w:t>
            </w:r>
          </w:p>
        </w:tc>
        <w:tc>
          <w:tcPr>
            <w:tcW w:w="915" w:type="pct"/>
            <w:tcBorders>
              <w:top w:val="single" w:color="auto" w:sz="8" w:space="0"/>
              <w:left w:val="single" w:color="auto" w:sz="6" w:space="0"/>
              <w:bottom w:val="single" w:color="auto" w:sz="6" w:space="0"/>
              <w:right w:val="single" w:color="auto" w:sz="6" w:space="0"/>
            </w:tcBorders>
            <w:vAlign w:val="center"/>
          </w:tcPr>
          <w:p>
            <w:pPr>
              <w:jc w:val="center"/>
              <w:rPr>
                <w:b/>
                <w:szCs w:val="24"/>
              </w:rPr>
            </w:pPr>
            <w:r>
              <w:rPr>
                <w:b/>
                <w:szCs w:val="24"/>
              </w:rPr>
              <w:t>产污环节</w:t>
            </w:r>
          </w:p>
        </w:tc>
        <w:tc>
          <w:tcPr>
            <w:tcW w:w="1827" w:type="pct"/>
            <w:tcBorders>
              <w:top w:val="single" w:color="auto" w:sz="8" w:space="0"/>
              <w:left w:val="single" w:color="auto" w:sz="6" w:space="0"/>
              <w:bottom w:val="single" w:color="auto" w:sz="6" w:space="0"/>
              <w:right w:val="single" w:color="auto" w:sz="6" w:space="0"/>
            </w:tcBorders>
            <w:vAlign w:val="center"/>
          </w:tcPr>
          <w:p>
            <w:pPr>
              <w:jc w:val="center"/>
              <w:rPr>
                <w:b/>
                <w:szCs w:val="24"/>
              </w:rPr>
            </w:pPr>
            <w:r>
              <w:rPr>
                <w:b/>
                <w:szCs w:val="24"/>
              </w:rPr>
              <w:t>治理措施</w:t>
            </w:r>
          </w:p>
        </w:tc>
        <w:tc>
          <w:tcPr>
            <w:tcW w:w="1862" w:type="pct"/>
            <w:tcBorders>
              <w:top w:val="single" w:color="auto" w:sz="8" w:space="0"/>
              <w:left w:val="single" w:color="auto" w:sz="6" w:space="0"/>
              <w:bottom w:val="single" w:color="auto" w:sz="6" w:space="0"/>
              <w:right w:val="single" w:color="auto" w:sz="8" w:space="0"/>
            </w:tcBorders>
            <w:vAlign w:val="center"/>
          </w:tcPr>
          <w:p>
            <w:pPr>
              <w:jc w:val="center"/>
              <w:rPr>
                <w:b/>
                <w:szCs w:val="24"/>
              </w:rPr>
            </w:pPr>
            <w:r>
              <w:rPr>
                <w:b/>
                <w:szCs w:val="24"/>
              </w:rPr>
              <w:t>执行标准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6" w:type="pct"/>
            <w:tcBorders>
              <w:top w:val="single" w:color="auto" w:sz="6" w:space="0"/>
              <w:left w:val="single" w:color="auto" w:sz="8" w:space="0"/>
              <w:bottom w:val="single" w:color="auto" w:sz="6" w:space="0"/>
              <w:right w:val="single" w:color="auto" w:sz="6" w:space="0"/>
            </w:tcBorders>
            <w:vAlign w:val="center"/>
          </w:tcPr>
          <w:p>
            <w:pPr>
              <w:jc w:val="center"/>
              <w:rPr>
                <w:bCs/>
                <w:szCs w:val="21"/>
              </w:rPr>
            </w:pPr>
            <w:r>
              <w:rPr>
                <w:bCs/>
                <w:szCs w:val="21"/>
              </w:rPr>
              <w:t>废气</w:t>
            </w:r>
          </w:p>
        </w:tc>
        <w:tc>
          <w:tcPr>
            <w:tcW w:w="915"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rFonts w:hint="eastAsia"/>
                <w:bCs/>
                <w:szCs w:val="24"/>
              </w:rPr>
              <w:t>污水处理站</w:t>
            </w:r>
          </w:p>
        </w:tc>
        <w:tc>
          <w:tcPr>
            <w:tcW w:w="1827" w:type="pct"/>
            <w:tcBorders>
              <w:top w:val="single" w:color="auto" w:sz="6" w:space="0"/>
              <w:left w:val="single" w:color="auto" w:sz="6" w:space="0"/>
              <w:bottom w:val="single" w:color="auto" w:sz="8" w:space="0"/>
              <w:right w:val="single" w:color="auto" w:sz="6" w:space="0"/>
            </w:tcBorders>
            <w:vAlign w:val="center"/>
          </w:tcPr>
          <w:p>
            <w:pPr>
              <w:jc w:val="center"/>
              <w:rPr>
                <w:bCs/>
                <w:szCs w:val="21"/>
              </w:rPr>
            </w:pPr>
            <w:r>
              <w:rPr>
                <w:rFonts w:hint="eastAsia"/>
                <w:bCs/>
                <w:szCs w:val="24"/>
              </w:rPr>
              <w:t>产臭气</w:t>
            </w:r>
            <w:r>
              <w:rPr>
                <w:bCs/>
                <w:szCs w:val="24"/>
              </w:rPr>
              <w:t>处理单元加盖密闭</w:t>
            </w:r>
            <w:r>
              <w:rPr>
                <w:rFonts w:hint="eastAsia"/>
                <w:bCs/>
                <w:szCs w:val="24"/>
              </w:rPr>
              <w:t>+</w:t>
            </w:r>
            <w:r>
              <w:rPr>
                <w:bCs/>
                <w:szCs w:val="24"/>
              </w:rPr>
              <w:t>负压收集管道</w:t>
            </w:r>
            <w:r>
              <w:rPr>
                <w:rFonts w:hint="eastAsia"/>
                <w:bCs/>
                <w:szCs w:val="24"/>
              </w:rPr>
              <w:t>+洗涤除臭装置（碱喷淋+生物除臭剂喷淋）+15m高排气筒</w:t>
            </w:r>
          </w:p>
        </w:tc>
        <w:tc>
          <w:tcPr>
            <w:tcW w:w="1862" w:type="pct"/>
            <w:tcBorders>
              <w:top w:val="single" w:color="auto" w:sz="6" w:space="0"/>
              <w:left w:val="single" w:color="auto" w:sz="6" w:space="0"/>
              <w:bottom w:val="single" w:color="auto" w:sz="8" w:space="0"/>
              <w:right w:val="single" w:color="auto" w:sz="8" w:space="0"/>
            </w:tcBorders>
            <w:vAlign w:val="center"/>
          </w:tcPr>
          <w:p>
            <w:pPr>
              <w:jc w:val="center"/>
              <w:rPr>
                <w:bCs/>
                <w:szCs w:val="21"/>
              </w:rPr>
            </w:pPr>
            <w:r>
              <w:rPr>
                <w:bCs/>
                <w:szCs w:val="21"/>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34" w:hRule="atLeast"/>
        </w:trPr>
        <w:tc>
          <w:tcPr>
            <w:tcW w:w="396" w:type="pct"/>
            <w:tcBorders>
              <w:top w:val="single" w:color="auto" w:sz="6" w:space="0"/>
              <w:left w:val="single" w:color="auto" w:sz="8" w:space="0"/>
              <w:right w:val="single" w:color="auto" w:sz="6" w:space="0"/>
            </w:tcBorders>
            <w:vAlign w:val="center"/>
          </w:tcPr>
          <w:p>
            <w:pPr>
              <w:jc w:val="center"/>
              <w:rPr>
                <w:bCs/>
                <w:szCs w:val="21"/>
              </w:rPr>
            </w:pPr>
            <w:r>
              <w:rPr>
                <w:bCs/>
                <w:szCs w:val="24"/>
              </w:rPr>
              <w:t>废水</w:t>
            </w:r>
          </w:p>
        </w:tc>
        <w:tc>
          <w:tcPr>
            <w:tcW w:w="915" w:type="pct"/>
            <w:tcBorders>
              <w:top w:val="single" w:color="auto" w:sz="6" w:space="0"/>
              <w:left w:val="single" w:color="auto" w:sz="6" w:space="0"/>
              <w:right w:val="single" w:color="auto" w:sz="6" w:space="0"/>
            </w:tcBorders>
            <w:vAlign w:val="center"/>
          </w:tcPr>
          <w:p>
            <w:pPr>
              <w:jc w:val="center"/>
              <w:rPr>
                <w:bCs/>
                <w:szCs w:val="21"/>
              </w:rPr>
            </w:pPr>
            <w:r>
              <w:rPr>
                <w:rFonts w:hint="eastAsia"/>
                <w:bCs/>
                <w:szCs w:val="24"/>
              </w:rPr>
              <w:t>入驻园区企业生产废水</w:t>
            </w:r>
          </w:p>
        </w:tc>
        <w:tc>
          <w:tcPr>
            <w:tcW w:w="1827" w:type="pct"/>
            <w:tcBorders>
              <w:top w:val="single" w:color="auto" w:sz="6" w:space="0"/>
              <w:left w:val="single" w:color="auto" w:sz="6" w:space="0"/>
              <w:right w:val="single" w:color="auto" w:sz="6" w:space="0"/>
            </w:tcBorders>
            <w:vAlign w:val="center"/>
          </w:tcPr>
          <w:p>
            <w:pPr>
              <w:jc w:val="center"/>
              <w:rPr>
                <w:bCs/>
                <w:szCs w:val="21"/>
              </w:rPr>
            </w:pPr>
            <w:r>
              <w:rPr>
                <w:rFonts w:hint="eastAsia"/>
                <w:bCs/>
                <w:szCs w:val="21"/>
              </w:rPr>
              <w:t>经园区污水处理站（格栅+集水池+超微过滤机+初沉池+调节池+水解酸化池+厌氧池+缺氧池+好氧池+二沉池+三沉池）处理后排入原阳县产业集聚区污水处理厂进一步处理</w:t>
            </w:r>
          </w:p>
        </w:tc>
        <w:tc>
          <w:tcPr>
            <w:tcW w:w="1862" w:type="pct"/>
            <w:tcBorders>
              <w:top w:val="single" w:color="auto" w:sz="6" w:space="0"/>
              <w:left w:val="single" w:color="auto" w:sz="6" w:space="0"/>
              <w:right w:val="single" w:color="auto" w:sz="8" w:space="0"/>
            </w:tcBorders>
            <w:vAlign w:val="center"/>
          </w:tcPr>
          <w:p>
            <w:pPr>
              <w:jc w:val="center"/>
              <w:rPr>
                <w:bCs/>
                <w:szCs w:val="24"/>
              </w:rPr>
            </w:pPr>
            <w:r>
              <w:rPr>
                <w:rFonts w:hint="eastAsia"/>
                <w:bCs/>
                <w:szCs w:val="24"/>
              </w:rPr>
              <w:t>原阳县产业集聚区污水处理厂收水标准、《污水综合排放标准》（G</w:t>
            </w:r>
            <w:r>
              <w:rPr>
                <w:bCs/>
                <w:szCs w:val="24"/>
              </w:rPr>
              <w:t>B 8978-1996</w:t>
            </w:r>
            <w:r>
              <w:rPr>
                <w:rFonts w:hint="eastAsia"/>
                <w:bCs/>
                <w:szCs w:val="24"/>
              </w:rPr>
              <w:t>）二级标准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6" w:type="pct"/>
            <w:tcBorders>
              <w:top w:val="single" w:color="auto" w:sz="6" w:space="0"/>
              <w:left w:val="single" w:color="auto" w:sz="8" w:space="0"/>
              <w:right w:val="single" w:color="auto" w:sz="6" w:space="0"/>
            </w:tcBorders>
            <w:vAlign w:val="center"/>
          </w:tcPr>
          <w:p>
            <w:pPr>
              <w:jc w:val="center"/>
              <w:rPr>
                <w:bCs/>
                <w:szCs w:val="21"/>
              </w:rPr>
            </w:pPr>
            <w:r>
              <w:rPr>
                <w:bCs/>
                <w:szCs w:val="21"/>
              </w:rPr>
              <w:t>固废</w:t>
            </w:r>
          </w:p>
        </w:tc>
        <w:tc>
          <w:tcPr>
            <w:tcW w:w="915" w:type="pct"/>
            <w:tcBorders>
              <w:top w:val="single" w:color="auto" w:sz="6" w:space="0"/>
              <w:left w:val="single" w:color="auto" w:sz="6" w:space="0"/>
              <w:right w:val="single" w:color="auto" w:sz="6" w:space="0"/>
            </w:tcBorders>
            <w:vAlign w:val="center"/>
          </w:tcPr>
          <w:p>
            <w:pPr>
              <w:jc w:val="center"/>
              <w:rPr>
                <w:bCs/>
                <w:szCs w:val="21"/>
              </w:rPr>
            </w:pPr>
            <w:r>
              <w:rPr>
                <w:rFonts w:hint="eastAsia"/>
                <w:bCs/>
                <w:szCs w:val="21"/>
              </w:rPr>
              <w:t>污水处理站、污泥脱水</w:t>
            </w:r>
          </w:p>
        </w:tc>
        <w:tc>
          <w:tcPr>
            <w:tcW w:w="1827" w:type="pct"/>
            <w:tcBorders>
              <w:top w:val="single" w:color="auto" w:sz="6" w:space="0"/>
              <w:left w:val="single" w:color="auto" w:sz="6" w:space="0"/>
              <w:bottom w:val="single" w:color="auto" w:sz="6" w:space="0"/>
              <w:right w:val="single" w:color="auto" w:sz="6" w:space="0"/>
            </w:tcBorders>
            <w:vAlign w:val="center"/>
          </w:tcPr>
          <w:p>
            <w:pPr>
              <w:jc w:val="center"/>
              <w:rPr>
                <w:rFonts w:ascii="Calibri" w:hAnsi="Calibri"/>
                <w:szCs w:val="24"/>
              </w:rPr>
            </w:pPr>
            <w:r>
              <w:rPr>
                <w:bCs/>
                <w:szCs w:val="21"/>
              </w:rPr>
              <w:t>一般固废暂存间1座，15m</w:t>
            </w:r>
            <w:r>
              <w:rPr>
                <w:bCs/>
                <w:szCs w:val="21"/>
                <w:vertAlign w:val="superscript"/>
              </w:rPr>
              <w:t>2</w:t>
            </w:r>
            <w:r>
              <w:rPr>
                <w:rFonts w:hint="eastAsia"/>
                <w:bCs/>
                <w:szCs w:val="21"/>
              </w:rPr>
              <w:t>；</w:t>
            </w:r>
            <w:r>
              <w:rPr>
                <w:rFonts w:hint="eastAsia" w:ascii="Calibri" w:hAnsi="Calibri"/>
                <w:bCs/>
                <w:szCs w:val="21"/>
              </w:rPr>
              <w:t>污泥暂存间，</w:t>
            </w:r>
            <w:r>
              <w:rPr>
                <w:bCs/>
                <w:szCs w:val="21"/>
              </w:rPr>
              <w:t>15m</w:t>
            </w:r>
            <w:r>
              <w:rPr>
                <w:bCs/>
                <w:szCs w:val="21"/>
                <w:vertAlign w:val="superscript"/>
              </w:rPr>
              <w:t>2</w:t>
            </w:r>
          </w:p>
        </w:tc>
        <w:tc>
          <w:tcPr>
            <w:tcW w:w="1862" w:type="pct"/>
            <w:tcBorders>
              <w:top w:val="single" w:color="auto" w:sz="6" w:space="0"/>
              <w:left w:val="single" w:color="auto" w:sz="6" w:space="0"/>
              <w:right w:val="single" w:color="auto" w:sz="8" w:space="0"/>
            </w:tcBorders>
            <w:vAlign w:val="center"/>
          </w:tcPr>
          <w:p>
            <w:pPr>
              <w:jc w:val="center"/>
              <w:rPr>
                <w:bCs/>
                <w:szCs w:val="24"/>
              </w:rPr>
            </w:pPr>
            <w:r>
              <w:rPr>
                <w:bCs/>
                <w:szCs w:val="24"/>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6" w:type="pct"/>
            <w:tcBorders>
              <w:top w:val="single" w:color="auto" w:sz="6" w:space="0"/>
              <w:left w:val="single" w:color="auto" w:sz="8" w:space="0"/>
              <w:bottom w:val="single" w:color="auto" w:sz="6" w:space="0"/>
              <w:right w:val="single" w:color="auto" w:sz="6" w:space="0"/>
            </w:tcBorders>
            <w:vAlign w:val="center"/>
          </w:tcPr>
          <w:p>
            <w:pPr>
              <w:jc w:val="center"/>
              <w:rPr>
                <w:bCs/>
                <w:szCs w:val="21"/>
              </w:rPr>
            </w:pPr>
            <w:r>
              <w:rPr>
                <w:bCs/>
                <w:szCs w:val="21"/>
              </w:rPr>
              <w:t>噪声</w:t>
            </w:r>
          </w:p>
        </w:tc>
        <w:tc>
          <w:tcPr>
            <w:tcW w:w="915"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rFonts w:hint="eastAsia"/>
                <w:bCs/>
                <w:szCs w:val="24"/>
              </w:rPr>
              <w:t>风机、超微过滤机、泵类、叠螺污泥脱水机等</w:t>
            </w:r>
          </w:p>
        </w:tc>
        <w:tc>
          <w:tcPr>
            <w:tcW w:w="1827"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减振、隔声</w:t>
            </w:r>
          </w:p>
        </w:tc>
        <w:tc>
          <w:tcPr>
            <w:tcW w:w="1862" w:type="pct"/>
            <w:tcBorders>
              <w:top w:val="single" w:color="auto" w:sz="6" w:space="0"/>
              <w:left w:val="single" w:color="auto" w:sz="6" w:space="0"/>
              <w:bottom w:val="single" w:color="auto" w:sz="6" w:space="0"/>
              <w:right w:val="single" w:color="auto" w:sz="8" w:space="0"/>
            </w:tcBorders>
            <w:vAlign w:val="center"/>
          </w:tcPr>
          <w:p>
            <w:pPr>
              <w:jc w:val="center"/>
              <w:rPr>
                <w:bCs/>
                <w:spacing w:val="-16"/>
                <w:szCs w:val="21"/>
              </w:rPr>
            </w:pPr>
            <w:r>
              <w:rPr>
                <w:bCs/>
                <w:szCs w:val="21"/>
              </w:rPr>
              <w:t>《工业企业厂界环境噪声排放标准》（GB12348-2008）3类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6" w:type="pct"/>
            <w:tcBorders>
              <w:top w:val="single" w:color="auto" w:sz="6" w:space="0"/>
              <w:left w:val="single" w:color="auto" w:sz="8" w:space="0"/>
              <w:bottom w:val="single" w:color="auto" w:sz="6" w:space="0"/>
              <w:right w:val="single" w:color="auto" w:sz="6" w:space="0"/>
            </w:tcBorders>
            <w:vAlign w:val="center"/>
          </w:tcPr>
          <w:p>
            <w:pPr>
              <w:jc w:val="center"/>
              <w:rPr>
                <w:bCs/>
                <w:szCs w:val="21"/>
              </w:rPr>
            </w:pPr>
            <w:r>
              <w:rPr>
                <w:bCs/>
                <w:szCs w:val="21"/>
              </w:rPr>
              <w:t>土壤和地下水</w:t>
            </w:r>
          </w:p>
        </w:tc>
        <w:tc>
          <w:tcPr>
            <w:tcW w:w="4604" w:type="pct"/>
            <w:gridSpan w:val="3"/>
            <w:tcBorders>
              <w:top w:val="single" w:color="auto" w:sz="6" w:space="0"/>
              <w:left w:val="single" w:color="auto" w:sz="8" w:space="0"/>
              <w:bottom w:val="single" w:color="auto" w:sz="6" w:space="0"/>
              <w:right w:val="single" w:color="auto" w:sz="8" w:space="0"/>
            </w:tcBorders>
            <w:vAlign w:val="center"/>
          </w:tcPr>
          <w:p>
            <w:pPr>
              <w:jc w:val="center"/>
              <w:rPr>
                <w:bCs/>
                <w:szCs w:val="21"/>
              </w:rPr>
            </w:pPr>
            <w:r>
              <w:rPr>
                <w:bCs/>
                <w:szCs w:val="21"/>
              </w:rPr>
              <w:t>加强厂区各重点防渗单元检查，采取地面硬化、分区防渗等措施；厂区绿化；土壤和地下水跟踪监测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6" w:type="pct"/>
            <w:tcBorders>
              <w:top w:val="single" w:color="auto" w:sz="6" w:space="0"/>
              <w:left w:val="single" w:color="auto" w:sz="8" w:space="0"/>
              <w:right w:val="single" w:color="auto" w:sz="6" w:space="0"/>
            </w:tcBorders>
            <w:vAlign w:val="center"/>
          </w:tcPr>
          <w:p>
            <w:pPr>
              <w:jc w:val="center"/>
              <w:rPr>
                <w:bCs/>
                <w:szCs w:val="21"/>
              </w:rPr>
            </w:pPr>
            <w:r>
              <w:rPr>
                <w:bCs/>
                <w:szCs w:val="21"/>
              </w:rPr>
              <w:t>风险</w:t>
            </w:r>
          </w:p>
        </w:tc>
        <w:tc>
          <w:tcPr>
            <w:tcW w:w="4604" w:type="pct"/>
            <w:gridSpan w:val="3"/>
            <w:tcBorders>
              <w:top w:val="single" w:color="auto" w:sz="6" w:space="0"/>
              <w:left w:val="single" w:color="auto" w:sz="8" w:space="0"/>
              <w:bottom w:val="single" w:color="auto" w:sz="6" w:space="0"/>
              <w:right w:val="single" w:color="auto" w:sz="8" w:space="0"/>
            </w:tcBorders>
            <w:vAlign w:val="center"/>
          </w:tcPr>
          <w:p>
            <w:pPr>
              <w:jc w:val="center"/>
              <w:rPr>
                <w:bCs/>
                <w:szCs w:val="21"/>
              </w:rPr>
            </w:pPr>
            <w:r>
              <w:rPr>
                <w:bCs/>
                <w:szCs w:val="21"/>
              </w:rPr>
              <w:t>消防灭火系统；</w:t>
            </w:r>
            <w:r>
              <w:rPr>
                <w:bCs/>
                <w:spacing w:val="-8"/>
                <w:szCs w:val="21"/>
              </w:rPr>
              <w:t>防爆电机、防爆电器、监控等；其他人员防护、消防设施、备用电源；</w:t>
            </w:r>
            <w:r>
              <w:rPr>
                <w:bCs/>
                <w:szCs w:val="21"/>
              </w:rPr>
              <w:t>制定事故应急预案及定期演练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6" w:type="pct"/>
            <w:vMerge w:val="restart"/>
            <w:tcBorders>
              <w:left w:val="single" w:color="auto" w:sz="8" w:space="0"/>
              <w:right w:val="single" w:color="auto" w:sz="6" w:space="0"/>
            </w:tcBorders>
            <w:vAlign w:val="center"/>
          </w:tcPr>
          <w:p>
            <w:pPr>
              <w:jc w:val="center"/>
              <w:rPr>
                <w:bCs/>
                <w:szCs w:val="21"/>
              </w:rPr>
            </w:pPr>
            <w:r>
              <w:rPr>
                <w:rFonts w:hint="eastAsia"/>
                <w:bCs/>
                <w:szCs w:val="21"/>
              </w:rPr>
              <w:t>监控</w:t>
            </w:r>
          </w:p>
        </w:tc>
        <w:tc>
          <w:tcPr>
            <w:tcW w:w="4604" w:type="pct"/>
            <w:gridSpan w:val="3"/>
            <w:tcBorders>
              <w:top w:val="single" w:color="auto" w:sz="6" w:space="0"/>
              <w:left w:val="single" w:color="auto" w:sz="8" w:space="0"/>
              <w:bottom w:val="single" w:color="auto" w:sz="6" w:space="0"/>
              <w:right w:val="single" w:color="auto" w:sz="8" w:space="0"/>
            </w:tcBorders>
            <w:vAlign w:val="center"/>
          </w:tcPr>
          <w:p>
            <w:pPr>
              <w:jc w:val="center"/>
              <w:rPr>
                <w:bCs/>
                <w:szCs w:val="21"/>
              </w:rPr>
            </w:pPr>
            <w:r>
              <w:rPr>
                <w:rFonts w:hint="eastAsia"/>
                <w:bCs/>
                <w:szCs w:val="21"/>
                <w:lang w:bidi="zh-CN"/>
              </w:rPr>
              <w:t>废水总排口安装在线监测设备（流量、p</w:t>
            </w:r>
            <w:r>
              <w:rPr>
                <w:bCs/>
                <w:szCs w:val="21"/>
                <w:lang w:bidi="zh-CN"/>
              </w:rPr>
              <w:t>H</w:t>
            </w:r>
            <w:r>
              <w:rPr>
                <w:rFonts w:hint="eastAsia"/>
                <w:bCs/>
                <w:szCs w:val="21"/>
                <w:lang w:bidi="zh-CN"/>
              </w:rPr>
              <w:t>、COD、氨氮、TP</w:t>
            </w:r>
            <w:r>
              <w:rPr>
                <w:rFonts w:hint="eastAsia"/>
                <w:bCs/>
                <w:szCs w:val="21"/>
              </w:rPr>
              <w:t>、T</w:t>
            </w:r>
            <w:r>
              <w:rPr>
                <w:bCs/>
                <w:szCs w:val="21"/>
              </w:rPr>
              <w:t>N</w:t>
            </w:r>
            <w:r>
              <w:rPr>
                <w:rFonts w:hint="eastAsia"/>
                <w:bCs/>
                <w:szCs w:val="21"/>
                <w:lang w:bidi="zh-CN"/>
              </w:rPr>
              <w:t>），并与环保部门联网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6" w:type="pct"/>
            <w:vMerge w:val="continue"/>
            <w:tcBorders>
              <w:left w:val="single" w:color="auto" w:sz="8" w:space="0"/>
              <w:right w:val="single" w:color="auto" w:sz="6" w:space="0"/>
            </w:tcBorders>
            <w:vAlign w:val="center"/>
          </w:tcPr>
          <w:p>
            <w:pPr>
              <w:jc w:val="center"/>
              <w:rPr>
                <w:bCs/>
                <w:szCs w:val="21"/>
              </w:rPr>
            </w:pPr>
          </w:p>
        </w:tc>
        <w:tc>
          <w:tcPr>
            <w:tcW w:w="4604" w:type="pct"/>
            <w:gridSpan w:val="3"/>
            <w:tcBorders>
              <w:top w:val="single" w:color="auto" w:sz="6" w:space="0"/>
              <w:left w:val="single" w:color="auto" w:sz="8" w:space="0"/>
              <w:bottom w:val="single" w:color="auto" w:sz="6" w:space="0"/>
              <w:right w:val="single" w:color="auto" w:sz="8" w:space="0"/>
            </w:tcBorders>
            <w:vAlign w:val="center"/>
          </w:tcPr>
          <w:p>
            <w:pPr>
              <w:jc w:val="center"/>
              <w:rPr>
                <w:bCs/>
                <w:szCs w:val="21"/>
              </w:rPr>
            </w:pPr>
            <w:r>
              <w:rPr>
                <w:rFonts w:hint="eastAsia"/>
                <w:bCs/>
                <w:szCs w:val="21"/>
                <w:lang w:bidi="zh-CN"/>
              </w:rPr>
              <w:t>主要污染物排放口、监测取样处安装视频监控，并与市局联网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6" w:type="pct"/>
            <w:vMerge w:val="continue"/>
            <w:tcBorders>
              <w:left w:val="single" w:color="auto" w:sz="8" w:space="0"/>
              <w:right w:val="single" w:color="auto" w:sz="6" w:space="0"/>
            </w:tcBorders>
            <w:vAlign w:val="center"/>
          </w:tcPr>
          <w:p>
            <w:pPr>
              <w:jc w:val="center"/>
              <w:rPr>
                <w:bCs/>
                <w:szCs w:val="21"/>
              </w:rPr>
            </w:pPr>
          </w:p>
        </w:tc>
        <w:tc>
          <w:tcPr>
            <w:tcW w:w="4604" w:type="pct"/>
            <w:gridSpan w:val="3"/>
            <w:tcBorders>
              <w:top w:val="single" w:color="auto" w:sz="6" w:space="0"/>
              <w:left w:val="single" w:color="auto" w:sz="8" w:space="0"/>
              <w:right w:val="single" w:color="auto" w:sz="8" w:space="0"/>
            </w:tcBorders>
            <w:vAlign w:val="center"/>
          </w:tcPr>
          <w:p>
            <w:pPr>
              <w:jc w:val="center"/>
              <w:rPr>
                <w:bCs/>
                <w:szCs w:val="21"/>
              </w:rPr>
            </w:pPr>
            <w:r>
              <w:rPr>
                <w:rFonts w:hint="eastAsia"/>
                <w:bCs/>
                <w:szCs w:val="21"/>
                <w:lang w:bidi="zh-CN"/>
              </w:rPr>
              <w:t>总用电处、新增主要生产设施和污染治理设施处安装用电监控设施</w:t>
            </w:r>
          </w:p>
        </w:tc>
      </w:tr>
    </w:tbl>
    <w:p>
      <w:pPr>
        <w:autoSpaceDE w:val="0"/>
        <w:autoSpaceDN w:val="0"/>
        <w:adjustRightInd w:val="0"/>
        <w:spacing w:line="520" w:lineRule="exact"/>
        <w:ind w:firstLine="480" w:firstLineChars="200"/>
        <w:rPr>
          <w:bCs/>
          <w:kern w:val="0"/>
          <w:sz w:val="24"/>
          <w:lang w:bidi="zh-CN"/>
        </w:rPr>
      </w:pPr>
      <w:r>
        <w:rPr>
          <w:bCs/>
          <w:kern w:val="0"/>
          <w:sz w:val="24"/>
          <w:lang w:bidi="zh-CN"/>
        </w:rPr>
        <w:t>综上，评价认为项目在采取工程设计和评价提出的废气、废水、噪声、固废污染防治措施后，废气、废水污染物均能做到稳定达标排放，噪声污染做到有效控制，固废全部综合利用和合理处置，措施可行。</w:t>
      </w:r>
    </w:p>
    <w:p>
      <w:pPr>
        <w:spacing w:line="520" w:lineRule="exact"/>
        <w:outlineLvl w:val="1"/>
        <w:rPr>
          <w:rFonts w:eastAsia="黑体"/>
          <w:sz w:val="28"/>
          <w:szCs w:val="28"/>
        </w:rPr>
      </w:pPr>
      <w:bookmarkStart w:id="190" w:name="_Toc28866846"/>
      <w:bookmarkStart w:id="191" w:name="_Toc428287310"/>
      <w:bookmarkStart w:id="192" w:name="_Toc281666808"/>
      <w:bookmarkStart w:id="193" w:name="_Toc278572694"/>
      <w:bookmarkStart w:id="194" w:name="_Toc311099517"/>
      <w:bookmarkStart w:id="195" w:name="_Toc428287662"/>
      <w:bookmarkStart w:id="196" w:name="_Toc96679549"/>
      <w:bookmarkStart w:id="197" w:name="_Toc497299865"/>
      <w:bookmarkStart w:id="198" w:name="_Toc422317694"/>
      <w:bookmarkStart w:id="199" w:name="_Toc469647424"/>
      <w:bookmarkStart w:id="200" w:name="_Toc277889930"/>
      <w:bookmarkStart w:id="201" w:name="_Toc429318457"/>
      <w:bookmarkStart w:id="202" w:name="_Toc306089680"/>
      <w:bookmarkStart w:id="203" w:name="_Toc1906"/>
      <w:r>
        <w:rPr>
          <w:rFonts w:eastAsia="黑体"/>
          <w:sz w:val="28"/>
          <w:szCs w:val="28"/>
        </w:rPr>
        <w:t>7.4厂址合理性</w:t>
      </w:r>
      <w:bookmarkEnd w:id="190"/>
      <w:bookmarkEnd w:id="191"/>
      <w:bookmarkEnd w:id="192"/>
      <w:bookmarkEnd w:id="193"/>
      <w:bookmarkEnd w:id="194"/>
      <w:bookmarkEnd w:id="195"/>
      <w:bookmarkEnd w:id="196"/>
      <w:bookmarkEnd w:id="197"/>
      <w:bookmarkEnd w:id="198"/>
      <w:bookmarkEnd w:id="199"/>
      <w:bookmarkEnd w:id="200"/>
      <w:bookmarkEnd w:id="201"/>
      <w:bookmarkEnd w:id="202"/>
      <w:r>
        <w:rPr>
          <w:rFonts w:eastAsia="黑体"/>
          <w:sz w:val="28"/>
          <w:szCs w:val="28"/>
        </w:rPr>
        <w:t>分析</w:t>
      </w:r>
      <w:bookmarkEnd w:id="203"/>
    </w:p>
    <w:p>
      <w:pPr>
        <w:spacing w:line="520" w:lineRule="exact"/>
        <w:outlineLvl w:val="2"/>
        <w:rPr>
          <w:rFonts w:eastAsia="黑体"/>
          <w:sz w:val="28"/>
          <w:szCs w:val="28"/>
        </w:rPr>
      </w:pPr>
      <w:r>
        <w:rPr>
          <w:rFonts w:eastAsia="黑体"/>
          <w:sz w:val="28"/>
          <w:szCs w:val="28"/>
        </w:rPr>
        <w:t>7.4.1规划相符性分析</w:t>
      </w:r>
    </w:p>
    <w:p>
      <w:pPr>
        <w:spacing w:line="520" w:lineRule="exact"/>
        <w:ind w:firstLine="480" w:firstLineChars="200"/>
        <w:jc w:val="left"/>
        <w:rPr>
          <w:rFonts w:ascii="Calibri" w:hAnsi="Calibri"/>
          <w:bCs/>
          <w:highlight w:val="yellow"/>
          <w:lang w:bidi="zh-CN"/>
        </w:rPr>
      </w:pPr>
      <w:bookmarkStart w:id="204" w:name="_Toc428287665"/>
      <w:bookmarkStart w:id="205" w:name="_Toc428287313"/>
      <w:bookmarkStart w:id="206" w:name="_Toc428286960"/>
      <w:r>
        <w:rPr>
          <w:sz w:val="24"/>
          <w:szCs w:val="24"/>
        </w:rPr>
        <w:t>本次项目选址位于</w:t>
      </w:r>
      <w:bookmarkStart w:id="207" w:name="_Hlk107408376"/>
      <w:r>
        <w:rPr>
          <w:rFonts w:hint="eastAsia"/>
          <w:sz w:val="24"/>
          <w:szCs w:val="24"/>
        </w:rPr>
        <w:t>原阳县</w:t>
      </w:r>
      <w:r>
        <w:rPr>
          <w:sz w:val="24"/>
          <w:szCs w:val="24"/>
        </w:rPr>
        <w:t>产业集聚区</w:t>
      </w:r>
      <w:r>
        <w:rPr>
          <w:rFonts w:hint="eastAsia"/>
          <w:sz w:val="24"/>
          <w:szCs w:val="24"/>
        </w:rPr>
        <w:t>永安路南侧、金祥南街西侧、小庄排河东侧</w:t>
      </w:r>
      <w:r>
        <w:rPr>
          <w:sz w:val="24"/>
          <w:szCs w:val="24"/>
        </w:rPr>
        <w:t>，</w:t>
      </w:r>
      <w:bookmarkEnd w:id="207"/>
      <w:r>
        <w:rPr>
          <w:rFonts w:hint="eastAsia"/>
          <w:sz w:val="24"/>
          <w:szCs w:val="24"/>
        </w:rPr>
        <w:t>位于农副产品加工区，主要建设车间厂房及其配套设施污水处理站，园区建成后主要入驻企业为食品加工和预制菜生产加工企业及相关配套企业，</w:t>
      </w:r>
      <w:r>
        <w:rPr>
          <w:sz w:val="24"/>
          <w:szCs w:val="24"/>
        </w:rPr>
        <w:t>属于主导行业及其关联产业，符合</w:t>
      </w:r>
      <w:r>
        <w:rPr>
          <w:rFonts w:hint="eastAsia"/>
          <w:sz w:val="24"/>
          <w:szCs w:val="24"/>
        </w:rPr>
        <w:t>集聚区</w:t>
      </w:r>
      <w:r>
        <w:rPr>
          <w:sz w:val="24"/>
          <w:szCs w:val="24"/>
        </w:rPr>
        <w:t>产业定位。根据《</w:t>
      </w:r>
      <w:r>
        <w:rPr>
          <w:rFonts w:hint="eastAsia"/>
          <w:sz w:val="24"/>
          <w:szCs w:val="24"/>
        </w:rPr>
        <w:t>原阳县</w:t>
      </w:r>
      <w:r>
        <w:rPr>
          <w:sz w:val="24"/>
          <w:szCs w:val="24"/>
        </w:rPr>
        <w:t>产业集聚区发展规划（2012-2020）-用地规划图》（见附图二 1），项目所在地为工业用地；根据《</w:t>
      </w:r>
      <w:r>
        <w:rPr>
          <w:rFonts w:hint="eastAsia"/>
          <w:sz w:val="24"/>
          <w:szCs w:val="24"/>
        </w:rPr>
        <w:t>原阳县</w:t>
      </w:r>
      <w:r>
        <w:rPr>
          <w:sz w:val="24"/>
          <w:szCs w:val="24"/>
        </w:rPr>
        <w:t>产业集聚区发展规划（2012-2020）-产业布局规划图》（见附图二 2），项目位于</w:t>
      </w:r>
      <w:r>
        <w:rPr>
          <w:rFonts w:hint="eastAsia"/>
          <w:sz w:val="24"/>
          <w:szCs w:val="24"/>
        </w:rPr>
        <w:t>农副产品加工区，符合集聚区用地规划和产业布局规划。</w:t>
      </w:r>
    </w:p>
    <w:p>
      <w:pPr>
        <w:spacing w:line="520" w:lineRule="exact"/>
        <w:outlineLvl w:val="2"/>
        <w:rPr>
          <w:sz w:val="24"/>
          <w:szCs w:val="24"/>
        </w:rPr>
      </w:pPr>
      <w:r>
        <w:rPr>
          <w:rFonts w:eastAsia="黑体"/>
          <w:sz w:val="28"/>
          <w:szCs w:val="28"/>
        </w:rPr>
        <w:t>7.4.2政策相符性分析</w:t>
      </w:r>
    </w:p>
    <w:p>
      <w:pPr>
        <w:spacing w:line="520" w:lineRule="exact"/>
        <w:ind w:firstLine="480" w:firstLineChars="200"/>
        <w:jc w:val="left"/>
        <w:rPr>
          <w:sz w:val="24"/>
          <w:szCs w:val="24"/>
        </w:rPr>
      </w:pPr>
      <w:r>
        <w:rPr>
          <w:sz w:val="24"/>
          <w:szCs w:val="24"/>
        </w:rPr>
        <w:t>本项目不属于《产业结构调整指导目录》（2019年本）及其修改文件中的限制类和淘汰类，属于允许类，符合国家产业政策。</w:t>
      </w:r>
    </w:p>
    <w:p>
      <w:pPr>
        <w:spacing w:line="520" w:lineRule="exact"/>
        <w:ind w:firstLine="480" w:firstLineChars="200"/>
        <w:jc w:val="left"/>
        <w:rPr>
          <w:sz w:val="24"/>
          <w:szCs w:val="24"/>
          <w:highlight w:val="yellow"/>
        </w:rPr>
      </w:pPr>
      <w:r>
        <w:rPr>
          <w:sz w:val="24"/>
          <w:szCs w:val="24"/>
        </w:rPr>
        <w:t>本项目符合</w:t>
      </w:r>
      <w:bookmarkStart w:id="208" w:name="_Hlk107408211"/>
      <w:r>
        <w:rPr>
          <w:sz w:val="24"/>
          <w:szCs w:val="24"/>
        </w:rPr>
        <w:t>《新乡市“十四五”生态环境保护和生态经济发展规划》、《新乡市“三线一单”生态环境准入清单（试行）-</w:t>
      </w:r>
      <w:r>
        <w:rPr>
          <w:rFonts w:hint="eastAsia"/>
          <w:sz w:val="24"/>
          <w:szCs w:val="24"/>
        </w:rPr>
        <w:t>原阳县产业集聚区</w:t>
      </w:r>
      <w:r>
        <w:rPr>
          <w:sz w:val="24"/>
          <w:szCs w:val="24"/>
        </w:rPr>
        <w:t>管控单元生态环境准入清单》、《</w:t>
      </w:r>
      <w:r>
        <w:rPr>
          <w:rFonts w:hint="eastAsia"/>
          <w:sz w:val="24"/>
          <w:szCs w:val="24"/>
        </w:rPr>
        <w:t>“</w:t>
      </w:r>
      <w:r>
        <w:rPr>
          <w:sz w:val="24"/>
          <w:szCs w:val="24"/>
        </w:rPr>
        <w:t>十四五</w:t>
      </w:r>
      <w:r>
        <w:rPr>
          <w:rFonts w:hint="eastAsia"/>
          <w:sz w:val="24"/>
          <w:szCs w:val="24"/>
        </w:rPr>
        <w:t>”</w:t>
      </w:r>
      <w:r>
        <w:rPr>
          <w:sz w:val="24"/>
          <w:szCs w:val="24"/>
        </w:rPr>
        <w:t>推进沿黄重点地区工业项目入园及严控高污染、高耗水、高耗能项目的通知》（发改办产业[2021]635号）、</w:t>
      </w:r>
      <w:r>
        <w:rPr>
          <w:rFonts w:hint="eastAsia"/>
          <w:sz w:val="24"/>
          <w:szCs w:val="24"/>
        </w:rPr>
        <w:t>《新乡市环境污染防治攻坚指挥部办公室关于印发&lt;新乡市2</w:t>
      </w:r>
      <w:r>
        <w:rPr>
          <w:sz w:val="24"/>
          <w:szCs w:val="24"/>
        </w:rPr>
        <w:t>023年碧水保卫战</w:t>
      </w:r>
      <w:r>
        <w:rPr>
          <w:rFonts w:hint="eastAsia"/>
          <w:sz w:val="24"/>
          <w:szCs w:val="24"/>
        </w:rPr>
        <w:t>实施方案&gt;的通知》（新环攻坚办</w:t>
      </w:r>
      <w:r>
        <w:rPr>
          <w:sz w:val="24"/>
          <w:szCs w:val="24"/>
        </w:rPr>
        <w:t>〔2023〕66号</w:t>
      </w:r>
      <w:r>
        <w:rPr>
          <w:rFonts w:hint="eastAsia"/>
          <w:sz w:val="24"/>
          <w:szCs w:val="24"/>
        </w:rPr>
        <w:t>）、《新乡市环境污染防治攻坚指挥部办公室关于印发&lt;新乡市深入打好秋冬重污染天气消除、夏季臭氧污染防治和柴油货车污染治理攻坚战实施方案&gt;的通知》（新环攻坚办</w:t>
      </w:r>
      <w:r>
        <w:rPr>
          <w:sz w:val="24"/>
          <w:szCs w:val="24"/>
        </w:rPr>
        <w:t>〔2023〕73号</w:t>
      </w:r>
      <w:r>
        <w:rPr>
          <w:rFonts w:hint="eastAsia"/>
          <w:sz w:val="24"/>
          <w:szCs w:val="24"/>
        </w:rPr>
        <w:t>）、《新乡市环境污染防治攻坚指挥部办公室关于印发&lt;新乡市2</w:t>
      </w:r>
      <w:r>
        <w:rPr>
          <w:sz w:val="24"/>
          <w:szCs w:val="24"/>
        </w:rPr>
        <w:t>023年</w:t>
      </w:r>
      <w:r>
        <w:rPr>
          <w:rFonts w:hint="eastAsia"/>
          <w:sz w:val="24"/>
          <w:szCs w:val="24"/>
        </w:rPr>
        <w:t>净土</w:t>
      </w:r>
      <w:r>
        <w:rPr>
          <w:sz w:val="24"/>
          <w:szCs w:val="24"/>
        </w:rPr>
        <w:t>保卫战</w:t>
      </w:r>
      <w:r>
        <w:rPr>
          <w:rFonts w:hint="eastAsia"/>
          <w:sz w:val="24"/>
          <w:szCs w:val="24"/>
        </w:rPr>
        <w:t>实施方案&gt;的通知》（新环攻坚办</w:t>
      </w:r>
      <w:r>
        <w:rPr>
          <w:sz w:val="24"/>
          <w:szCs w:val="24"/>
        </w:rPr>
        <w:t>〔2023〕65号</w:t>
      </w:r>
      <w:r>
        <w:rPr>
          <w:rFonts w:hint="eastAsia"/>
          <w:sz w:val="24"/>
          <w:szCs w:val="24"/>
        </w:rPr>
        <w:t>）、《新乡市环境污染防治攻坚指挥部办公室关于印发&lt;新乡市2</w:t>
      </w:r>
      <w:r>
        <w:rPr>
          <w:sz w:val="24"/>
          <w:szCs w:val="24"/>
        </w:rPr>
        <w:t>023</w:t>
      </w:r>
      <w:r>
        <w:rPr>
          <w:rFonts w:hint="eastAsia"/>
          <w:sz w:val="24"/>
          <w:szCs w:val="24"/>
        </w:rPr>
        <w:t>年蓝天保卫战实施方案&gt;的通知》（新环攻坚办</w:t>
      </w:r>
      <w:r>
        <w:rPr>
          <w:sz w:val="24"/>
          <w:szCs w:val="24"/>
        </w:rPr>
        <w:t>〔2023〕77号</w:t>
      </w:r>
      <w:r>
        <w:rPr>
          <w:rFonts w:hint="eastAsia"/>
          <w:sz w:val="24"/>
          <w:szCs w:val="24"/>
        </w:rPr>
        <w:t>）</w:t>
      </w:r>
      <w:r>
        <w:rPr>
          <w:sz w:val="24"/>
          <w:szCs w:val="24"/>
        </w:rPr>
        <w:t>等文件的要求。</w:t>
      </w:r>
      <w:bookmarkEnd w:id="208"/>
    </w:p>
    <w:p>
      <w:pPr>
        <w:autoSpaceDE w:val="0"/>
        <w:autoSpaceDN w:val="0"/>
        <w:adjustRightInd w:val="0"/>
        <w:spacing w:line="520" w:lineRule="exact"/>
        <w:ind w:firstLine="480" w:firstLineChars="200"/>
        <w:jc w:val="left"/>
        <w:rPr>
          <w:kern w:val="0"/>
          <w:sz w:val="24"/>
          <w:szCs w:val="24"/>
        </w:rPr>
      </w:pPr>
      <w:r>
        <w:rPr>
          <w:bCs/>
          <w:kern w:val="0"/>
          <w:sz w:val="24"/>
          <w:lang w:bidi="zh-CN"/>
        </w:rPr>
        <w:t>综上，本项目建设符合相关政策要求，选址可行。</w:t>
      </w:r>
    </w:p>
    <w:p>
      <w:pPr>
        <w:spacing w:line="520" w:lineRule="exact"/>
        <w:outlineLvl w:val="2"/>
        <w:rPr>
          <w:rFonts w:eastAsia="黑体"/>
          <w:sz w:val="28"/>
          <w:szCs w:val="28"/>
        </w:rPr>
      </w:pPr>
      <w:r>
        <w:rPr>
          <w:rFonts w:eastAsia="黑体"/>
          <w:sz w:val="28"/>
          <w:szCs w:val="28"/>
        </w:rPr>
        <w:t>7.4.</w:t>
      </w:r>
      <w:bookmarkEnd w:id="204"/>
      <w:bookmarkEnd w:id="205"/>
      <w:bookmarkEnd w:id="206"/>
      <w:r>
        <w:rPr>
          <w:rFonts w:eastAsia="黑体"/>
          <w:sz w:val="28"/>
          <w:szCs w:val="28"/>
        </w:rPr>
        <w:t>3环境敏感性分析</w:t>
      </w:r>
    </w:p>
    <w:p>
      <w:pPr>
        <w:autoSpaceDE w:val="0"/>
        <w:autoSpaceDN w:val="0"/>
        <w:adjustRightInd w:val="0"/>
        <w:spacing w:line="520" w:lineRule="exact"/>
        <w:ind w:firstLine="480" w:firstLineChars="200"/>
        <w:jc w:val="left"/>
        <w:rPr>
          <w:kern w:val="0"/>
          <w:sz w:val="24"/>
          <w:szCs w:val="24"/>
        </w:rPr>
      </w:pPr>
      <w:r>
        <w:rPr>
          <w:kern w:val="0"/>
          <w:sz w:val="24"/>
          <w:szCs w:val="24"/>
        </w:rPr>
        <w:t>本项目位于</w:t>
      </w:r>
      <w:r>
        <w:rPr>
          <w:rFonts w:hint="eastAsia"/>
          <w:kern w:val="0"/>
          <w:sz w:val="24"/>
          <w:szCs w:val="24"/>
        </w:rPr>
        <w:t>原阳县</w:t>
      </w:r>
      <w:r>
        <w:rPr>
          <w:kern w:val="0"/>
          <w:sz w:val="24"/>
          <w:szCs w:val="24"/>
        </w:rPr>
        <w:t>产业集聚区，厂区周围多为工业企业。距本项目最近敏感点为项目</w:t>
      </w:r>
      <w:r>
        <w:rPr>
          <w:rFonts w:hint="eastAsia"/>
          <w:kern w:val="0"/>
          <w:sz w:val="24"/>
          <w:szCs w:val="24"/>
        </w:rPr>
        <w:t>东</w:t>
      </w:r>
      <w:r>
        <w:rPr>
          <w:kern w:val="0"/>
          <w:sz w:val="24"/>
          <w:szCs w:val="24"/>
        </w:rPr>
        <w:t>侧的</w:t>
      </w:r>
      <w:r>
        <w:rPr>
          <w:rFonts w:hint="eastAsia"/>
          <w:kern w:val="0"/>
          <w:sz w:val="24"/>
          <w:szCs w:val="24"/>
        </w:rPr>
        <w:t>小庄村，待金祥南街建成后，小庄村则位于厂区东侧</w:t>
      </w:r>
      <w:r>
        <w:rPr>
          <w:kern w:val="0"/>
          <w:sz w:val="24"/>
          <w:szCs w:val="24"/>
        </w:rPr>
        <w:t>50m处。本项目</w:t>
      </w:r>
      <w:bookmarkStart w:id="209" w:name="_Hlk107408470"/>
      <w:r>
        <w:rPr>
          <w:kern w:val="0"/>
          <w:sz w:val="24"/>
          <w:szCs w:val="24"/>
        </w:rPr>
        <w:t>厂址距</w:t>
      </w:r>
      <w:r>
        <w:rPr>
          <w:rFonts w:hint="eastAsia"/>
          <w:kern w:val="0"/>
          <w:sz w:val="24"/>
          <w:szCs w:val="24"/>
        </w:rPr>
        <w:t>原阳县水厂地下水井群（共6眼井）保护区</w:t>
      </w:r>
      <w:r>
        <w:rPr>
          <w:kern w:val="0"/>
          <w:sz w:val="24"/>
          <w:szCs w:val="24"/>
        </w:rPr>
        <w:t>约460m；距</w:t>
      </w:r>
      <w:r>
        <w:rPr>
          <w:rFonts w:hint="eastAsia"/>
          <w:kern w:val="0"/>
          <w:sz w:val="24"/>
          <w:szCs w:val="24"/>
        </w:rPr>
        <w:t>原阳县师寨镇师寨水厂地下水井群（共3眼井）</w:t>
      </w:r>
      <w:r>
        <w:rPr>
          <w:kern w:val="0"/>
          <w:sz w:val="24"/>
          <w:szCs w:val="24"/>
        </w:rPr>
        <w:t>保护区约为7.28km，距</w:t>
      </w:r>
      <w:r>
        <w:rPr>
          <w:rFonts w:hint="eastAsia"/>
          <w:kern w:val="0"/>
          <w:sz w:val="24"/>
          <w:szCs w:val="24"/>
        </w:rPr>
        <w:t>原阳县靳堂乡靳堂水厂地下水井群（共3眼井）</w:t>
      </w:r>
      <w:r>
        <w:rPr>
          <w:kern w:val="0"/>
          <w:sz w:val="24"/>
          <w:szCs w:val="24"/>
        </w:rPr>
        <w:t>保护区约为8.96km，均不在其保护区范围内。本项目周边无集中或分散式水源地保护区及文物古迹等。</w:t>
      </w:r>
      <w:bookmarkEnd w:id="209"/>
    </w:p>
    <w:p>
      <w:pPr>
        <w:spacing w:line="520" w:lineRule="exact"/>
        <w:outlineLvl w:val="2"/>
        <w:rPr>
          <w:rFonts w:eastAsia="黑体"/>
          <w:sz w:val="28"/>
          <w:szCs w:val="28"/>
        </w:rPr>
      </w:pPr>
      <w:bookmarkStart w:id="210" w:name="_Toc428286962"/>
      <w:bookmarkStart w:id="211" w:name="_Toc428287667"/>
      <w:bookmarkStart w:id="212" w:name="_Toc428287315"/>
      <w:r>
        <w:rPr>
          <w:rFonts w:eastAsia="黑体"/>
          <w:sz w:val="28"/>
          <w:szCs w:val="28"/>
        </w:rPr>
        <w:t>7.4.4项目对周边环境影响</w:t>
      </w:r>
      <w:bookmarkEnd w:id="210"/>
      <w:bookmarkEnd w:id="211"/>
      <w:bookmarkEnd w:id="212"/>
      <w:r>
        <w:rPr>
          <w:rFonts w:eastAsia="黑体"/>
          <w:sz w:val="28"/>
          <w:szCs w:val="28"/>
        </w:rPr>
        <w:t>分析</w:t>
      </w:r>
    </w:p>
    <w:p>
      <w:pPr>
        <w:spacing w:line="520" w:lineRule="exact"/>
        <w:outlineLvl w:val="3"/>
        <w:rPr>
          <w:kern w:val="0"/>
          <w:sz w:val="24"/>
          <w:szCs w:val="28"/>
        </w:rPr>
      </w:pPr>
      <w:r>
        <w:rPr>
          <w:kern w:val="0"/>
          <w:sz w:val="24"/>
          <w:szCs w:val="28"/>
        </w:rPr>
        <w:t>7.4.4.1环境空气影响分析</w:t>
      </w:r>
    </w:p>
    <w:p>
      <w:pPr>
        <w:autoSpaceDE w:val="0"/>
        <w:autoSpaceDN w:val="0"/>
        <w:adjustRightInd w:val="0"/>
        <w:spacing w:line="520" w:lineRule="exact"/>
        <w:ind w:firstLine="480" w:firstLineChars="200"/>
        <w:jc w:val="left"/>
        <w:rPr>
          <w:kern w:val="0"/>
          <w:sz w:val="24"/>
          <w:szCs w:val="24"/>
        </w:rPr>
      </w:pPr>
      <w:r>
        <w:rPr>
          <w:kern w:val="0"/>
          <w:sz w:val="24"/>
          <w:szCs w:val="24"/>
        </w:rPr>
        <w:t>项目废气排放均能够满足标准要求，经预测，废气污染物对敏感点的影响均可达满足标准要求，项目废气对周边环境的影响可接受。</w:t>
      </w:r>
    </w:p>
    <w:p>
      <w:pPr>
        <w:spacing w:line="520" w:lineRule="exact"/>
        <w:outlineLvl w:val="3"/>
        <w:rPr>
          <w:kern w:val="0"/>
          <w:sz w:val="24"/>
          <w:szCs w:val="28"/>
        </w:rPr>
      </w:pPr>
      <w:r>
        <w:rPr>
          <w:kern w:val="0"/>
          <w:sz w:val="24"/>
          <w:szCs w:val="28"/>
        </w:rPr>
        <w:t>7.4.4.2地表水环境影响分析</w:t>
      </w:r>
    </w:p>
    <w:p>
      <w:pPr>
        <w:spacing w:line="520" w:lineRule="exact"/>
        <w:ind w:firstLine="480" w:firstLineChars="200"/>
        <w:rPr>
          <w:sz w:val="24"/>
          <w:szCs w:val="24"/>
        </w:rPr>
      </w:pPr>
      <w:r>
        <w:rPr>
          <w:bCs/>
          <w:sz w:val="24"/>
          <w:szCs w:val="24"/>
        </w:rPr>
        <w:t>本项目</w:t>
      </w:r>
      <w:r>
        <w:rPr>
          <w:sz w:val="24"/>
          <w:szCs w:val="24"/>
        </w:rPr>
        <w:t>废水</w:t>
      </w:r>
      <w:r>
        <w:rPr>
          <w:rFonts w:hint="eastAsia"/>
          <w:sz w:val="24"/>
          <w:szCs w:val="24"/>
        </w:rPr>
        <w:t>设计</w:t>
      </w:r>
      <w:r>
        <w:rPr>
          <w:sz w:val="24"/>
          <w:szCs w:val="24"/>
        </w:rPr>
        <w:t>排放量为</w:t>
      </w:r>
      <w:r>
        <w:rPr>
          <w:rFonts w:hint="eastAsia"/>
          <w:sz w:val="24"/>
          <w:szCs w:val="24"/>
        </w:rPr>
        <w:t>60万</w:t>
      </w:r>
      <w:r>
        <w:rPr>
          <w:sz w:val="24"/>
          <w:szCs w:val="24"/>
        </w:rPr>
        <w:t>m</w:t>
      </w:r>
      <w:r>
        <w:rPr>
          <w:sz w:val="24"/>
          <w:szCs w:val="24"/>
          <w:vertAlign w:val="superscript"/>
        </w:rPr>
        <w:t>3</w:t>
      </w:r>
      <w:r>
        <w:rPr>
          <w:sz w:val="24"/>
          <w:szCs w:val="24"/>
        </w:rPr>
        <w:t>/a（2000m</w:t>
      </w:r>
      <w:r>
        <w:rPr>
          <w:sz w:val="24"/>
          <w:szCs w:val="24"/>
          <w:vertAlign w:val="superscript"/>
        </w:rPr>
        <w:t>3</w:t>
      </w:r>
      <w:r>
        <w:rPr>
          <w:sz w:val="24"/>
          <w:szCs w:val="24"/>
        </w:rPr>
        <w:t>/d），废水经污水处理站处理后污染物排放浓度</w:t>
      </w:r>
      <w:bookmarkStart w:id="213" w:name="_Hlk108599938"/>
      <w:r>
        <w:rPr>
          <w:sz w:val="24"/>
          <w:szCs w:val="24"/>
        </w:rPr>
        <w:t>为</w:t>
      </w:r>
      <w:bookmarkEnd w:id="213"/>
      <w:r>
        <w:rPr>
          <w:bCs/>
          <w:sz w:val="24"/>
          <w:szCs w:val="24"/>
        </w:rPr>
        <w:t>COD 73.5</w:t>
      </w:r>
      <w:r>
        <w:rPr>
          <w:rFonts w:hint="eastAsia"/>
          <w:bCs/>
          <w:sz w:val="24"/>
          <w:szCs w:val="24"/>
        </w:rPr>
        <w:t>mg/L、B</w:t>
      </w:r>
      <w:r>
        <w:rPr>
          <w:bCs/>
          <w:sz w:val="24"/>
          <w:szCs w:val="24"/>
        </w:rPr>
        <w:t>OD</w:t>
      </w:r>
      <w:r>
        <w:rPr>
          <w:bCs/>
          <w:sz w:val="24"/>
          <w:szCs w:val="24"/>
          <w:vertAlign w:val="subscript"/>
        </w:rPr>
        <w:t>5</w:t>
      </w:r>
      <w:r>
        <w:rPr>
          <w:bCs/>
          <w:sz w:val="24"/>
          <w:szCs w:val="24"/>
        </w:rPr>
        <w:t xml:space="preserve"> 17.6</w:t>
      </w:r>
      <w:r>
        <w:rPr>
          <w:rFonts w:hint="eastAsia"/>
          <w:bCs/>
          <w:sz w:val="24"/>
          <w:szCs w:val="24"/>
        </w:rPr>
        <w:t>mg/L、S</w:t>
      </w:r>
      <w:r>
        <w:rPr>
          <w:bCs/>
          <w:sz w:val="24"/>
          <w:szCs w:val="24"/>
        </w:rPr>
        <w:t>S 14.4</w:t>
      </w:r>
      <w:r>
        <w:rPr>
          <w:rFonts w:hint="eastAsia"/>
          <w:bCs/>
          <w:sz w:val="24"/>
          <w:szCs w:val="24"/>
        </w:rPr>
        <w:t>mg/L、氨氮</w:t>
      </w:r>
      <w:r>
        <w:rPr>
          <w:bCs/>
          <w:sz w:val="24"/>
          <w:szCs w:val="24"/>
        </w:rPr>
        <w:t>19.6</w:t>
      </w:r>
      <w:r>
        <w:rPr>
          <w:rFonts w:hint="eastAsia"/>
          <w:bCs/>
          <w:sz w:val="24"/>
          <w:szCs w:val="24"/>
        </w:rPr>
        <w:t>mg/L、T</w:t>
      </w:r>
      <w:r>
        <w:rPr>
          <w:bCs/>
          <w:sz w:val="24"/>
          <w:szCs w:val="24"/>
        </w:rPr>
        <w:t>P 0.8</w:t>
      </w:r>
      <w:r>
        <w:rPr>
          <w:rFonts w:hint="eastAsia"/>
          <w:bCs/>
          <w:sz w:val="24"/>
          <w:szCs w:val="24"/>
        </w:rPr>
        <w:t>mg/L、T</w:t>
      </w:r>
      <w:r>
        <w:rPr>
          <w:bCs/>
          <w:sz w:val="24"/>
          <w:szCs w:val="24"/>
        </w:rPr>
        <w:t>N 35.7</w:t>
      </w:r>
      <w:r>
        <w:rPr>
          <w:rFonts w:hint="eastAsia"/>
          <w:bCs/>
          <w:sz w:val="24"/>
          <w:szCs w:val="24"/>
        </w:rPr>
        <w:t>mg/L、动植物油</w:t>
      </w:r>
      <w:r>
        <w:rPr>
          <w:bCs/>
          <w:sz w:val="24"/>
          <w:szCs w:val="24"/>
        </w:rPr>
        <w:t>5</w:t>
      </w:r>
      <w:r>
        <w:rPr>
          <w:rFonts w:hint="eastAsia"/>
          <w:bCs/>
          <w:sz w:val="24"/>
          <w:szCs w:val="24"/>
        </w:rPr>
        <w:t>mg/L，满足原阳县产业集聚区污水处理厂收水标准（</w:t>
      </w:r>
      <w:r>
        <w:rPr>
          <w:bCs/>
          <w:sz w:val="24"/>
          <w:szCs w:val="24"/>
        </w:rPr>
        <w:t>COD 420</w:t>
      </w:r>
      <w:r>
        <w:rPr>
          <w:rFonts w:hint="eastAsia"/>
          <w:bCs/>
          <w:sz w:val="24"/>
          <w:szCs w:val="24"/>
        </w:rPr>
        <w:t>mg/L、B</w:t>
      </w:r>
      <w:r>
        <w:rPr>
          <w:bCs/>
          <w:sz w:val="24"/>
          <w:szCs w:val="24"/>
        </w:rPr>
        <w:t>OD</w:t>
      </w:r>
      <w:r>
        <w:rPr>
          <w:bCs/>
          <w:sz w:val="24"/>
          <w:szCs w:val="24"/>
          <w:vertAlign w:val="subscript"/>
        </w:rPr>
        <w:t>5</w:t>
      </w:r>
      <w:r>
        <w:rPr>
          <w:bCs/>
          <w:sz w:val="24"/>
          <w:szCs w:val="24"/>
        </w:rPr>
        <w:t xml:space="preserve"> 210</w:t>
      </w:r>
      <w:r>
        <w:rPr>
          <w:rFonts w:hint="eastAsia"/>
          <w:bCs/>
          <w:sz w:val="24"/>
          <w:szCs w:val="24"/>
        </w:rPr>
        <w:t>mg/L、S</w:t>
      </w:r>
      <w:r>
        <w:rPr>
          <w:bCs/>
          <w:sz w:val="24"/>
          <w:szCs w:val="24"/>
        </w:rPr>
        <w:t>S 350</w:t>
      </w:r>
      <w:r>
        <w:rPr>
          <w:rFonts w:hint="eastAsia"/>
          <w:bCs/>
          <w:sz w:val="24"/>
          <w:szCs w:val="24"/>
        </w:rPr>
        <w:t>mg/L、氨氮</w:t>
      </w:r>
      <w:r>
        <w:rPr>
          <w:bCs/>
          <w:sz w:val="24"/>
          <w:szCs w:val="24"/>
        </w:rPr>
        <w:t>40</w:t>
      </w:r>
      <w:r>
        <w:rPr>
          <w:rFonts w:hint="eastAsia"/>
          <w:bCs/>
          <w:sz w:val="24"/>
          <w:szCs w:val="24"/>
        </w:rPr>
        <w:t>mg/L、T</w:t>
      </w:r>
      <w:r>
        <w:rPr>
          <w:bCs/>
          <w:sz w:val="24"/>
          <w:szCs w:val="24"/>
        </w:rPr>
        <w:t>P 4</w:t>
      </w:r>
      <w:r>
        <w:rPr>
          <w:rFonts w:hint="eastAsia"/>
          <w:bCs/>
          <w:sz w:val="24"/>
          <w:szCs w:val="24"/>
        </w:rPr>
        <w:t>mg/L、T</w:t>
      </w:r>
      <w:r>
        <w:rPr>
          <w:bCs/>
          <w:sz w:val="24"/>
          <w:szCs w:val="24"/>
        </w:rPr>
        <w:t>N 50</w:t>
      </w:r>
      <w:r>
        <w:rPr>
          <w:rFonts w:hint="eastAsia"/>
          <w:bCs/>
          <w:sz w:val="24"/>
          <w:szCs w:val="24"/>
        </w:rPr>
        <w:t>mg/L）和《污水综合排放标准》（G</w:t>
      </w:r>
      <w:r>
        <w:rPr>
          <w:bCs/>
          <w:sz w:val="24"/>
          <w:szCs w:val="24"/>
        </w:rPr>
        <w:t>B 8978-1996</w:t>
      </w:r>
      <w:r>
        <w:rPr>
          <w:rFonts w:hint="eastAsia"/>
          <w:bCs/>
          <w:sz w:val="24"/>
          <w:szCs w:val="24"/>
        </w:rPr>
        <w:t>）中二级标准：动植物油1</w:t>
      </w:r>
      <w:r>
        <w:rPr>
          <w:bCs/>
          <w:sz w:val="24"/>
          <w:szCs w:val="24"/>
        </w:rPr>
        <w:t>5mg/L</w:t>
      </w:r>
      <w:r>
        <w:rPr>
          <w:rFonts w:hint="eastAsia"/>
          <w:bCs/>
          <w:sz w:val="24"/>
          <w:szCs w:val="24"/>
        </w:rPr>
        <w:t>的标准限值。</w:t>
      </w:r>
    </w:p>
    <w:p>
      <w:pPr>
        <w:spacing w:line="520" w:lineRule="exact"/>
        <w:ind w:firstLine="480" w:firstLineChars="200"/>
        <w:rPr>
          <w:sz w:val="24"/>
          <w:szCs w:val="24"/>
        </w:rPr>
      </w:pPr>
      <w:r>
        <w:rPr>
          <w:sz w:val="24"/>
          <w:szCs w:val="24"/>
        </w:rPr>
        <w:t>项目排放废水量占</w:t>
      </w:r>
      <w:r>
        <w:rPr>
          <w:rFonts w:hint="eastAsia"/>
          <w:sz w:val="24"/>
          <w:szCs w:val="24"/>
        </w:rPr>
        <w:t>原阳县产业集聚区</w:t>
      </w:r>
      <w:r>
        <w:rPr>
          <w:sz w:val="24"/>
          <w:szCs w:val="24"/>
        </w:rPr>
        <w:t>污水处理厂处理负荷量比例较小、总处理量未超出设计处理负荷量，不会对</w:t>
      </w:r>
      <w:r>
        <w:rPr>
          <w:rFonts w:hint="eastAsia"/>
          <w:sz w:val="24"/>
          <w:szCs w:val="24"/>
        </w:rPr>
        <w:t>原阳县产业集聚区</w:t>
      </w:r>
      <w:r>
        <w:rPr>
          <w:sz w:val="24"/>
          <w:szCs w:val="24"/>
        </w:rPr>
        <w:t>污水处理厂的出水水质产生影响。因此评价认为：项目废水经处理后，对地表水环境的影响可接受。</w:t>
      </w:r>
    </w:p>
    <w:p>
      <w:pPr>
        <w:spacing w:line="520" w:lineRule="exact"/>
        <w:outlineLvl w:val="3"/>
        <w:rPr>
          <w:kern w:val="0"/>
          <w:sz w:val="24"/>
          <w:szCs w:val="28"/>
        </w:rPr>
      </w:pPr>
      <w:r>
        <w:rPr>
          <w:kern w:val="0"/>
          <w:sz w:val="24"/>
          <w:szCs w:val="28"/>
        </w:rPr>
        <w:t>7.4.4.3声环境影响分析</w:t>
      </w:r>
    </w:p>
    <w:p>
      <w:pPr>
        <w:autoSpaceDE w:val="0"/>
        <w:autoSpaceDN w:val="0"/>
        <w:adjustRightInd w:val="0"/>
        <w:spacing w:line="520" w:lineRule="exact"/>
        <w:ind w:firstLine="480" w:firstLineChars="200"/>
        <w:jc w:val="left"/>
        <w:rPr>
          <w:spacing w:val="-2"/>
          <w:kern w:val="0"/>
          <w:sz w:val="24"/>
          <w:szCs w:val="24"/>
        </w:rPr>
      </w:pPr>
      <w:r>
        <w:rPr>
          <w:kern w:val="0"/>
          <w:sz w:val="24"/>
          <w:szCs w:val="24"/>
        </w:rPr>
        <w:t>由预测结果可知，本工程完成后，噪声贡献值均能达到《工业企业厂界环境噪声排放标准》（GB12348-2008）3类标准要求</w:t>
      </w:r>
      <w:r>
        <w:rPr>
          <w:spacing w:val="-2"/>
          <w:kern w:val="0"/>
          <w:sz w:val="24"/>
          <w:szCs w:val="24"/>
        </w:rPr>
        <w:t>。</w:t>
      </w:r>
    </w:p>
    <w:p>
      <w:pPr>
        <w:spacing w:line="520" w:lineRule="exact"/>
        <w:outlineLvl w:val="3"/>
        <w:rPr>
          <w:kern w:val="0"/>
          <w:sz w:val="24"/>
          <w:szCs w:val="28"/>
        </w:rPr>
      </w:pPr>
      <w:r>
        <w:rPr>
          <w:kern w:val="0"/>
          <w:sz w:val="24"/>
          <w:szCs w:val="28"/>
        </w:rPr>
        <w:t>7.4.4.4地下水环境影响分析</w:t>
      </w:r>
    </w:p>
    <w:p>
      <w:pPr>
        <w:spacing w:line="500" w:lineRule="exact"/>
        <w:ind w:firstLine="480"/>
        <w:rPr>
          <w:kern w:val="0"/>
          <w:sz w:val="24"/>
          <w:szCs w:val="24"/>
        </w:rPr>
      </w:pPr>
      <w:r>
        <w:rPr>
          <w:sz w:val="24"/>
          <w:szCs w:val="24"/>
        </w:rPr>
        <w:t>由预测结果可知：</w:t>
      </w:r>
      <w:r>
        <w:rPr>
          <w:spacing w:val="10"/>
          <w:sz w:val="24"/>
          <w:szCs w:val="24"/>
        </w:rPr>
        <w:t>在厂</w:t>
      </w:r>
      <w:r>
        <w:rPr>
          <w:sz w:val="24"/>
          <w:szCs w:val="24"/>
        </w:rPr>
        <w:t>区污水处理站</w:t>
      </w:r>
      <w:r>
        <w:rPr>
          <w:rFonts w:hint="eastAsia"/>
          <w:sz w:val="24"/>
          <w:szCs w:val="24"/>
        </w:rPr>
        <w:t>集水</w:t>
      </w:r>
      <w:r>
        <w:rPr>
          <w:sz w:val="24"/>
          <w:szCs w:val="24"/>
        </w:rPr>
        <w:t>池非正常状况</w:t>
      </w:r>
      <w:r>
        <w:rPr>
          <w:bCs/>
          <w:sz w:val="24"/>
          <w:szCs w:val="24"/>
        </w:rPr>
        <w:t>泄漏</w:t>
      </w:r>
      <w:r>
        <w:rPr>
          <w:sz w:val="24"/>
          <w:szCs w:val="24"/>
        </w:rPr>
        <w:t>情景</w:t>
      </w:r>
      <w:r>
        <w:rPr>
          <w:spacing w:val="10"/>
          <w:sz w:val="24"/>
          <w:szCs w:val="24"/>
        </w:rPr>
        <w:t>下，</w:t>
      </w:r>
      <w:r>
        <w:rPr>
          <w:bCs/>
          <w:sz w:val="24"/>
          <w:szCs w:val="24"/>
        </w:rPr>
        <w:t>泄漏</w:t>
      </w:r>
      <w:r>
        <w:rPr>
          <w:spacing w:val="10"/>
          <w:sz w:val="24"/>
          <w:szCs w:val="24"/>
        </w:rPr>
        <w:t>的污染物</w:t>
      </w:r>
      <w:r>
        <w:rPr>
          <w:bCs/>
          <w:sz w:val="24"/>
          <w:szCs w:val="24"/>
        </w:rPr>
        <w:t>在水动力条件作用下向下游扩散，浓度在对流作用下逐渐降低。污水处理池泄漏点位置污染物浓度随着时间不断降低，</w:t>
      </w:r>
      <w:r>
        <w:rPr>
          <w:spacing w:val="10"/>
          <w:sz w:val="24"/>
          <w:szCs w:val="24"/>
        </w:rPr>
        <w:t>废水</w:t>
      </w:r>
      <w:r>
        <w:rPr>
          <w:rFonts w:hint="eastAsia"/>
          <w:spacing w:val="10"/>
          <w:sz w:val="24"/>
          <w:szCs w:val="24"/>
        </w:rPr>
        <w:t>集水</w:t>
      </w:r>
      <w:r>
        <w:rPr>
          <w:spacing w:val="10"/>
          <w:sz w:val="24"/>
          <w:szCs w:val="24"/>
        </w:rPr>
        <w:t>池发生泄漏20a，</w:t>
      </w:r>
      <w:r>
        <w:rPr>
          <w:sz w:val="24"/>
          <w:szCs w:val="24"/>
        </w:rPr>
        <w:t>项目</w:t>
      </w:r>
      <w:r>
        <w:rPr>
          <w:spacing w:val="10"/>
          <w:sz w:val="24"/>
          <w:szCs w:val="24"/>
        </w:rPr>
        <w:t>耗氧量最远超标距离</w:t>
      </w:r>
      <w:r>
        <w:rPr>
          <w:rFonts w:hint="eastAsia"/>
          <w:spacing w:val="10"/>
          <w:sz w:val="24"/>
          <w:szCs w:val="24"/>
        </w:rPr>
        <w:t>和</w:t>
      </w:r>
      <w:r>
        <w:rPr>
          <w:spacing w:val="10"/>
          <w:sz w:val="24"/>
          <w:szCs w:val="24"/>
        </w:rPr>
        <w:t>最远影响距离</w:t>
      </w:r>
      <w:r>
        <w:rPr>
          <w:rFonts w:hint="eastAsia"/>
          <w:spacing w:val="10"/>
          <w:sz w:val="24"/>
          <w:szCs w:val="24"/>
        </w:rPr>
        <w:t>分别为</w:t>
      </w:r>
      <w:r>
        <w:rPr>
          <w:spacing w:val="10"/>
          <w:sz w:val="24"/>
          <w:szCs w:val="24"/>
        </w:rPr>
        <w:t>613m</w:t>
      </w:r>
      <w:r>
        <w:rPr>
          <w:rFonts w:hint="eastAsia"/>
          <w:spacing w:val="10"/>
          <w:sz w:val="24"/>
          <w:szCs w:val="24"/>
        </w:rPr>
        <w:t>和8</w:t>
      </w:r>
      <w:r>
        <w:rPr>
          <w:spacing w:val="10"/>
          <w:sz w:val="24"/>
          <w:szCs w:val="24"/>
        </w:rPr>
        <w:t>11m</w:t>
      </w:r>
      <w:r>
        <w:rPr>
          <w:rFonts w:hint="eastAsia"/>
          <w:spacing w:val="10"/>
          <w:sz w:val="24"/>
          <w:szCs w:val="24"/>
        </w:rPr>
        <w:t>，</w:t>
      </w:r>
      <w:r>
        <w:rPr>
          <w:spacing w:val="10"/>
          <w:sz w:val="24"/>
          <w:szCs w:val="24"/>
        </w:rPr>
        <w:t>耗氧量和氨氮最远超标距离</w:t>
      </w:r>
      <w:r>
        <w:rPr>
          <w:rFonts w:hint="eastAsia"/>
          <w:spacing w:val="10"/>
          <w:sz w:val="24"/>
          <w:szCs w:val="24"/>
        </w:rPr>
        <w:t>和</w:t>
      </w:r>
      <w:r>
        <w:rPr>
          <w:spacing w:val="10"/>
          <w:sz w:val="24"/>
          <w:szCs w:val="24"/>
        </w:rPr>
        <w:t>最远影响距离</w:t>
      </w:r>
      <w:r>
        <w:rPr>
          <w:rFonts w:hint="eastAsia"/>
          <w:spacing w:val="10"/>
          <w:sz w:val="24"/>
          <w:szCs w:val="24"/>
        </w:rPr>
        <w:t>分别为</w:t>
      </w:r>
      <w:r>
        <w:rPr>
          <w:spacing w:val="10"/>
          <w:sz w:val="24"/>
          <w:szCs w:val="24"/>
        </w:rPr>
        <w:t>557m</w:t>
      </w:r>
      <w:r>
        <w:rPr>
          <w:rFonts w:hint="eastAsia"/>
          <w:spacing w:val="10"/>
          <w:sz w:val="24"/>
          <w:szCs w:val="24"/>
        </w:rPr>
        <w:t>和</w:t>
      </w:r>
      <w:r>
        <w:rPr>
          <w:spacing w:val="10"/>
          <w:sz w:val="24"/>
          <w:szCs w:val="24"/>
        </w:rPr>
        <w:t>757m。</w:t>
      </w:r>
      <w:r>
        <w:rPr>
          <w:kern w:val="0"/>
          <w:sz w:val="24"/>
          <w:szCs w:val="24"/>
        </w:rPr>
        <w:t>超标范围内不涉及</w:t>
      </w:r>
      <w:r>
        <w:rPr>
          <w:sz w:val="24"/>
          <w:szCs w:val="24"/>
        </w:rPr>
        <w:t>环境敏感目标区域，</w:t>
      </w:r>
      <w:r>
        <w:rPr>
          <w:spacing w:val="10"/>
          <w:sz w:val="24"/>
          <w:szCs w:val="24"/>
        </w:rPr>
        <w:t>不会对</w:t>
      </w:r>
      <w:r>
        <w:rPr>
          <w:rFonts w:hint="eastAsia"/>
          <w:bCs/>
          <w:sz w:val="24"/>
          <w:szCs w:val="24"/>
        </w:rPr>
        <w:t>下游侧向的饮用水水源地保护敏感点</w:t>
      </w:r>
      <w:r>
        <w:rPr>
          <w:sz w:val="24"/>
          <w:szCs w:val="24"/>
        </w:rPr>
        <w:t>地下水水质产生影响，</w:t>
      </w:r>
      <w:r>
        <w:rPr>
          <w:kern w:val="0"/>
          <w:sz w:val="24"/>
          <w:szCs w:val="24"/>
        </w:rPr>
        <w:t>在可控范围之内。</w:t>
      </w:r>
    </w:p>
    <w:p>
      <w:pPr>
        <w:spacing w:line="500" w:lineRule="exact"/>
        <w:ind w:firstLine="480"/>
        <w:rPr>
          <w:kern w:val="0"/>
          <w:sz w:val="24"/>
          <w:szCs w:val="24"/>
        </w:rPr>
      </w:pPr>
      <w:r>
        <w:rPr>
          <w:kern w:val="0"/>
          <w:sz w:val="24"/>
          <w:szCs w:val="24"/>
        </w:rPr>
        <w:t>从总的评价结果来看，在有效的防渗措施和完善的监测系统条件下，该项目可有效的预防对地下水的影响。</w:t>
      </w:r>
    </w:p>
    <w:p>
      <w:pPr>
        <w:spacing w:line="520" w:lineRule="exact"/>
        <w:outlineLvl w:val="3"/>
        <w:rPr>
          <w:kern w:val="0"/>
          <w:sz w:val="24"/>
          <w:szCs w:val="28"/>
        </w:rPr>
      </w:pPr>
      <w:r>
        <w:rPr>
          <w:kern w:val="0"/>
          <w:sz w:val="24"/>
          <w:szCs w:val="28"/>
        </w:rPr>
        <w:t>7.4.4.5土壤环境影响分析</w:t>
      </w:r>
    </w:p>
    <w:p>
      <w:pPr>
        <w:autoSpaceDE w:val="0"/>
        <w:autoSpaceDN w:val="0"/>
        <w:adjustRightInd w:val="0"/>
        <w:spacing w:line="520" w:lineRule="exact"/>
        <w:ind w:firstLine="480" w:firstLineChars="200"/>
        <w:rPr>
          <w:color w:val="000000"/>
          <w:kern w:val="0"/>
          <w:sz w:val="24"/>
          <w:szCs w:val="24"/>
        </w:rPr>
      </w:pPr>
      <w:r>
        <w:rPr>
          <w:kern w:val="0"/>
          <w:sz w:val="24"/>
          <w:szCs w:val="24"/>
        </w:rPr>
        <w:t>本项目对土壤的影响主要为</w:t>
      </w:r>
      <w:r>
        <w:rPr>
          <w:rFonts w:hint="eastAsia"/>
          <w:kern w:val="0"/>
          <w:sz w:val="24"/>
          <w:szCs w:val="24"/>
        </w:rPr>
        <w:t>垂直入渗</w:t>
      </w:r>
      <w:r>
        <w:rPr>
          <w:kern w:val="0"/>
          <w:sz w:val="24"/>
          <w:szCs w:val="24"/>
        </w:rPr>
        <w:t>型影响</w:t>
      </w:r>
      <w:r>
        <w:rPr>
          <w:rFonts w:hint="eastAsia"/>
          <w:kern w:val="0"/>
          <w:sz w:val="24"/>
          <w:szCs w:val="24"/>
        </w:rPr>
        <w:t>，</w:t>
      </w:r>
      <w:r>
        <w:rPr>
          <w:rFonts w:hint="eastAsia"/>
          <w:color w:val="000000"/>
          <w:kern w:val="0"/>
          <w:sz w:val="24"/>
          <w:szCs w:val="24"/>
        </w:rPr>
        <w:t>污水处理设施按照要求进行硬化防渗处理，</w:t>
      </w:r>
      <w:r>
        <w:rPr>
          <w:bCs/>
          <w:color w:val="000000"/>
          <w:kern w:val="0"/>
          <w:sz w:val="24"/>
          <w:szCs w:val="24"/>
        </w:rPr>
        <w:t>日常运营过程中加强管理，</w:t>
      </w:r>
      <w:r>
        <w:rPr>
          <w:color w:val="000000"/>
          <w:kern w:val="0"/>
          <w:sz w:val="24"/>
          <w:szCs w:val="24"/>
        </w:rPr>
        <w:t>定期维护检修，保证防渗措施的有效性和安全性</w:t>
      </w:r>
      <w:r>
        <w:rPr>
          <w:rFonts w:hint="eastAsia"/>
          <w:color w:val="000000"/>
          <w:kern w:val="0"/>
          <w:sz w:val="24"/>
          <w:szCs w:val="24"/>
        </w:rPr>
        <w:t>，正常情况下不存在废水进入土壤中的可能。因此，本项目建成后不会增加土壤污染的风险，项目生产对项目厂区土壤影响较小，基本不会改变土壤的现状值。</w:t>
      </w:r>
    </w:p>
    <w:p>
      <w:pPr>
        <w:spacing w:line="520" w:lineRule="exact"/>
        <w:ind w:firstLine="480"/>
        <w:rPr>
          <w:sz w:val="24"/>
          <w:szCs w:val="24"/>
        </w:rPr>
      </w:pPr>
      <w:r>
        <w:rPr>
          <w:sz w:val="24"/>
          <w:szCs w:val="24"/>
        </w:rPr>
        <w:t>综上所述，本项目建成后对土壤环境影响较小，本项目建设可行。</w:t>
      </w:r>
    </w:p>
    <w:p>
      <w:pPr>
        <w:spacing w:line="520" w:lineRule="exact"/>
        <w:outlineLvl w:val="2"/>
        <w:rPr>
          <w:rFonts w:eastAsia="黑体"/>
          <w:sz w:val="28"/>
          <w:szCs w:val="28"/>
        </w:rPr>
      </w:pPr>
      <w:bookmarkStart w:id="214" w:name="_Toc428286963"/>
      <w:bookmarkStart w:id="215" w:name="_Toc428287668"/>
      <w:bookmarkStart w:id="216" w:name="_Toc428287316"/>
      <w:r>
        <w:rPr>
          <w:rFonts w:eastAsia="黑体"/>
          <w:sz w:val="28"/>
          <w:szCs w:val="28"/>
        </w:rPr>
        <w:t>7.4.5环境风险可接受</w:t>
      </w:r>
      <w:bookmarkEnd w:id="214"/>
      <w:bookmarkEnd w:id="215"/>
      <w:bookmarkEnd w:id="216"/>
    </w:p>
    <w:p>
      <w:pPr>
        <w:adjustRightInd w:val="0"/>
        <w:snapToGrid w:val="0"/>
        <w:spacing w:line="520" w:lineRule="exact"/>
        <w:ind w:firstLine="480" w:firstLineChars="200"/>
        <w:textAlignment w:val="baseline"/>
        <w:rPr>
          <w:kern w:val="0"/>
          <w:sz w:val="24"/>
          <w:szCs w:val="20"/>
          <w:highlight w:val="yellow"/>
        </w:rPr>
      </w:pPr>
      <w:bookmarkStart w:id="217" w:name="_Hlk107411376"/>
      <w:bookmarkStart w:id="218" w:name="_Toc429318458"/>
      <w:bookmarkStart w:id="219" w:name="_Toc428287319"/>
      <w:bookmarkStart w:id="220" w:name="_Toc306089681"/>
      <w:bookmarkStart w:id="221" w:name="_Toc311099518"/>
      <w:bookmarkStart w:id="222" w:name="_Toc469647425"/>
      <w:bookmarkStart w:id="223" w:name="_Toc428287671"/>
      <w:bookmarkStart w:id="224" w:name="_Toc422317695"/>
      <w:bookmarkStart w:id="225" w:name="_Toc497299866"/>
      <w:bookmarkStart w:id="226" w:name="_Toc281666809"/>
      <w:bookmarkStart w:id="227" w:name="_Toc278572695"/>
      <w:bookmarkStart w:id="228" w:name="_Toc277889931"/>
      <w:bookmarkStart w:id="229" w:name="_Toc428287670"/>
      <w:bookmarkStart w:id="230" w:name="_Toc428286965"/>
      <w:bookmarkStart w:id="231" w:name="_Toc428287318"/>
      <w:r>
        <w:rPr>
          <w:kern w:val="0"/>
          <w:sz w:val="24"/>
          <w:szCs w:val="20"/>
        </w:rPr>
        <w:t>根据风险评价分析，项目危险物质主要为</w:t>
      </w:r>
      <w:r>
        <w:rPr>
          <w:rFonts w:hint="eastAsia"/>
          <w:kern w:val="0"/>
          <w:sz w:val="24"/>
          <w:szCs w:val="20"/>
        </w:rPr>
        <w:t>硫化氢、氨</w:t>
      </w:r>
      <w:r>
        <w:rPr>
          <w:kern w:val="0"/>
          <w:sz w:val="24"/>
          <w:szCs w:val="20"/>
        </w:rPr>
        <w:t>，主要风险为</w:t>
      </w:r>
      <w:r>
        <w:rPr>
          <w:rFonts w:hint="eastAsia"/>
          <w:kern w:val="0"/>
          <w:sz w:val="24"/>
          <w:szCs w:val="20"/>
        </w:rPr>
        <w:t>污水处理站废气硫化氢、氨</w:t>
      </w:r>
      <w:r>
        <w:rPr>
          <w:kern w:val="0"/>
          <w:sz w:val="24"/>
          <w:szCs w:val="20"/>
        </w:rPr>
        <w:t>遇明火发生火灾、爆炸造成大气污染物排放，影响大气环境质量；</w:t>
      </w:r>
      <w:r>
        <w:rPr>
          <w:rFonts w:hint="eastAsia"/>
          <w:kern w:val="0"/>
          <w:sz w:val="24"/>
          <w:szCs w:val="20"/>
        </w:rPr>
        <w:t>污水处理站高浓度废水</w:t>
      </w:r>
      <w:r>
        <w:rPr>
          <w:kern w:val="0"/>
          <w:sz w:val="24"/>
          <w:szCs w:val="20"/>
        </w:rPr>
        <w:t>泄漏后进入地表水体，污染地表水体</w:t>
      </w:r>
      <w:r>
        <w:rPr>
          <w:rFonts w:hint="eastAsia"/>
          <w:kern w:val="0"/>
          <w:sz w:val="24"/>
          <w:szCs w:val="20"/>
        </w:rPr>
        <w:t>或下渗污染周边地下水环境质量</w:t>
      </w:r>
      <w:r>
        <w:rPr>
          <w:kern w:val="0"/>
          <w:sz w:val="24"/>
          <w:szCs w:val="20"/>
        </w:rPr>
        <w:t>。</w:t>
      </w:r>
    </w:p>
    <w:bookmarkEnd w:id="217"/>
    <w:p>
      <w:pPr>
        <w:adjustRightInd w:val="0"/>
        <w:snapToGrid w:val="0"/>
        <w:spacing w:line="520" w:lineRule="exact"/>
        <w:ind w:firstLine="480" w:firstLineChars="200"/>
        <w:textAlignment w:val="baseline"/>
        <w:rPr>
          <w:kern w:val="0"/>
          <w:sz w:val="24"/>
          <w:szCs w:val="20"/>
        </w:rPr>
      </w:pPr>
      <w:bookmarkStart w:id="232" w:name="_Hlk107411385"/>
      <w:r>
        <w:rPr>
          <w:kern w:val="0"/>
          <w:sz w:val="24"/>
          <w:szCs w:val="20"/>
        </w:rPr>
        <w:t>在按照环评提出的防范与防控措施后，本项目环境风险可防控。为了提高环境风险事故的影响，建议企业定期安排环境风险应急演练，提高职工防范环境风险的素质，另外加强与园区总体应急方案得分衔接，进一步减少项目环境风险可能造成的影响。</w:t>
      </w:r>
    </w:p>
    <w:p>
      <w:pPr>
        <w:adjustRightInd w:val="0"/>
        <w:snapToGrid w:val="0"/>
        <w:spacing w:line="520" w:lineRule="exact"/>
        <w:ind w:firstLine="480" w:firstLineChars="200"/>
        <w:textAlignment w:val="baseline"/>
        <w:rPr>
          <w:kern w:val="0"/>
          <w:sz w:val="24"/>
          <w:szCs w:val="24"/>
        </w:rPr>
      </w:pPr>
      <w:r>
        <w:rPr>
          <w:kern w:val="0"/>
          <w:sz w:val="24"/>
          <w:szCs w:val="24"/>
        </w:rPr>
        <w:t>综上所述，本项目采取相关防范措施和应急措施，环境风险可控。</w:t>
      </w:r>
    </w:p>
    <w:bookmarkEnd w:id="232"/>
    <w:p>
      <w:pPr>
        <w:spacing w:line="520" w:lineRule="exact"/>
        <w:outlineLvl w:val="2"/>
        <w:rPr>
          <w:rFonts w:eastAsia="黑体"/>
          <w:sz w:val="28"/>
          <w:szCs w:val="28"/>
        </w:rPr>
      </w:pPr>
      <w:r>
        <w:rPr>
          <w:rFonts w:eastAsia="黑体"/>
          <w:sz w:val="28"/>
          <w:szCs w:val="28"/>
        </w:rPr>
        <w:t>7.4.6厂址交通条件</w:t>
      </w:r>
    </w:p>
    <w:p>
      <w:pPr>
        <w:adjustRightInd w:val="0"/>
        <w:snapToGrid w:val="0"/>
        <w:spacing w:line="520" w:lineRule="exact"/>
        <w:ind w:firstLine="480" w:firstLineChars="200"/>
        <w:textAlignment w:val="baseline"/>
        <w:rPr>
          <w:kern w:val="0"/>
          <w:sz w:val="24"/>
          <w:szCs w:val="24"/>
        </w:rPr>
      </w:pPr>
      <w:r>
        <w:rPr>
          <w:kern w:val="0"/>
          <w:sz w:val="24"/>
          <w:szCs w:val="24"/>
        </w:rPr>
        <w:t>本项目位于</w:t>
      </w:r>
      <w:r>
        <w:rPr>
          <w:rFonts w:hint="eastAsia"/>
          <w:kern w:val="0"/>
          <w:sz w:val="24"/>
          <w:szCs w:val="24"/>
        </w:rPr>
        <w:t>原阳县</w:t>
      </w:r>
      <w:r>
        <w:rPr>
          <w:kern w:val="0"/>
          <w:sz w:val="24"/>
          <w:szCs w:val="24"/>
        </w:rPr>
        <w:t>产业集聚区</w:t>
      </w:r>
      <w:r>
        <w:rPr>
          <w:rFonts w:hint="eastAsia"/>
          <w:kern w:val="0"/>
          <w:sz w:val="24"/>
          <w:szCs w:val="24"/>
        </w:rPr>
        <w:t>永安路南侧、金祥南街西侧、小庄排河东侧，</w:t>
      </w:r>
      <w:r>
        <w:rPr>
          <w:kern w:val="0"/>
          <w:sz w:val="24"/>
          <w:szCs w:val="24"/>
        </w:rPr>
        <w:t>厂址周边交通便利，</w:t>
      </w:r>
      <w:r>
        <w:rPr>
          <w:kern w:val="0"/>
          <w:sz w:val="24"/>
          <w:szCs w:val="20"/>
        </w:rPr>
        <w:t>方便项目原料及</w:t>
      </w:r>
      <w:r>
        <w:rPr>
          <w:rFonts w:hint="eastAsia"/>
          <w:kern w:val="0"/>
          <w:sz w:val="24"/>
          <w:szCs w:val="20"/>
        </w:rPr>
        <w:t>污水处理站污泥的</w:t>
      </w:r>
      <w:r>
        <w:rPr>
          <w:kern w:val="0"/>
          <w:sz w:val="24"/>
          <w:szCs w:val="20"/>
        </w:rPr>
        <w:t>公路运输。</w:t>
      </w:r>
    </w:p>
    <w:p>
      <w:pPr>
        <w:spacing w:line="520" w:lineRule="exact"/>
        <w:outlineLvl w:val="2"/>
        <w:rPr>
          <w:rFonts w:eastAsia="黑体"/>
          <w:sz w:val="28"/>
          <w:szCs w:val="28"/>
        </w:rPr>
      </w:pPr>
      <w:r>
        <w:rPr>
          <w:rFonts w:eastAsia="黑体"/>
          <w:sz w:val="28"/>
          <w:szCs w:val="28"/>
        </w:rPr>
        <w:t>7.4.7厂区平面布置合理性</w:t>
      </w:r>
      <w:bookmarkEnd w:id="218"/>
      <w:bookmarkEnd w:id="219"/>
      <w:bookmarkEnd w:id="220"/>
      <w:bookmarkEnd w:id="221"/>
      <w:bookmarkEnd w:id="222"/>
      <w:bookmarkEnd w:id="223"/>
      <w:bookmarkEnd w:id="224"/>
      <w:bookmarkEnd w:id="225"/>
      <w:bookmarkEnd w:id="226"/>
      <w:bookmarkEnd w:id="227"/>
      <w:bookmarkEnd w:id="228"/>
    </w:p>
    <w:p>
      <w:pPr>
        <w:adjustRightInd w:val="0"/>
        <w:snapToGrid w:val="0"/>
        <w:spacing w:line="520" w:lineRule="exact"/>
        <w:ind w:firstLine="480" w:firstLineChars="200"/>
        <w:textAlignment w:val="baseline"/>
        <w:rPr>
          <w:kern w:val="0"/>
          <w:sz w:val="24"/>
          <w:szCs w:val="20"/>
        </w:rPr>
      </w:pPr>
      <w:r>
        <w:rPr>
          <w:kern w:val="0"/>
          <w:sz w:val="24"/>
          <w:szCs w:val="20"/>
        </w:rPr>
        <w:t>根据企业提供的本工程厂区总平面布置图，厂区的平面布置较为合理，主要体现在以下几个方面：</w:t>
      </w:r>
    </w:p>
    <w:p>
      <w:pPr>
        <w:adjustRightInd w:val="0"/>
        <w:snapToGrid w:val="0"/>
        <w:spacing w:line="520" w:lineRule="exact"/>
        <w:ind w:firstLine="480" w:firstLineChars="200"/>
        <w:textAlignment w:val="baseline"/>
        <w:rPr>
          <w:kern w:val="0"/>
          <w:sz w:val="24"/>
          <w:szCs w:val="20"/>
        </w:rPr>
      </w:pPr>
      <w:r>
        <w:rPr>
          <w:kern w:val="0"/>
          <w:sz w:val="24"/>
          <w:szCs w:val="20"/>
        </w:rPr>
        <w:t>（1）本项目处理设施布置紧凑，节约占地；</w:t>
      </w:r>
    </w:p>
    <w:p>
      <w:pPr>
        <w:adjustRightInd w:val="0"/>
        <w:snapToGrid w:val="0"/>
        <w:spacing w:line="520" w:lineRule="exact"/>
        <w:ind w:firstLine="480" w:firstLineChars="200"/>
        <w:textAlignment w:val="baseline"/>
        <w:rPr>
          <w:kern w:val="0"/>
          <w:sz w:val="24"/>
          <w:szCs w:val="20"/>
          <w:highlight w:val="yellow"/>
        </w:rPr>
      </w:pPr>
      <w:r>
        <w:rPr>
          <w:kern w:val="0"/>
          <w:sz w:val="24"/>
          <w:szCs w:val="20"/>
        </w:rPr>
        <w:t>（2）项目设计生产区与办公区相分离，有利于物流和人流的管理</w:t>
      </w:r>
      <w:r>
        <w:rPr>
          <w:rFonts w:hint="eastAsia"/>
          <w:kern w:val="0"/>
          <w:sz w:val="24"/>
          <w:szCs w:val="20"/>
        </w:rPr>
        <w:t>；</w:t>
      </w:r>
    </w:p>
    <w:p>
      <w:pPr>
        <w:adjustRightInd w:val="0"/>
        <w:snapToGrid w:val="0"/>
        <w:spacing w:line="520" w:lineRule="exact"/>
        <w:ind w:firstLine="480" w:firstLineChars="200"/>
        <w:textAlignment w:val="baseline"/>
        <w:rPr>
          <w:kern w:val="0"/>
          <w:sz w:val="24"/>
          <w:szCs w:val="20"/>
        </w:rPr>
      </w:pPr>
      <w:r>
        <w:rPr>
          <w:kern w:val="0"/>
          <w:sz w:val="24"/>
          <w:szCs w:val="20"/>
        </w:rPr>
        <w:t>（3）在污水处理厂周围设置较宽的绿化带，种植可以吸收臭气和噪音的树木，全厂空地进行充分绿化，可有效降低恶臭气体和噪声对外环境的影响，同时还可以美化环境</w:t>
      </w:r>
      <w:r>
        <w:rPr>
          <w:rFonts w:hint="eastAsia"/>
          <w:kern w:val="0"/>
          <w:sz w:val="24"/>
          <w:szCs w:val="20"/>
        </w:rPr>
        <w:t>，与周围生产企业更相容</w:t>
      </w:r>
      <w:r>
        <w:rPr>
          <w:kern w:val="0"/>
          <w:sz w:val="24"/>
          <w:szCs w:val="20"/>
        </w:rPr>
        <w:t>。</w:t>
      </w:r>
    </w:p>
    <w:p>
      <w:pPr>
        <w:adjustRightInd w:val="0"/>
        <w:snapToGrid w:val="0"/>
        <w:spacing w:line="520" w:lineRule="exact"/>
        <w:ind w:firstLine="480" w:firstLineChars="200"/>
        <w:textAlignment w:val="baseline"/>
        <w:rPr>
          <w:rFonts w:eastAsia="黑体"/>
          <w:kern w:val="0"/>
          <w:sz w:val="28"/>
          <w:szCs w:val="28"/>
        </w:rPr>
      </w:pPr>
      <w:r>
        <w:rPr>
          <w:kern w:val="0"/>
          <w:sz w:val="24"/>
          <w:szCs w:val="20"/>
        </w:rPr>
        <w:t>综上所述，评价认为厂区总平面布置基本合理</w:t>
      </w:r>
      <w:bookmarkEnd w:id="229"/>
      <w:bookmarkEnd w:id="230"/>
      <w:bookmarkEnd w:id="231"/>
      <w:r>
        <w:rPr>
          <w:kern w:val="0"/>
          <w:sz w:val="24"/>
          <w:szCs w:val="20"/>
        </w:rPr>
        <w:t>。</w:t>
      </w: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sectPr>
          <w:pgSz w:w="11906" w:h="16838"/>
          <w:pgMar w:top="1701" w:right="1588" w:bottom="1701" w:left="1588" w:header="851" w:footer="1134" w:gutter="0"/>
          <w:cols w:space="720" w:num="1"/>
          <w:docGrid w:type="lines" w:linePitch="312" w:charSpace="0"/>
        </w:sectPr>
      </w:pPr>
    </w:p>
    <w:p>
      <w:pPr>
        <w:spacing w:after="312" w:afterLines="100" w:line="360" w:lineRule="auto"/>
        <w:jc w:val="center"/>
        <w:outlineLvl w:val="0"/>
        <w:rPr>
          <w:rFonts w:eastAsia="黑体"/>
          <w:sz w:val="44"/>
          <w:szCs w:val="44"/>
        </w:rPr>
      </w:pPr>
      <w:bookmarkStart w:id="233" w:name="_Toc24354"/>
      <w:r>
        <w:rPr>
          <w:rFonts w:eastAsia="黑体"/>
          <w:sz w:val="44"/>
          <w:szCs w:val="44"/>
        </w:rPr>
        <w:t>第8章  环境影响经济损益分析</w:t>
      </w:r>
      <w:bookmarkEnd w:id="233"/>
    </w:p>
    <w:p>
      <w:pPr>
        <w:spacing w:line="520" w:lineRule="exact"/>
        <w:ind w:firstLine="480" w:firstLineChars="200"/>
        <w:rPr>
          <w:sz w:val="24"/>
          <w:szCs w:val="24"/>
        </w:rPr>
      </w:pPr>
      <w:r>
        <w:rPr>
          <w:sz w:val="24"/>
          <w:szCs w:val="24"/>
        </w:rPr>
        <w:t>环境经济损益分析是建设项目环境影响评价的一个重要组成部分，它是综合评价判断建设项目的投资经济效益和环保措施是否能够补偿或多大程度上补偿由于项目的建设可能造成的环境影响和损失的重要依据。</w:t>
      </w:r>
    </w:p>
    <w:p>
      <w:pPr>
        <w:keepNext/>
        <w:keepLines/>
        <w:spacing w:line="520" w:lineRule="exact"/>
        <w:outlineLvl w:val="1"/>
        <w:rPr>
          <w:rFonts w:eastAsia="黑体"/>
          <w:bCs/>
          <w:sz w:val="28"/>
          <w:szCs w:val="28"/>
        </w:rPr>
      </w:pPr>
      <w:bookmarkStart w:id="234" w:name="_Toc71102678"/>
      <w:bookmarkStart w:id="235" w:name="_Toc142967862"/>
      <w:bookmarkStart w:id="236" w:name="_Toc142295386"/>
      <w:bookmarkStart w:id="237" w:name="_Toc143317448"/>
      <w:bookmarkStart w:id="238" w:name="_Toc65067347"/>
      <w:bookmarkStart w:id="239" w:name="_Toc65292084"/>
      <w:bookmarkStart w:id="240" w:name="_Toc142388548"/>
      <w:bookmarkStart w:id="241" w:name="_Toc71687976"/>
      <w:bookmarkStart w:id="242" w:name="_Toc72234611"/>
      <w:bookmarkStart w:id="243" w:name="_Toc71777105"/>
      <w:bookmarkStart w:id="244" w:name="_Toc65492326"/>
      <w:bookmarkStart w:id="245" w:name="_Toc142898634"/>
      <w:bookmarkStart w:id="246" w:name="_Toc10276"/>
      <w:r>
        <w:rPr>
          <w:rFonts w:eastAsia="黑体"/>
          <w:bCs/>
          <w:sz w:val="28"/>
          <w:szCs w:val="28"/>
        </w:rPr>
        <w:t>8.1</w:t>
      </w:r>
      <w:bookmarkEnd w:id="234"/>
      <w:bookmarkEnd w:id="235"/>
      <w:bookmarkEnd w:id="236"/>
      <w:bookmarkEnd w:id="237"/>
      <w:bookmarkEnd w:id="238"/>
      <w:bookmarkEnd w:id="239"/>
      <w:bookmarkEnd w:id="240"/>
      <w:bookmarkEnd w:id="241"/>
      <w:bookmarkEnd w:id="242"/>
      <w:bookmarkEnd w:id="243"/>
      <w:bookmarkEnd w:id="244"/>
      <w:bookmarkEnd w:id="245"/>
      <w:r>
        <w:rPr>
          <w:rFonts w:eastAsia="黑体"/>
          <w:bCs/>
          <w:sz w:val="28"/>
          <w:szCs w:val="28"/>
        </w:rPr>
        <w:t xml:space="preserve"> 工程社会效益分析</w:t>
      </w:r>
      <w:bookmarkEnd w:id="246"/>
    </w:p>
    <w:p>
      <w:pPr>
        <w:spacing w:line="520" w:lineRule="exact"/>
        <w:ind w:firstLine="540" w:firstLineChars="225"/>
        <w:rPr>
          <w:sz w:val="24"/>
          <w:szCs w:val="24"/>
          <w:lang w:val="zh-CN"/>
        </w:rPr>
      </w:pPr>
      <w:r>
        <w:rPr>
          <w:rFonts w:hint="eastAsia"/>
          <w:sz w:val="24"/>
          <w:szCs w:val="24"/>
        </w:rPr>
        <w:t>河南羽佳金门实业有限公司拟投资3</w:t>
      </w:r>
      <w:r>
        <w:rPr>
          <w:sz w:val="24"/>
          <w:szCs w:val="24"/>
        </w:rPr>
        <w:t>0000</w:t>
      </w:r>
      <w:r>
        <w:rPr>
          <w:rFonts w:hint="eastAsia"/>
          <w:sz w:val="24"/>
          <w:szCs w:val="24"/>
        </w:rPr>
        <w:t>万元建设预制菜创新孵化园建设项目，</w:t>
      </w:r>
      <w:r>
        <w:rPr>
          <w:rFonts w:hint="eastAsia"/>
          <w:bCs/>
          <w:sz w:val="24"/>
          <w:szCs w:val="24"/>
        </w:rPr>
        <w:t>主要建设内容为：新建车间厂房1</w:t>
      </w:r>
      <w:r>
        <w:rPr>
          <w:bCs/>
          <w:sz w:val="24"/>
          <w:szCs w:val="24"/>
        </w:rPr>
        <w:t>9</w:t>
      </w:r>
      <w:r>
        <w:rPr>
          <w:rFonts w:hint="eastAsia"/>
          <w:bCs/>
          <w:sz w:val="24"/>
          <w:szCs w:val="24"/>
        </w:rPr>
        <w:t>座、污水处理站1座（处理能力2</w:t>
      </w:r>
      <w:r>
        <w:rPr>
          <w:bCs/>
          <w:sz w:val="24"/>
          <w:szCs w:val="24"/>
        </w:rPr>
        <w:t>000m</w:t>
      </w:r>
      <w:r>
        <w:rPr>
          <w:bCs/>
          <w:sz w:val="24"/>
          <w:szCs w:val="24"/>
          <w:vertAlign w:val="superscript"/>
        </w:rPr>
        <w:t>3</w:t>
      </w:r>
      <w:r>
        <w:rPr>
          <w:bCs/>
          <w:sz w:val="24"/>
          <w:szCs w:val="24"/>
        </w:rPr>
        <w:t>/</w:t>
      </w:r>
      <w:r>
        <w:rPr>
          <w:rFonts w:hint="eastAsia"/>
          <w:bCs/>
          <w:sz w:val="24"/>
          <w:szCs w:val="24"/>
        </w:rPr>
        <w:t>d）。</w:t>
      </w:r>
      <w:r>
        <w:rPr>
          <w:sz w:val="24"/>
          <w:szCs w:val="24"/>
          <w:lang w:val="zh-CN"/>
        </w:rPr>
        <w:t>社会效益主要体现在以下几个方面：</w:t>
      </w:r>
    </w:p>
    <w:p>
      <w:pPr>
        <w:spacing w:line="520" w:lineRule="exact"/>
        <w:ind w:firstLine="480"/>
        <w:rPr>
          <w:sz w:val="24"/>
          <w:szCs w:val="24"/>
          <w:lang w:val="zh-CN"/>
        </w:rPr>
      </w:pPr>
      <w:r>
        <w:rPr>
          <w:sz w:val="24"/>
          <w:szCs w:val="24"/>
          <w:lang w:val="zh-CN"/>
        </w:rPr>
        <w:t>（1）</w:t>
      </w:r>
      <w:r>
        <w:rPr>
          <w:rFonts w:hint="eastAsia"/>
          <w:sz w:val="24"/>
          <w:szCs w:val="24"/>
          <w:lang w:val="zh-CN"/>
        </w:rPr>
        <w:t>项目建成后</w:t>
      </w:r>
      <w:r>
        <w:rPr>
          <w:sz w:val="24"/>
          <w:szCs w:val="24"/>
        </w:rPr>
        <w:t>将</w:t>
      </w:r>
      <w:r>
        <w:rPr>
          <w:rFonts w:hint="eastAsia"/>
          <w:sz w:val="24"/>
          <w:szCs w:val="24"/>
        </w:rPr>
        <w:t>改变产业园</w:t>
      </w:r>
      <w:r>
        <w:rPr>
          <w:sz w:val="24"/>
          <w:szCs w:val="24"/>
        </w:rPr>
        <w:t>工业污水经简单处理后直接排入城市河流的现状，对减轻污水对城市水体污染、改善城市的环境卫生面貌，提高人民生活及健康水平起到积极作用。</w:t>
      </w:r>
    </w:p>
    <w:p>
      <w:pPr>
        <w:spacing w:line="520" w:lineRule="exact"/>
        <w:ind w:firstLine="480"/>
        <w:rPr>
          <w:sz w:val="24"/>
          <w:szCs w:val="24"/>
          <w:lang w:val="zh-CN"/>
        </w:rPr>
      </w:pPr>
      <w:r>
        <w:rPr>
          <w:sz w:val="24"/>
          <w:szCs w:val="24"/>
          <w:lang w:val="zh-CN"/>
        </w:rPr>
        <w:t>（2）本项目符合国家的产业政策，选址符合城市规划及产业集聚区相关规划。本项目运行投产后，可以提高企业的整体发展水平、为企业带来更大效益、增强其市场竞争能力，增加当地财政收入，对当地社会经济发展具有一定的积极作用。</w:t>
      </w:r>
    </w:p>
    <w:p>
      <w:pPr>
        <w:spacing w:line="520" w:lineRule="exact"/>
        <w:ind w:firstLine="480"/>
        <w:rPr>
          <w:sz w:val="24"/>
          <w:szCs w:val="24"/>
          <w:lang w:val="zh-CN"/>
        </w:rPr>
      </w:pPr>
      <w:r>
        <w:rPr>
          <w:sz w:val="24"/>
          <w:szCs w:val="24"/>
          <w:lang w:val="zh-CN"/>
        </w:rPr>
        <w:t>（3）</w:t>
      </w:r>
      <w:r>
        <w:rPr>
          <w:sz w:val="24"/>
          <w:szCs w:val="24"/>
        </w:rPr>
        <w:t>项目运行后，将削减废水污染物向水环境中的排放总量，减轻因</w:t>
      </w:r>
      <w:r>
        <w:rPr>
          <w:rFonts w:hint="eastAsia"/>
          <w:sz w:val="24"/>
          <w:szCs w:val="24"/>
        </w:rPr>
        <w:t>产业园</w:t>
      </w:r>
      <w:r>
        <w:rPr>
          <w:sz w:val="24"/>
          <w:szCs w:val="24"/>
        </w:rPr>
        <w:t>发展对受纳水体的水环境造成的压力。</w:t>
      </w:r>
    </w:p>
    <w:p>
      <w:pPr>
        <w:spacing w:line="520" w:lineRule="exact"/>
        <w:ind w:firstLine="480" w:firstLineChars="200"/>
        <w:rPr>
          <w:sz w:val="24"/>
          <w:szCs w:val="24"/>
        </w:rPr>
      </w:pPr>
      <w:r>
        <w:rPr>
          <w:sz w:val="24"/>
          <w:szCs w:val="24"/>
        </w:rPr>
        <w:t>（4）</w:t>
      </w:r>
      <w:r>
        <w:rPr>
          <w:rFonts w:hint="eastAsia"/>
          <w:sz w:val="24"/>
          <w:szCs w:val="24"/>
        </w:rPr>
        <w:t>项目的实施将有力地推动新乡市餐饮食材加工板块的快速发展，能够有效提升区域土地价值，增加就业岗位，吸引相关配合产业落户新乡。</w:t>
      </w:r>
    </w:p>
    <w:p>
      <w:pPr>
        <w:spacing w:line="520" w:lineRule="exact"/>
        <w:ind w:firstLine="480" w:firstLineChars="200"/>
        <w:rPr>
          <w:sz w:val="24"/>
          <w:szCs w:val="24"/>
        </w:rPr>
      </w:pPr>
      <w:r>
        <w:rPr>
          <w:rFonts w:hint="eastAsia"/>
          <w:sz w:val="24"/>
          <w:szCs w:val="24"/>
        </w:rPr>
        <w:t>（5）</w:t>
      </w:r>
      <w:r>
        <w:rPr>
          <w:sz w:val="24"/>
          <w:szCs w:val="24"/>
        </w:rPr>
        <w:t>项目的建设，有利于创造卫生、文明的城市环境。</w:t>
      </w:r>
    </w:p>
    <w:p>
      <w:pPr>
        <w:spacing w:line="520" w:lineRule="exact"/>
        <w:ind w:firstLine="480" w:firstLineChars="200"/>
        <w:rPr>
          <w:sz w:val="24"/>
          <w:szCs w:val="24"/>
        </w:rPr>
      </w:pPr>
      <w:r>
        <w:rPr>
          <w:rFonts w:hint="eastAsia"/>
          <w:sz w:val="24"/>
          <w:szCs w:val="24"/>
        </w:rPr>
        <w:t>（6）</w:t>
      </w:r>
      <w:r>
        <w:rPr>
          <w:sz w:val="24"/>
          <w:szCs w:val="24"/>
        </w:rPr>
        <w:t>工业企业方面可减少各工业企业分散进行污水处理所增加的投资和运行管理费，减轻企业负担。</w:t>
      </w:r>
    </w:p>
    <w:p>
      <w:pPr>
        <w:keepNext/>
        <w:keepLines/>
        <w:spacing w:line="520" w:lineRule="exact"/>
        <w:outlineLvl w:val="1"/>
        <w:rPr>
          <w:rFonts w:eastAsia="黑体"/>
          <w:bCs/>
          <w:sz w:val="28"/>
          <w:szCs w:val="28"/>
        </w:rPr>
      </w:pPr>
      <w:bookmarkStart w:id="247" w:name="_Toc27484"/>
      <w:r>
        <w:rPr>
          <w:rFonts w:eastAsia="黑体"/>
          <w:bCs/>
          <w:sz w:val="28"/>
          <w:szCs w:val="28"/>
        </w:rPr>
        <w:t>8.2 工程经济效益分析</w:t>
      </w:r>
      <w:bookmarkEnd w:id="247"/>
    </w:p>
    <w:p>
      <w:pPr>
        <w:spacing w:line="520" w:lineRule="exact"/>
        <w:ind w:firstLine="480" w:firstLineChars="200"/>
        <w:jc w:val="left"/>
        <w:rPr>
          <w:sz w:val="24"/>
          <w:szCs w:val="24"/>
        </w:rPr>
      </w:pPr>
      <w:r>
        <w:rPr>
          <w:sz w:val="24"/>
          <w:szCs w:val="24"/>
        </w:rPr>
        <w:t>本项目主要经济技术指标见表8.2-1。</w:t>
      </w:r>
    </w:p>
    <w:p>
      <w:pPr>
        <w:spacing w:line="520" w:lineRule="exact"/>
        <w:ind w:firstLine="480" w:firstLineChars="200"/>
        <w:jc w:val="left"/>
        <w:rPr>
          <w:sz w:val="24"/>
          <w:szCs w:val="24"/>
        </w:rPr>
      </w:pPr>
    </w:p>
    <w:p>
      <w:pPr>
        <w:spacing w:line="520" w:lineRule="exact"/>
        <w:ind w:firstLine="560" w:firstLineChars="200"/>
        <w:jc w:val="left"/>
        <w:rPr>
          <w:rFonts w:eastAsia="黑体"/>
          <w:sz w:val="28"/>
          <w:szCs w:val="28"/>
        </w:rPr>
      </w:pPr>
    </w:p>
    <w:p>
      <w:pPr>
        <w:spacing w:line="520" w:lineRule="exact"/>
        <w:ind w:firstLine="480" w:firstLineChars="200"/>
        <w:rPr>
          <w:rFonts w:eastAsia="黑体"/>
          <w:sz w:val="24"/>
          <w:szCs w:val="24"/>
        </w:rPr>
      </w:pPr>
      <w:r>
        <w:rPr>
          <w:rFonts w:eastAsia="黑体"/>
          <w:sz w:val="24"/>
          <w:szCs w:val="24"/>
        </w:rPr>
        <w:t>表8.2-1              本次工程主要经济指标一览表</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1"/>
        <w:gridCol w:w="2952"/>
        <w:gridCol w:w="1702"/>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序号</w:t>
            </w: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项目名称</w:t>
            </w:r>
          </w:p>
        </w:tc>
        <w:tc>
          <w:tcPr>
            <w:tcW w:w="951"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单位</w:t>
            </w:r>
          </w:p>
        </w:tc>
        <w:tc>
          <w:tcPr>
            <w:tcW w:w="1532" w:type="pct"/>
            <w:tcBorders>
              <w:top w:val="single" w:color="auto" w:sz="4" w:space="0"/>
              <w:left w:val="single" w:color="auto" w:sz="4" w:space="0"/>
              <w:bottom w:val="single" w:color="auto" w:sz="4" w:space="0"/>
              <w:right w:val="single" w:color="auto" w:sz="4" w:space="0"/>
            </w:tcBorders>
            <w:vAlign w:val="center"/>
          </w:tcPr>
          <w:p>
            <w:pPr>
              <w:jc w:val="center"/>
              <w:rPr>
                <w:b/>
                <w:bCs/>
                <w:szCs w:val="21"/>
              </w:rPr>
            </w:pPr>
            <w:r>
              <w:rPr>
                <w:b/>
                <w:bCs/>
                <w:szCs w:val="21"/>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restart"/>
            <w:tcBorders>
              <w:top w:val="single" w:color="auto" w:sz="4" w:space="0"/>
              <w:left w:val="single" w:color="auto" w:sz="4" w:space="0"/>
              <w:right w:val="single" w:color="auto" w:sz="4" w:space="0"/>
            </w:tcBorders>
            <w:vAlign w:val="center"/>
          </w:tcPr>
          <w:p>
            <w:pPr>
              <w:jc w:val="center"/>
              <w:rPr>
                <w:szCs w:val="21"/>
                <w:highlight w:val="yellow"/>
              </w:rPr>
            </w:pPr>
            <w:r>
              <w:rPr>
                <w:szCs w:val="21"/>
              </w:rPr>
              <w:t>1</w:t>
            </w: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项目总投资</w:t>
            </w:r>
          </w:p>
        </w:tc>
        <w:tc>
          <w:tcPr>
            <w:tcW w:w="95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万元</w:t>
            </w:r>
          </w:p>
        </w:tc>
        <w:tc>
          <w:tcPr>
            <w:tcW w:w="153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continue"/>
            <w:tcBorders>
              <w:left w:val="single" w:color="auto" w:sz="4" w:space="0"/>
              <w:right w:val="single" w:color="auto" w:sz="4" w:space="0"/>
            </w:tcBorders>
            <w:vAlign w:val="center"/>
          </w:tcPr>
          <w:p>
            <w:pPr>
              <w:jc w:val="center"/>
              <w:rPr>
                <w:szCs w:val="21"/>
                <w:highlight w:val="yellow"/>
              </w:rPr>
            </w:pP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固定资产投资</w:t>
            </w:r>
          </w:p>
        </w:tc>
        <w:tc>
          <w:tcPr>
            <w:tcW w:w="95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万元</w:t>
            </w:r>
          </w:p>
        </w:tc>
        <w:tc>
          <w:tcPr>
            <w:tcW w:w="153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continue"/>
            <w:tcBorders>
              <w:left w:val="single" w:color="auto" w:sz="4" w:space="0"/>
              <w:bottom w:val="single" w:color="auto" w:sz="4" w:space="0"/>
              <w:right w:val="single" w:color="auto" w:sz="4" w:space="0"/>
            </w:tcBorders>
            <w:vAlign w:val="center"/>
          </w:tcPr>
          <w:p>
            <w:pPr>
              <w:jc w:val="center"/>
              <w:rPr>
                <w:szCs w:val="21"/>
                <w:highlight w:val="yellow"/>
              </w:rPr>
            </w:pP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流动资金</w:t>
            </w:r>
          </w:p>
        </w:tc>
        <w:tc>
          <w:tcPr>
            <w:tcW w:w="95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万元</w:t>
            </w:r>
          </w:p>
        </w:tc>
        <w:tc>
          <w:tcPr>
            <w:tcW w:w="153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restart"/>
            <w:tcBorders>
              <w:left w:val="single" w:color="auto" w:sz="4" w:space="0"/>
              <w:right w:val="single" w:color="auto" w:sz="4" w:space="0"/>
            </w:tcBorders>
            <w:vAlign w:val="center"/>
          </w:tcPr>
          <w:p>
            <w:pPr>
              <w:jc w:val="center"/>
              <w:rPr>
                <w:szCs w:val="21"/>
                <w:highlight w:val="yellow"/>
              </w:rPr>
            </w:pPr>
            <w:r>
              <w:rPr>
                <w:rFonts w:hint="eastAsia"/>
                <w:szCs w:val="21"/>
              </w:rPr>
              <w:t>2</w:t>
            </w: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自筹资金</w:t>
            </w:r>
          </w:p>
        </w:tc>
        <w:tc>
          <w:tcPr>
            <w:tcW w:w="95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万元</w:t>
            </w:r>
          </w:p>
        </w:tc>
        <w:tc>
          <w:tcPr>
            <w:tcW w:w="153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7</w:t>
            </w:r>
            <w:r>
              <w:rPr>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vMerge w:val="continue"/>
            <w:tcBorders>
              <w:left w:val="single" w:color="auto" w:sz="4" w:space="0"/>
              <w:bottom w:val="single" w:color="auto" w:sz="4" w:space="0"/>
              <w:right w:val="single" w:color="auto" w:sz="4" w:space="0"/>
            </w:tcBorders>
            <w:vAlign w:val="center"/>
          </w:tcPr>
          <w:p>
            <w:pPr>
              <w:jc w:val="center"/>
              <w:rPr>
                <w:szCs w:val="21"/>
                <w:highlight w:val="yellow"/>
              </w:rPr>
            </w:pP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银行贷款</w:t>
            </w:r>
          </w:p>
        </w:tc>
        <w:tc>
          <w:tcPr>
            <w:tcW w:w="95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万元</w:t>
            </w:r>
          </w:p>
        </w:tc>
        <w:tc>
          <w:tcPr>
            <w:tcW w:w="153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2</w:t>
            </w:r>
            <w:r>
              <w:rPr>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年均销售收入</w:t>
            </w:r>
          </w:p>
        </w:tc>
        <w:tc>
          <w:tcPr>
            <w:tcW w:w="95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万元</w:t>
            </w:r>
          </w:p>
        </w:tc>
        <w:tc>
          <w:tcPr>
            <w:tcW w:w="153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13219.12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w:t>
            </w: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szCs w:val="21"/>
                <w:highlight w:val="yellow"/>
              </w:rPr>
            </w:pPr>
            <w:r>
              <w:rPr>
                <w:szCs w:val="21"/>
              </w:rPr>
              <w:t>年均总成本费用</w:t>
            </w:r>
          </w:p>
        </w:tc>
        <w:tc>
          <w:tcPr>
            <w:tcW w:w="95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万元</w:t>
            </w:r>
          </w:p>
        </w:tc>
        <w:tc>
          <w:tcPr>
            <w:tcW w:w="1532" w:type="pct"/>
            <w:tcBorders>
              <w:top w:val="single" w:color="auto" w:sz="4" w:space="0"/>
              <w:left w:val="single" w:color="auto" w:sz="4" w:space="0"/>
              <w:bottom w:val="single" w:color="auto" w:sz="4" w:space="0"/>
              <w:right w:val="single" w:color="auto" w:sz="4" w:space="0"/>
            </w:tcBorders>
            <w:vAlign w:val="center"/>
          </w:tcPr>
          <w:p>
            <w:pPr>
              <w:jc w:val="center"/>
              <w:rPr>
                <w:szCs w:val="21"/>
                <w:highlight w:val="yellow"/>
              </w:rPr>
            </w:pPr>
            <w:r>
              <w:rPr>
                <w:rFonts w:hint="eastAsia"/>
                <w:szCs w:val="21"/>
              </w:rPr>
              <w:t>7</w:t>
            </w:r>
            <w:r>
              <w:rPr>
                <w:szCs w:val="21"/>
              </w:rPr>
              <w:t>040.09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5</w:t>
            </w: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上交税金</w:t>
            </w:r>
          </w:p>
        </w:tc>
        <w:tc>
          <w:tcPr>
            <w:tcW w:w="95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万元</w:t>
            </w:r>
          </w:p>
        </w:tc>
        <w:tc>
          <w:tcPr>
            <w:tcW w:w="153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238.08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6</w:t>
            </w: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年均净利润</w:t>
            </w:r>
          </w:p>
        </w:tc>
        <w:tc>
          <w:tcPr>
            <w:tcW w:w="95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万元</w:t>
            </w:r>
          </w:p>
        </w:tc>
        <w:tc>
          <w:tcPr>
            <w:tcW w:w="153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4940.95</w:t>
            </w:r>
          </w:p>
        </w:tc>
      </w:tr>
      <w:tr>
        <w:tblPrEx>
          <w:tblCellMar>
            <w:top w:w="0" w:type="dxa"/>
            <w:left w:w="108" w:type="dxa"/>
            <w:bottom w:w="0" w:type="dxa"/>
            <w:right w:w="108" w:type="dxa"/>
          </w:tblCellMar>
        </w:tblPrEx>
        <w:trPr>
          <w:trHeight w:val="397" w:hRule="atLeast"/>
          <w:jc w:val="center"/>
        </w:trPr>
        <w:tc>
          <w:tcPr>
            <w:tcW w:w="8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7</w:t>
            </w: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投资利润率</w:t>
            </w:r>
          </w:p>
        </w:tc>
        <w:tc>
          <w:tcPr>
            <w:tcW w:w="95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w:t>
            </w:r>
          </w:p>
        </w:tc>
        <w:tc>
          <w:tcPr>
            <w:tcW w:w="153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8</w:t>
            </w: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投资回收期</w:t>
            </w:r>
            <w:r>
              <w:rPr>
                <w:rFonts w:hint="eastAsia"/>
                <w:szCs w:val="21"/>
              </w:rPr>
              <w:t>（含建设期）</w:t>
            </w:r>
          </w:p>
        </w:tc>
        <w:tc>
          <w:tcPr>
            <w:tcW w:w="95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年</w:t>
            </w:r>
          </w:p>
        </w:tc>
        <w:tc>
          <w:tcPr>
            <w:tcW w:w="1532" w:type="pct"/>
            <w:tcBorders>
              <w:top w:val="single" w:color="auto" w:sz="4" w:space="0"/>
              <w:left w:val="single" w:color="auto" w:sz="4" w:space="0"/>
              <w:bottom w:val="single" w:color="auto" w:sz="4" w:space="0"/>
              <w:right w:val="single" w:color="auto" w:sz="4" w:space="0"/>
            </w:tcBorders>
            <w:vAlign w:val="center"/>
          </w:tcPr>
          <w:p>
            <w:pPr>
              <w:jc w:val="center"/>
              <w:rPr>
                <w:szCs w:val="21"/>
                <w:highlight w:val="yellow"/>
              </w:rPr>
            </w:pPr>
            <w:r>
              <w:rPr>
                <w:szCs w:val="21"/>
              </w:rPr>
              <w:t>6.1</w:t>
            </w:r>
          </w:p>
        </w:tc>
      </w:tr>
    </w:tbl>
    <w:p>
      <w:pPr>
        <w:spacing w:line="520" w:lineRule="exact"/>
        <w:ind w:firstLine="480" w:firstLineChars="200"/>
        <w:jc w:val="left"/>
        <w:rPr>
          <w:sz w:val="24"/>
          <w:szCs w:val="24"/>
          <w:highlight w:val="yellow"/>
        </w:rPr>
      </w:pPr>
      <w:r>
        <w:rPr>
          <w:sz w:val="24"/>
          <w:szCs w:val="24"/>
        </w:rPr>
        <w:t>本项目总投资30000万元，年均净利润4940.95万元，6.1年后可收回投资开始盈利。从上述各项经济指标可以看出，工程投资产生的经济效益显著，企业具有较强的抗风险能力，项目建设投产后可获得较稳定的经济效益。</w:t>
      </w:r>
      <w:r>
        <w:rPr>
          <w:rFonts w:hint="eastAsia"/>
          <w:sz w:val="24"/>
          <w:szCs w:val="24"/>
        </w:rPr>
        <w:t>因此，</w:t>
      </w:r>
      <w:r>
        <w:rPr>
          <w:sz w:val="24"/>
          <w:szCs w:val="24"/>
        </w:rPr>
        <w:t>从经济角度考虑本项目的建设是可行的。</w:t>
      </w:r>
    </w:p>
    <w:p>
      <w:pPr>
        <w:keepNext/>
        <w:keepLines/>
        <w:spacing w:line="520" w:lineRule="exact"/>
        <w:outlineLvl w:val="1"/>
        <w:rPr>
          <w:rFonts w:eastAsia="黑体"/>
          <w:bCs/>
          <w:sz w:val="28"/>
          <w:szCs w:val="28"/>
        </w:rPr>
      </w:pPr>
      <w:bookmarkStart w:id="248" w:name="_Toc23467"/>
      <w:r>
        <w:rPr>
          <w:rFonts w:eastAsia="黑体"/>
          <w:bCs/>
          <w:sz w:val="28"/>
          <w:szCs w:val="28"/>
        </w:rPr>
        <w:t>8.3 工程环境损益分析</w:t>
      </w:r>
      <w:bookmarkEnd w:id="248"/>
    </w:p>
    <w:p>
      <w:pPr>
        <w:keepNext/>
        <w:keepLines/>
        <w:spacing w:line="520" w:lineRule="exact"/>
        <w:outlineLvl w:val="2"/>
        <w:rPr>
          <w:rFonts w:eastAsia="黑体"/>
          <w:sz w:val="28"/>
          <w:szCs w:val="28"/>
        </w:rPr>
      </w:pPr>
      <w:r>
        <w:rPr>
          <w:rFonts w:eastAsia="黑体"/>
          <w:sz w:val="28"/>
          <w:szCs w:val="28"/>
        </w:rPr>
        <w:t>8.3.1 工程环保设施及投资运转费用</w:t>
      </w:r>
    </w:p>
    <w:p>
      <w:pPr>
        <w:spacing w:line="520" w:lineRule="exact"/>
        <w:ind w:firstLine="482"/>
        <w:rPr>
          <w:sz w:val="24"/>
          <w:szCs w:val="24"/>
        </w:rPr>
      </w:pPr>
      <w:r>
        <w:rPr>
          <w:sz w:val="24"/>
          <w:szCs w:val="24"/>
        </w:rPr>
        <w:t>为确保污染物稳定达标排放，企业建设了一系列污染防治设施和风险防范设施，主要为废气治理设施、废水治理设施、噪声治理设施、风险防范设施，厂区防渗及绿化等工程。</w:t>
      </w:r>
    </w:p>
    <w:p>
      <w:pPr>
        <w:spacing w:line="520" w:lineRule="exact"/>
        <w:ind w:firstLine="482"/>
        <w:rPr>
          <w:rFonts w:eastAsia="黑体"/>
          <w:sz w:val="24"/>
          <w:szCs w:val="24"/>
        </w:rPr>
      </w:pPr>
      <w:r>
        <w:rPr>
          <w:sz w:val="24"/>
          <w:szCs w:val="24"/>
        </w:rPr>
        <w:t>本项目环保设施及风险防范设施投资共计1400万元，占工程总投资30000万元的4.7%。企业可以保障环保设施的正常运行及污染物的稳定达标排放。本项目环保设施及投资情况详见下表。</w:t>
      </w:r>
    </w:p>
    <w:p>
      <w:pPr>
        <w:tabs>
          <w:tab w:val="left" w:pos="670"/>
        </w:tabs>
        <w:spacing w:line="520" w:lineRule="exact"/>
        <w:ind w:firstLine="480" w:firstLineChars="200"/>
        <w:rPr>
          <w:rFonts w:eastAsia="黑体"/>
          <w:sz w:val="24"/>
          <w:szCs w:val="24"/>
        </w:rPr>
      </w:pPr>
      <w:r>
        <w:rPr>
          <w:rFonts w:eastAsia="黑体"/>
          <w:sz w:val="24"/>
          <w:szCs w:val="24"/>
        </w:rPr>
        <w:t>表8.3-1            本工程环保设施</w:t>
      </w:r>
      <w:r>
        <w:rPr>
          <w:rFonts w:hint="eastAsia" w:eastAsia="黑体"/>
          <w:sz w:val="24"/>
          <w:szCs w:val="24"/>
        </w:rPr>
        <w:t>投资</w:t>
      </w:r>
      <w:r>
        <w:rPr>
          <w:rFonts w:eastAsia="黑体"/>
          <w:sz w:val="24"/>
          <w:szCs w:val="24"/>
        </w:rPr>
        <w:t>一览表</w:t>
      </w:r>
    </w:p>
    <w:tbl>
      <w:tblPr>
        <w:tblStyle w:val="4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8"/>
        <w:gridCol w:w="673"/>
        <w:gridCol w:w="1556"/>
        <w:gridCol w:w="1640"/>
        <w:gridCol w:w="2980"/>
        <w:gridCol w:w="893"/>
        <w:gridCol w:w="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b/>
                <w:szCs w:val="21"/>
                <w:lang w:val="zh-CN" w:bidi="zh-CN"/>
              </w:rPr>
              <w:t>时期</w:t>
            </w:r>
          </w:p>
        </w:tc>
        <w:tc>
          <w:tcPr>
            <w:tcW w:w="3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b/>
                <w:szCs w:val="21"/>
                <w:lang w:val="zh-CN" w:bidi="zh-CN"/>
              </w:rPr>
              <w:t>类别</w:t>
            </w: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b/>
                <w:szCs w:val="21"/>
                <w:lang w:val="zh-CN" w:bidi="zh-CN"/>
              </w:rPr>
              <w:t>产污环节</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b/>
                <w:szCs w:val="21"/>
                <w:lang w:val="zh-CN" w:bidi="zh-CN"/>
              </w:rPr>
              <w:t>污染物</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b/>
                <w:szCs w:val="21"/>
                <w:lang w:val="zh-CN" w:bidi="zh-CN"/>
              </w:rPr>
              <w:t>治理措施</w:t>
            </w:r>
          </w:p>
        </w:tc>
        <w:tc>
          <w:tcPr>
            <w:tcW w:w="5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b/>
                <w:szCs w:val="21"/>
                <w:lang w:val="zh-CN" w:bidi="zh-CN"/>
              </w:rPr>
              <w:t>投资费用</w:t>
            </w:r>
            <w:r>
              <w:rPr>
                <w:rFonts w:hint="eastAsia"/>
                <w:b/>
                <w:szCs w:val="21"/>
                <w:lang w:val="zh-CN" w:bidi="zh-CN"/>
              </w:rPr>
              <w:t>/</w:t>
            </w:r>
            <w:r>
              <w:rPr>
                <w:b/>
                <w:szCs w:val="21"/>
                <w:lang w:val="zh-CN" w:bidi="zh-CN"/>
              </w:rPr>
              <w:t>万元</w:t>
            </w:r>
          </w:p>
        </w:tc>
        <w:tc>
          <w:tcPr>
            <w:tcW w:w="314"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lang w:val="zh-CN" w:bidi="zh-CN"/>
              </w:rPr>
            </w:pPr>
            <w:r>
              <w:rPr>
                <w:rFonts w:hint="eastAsia"/>
                <w:b/>
                <w:szCs w:val="21"/>
                <w:lang w:val="zh-CN" w:bidi="zh-CN"/>
              </w:rPr>
              <w:t>实施时段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施工期</w:t>
            </w:r>
          </w:p>
        </w:tc>
        <w:tc>
          <w:tcPr>
            <w:tcW w:w="385"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废气</w:t>
            </w: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施工扬尘</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颗粒物</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篷布覆盖、洒水抑尘等</w:t>
            </w:r>
          </w:p>
        </w:tc>
        <w:tc>
          <w:tcPr>
            <w:tcW w:w="510"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50</w:t>
            </w:r>
          </w:p>
        </w:tc>
        <w:tc>
          <w:tcPr>
            <w:tcW w:w="314"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bidi="zh-CN"/>
              </w:rPr>
              <w:t>与主体工程同时设计、同时施工、同时投入运行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85" w:type="pct"/>
            <w:vMerge w:val="continue"/>
            <w:tcBorders>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汽车尾气</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NOx、CO等</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加强施工管理，减少怠速等</w:t>
            </w:r>
          </w:p>
        </w:tc>
        <w:tc>
          <w:tcPr>
            <w:tcW w:w="510"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85"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废水</w:t>
            </w: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施工人员生活污水</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COD、BOD、悬浮物、氨氮、总氮、总磷等</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4"/>
                <w:lang w:val="zh-CN" w:bidi="zh-CN"/>
              </w:rPr>
              <w:t>化粪池处理后定期清运，不外排</w:t>
            </w:r>
          </w:p>
        </w:tc>
        <w:tc>
          <w:tcPr>
            <w:tcW w:w="510"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85" w:type="pct"/>
            <w:vMerge w:val="continue"/>
            <w:tcBorders>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施工废水</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SS等</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经沉淀池沉淀后回用</w:t>
            </w:r>
          </w:p>
        </w:tc>
        <w:tc>
          <w:tcPr>
            <w:tcW w:w="510"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85"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噪声</w:t>
            </w: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4"/>
                <w:lang w:val="zh-CN" w:bidi="zh-CN"/>
              </w:rPr>
            </w:pPr>
            <w:r>
              <w:rPr>
                <w:bCs/>
                <w:szCs w:val="24"/>
                <w:lang w:val="zh-CN" w:bidi="zh-CN"/>
              </w:rPr>
              <w:t>施工机械和运输车辆</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等效A声级</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选用低噪声设备，加强管理</w:t>
            </w:r>
          </w:p>
        </w:tc>
        <w:tc>
          <w:tcPr>
            <w:tcW w:w="510"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85"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固废</w:t>
            </w: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施工人员生活</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生活垃圾</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由环卫部门清运</w:t>
            </w:r>
          </w:p>
        </w:tc>
        <w:tc>
          <w:tcPr>
            <w:tcW w:w="510"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85" w:type="pct"/>
            <w:vMerge w:val="continue"/>
            <w:tcBorders>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8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施工过程</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建筑垃圾</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4"/>
                <w:lang w:val="zh-CN" w:bidi="zh-CN"/>
              </w:rPr>
              <w:t>尽量回收利用，不能回收的及时清运</w:t>
            </w:r>
          </w:p>
        </w:tc>
        <w:tc>
          <w:tcPr>
            <w:tcW w:w="510" w:type="pct"/>
            <w:vMerge w:val="continue"/>
            <w:tcBorders>
              <w:left w:val="single" w:color="000000" w:sz="8" w:space="0"/>
              <w:bottom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restar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营运期</w:t>
            </w:r>
          </w:p>
        </w:tc>
        <w:tc>
          <w:tcPr>
            <w:tcW w:w="385" w:type="pc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废气</w:t>
            </w:r>
          </w:p>
        </w:tc>
        <w:tc>
          <w:tcPr>
            <w:tcW w:w="889" w:type="pc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污水处理站</w:t>
            </w:r>
          </w:p>
        </w:tc>
        <w:tc>
          <w:tcPr>
            <w:tcW w:w="937"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氨、硫化氢、臭气浓度</w:t>
            </w:r>
          </w:p>
        </w:tc>
        <w:tc>
          <w:tcPr>
            <w:tcW w:w="1703" w:type="pc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bidi="zh-CN"/>
              </w:rPr>
              <w:t>产臭气</w:t>
            </w:r>
            <w:r>
              <w:rPr>
                <w:bCs/>
                <w:szCs w:val="21"/>
                <w:lang w:bidi="zh-CN"/>
              </w:rPr>
              <w:t>处理单元加盖密闭</w:t>
            </w:r>
            <w:r>
              <w:rPr>
                <w:rFonts w:hint="eastAsia"/>
                <w:bCs/>
                <w:szCs w:val="21"/>
                <w:lang w:bidi="zh-CN"/>
              </w:rPr>
              <w:t>+</w:t>
            </w:r>
            <w:r>
              <w:rPr>
                <w:bCs/>
                <w:szCs w:val="21"/>
                <w:lang w:bidi="zh-CN"/>
              </w:rPr>
              <w:t>负压收集管道</w:t>
            </w:r>
            <w:r>
              <w:rPr>
                <w:rFonts w:hint="eastAsia"/>
                <w:bCs/>
                <w:szCs w:val="21"/>
                <w:lang w:bidi="zh-CN"/>
              </w:rPr>
              <w:t>+洗涤除臭装置（碱喷淋+生物除臭剂喷淋）+</w:t>
            </w:r>
            <w:r>
              <w:rPr>
                <w:bCs/>
                <w:szCs w:val="21"/>
                <w:lang w:val="zh-CN" w:bidi="zh-CN"/>
              </w:rPr>
              <w:t>1根15m高排气筒</w:t>
            </w:r>
            <w:r>
              <w:rPr>
                <w:rFonts w:hint="eastAsia"/>
                <w:bCs/>
                <w:szCs w:val="21"/>
                <w:lang w:val="zh-CN" w:bidi="zh-CN"/>
              </w:rPr>
              <w:t>P</w:t>
            </w:r>
            <w:r>
              <w:rPr>
                <w:bCs/>
                <w:szCs w:val="21"/>
                <w:lang w:val="zh-CN" w:bidi="zh-CN"/>
              </w:rPr>
              <w:t>1</w:t>
            </w:r>
          </w:p>
        </w:tc>
        <w:tc>
          <w:tcPr>
            <w:tcW w:w="510" w:type="pct"/>
            <w:tcBorders>
              <w:top w:val="single" w:color="000000" w:sz="8" w:space="0"/>
              <w:left w:val="single" w:color="000000" w:sz="8"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110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bCs/>
                <w:szCs w:val="21"/>
                <w:lang w:val="zh-CN" w:bidi="zh-CN"/>
              </w:rPr>
              <w:t>废水</w:t>
            </w:r>
          </w:p>
        </w:tc>
        <w:tc>
          <w:tcPr>
            <w:tcW w:w="889"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rFonts w:hint="eastAsia"/>
                <w:bCs/>
                <w:szCs w:val="24"/>
                <w:lang w:val="zh-CN" w:bidi="zh-CN"/>
              </w:rPr>
              <w:t>入驻园区企业综合废水</w:t>
            </w:r>
          </w:p>
        </w:tc>
        <w:tc>
          <w:tcPr>
            <w:tcW w:w="937"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color w:val="000000"/>
                <w:szCs w:val="24"/>
                <w:lang w:val="zh-CN" w:bidi="zh-CN"/>
              </w:rPr>
              <w:t>COD</w:t>
            </w:r>
            <w:r>
              <w:rPr>
                <w:rFonts w:hAnsi="宋体"/>
                <w:color w:val="000000"/>
                <w:szCs w:val="24"/>
                <w:lang w:val="zh-CN" w:bidi="zh-CN"/>
              </w:rPr>
              <w:t>、</w:t>
            </w:r>
            <w:r>
              <w:rPr>
                <w:color w:val="000000"/>
                <w:szCs w:val="24"/>
                <w:lang w:val="zh-CN" w:bidi="zh-CN"/>
              </w:rPr>
              <w:t>SS</w:t>
            </w:r>
            <w:r>
              <w:rPr>
                <w:rFonts w:hint="eastAsia"/>
                <w:color w:val="000000"/>
                <w:szCs w:val="24"/>
                <w:lang w:val="zh-CN" w:bidi="zh-CN"/>
              </w:rPr>
              <w:t>、B</w:t>
            </w:r>
            <w:r>
              <w:rPr>
                <w:color w:val="000000"/>
                <w:szCs w:val="24"/>
                <w:lang w:val="zh-CN" w:bidi="zh-CN"/>
              </w:rPr>
              <w:t>OD</w:t>
            </w:r>
            <w:r>
              <w:rPr>
                <w:color w:val="000000"/>
                <w:szCs w:val="24"/>
                <w:vertAlign w:val="subscript"/>
                <w:lang w:val="zh-CN" w:bidi="zh-CN"/>
              </w:rPr>
              <w:t>5</w:t>
            </w:r>
            <w:r>
              <w:rPr>
                <w:rFonts w:hint="eastAsia"/>
                <w:color w:val="000000"/>
                <w:szCs w:val="24"/>
                <w:lang w:val="zh-CN" w:bidi="zh-CN"/>
              </w:rPr>
              <w:t>、</w:t>
            </w:r>
            <w:r>
              <w:rPr>
                <w:color w:val="000000"/>
                <w:szCs w:val="24"/>
                <w:lang w:val="zh-CN" w:bidi="zh-CN"/>
              </w:rPr>
              <w:t>NH</w:t>
            </w:r>
            <w:r>
              <w:rPr>
                <w:color w:val="000000"/>
                <w:szCs w:val="24"/>
                <w:vertAlign w:val="subscript"/>
                <w:lang w:val="zh-CN" w:bidi="zh-CN"/>
              </w:rPr>
              <w:t>3</w:t>
            </w:r>
            <w:r>
              <w:rPr>
                <w:color w:val="000000"/>
                <w:szCs w:val="24"/>
                <w:lang w:val="zh-CN" w:bidi="zh-CN"/>
              </w:rPr>
              <w:t>-N</w:t>
            </w:r>
            <w:r>
              <w:rPr>
                <w:rFonts w:hint="eastAsia"/>
                <w:color w:val="000000"/>
                <w:szCs w:val="24"/>
                <w:lang w:val="zh-CN" w:bidi="zh-CN"/>
              </w:rPr>
              <w:t>、TP、TN、动植物油</w:t>
            </w:r>
          </w:p>
        </w:tc>
        <w:tc>
          <w:tcPr>
            <w:tcW w:w="1703" w:type="pc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highlight w:val="yellow"/>
                <w:lang w:bidi="zh-CN"/>
              </w:rPr>
            </w:pPr>
            <w:r>
              <w:rPr>
                <w:rFonts w:hint="eastAsia"/>
                <w:bCs/>
                <w:szCs w:val="21"/>
                <w:lang w:bidi="zh-CN"/>
              </w:rPr>
              <w:t>经园区污水处理站（格栅+集水池+超微过滤机+初沉池+调节池+水解酸化池+厌氧池+缺氧池+好氧池+二沉池+三沉池）处理后排入原阳县产业集聚区污水处理厂进一步处理</w:t>
            </w:r>
          </w:p>
        </w:tc>
        <w:tc>
          <w:tcPr>
            <w:tcW w:w="510" w:type="pc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1000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vMerge w:val="restar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bCs/>
                <w:szCs w:val="21"/>
                <w:lang w:val="zh-CN" w:bidi="zh-CN"/>
              </w:rPr>
              <w:t>固废</w:t>
            </w:r>
          </w:p>
        </w:tc>
        <w:tc>
          <w:tcPr>
            <w:tcW w:w="889"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rFonts w:hint="eastAsia"/>
                <w:bCs/>
                <w:szCs w:val="24"/>
                <w:lang w:val="zh-CN" w:bidi="zh-CN"/>
              </w:rPr>
              <w:t>格栅、超微过滤机</w:t>
            </w:r>
          </w:p>
        </w:tc>
        <w:tc>
          <w:tcPr>
            <w:tcW w:w="937"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rFonts w:hint="eastAsia"/>
                <w:bCs/>
                <w:szCs w:val="24"/>
                <w:lang w:val="zh-CN" w:bidi="zh-CN"/>
              </w:rPr>
              <w:t>废渣</w:t>
            </w:r>
          </w:p>
        </w:tc>
        <w:tc>
          <w:tcPr>
            <w:tcW w:w="1703" w:type="pct"/>
            <w:tcBorders>
              <w:top w:val="single" w:color="auto" w:sz="4" w:space="0"/>
              <w:left w:val="single" w:color="000000" w:sz="8" w:space="0"/>
              <w:bottom w:val="single" w:color="auto" w:sz="4" w:space="0"/>
              <w:right w:val="single" w:color="000000" w:sz="8" w:space="0"/>
            </w:tcBorders>
            <w:shd w:val="clear" w:color="auto" w:fill="FFFFFF"/>
            <w:vAlign w:val="center"/>
          </w:tcPr>
          <w:p>
            <w:pPr>
              <w:spacing w:line="300" w:lineRule="exact"/>
              <w:jc w:val="center"/>
              <w:rPr>
                <w:bCs/>
                <w:szCs w:val="21"/>
                <w:highlight w:val="yellow"/>
                <w:lang w:bidi="zh-CN"/>
              </w:rPr>
            </w:pPr>
            <w:r>
              <w:rPr>
                <w:rFonts w:hint="eastAsia"/>
                <w:bCs/>
                <w:szCs w:val="24"/>
                <w:lang w:bidi="zh-CN"/>
              </w:rPr>
              <w:t>一般固废间暂存后经垃圾车拉走</w:t>
            </w:r>
          </w:p>
        </w:tc>
        <w:tc>
          <w:tcPr>
            <w:tcW w:w="510" w:type="pct"/>
            <w:vMerge w:val="restar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highlight w:val="yellow"/>
                <w:lang w:bidi="zh-CN"/>
              </w:rPr>
            </w:pPr>
            <w:r>
              <w:rPr>
                <w:rFonts w:hint="eastAsia"/>
                <w:bCs/>
                <w:szCs w:val="21"/>
                <w:lang w:bidi="zh-CN"/>
              </w:rPr>
              <w:t>1</w:t>
            </w:r>
            <w:r>
              <w:rPr>
                <w:bCs/>
                <w:szCs w:val="21"/>
                <w:lang w:bidi="zh-CN"/>
              </w:rPr>
              <w:t>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889"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rFonts w:hint="eastAsia" w:ascii="宋体" w:hAnsi="宋体" w:cs="宋体"/>
                <w:bCs/>
                <w:szCs w:val="24"/>
                <w:lang w:val="zh-CN" w:bidi="zh-CN"/>
              </w:rPr>
              <w:t>污泥脱水间</w:t>
            </w:r>
          </w:p>
        </w:tc>
        <w:tc>
          <w:tcPr>
            <w:tcW w:w="937" w:type="pct"/>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rFonts w:hint="eastAsia"/>
                <w:bCs/>
                <w:szCs w:val="24"/>
                <w:lang w:val="zh-CN" w:bidi="zh-CN"/>
              </w:rPr>
              <w:t>污泥</w:t>
            </w:r>
          </w:p>
        </w:tc>
        <w:tc>
          <w:tcPr>
            <w:tcW w:w="1703" w:type="pct"/>
            <w:tcBorders>
              <w:top w:val="single" w:color="auto" w:sz="4" w:space="0"/>
              <w:left w:val="single" w:color="000000" w:sz="8" w:space="0"/>
              <w:bottom w:val="single" w:color="auto" w:sz="4" w:space="0"/>
              <w:right w:val="single" w:color="000000" w:sz="8" w:space="0"/>
            </w:tcBorders>
            <w:shd w:val="clear" w:color="auto" w:fill="FFFFFF"/>
            <w:vAlign w:val="center"/>
          </w:tcPr>
          <w:p>
            <w:pPr>
              <w:spacing w:line="300" w:lineRule="exact"/>
              <w:jc w:val="center"/>
              <w:rPr>
                <w:bCs/>
                <w:szCs w:val="21"/>
                <w:highlight w:val="yellow"/>
                <w:lang w:val="zh-CN" w:bidi="zh-CN"/>
              </w:rPr>
            </w:pPr>
            <w:r>
              <w:rPr>
                <w:rFonts w:hint="eastAsia"/>
                <w:bCs/>
                <w:szCs w:val="24"/>
                <w:lang w:bidi="zh-CN"/>
              </w:rPr>
              <w:t>污泥暂存间暂存后交由污泥处置单位处置</w:t>
            </w:r>
          </w:p>
        </w:tc>
        <w:tc>
          <w:tcPr>
            <w:tcW w:w="510"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bidi="zh-CN"/>
              </w:rPr>
            </w:pP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噪声</w:t>
            </w:r>
          </w:p>
        </w:tc>
        <w:tc>
          <w:tcPr>
            <w:tcW w:w="889" w:type="pct"/>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bidi="zh-CN"/>
              </w:rPr>
              <w:t>风机、超微过滤机、泵类、叠螺污泥脱水机等</w:t>
            </w:r>
          </w:p>
        </w:tc>
        <w:tc>
          <w:tcPr>
            <w:tcW w:w="937" w:type="pct"/>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val="zh-CN" w:bidi="zh-CN"/>
              </w:rPr>
              <w:t>机械噪声</w:t>
            </w:r>
          </w:p>
        </w:tc>
        <w:tc>
          <w:tcPr>
            <w:tcW w:w="1703" w:type="pct"/>
            <w:tcBorders>
              <w:left w:val="single" w:color="000000" w:sz="8" w:space="0"/>
              <w:bottom w:val="single" w:color="auto" w:sz="4" w:space="0"/>
              <w:right w:val="single" w:color="000000" w:sz="8" w:space="0"/>
            </w:tcBorders>
            <w:shd w:val="clear" w:color="auto" w:fill="FFFFFF"/>
            <w:vAlign w:val="center"/>
          </w:tcPr>
          <w:p>
            <w:pPr>
              <w:spacing w:line="300" w:lineRule="exact"/>
              <w:jc w:val="center"/>
              <w:rPr>
                <w:bCs/>
                <w:szCs w:val="21"/>
                <w:lang w:bidi="zh-CN"/>
              </w:rPr>
            </w:pPr>
            <w:r>
              <w:rPr>
                <w:bCs/>
                <w:szCs w:val="21"/>
                <w:lang w:val="zh-CN" w:bidi="zh-CN"/>
              </w:rPr>
              <w:t>减震基础、装消音器、吸音材料等</w:t>
            </w:r>
          </w:p>
        </w:tc>
        <w:tc>
          <w:tcPr>
            <w:tcW w:w="510" w:type="pct"/>
            <w:tcBorders>
              <w:top w:val="single" w:color="auto" w:sz="4" w:space="0"/>
              <w:left w:val="single" w:color="000000" w:sz="8" w:space="0"/>
              <w:bottom w:val="single" w:color="auto" w:sz="4"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土壤和地下水</w:t>
            </w:r>
          </w:p>
        </w:tc>
        <w:tc>
          <w:tcPr>
            <w:tcW w:w="3529" w:type="pct"/>
            <w:gridSpan w:val="3"/>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加强厂区各重点防渗单元检查，采取地面硬化、分区防渗等措施；厂区绿化；土壤和地下水跟踪监测</w:t>
            </w:r>
          </w:p>
        </w:tc>
        <w:tc>
          <w:tcPr>
            <w:tcW w:w="510" w:type="pct"/>
            <w:tcBorders>
              <w:top w:val="single" w:color="auto" w:sz="4" w:space="0"/>
              <w:left w:val="single" w:color="000000" w:sz="8" w:space="0"/>
              <w:bottom w:val="single" w:color="auto" w:sz="4"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50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风险</w:t>
            </w:r>
          </w:p>
        </w:tc>
        <w:tc>
          <w:tcPr>
            <w:tcW w:w="3529" w:type="pct"/>
            <w:gridSpan w:val="3"/>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bCs/>
                <w:szCs w:val="21"/>
                <w:lang w:val="zh-CN" w:bidi="zh-CN"/>
              </w:rPr>
              <w:t>消防灭火系统；</w:t>
            </w:r>
            <w:r>
              <w:rPr>
                <w:bCs/>
                <w:spacing w:val="-8"/>
                <w:szCs w:val="21"/>
                <w:lang w:val="zh-CN" w:bidi="zh-CN"/>
              </w:rPr>
              <w:t>防爆电机、防爆电器、监控等；其他人员防护、消防设施、备用电源；</w:t>
            </w:r>
            <w:r>
              <w:rPr>
                <w:bCs/>
                <w:szCs w:val="21"/>
                <w:lang w:val="zh-CN" w:bidi="zh-CN"/>
              </w:rPr>
              <w:t>制定事故应急预案及定期演练</w:t>
            </w:r>
          </w:p>
        </w:tc>
        <w:tc>
          <w:tcPr>
            <w:tcW w:w="510" w:type="pc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140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vMerge w:val="restart"/>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val="zh-CN" w:bidi="zh-CN"/>
              </w:rPr>
              <w:t>监控</w:t>
            </w:r>
          </w:p>
        </w:tc>
        <w:tc>
          <w:tcPr>
            <w:tcW w:w="3529" w:type="pct"/>
            <w:gridSpan w:val="3"/>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bidi="zh-CN"/>
              </w:rPr>
              <w:t>废水总排口安装在线监测设备（流量、p</w:t>
            </w:r>
            <w:r>
              <w:rPr>
                <w:bCs/>
                <w:szCs w:val="21"/>
                <w:lang w:bidi="zh-CN"/>
              </w:rPr>
              <w:t>H</w:t>
            </w:r>
            <w:r>
              <w:rPr>
                <w:rFonts w:hint="eastAsia"/>
                <w:bCs/>
                <w:szCs w:val="21"/>
                <w:lang w:bidi="zh-CN"/>
              </w:rPr>
              <w:t>、COD、氨氮、TP、T</w:t>
            </w:r>
            <w:r>
              <w:rPr>
                <w:bCs/>
                <w:szCs w:val="21"/>
                <w:lang w:bidi="zh-CN"/>
              </w:rPr>
              <w:t>N</w:t>
            </w:r>
            <w:r>
              <w:rPr>
                <w:rFonts w:hint="eastAsia"/>
                <w:bCs/>
                <w:szCs w:val="21"/>
                <w:lang w:bidi="zh-CN"/>
              </w:rPr>
              <w:t>），并与环保部门联网</w:t>
            </w:r>
          </w:p>
        </w:tc>
        <w:tc>
          <w:tcPr>
            <w:tcW w:w="510" w:type="pc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529" w:type="pct"/>
            <w:gridSpan w:val="3"/>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bidi="zh-CN"/>
              </w:rPr>
              <w:t>主要污染物排放口、监测取样处安装视频监控，并与市局联网</w:t>
            </w:r>
          </w:p>
        </w:tc>
        <w:tc>
          <w:tcPr>
            <w:tcW w:w="510" w:type="pc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62"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val="zh-CN" w:bidi="zh-CN"/>
              </w:rPr>
            </w:pPr>
          </w:p>
        </w:tc>
        <w:tc>
          <w:tcPr>
            <w:tcW w:w="385" w:type="pct"/>
            <w:vMerge w:val="continue"/>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p>
        </w:tc>
        <w:tc>
          <w:tcPr>
            <w:tcW w:w="3529" w:type="pct"/>
            <w:gridSpan w:val="3"/>
            <w:tcBorders>
              <w:left w:val="single" w:color="000000" w:sz="8" w:space="0"/>
              <w:right w:val="single" w:color="000000" w:sz="8" w:space="0"/>
            </w:tcBorders>
            <w:shd w:val="clear" w:color="auto" w:fill="FFFFFF"/>
            <w:vAlign w:val="center"/>
          </w:tcPr>
          <w:p>
            <w:pPr>
              <w:spacing w:line="300" w:lineRule="exact"/>
              <w:jc w:val="center"/>
              <w:rPr>
                <w:bCs/>
                <w:szCs w:val="21"/>
                <w:lang w:val="zh-CN" w:bidi="zh-CN"/>
              </w:rPr>
            </w:pPr>
            <w:r>
              <w:rPr>
                <w:rFonts w:hint="eastAsia"/>
                <w:bCs/>
                <w:szCs w:val="21"/>
                <w:lang w:bidi="zh-CN"/>
              </w:rPr>
              <w:t>总用电处、新增主要生产设施和污染治理设施处安装用电监控设施</w:t>
            </w:r>
          </w:p>
        </w:tc>
        <w:tc>
          <w:tcPr>
            <w:tcW w:w="510" w:type="pct"/>
            <w:tcBorders>
              <w:top w:val="single" w:color="auto" w:sz="4" w:space="0"/>
              <w:left w:val="single" w:color="000000" w:sz="8" w:space="0"/>
              <w:right w:val="single" w:color="000000" w:sz="8" w:space="0"/>
            </w:tcBorders>
            <w:shd w:val="clear" w:color="auto" w:fill="FFFFFF"/>
            <w:vAlign w:val="center"/>
          </w:tcPr>
          <w:p>
            <w:pPr>
              <w:spacing w:line="300" w:lineRule="exact"/>
              <w:jc w:val="center"/>
              <w:rPr>
                <w:bCs/>
                <w:szCs w:val="21"/>
                <w:lang w:bidi="zh-CN"/>
              </w:rPr>
            </w:pPr>
            <w:r>
              <w:rPr>
                <w:bCs/>
                <w:szCs w:val="21"/>
                <w:lang w:bidi="zh-CN"/>
              </w:rPr>
              <w:t>10</w:t>
            </w:r>
          </w:p>
        </w:tc>
        <w:tc>
          <w:tcPr>
            <w:tcW w:w="314" w:type="pct"/>
            <w:vMerge w:val="continue"/>
            <w:tcBorders>
              <w:left w:val="single" w:color="000000" w:sz="8" w:space="0"/>
              <w:right w:val="single" w:color="000000" w:sz="8" w:space="0"/>
            </w:tcBorders>
            <w:shd w:val="clear" w:color="auto" w:fill="FFFFFF"/>
            <w:vAlign w:val="center"/>
          </w:tcPr>
          <w:p>
            <w:pPr>
              <w:spacing w:line="300" w:lineRule="exact"/>
              <w:jc w:val="center"/>
              <w:rPr>
                <w:b/>
                <w:szCs w:val="21"/>
                <w:highlight w:val="yellow"/>
                <w:u w:val="single"/>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75" w:type="pct"/>
            <w:gridSpan w:val="5"/>
            <w:tcBorders>
              <w:left w:val="single" w:color="000000" w:sz="8" w:space="0"/>
              <w:right w:val="single" w:color="000000" w:sz="8" w:space="0"/>
            </w:tcBorders>
            <w:shd w:val="clear" w:color="auto" w:fill="FFFFFF"/>
            <w:vAlign w:val="center"/>
          </w:tcPr>
          <w:p>
            <w:pPr>
              <w:spacing w:line="300" w:lineRule="exact"/>
              <w:jc w:val="center"/>
              <w:rPr>
                <w:bCs/>
                <w:szCs w:val="21"/>
                <w:highlight w:val="yellow"/>
                <w:lang w:val="zh-CN" w:bidi="zh-CN"/>
              </w:rPr>
            </w:pPr>
            <w:r>
              <w:rPr>
                <w:bCs/>
                <w:szCs w:val="21"/>
                <w:lang w:val="zh-CN" w:bidi="zh-CN"/>
              </w:rPr>
              <w:t>合计</w:t>
            </w:r>
          </w:p>
        </w:tc>
        <w:tc>
          <w:tcPr>
            <w:tcW w:w="510" w:type="pct"/>
            <w:tcBorders>
              <w:top w:val="single" w:color="auto" w:sz="4" w:space="0"/>
              <w:left w:val="single" w:color="000000" w:sz="8" w:space="0"/>
              <w:bottom w:val="single" w:color="auto" w:sz="4" w:space="0"/>
              <w:right w:val="single" w:color="000000" w:sz="8" w:space="0"/>
            </w:tcBorders>
            <w:shd w:val="clear" w:color="auto" w:fill="FFFFFF"/>
            <w:vAlign w:val="center"/>
          </w:tcPr>
          <w:p>
            <w:pPr>
              <w:spacing w:line="300" w:lineRule="exact"/>
              <w:jc w:val="center"/>
              <w:rPr>
                <w:bCs/>
                <w:szCs w:val="21"/>
                <w:highlight w:val="yellow"/>
                <w:lang w:bidi="zh-CN"/>
              </w:rPr>
            </w:pPr>
            <w:r>
              <w:rPr>
                <w:rFonts w:hint="eastAsia"/>
                <w:bCs/>
                <w:szCs w:val="21"/>
                <w:lang w:bidi="zh-CN"/>
              </w:rPr>
              <w:t>1</w:t>
            </w:r>
            <w:r>
              <w:rPr>
                <w:bCs/>
                <w:szCs w:val="21"/>
                <w:lang w:bidi="zh-CN"/>
              </w:rPr>
              <w:t>400</w:t>
            </w:r>
          </w:p>
        </w:tc>
        <w:tc>
          <w:tcPr>
            <w:tcW w:w="314" w:type="pct"/>
            <w:vMerge w:val="continue"/>
            <w:tcBorders>
              <w:left w:val="single" w:color="000000" w:sz="8" w:space="0"/>
              <w:bottom w:val="single" w:color="auto" w:sz="4" w:space="0"/>
              <w:right w:val="single" w:color="000000" w:sz="8" w:space="0"/>
            </w:tcBorders>
            <w:shd w:val="clear" w:color="auto" w:fill="FFFFFF"/>
            <w:vAlign w:val="center"/>
          </w:tcPr>
          <w:p>
            <w:pPr>
              <w:spacing w:line="300" w:lineRule="exact"/>
              <w:jc w:val="center"/>
              <w:rPr>
                <w:b/>
                <w:szCs w:val="21"/>
                <w:highlight w:val="yellow"/>
                <w:u w:val="single"/>
                <w:lang w:bidi="zh-CN"/>
              </w:rPr>
            </w:pPr>
          </w:p>
        </w:tc>
      </w:tr>
    </w:tbl>
    <w:p>
      <w:pPr>
        <w:tabs>
          <w:tab w:val="left" w:pos="670"/>
        </w:tabs>
        <w:spacing w:line="520" w:lineRule="exact"/>
        <w:ind w:firstLine="480" w:firstLineChars="200"/>
        <w:rPr>
          <w:rFonts w:eastAsia="黑体"/>
          <w:sz w:val="24"/>
          <w:szCs w:val="24"/>
        </w:rPr>
      </w:pPr>
    </w:p>
    <w:p>
      <w:pPr>
        <w:keepNext/>
        <w:keepLines/>
        <w:spacing w:line="520" w:lineRule="exact"/>
        <w:outlineLvl w:val="2"/>
        <w:rPr>
          <w:rFonts w:eastAsia="黑体"/>
          <w:sz w:val="28"/>
          <w:szCs w:val="28"/>
        </w:rPr>
      </w:pPr>
      <w:r>
        <w:rPr>
          <w:rFonts w:eastAsia="黑体"/>
          <w:sz w:val="28"/>
          <w:szCs w:val="28"/>
        </w:rPr>
        <w:t xml:space="preserve">8.3.2 </w:t>
      </w:r>
      <w:r>
        <w:rPr>
          <w:rFonts w:hint="eastAsia" w:eastAsia="黑体"/>
          <w:sz w:val="28"/>
          <w:szCs w:val="28"/>
        </w:rPr>
        <w:t>环保运行费用估算</w:t>
      </w:r>
    </w:p>
    <w:p>
      <w:pPr>
        <w:tabs>
          <w:tab w:val="left" w:pos="670"/>
        </w:tabs>
        <w:spacing w:line="520" w:lineRule="exact"/>
        <w:ind w:firstLine="480" w:firstLineChars="200"/>
        <w:rPr>
          <w:sz w:val="24"/>
          <w:szCs w:val="24"/>
        </w:rPr>
      </w:pPr>
      <w:r>
        <w:rPr>
          <w:sz w:val="24"/>
          <w:szCs w:val="24"/>
        </w:rPr>
        <w:t>工程完成后项目环保运行费用主要包括环保设备的维修费、折旧费、环保管理及其他费用，成本费用主要包括原辅材料消耗费，动力消耗费及人员工资，福利等。设备的折旧年限为15年，设备的修理费为1.5%。为使项目环保治理设施正常运行，并达到预期的治理效果，环保运行费用估算：</w:t>
      </w:r>
    </w:p>
    <w:p>
      <w:pPr>
        <w:tabs>
          <w:tab w:val="left" w:pos="670"/>
        </w:tabs>
        <w:spacing w:line="520" w:lineRule="exact"/>
        <w:ind w:firstLine="480" w:firstLineChars="200"/>
        <w:outlineLvl w:val="3"/>
        <w:rPr>
          <w:sz w:val="24"/>
          <w:szCs w:val="24"/>
        </w:rPr>
      </w:pPr>
      <w:r>
        <w:rPr>
          <w:sz w:val="24"/>
          <w:szCs w:val="24"/>
        </w:rPr>
        <w:t>（1）环保设施运营费及修理费</w:t>
      </w:r>
    </w:p>
    <w:p>
      <w:pPr>
        <w:tabs>
          <w:tab w:val="left" w:pos="670"/>
        </w:tabs>
        <w:spacing w:line="520" w:lineRule="exact"/>
        <w:ind w:firstLine="480" w:firstLineChars="200"/>
        <w:rPr>
          <w:bCs/>
          <w:sz w:val="24"/>
          <w:szCs w:val="24"/>
        </w:rPr>
      </w:pPr>
      <w:r>
        <w:rPr>
          <w:rFonts w:hint="eastAsia"/>
          <w:sz w:val="24"/>
          <w:szCs w:val="24"/>
        </w:rPr>
        <w:t>根据防污减污措施评价，本项目污染防治措施的运行费用主要为污水站运行费、废气治理设施运行费用。运营费用按照环保总投资的</w:t>
      </w:r>
      <w:r>
        <w:rPr>
          <w:sz w:val="24"/>
          <w:szCs w:val="24"/>
        </w:rPr>
        <w:t>20%</w:t>
      </w:r>
      <w:r>
        <w:rPr>
          <w:rFonts w:hint="eastAsia"/>
          <w:sz w:val="24"/>
          <w:szCs w:val="24"/>
        </w:rPr>
        <w:t>估算，设备的修理费用按照环保总投资的</w:t>
      </w:r>
      <w:r>
        <w:rPr>
          <w:sz w:val="24"/>
          <w:szCs w:val="24"/>
        </w:rPr>
        <w:t>2.5%</w:t>
      </w:r>
      <w:r>
        <w:rPr>
          <w:rFonts w:hint="eastAsia"/>
          <w:sz w:val="24"/>
          <w:szCs w:val="24"/>
        </w:rPr>
        <w:t>估算，</w:t>
      </w:r>
      <w:r>
        <w:rPr>
          <w:rFonts w:hint="eastAsia"/>
          <w:bCs/>
          <w:sz w:val="24"/>
          <w:szCs w:val="24"/>
        </w:rPr>
        <w:t>则项目环保设施运营费用约为</w:t>
      </w:r>
      <w:r>
        <w:rPr>
          <w:bCs/>
          <w:sz w:val="24"/>
          <w:szCs w:val="24"/>
        </w:rPr>
        <w:t>280</w:t>
      </w:r>
      <w:r>
        <w:rPr>
          <w:rFonts w:hint="eastAsia"/>
          <w:bCs/>
          <w:sz w:val="24"/>
          <w:szCs w:val="24"/>
        </w:rPr>
        <w:t>万元，环保设备的修理费约为</w:t>
      </w:r>
      <w:r>
        <w:rPr>
          <w:bCs/>
          <w:sz w:val="24"/>
          <w:szCs w:val="24"/>
        </w:rPr>
        <w:t>3</w:t>
      </w:r>
      <w:r>
        <w:rPr>
          <w:rFonts w:hint="eastAsia"/>
          <w:bCs/>
          <w:sz w:val="24"/>
          <w:szCs w:val="24"/>
        </w:rPr>
        <w:t>5万元。</w:t>
      </w:r>
    </w:p>
    <w:p>
      <w:pPr>
        <w:tabs>
          <w:tab w:val="left" w:pos="670"/>
        </w:tabs>
        <w:spacing w:line="520" w:lineRule="exact"/>
        <w:ind w:firstLine="480" w:firstLineChars="200"/>
        <w:outlineLvl w:val="3"/>
        <w:rPr>
          <w:sz w:val="24"/>
          <w:szCs w:val="24"/>
        </w:rPr>
      </w:pPr>
      <w:r>
        <w:rPr>
          <w:rFonts w:hint="eastAsia"/>
          <w:sz w:val="24"/>
          <w:szCs w:val="24"/>
        </w:rPr>
        <w:t>（</w:t>
      </w:r>
      <w:r>
        <w:rPr>
          <w:sz w:val="24"/>
          <w:szCs w:val="24"/>
        </w:rPr>
        <w:t>2</w:t>
      </w:r>
      <w:r>
        <w:rPr>
          <w:rFonts w:hint="eastAsia"/>
          <w:sz w:val="24"/>
          <w:szCs w:val="24"/>
        </w:rPr>
        <w:t>）环保设施折旧费</w:t>
      </w:r>
    </w:p>
    <w:p>
      <w:pPr>
        <w:tabs>
          <w:tab w:val="left" w:pos="670"/>
        </w:tabs>
        <w:spacing w:line="520" w:lineRule="exact"/>
        <w:ind w:firstLine="480" w:firstLineChars="200"/>
        <w:rPr>
          <w:sz w:val="24"/>
          <w:szCs w:val="24"/>
        </w:rPr>
      </w:pPr>
      <w:r>
        <w:rPr>
          <w:rFonts w:hint="eastAsia"/>
          <w:sz w:val="24"/>
          <w:szCs w:val="24"/>
        </w:rPr>
        <w:t>项目环保设施运营期间会产生环保设施的折旧费，项目按照折旧年限</w:t>
      </w:r>
      <w:r>
        <w:rPr>
          <w:sz w:val="24"/>
          <w:szCs w:val="24"/>
        </w:rPr>
        <w:t>15</w:t>
      </w:r>
      <w:r>
        <w:rPr>
          <w:rFonts w:hint="eastAsia"/>
          <w:sz w:val="24"/>
          <w:szCs w:val="24"/>
        </w:rPr>
        <w:t>年进行考虑，项目环保设施的折旧费用计算如下：</w:t>
      </w:r>
    </w:p>
    <w:p>
      <w:pPr>
        <w:tabs>
          <w:tab w:val="left" w:pos="670"/>
        </w:tabs>
        <w:spacing w:line="520" w:lineRule="exact"/>
        <w:ind w:firstLine="480" w:firstLineChars="200"/>
        <w:rPr>
          <w:sz w:val="24"/>
          <w:szCs w:val="24"/>
        </w:rPr>
      </w:pPr>
      <w:r>
        <w:rPr>
          <w:sz w:val="24"/>
          <w:szCs w:val="24"/>
        </w:rPr>
        <w:t>C</w:t>
      </w:r>
      <w:r>
        <w:rPr>
          <w:sz w:val="24"/>
          <w:szCs w:val="24"/>
          <w:vertAlign w:val="subscript"/>
        </w:rPr>
        <w:t>2</w:t>
      </w:r>
      <w:r>
        <w:rPr>
          <w:sz w:val="24"/>
          <w:szCs w:val="24"/>
        </w:rPr>
        <w:t>=a×C</w:t>
      </w:r>
      <w:r>
        <w:rPr>
          <w:sz w:val="24"/>
          <w:szCs w:val="24"/>
          <w:vertAlign w:val="subscript"/>
        </w:rPr>
        <w:t>0</w:t>
      </w:r>
      <w:r>
        <w:rPr>
          <w:sz w:val="24"/>
          <w:szCs w:val="24"/>
        </w:rPr>
        <w:t>/n</w:t>
      </w:r>
    </w:p>
    <w:p>
      <w:pPr>
        <w:tabs>
          <w:tab w:val="left" w:pos="670"/>
        </w:tabs>
        <w:spacing w:line="520" w:lineRule="exact"/>
        <w:ind w:firstLine="480" w:firstLineChars="200"/>
        <w:rPr>
          <w:sz w:val="24"/>
          <w:szCs w:val="24"/>
        </w:rPr>
      </w:pPr>
      <w:r>
        <w:rPr>
          <w:rFonts w:hint="eastAsia"/>
          <w:sz w:val="24"/>
          <w:szCs w:val="24"/>
        </w:rPr>
        <w:t>式中，</w:t>
      </w:r>
      <w:r>
        <w:rPr>
          <w:sz w:val="24"/>
          <w:szCs w:val="24"/>
        </w:rPr>
        <w:t>a—</w:t>
      </w:r>
      <w:r>
        <w:rPr>
          <w:rFonts w:hint="eastAsia"/>
          <w:sz w:val="24"/>
          <w:szCs w:val="24"/>
        </w:rPr>
        <w:t>固定资产形成率，取</w:t>
      </w:r>
      <w:r>
        <w:rPr>
          <w:sz w:val="24"/>
          <w:szCs w:val="24"/>
        </w:rPr>
        <w:t>90%</w:t>
      </w:r>
      <w:r>
        <w:rPr>
          <w:rFonts w:hint="eastAsia"/>
          <w:sz w:val="24"/>
          <w:szCs w:val="24"/>
        </w:rPr>
        <w:t>；</w:t>
      </w:r>
    </w:p>
    <w:p>
      <w:pPr>
        <w:tabs>
          <w:tab w:val="left" w:pos="670"/>
        </w:tabs>
        <w:spacing w:line="520" w:lineRule="exact"/>
        <w:ind w:firstLine="480" w:firstLineChars="200"/>
        <w:rPr>
          <w:sz w:val="24"/>
          <w:szCs w:val="24"/>
        </w:rPr>
      </w:pPr>
      <w:r>
        <w:rPr>
          <w:sz w:val="24"/>
          <w:szCs w:val="24"/>
        </w:rPr>
        <w:t>n—</w:t>
      </w:r>
      <w:r>
        <w:rPr>
          <w:rFonts w:hint="eastAsia"/>
          <w:sz w:val="24"/>
          <w:szCs w:val="24"/>
        </w:rPr>
        <w:t>折旧年限，取</w:t>
      </w:r>
      <w:r>
        <w:rPr>
          <w:sz w:val="24"/>
          <w:szCs w:val="24"/>
        </w:rPr>
        <w:t>1</w:t>
      </w:r>
      <w:r>
        <w:rPr>
          <w:rFonts w:hint="eastAsia"/>
          <w:sz w:val="24"/>
          <w:szCs w:val="24"/>
        </w:rPr>
        <w:t>5年；</w:t>
      </w:r>
    </w:p>
    <w:p>
      <w:pPr>
        <w:tabs>
          <w:tab w:val="left" w:pos="670"/>
        </w:tabs>
        <w:spacing w:line="520" w:lineRule="exact"/>
        <w:ind w:firstLine="480" w:firstLineChars="200"/>
        <w:rPr>
          <w:sz w:val="24"/>
          <w:szCs w:val="24"/>
        </w:rPr>
      </w:pPr>
      <w:r>
        <w:rPr>
          <w:sz w:val="24"/>
          <w:szCs w:val="24"/>
        </w:rPr>
        <w:t>C</w:t>
      </w:r>
      <w:r>
        <w:rPr>
          <w:sz w:val="24"/>
          <w:szCs w:val="24"/>
          <w:vertAlign w:val="subscript"/>
        </w:rPr>
        <w:t>0</w:t>
      </w:r>
      <w:r>
        <w:rPr>
          <w:sz w:val="24"/>
          <w:szCs w:val="24"/>
        </w:rPr>
        <w:t>—</w:t>
      </w:r>
      <w:r>
        <w:rPr>
          <w:rFonts w:hint="eastAsia"/>
          <w:sz w:val="24"/>
          <w:szCs w:val="24"/>
        </w:rPr>
        <w:t>环保设施投资。</w:t>
      </w:r>
    </w:p>
    <w:p>
      <w:pPr>
        <w:tabs>
          <w:tab w:val="left" w:pos="670"/>
        </w:tabs>
        <w:spacing w:line="520" w:lineRule="exact"/>
        <w:ind w:firstLine="480" w:firstLineChars="200"/>
        <w:rPr>
          <w:bCs/>
          <w:sz w:val="24"/>
          <w:szCs w:val="24"/>
        </w:rPr>
      </w:pPr>
      <w:r>
        <w:rPr>
          <w:rFonts w:hint="eastAsia"/>
          <w:bCs/>
          <w:sz w:val="24"/>
          <w:szCs w:val="24"/>
        </w:rPr>
        <w:t>经计算，项目环保设施折旧费为</w:t>
      </w:r>
      <w:r>
        <w:rPr>
          <w:bCs/>
          <w:sz w:val="24"/>
          <w:szCs w:val="24"/>
        </w:rPr>
        <w:t>84</w:t>
      </w:r>
      <w:r>
        <w:rPr>
          <w:rFonts w:hint="eastAsia"/>
          <w:bCs/>
          <w:sz w:val="24"/>
          <w:szCs w:val="24"/>
        </w:rPr>
        <w:t>万元。</w:t>
      </w:r>
    </w:p>
    <w:p>
      <w:pPr>
        <w:tabs>
          <w:tab w:val="left" w:pos="670"/>
        </w:tabs>
        <w:spacing w:line="520" w:lineRule="exact"/>
        <w:ind w:firstLine="480" w:firstLineChars="200"/>
        <w:outlineLvl w:val="3"/>
        <w:rPr>
          <w:sz w:val="24"/>
          <w:szCs w:val="24"/>
        </w:rPr>
      </w:pPr>
      <w:r>
        <w:rPr>
          <w:rFonts w:hint="eastAsia"/>
          <w:sz w:val="24"/>
          <w:szCs w:val="24"/>
        </w:rPr>
        <w:t>（</w:t>
      </w:r>
      <w:r>
        <w:rPr>
          <w:sz w:val="24"/>
          <w:szCs w:val="24"/>
        </w:rPr>
        <w:t>3</w:t>
      </w:r>
      <w:r>
        <w:rPr>
          <w:rFonts w:hint="eastAsia"/>
          <w:sz w:val="24"/>
          <w:szCs w:val="24"/>
        </w:rPr>
        <w:t>）环保管理费</w:t>
      </w:r>
    </w:p>
    <w:p>
      <w:pPr>
        <w:tabs>
          <w:tab w:val="left" w:pos="670"/>
        </w:tabs>
        <w:spacing w:line="520" w:lineRule="exact"/>
        <w:ind w:firstLine="480" w:firstLineChars="200"/>
        <w:rPr>
          <w:b/>
          <w:sz w:val="24"/>
          <w:szCs w:val="24"/>
        </w:rPr>
      </w:pPr>
      <w:r>
        <w:rPr>
          <w:rFonts w:hint="eastAsia"/>
          <w:sz w:val="24"/>
          <w:szCs w:val="24"/>
        </w:rPr>
        <w:t>环保管理费用包括管理部门的办公费、监测费和技术咨询费等，按环保设施投资折旧费用与运行费用的</w:t>
      </w:r>
      <w:r>
        <w:rPr>
          <w:sz w:val="24"/>
          <w:szCs w:val="24"/>
        </w:rPr>
        <w:t>5%</w:t>
      </w:r>
      <w:r>
        <w:rPr>
          <w:rFonts w:hint="eastAsia"/>
          <w:sz w:val="24"/>
          <w:szCs w:val="24"/>
        </w:rPr>
        <w:t>计算，</w:t>
      </w:r>
      <w:r>
        <w:rPr>
          <w:rFonts w:hint="eastAsia"/>
          <w:bCs/>
          <w:sz w:val="24"/>
          <w:szCs w:val="24"/>
        </w:rPr>
        <w:t>则项目运营期环保管理费为</w:t>
      </w:r>
      <w:r>
        <w:rPr>
          <w:bCs/>
          <w:sz w:val="24"/>
          <w:szCs w:val="24"/>
        </w:rPr>
        <w:t>18.2</w:t>
      </w:r>
      <w:r>
        <w:rPr>
          <w:rFonts w:hint="eastAsia"/>
          <w:bCs/>
          <w:sz w:val="24"/>
          <w:szCs w:val="24"/>
        </w:rPr>
        <w:t>万元。</w:t>
      </w:r>
    </w:p>
    <w:p>
      <w:pPr>
        <w:tabs>
          <w:tab w:val="left" w:pos="670"/>
        </w:tabs>
        <w:spacing w:line="520" w:lineRule="exact"/>
        <w:ind w:firstLine="480" w:firstLineChars="200"/>
        <w:outlineLvl w:val="3"/>
        <w:rPr>
          <w:sz w:val="24"/>
          <w:szCs w:val="24"/>
        </w:rPr>
      </w:pPr>
      <w:r>
        <w:rPr>
          <w:rFonts w:hint="eastAsia"/>
          <w:sz w:val="24"/>
          <w:szCs w:val="24"/>
        </w:rPr>
        <w:t>（4）环保税</w:t>
      </w:r>
    </w:p>
    <w:p>
      <w:pPr>
        <w:tabs>
          <w:tab w:val="left" w:pos="670"/>
        </w:tabs>
        <w:spacing w:line="520" w:lineRule="exact"/>
        <w:ind w:firstLine="480" w:firstLineChars="200"/>
        <w:rPr>
          <w:sz w:val="24"/>
          <w:szCs w:val="24"/>
        </w:rPr>
      </w:pPr>
      <w:r>
        <w:rPr>
          <w:rFonts w:hint="eastAsia"/>
          <w:sz w:val="24"/>
          <w:szCs w:val="24"/>
        </w:rPr>
        <w:t>根据我国环境保护税法草案（</w:t>
      </w:r>
      <w:r>
        <w:rPr>
          <w:sz w:val="24"/>
          <w:szCs w:val="24"/>
        </w:rPr>
        <w:t>2016</w:t>
      </w:r>
      <w:r>
        <w:rPr>
          <w:rFonts w:hint="eastAsia"/>
          <w:sz w:val="24"/>
          <w:szCs w:val="24"/>
        </w:rPr>
        <w:t>年</w:t>
      </w:r>
      <w:r>
        <w:rPr>
          <w:sz w:val="24"/>
          <w:szCs w:val="24"/>
        </w:rPr>
        <w:t>8</w:t>
      </w:r>
      <w:r>
        <w:rPr>
          <w:rFonts w:hint="eastAsia"/>
          <w:sz w:val="24"/>
          <w:szCs w:val="24"/>
        </w:rPr>
        <w:t>月</w:t>
      </w:r>
      <w:r>
        <w:rPr>
          <w:sz w:val="24"/>
          <w:szCs w:val="24"/>
        </w:rPr>
        <w:t>29</w:t>
      </w:r>
      <w:r>
        <w:rPr>
          <w:rFonts w:hint="eastAsia"/>
          <w:sz w:val="24"/>
          <w:szCs w:val="24"/>
        </w:rPr>
        <w:t>日）规定，水污染物税额为每污染当量</w:t>
      </w:r>
      <w:r>
        <w:rPr>
          <w:sz w:val="24"/>
          <w:szCs w:val="24"/>
        </w:rPr>
        <w:t>1.4</w:t>
      </w:r>
      <w:r>
        <w:rPr>
          <w:rFonts w:hint="eastAsia"/>
          <w:sz w:val="24"/>
          <w:szCs w:val="24"/>
        </w:rPr>
        <w:t>元，本项目环保税情况见下表7</w:t>
      </w:r>
      <w:r>
        <w:rPr>
          <w:sz w:val="24"/>
          <w:szCs w:val="24"/>
        </w:rPr>
        <w:t>-</w:t>
      </w:r>
      <w:r>
        <w:rPr>
          <w:rFonts w:hint="eastAsia"/>
          <w:sz w:val="24"/>
          <w:szCs w:val="24"/>
        </w:rPr>
        <w:t>3。</w:t>
      </w:r>
    </w:p>
    <w:p>
      <w:pPr>
        <w:tabs>
          <w:tab w:val="left" w:pos="670"/>
        </w:tabs>
        <w:spacing w:line="520" w:lineRule="exact"/>
        <w:ind w:firstLine="480" w:firstLineChars="200"/>
        <w:rPr>
          <w:sz w:val="24"/>
          <w:szCs w:val="24"/>
        </w:rPr>
      </w:pPr>
    </w:p>
    <w:p>
      <w:pPr>
        <w:tabs>
          <w:tab w:val="left" w:pos="670"/>
        </w:tabs>
        <w:spacing w:line="520" w:lineRule="exact"/>
        <w:ind w:firstLine="480" w:firstLineChars="200"/>
        <w:rPr>
          <w:rFonts w:eastAsia="黑体"/>
          <w:sz w:val="24"/>
          <w:szCs w:val="24"/>
        </w:rPr>
      </w:pPr>
      <w:r>
        <w:rPr>
          <w:rFonts w:eastAsia="黑体"/>
          <w:sz w:val="24"/>
          <w:szCs w:val="24"/>
        </w:rPr>
        <w:t xml:space="preserve">表8.3-2            </w:t>
      </w:r>
      <w:r>
        <w:rPr>
          <w:rFonts w:hint="eastAsia" w:eastAsia="黑体"/>
          <w:sz w:val="24"/>
          <w:szCs w:val="24"/>
        </w:rPr>
        <w:t>本项目环保税</w:t>
      </w:r>
      <w:r>
        <w:rPr>
          <w:rFonts w:eastAsia="黑体"/>
          <w:sz w:val="24"/>
          <w:szCs w:val="24"/>
        </w:rPr>
        <w:t>一览表</w:t>
      </w:r>
    </w:p>
    <w:tbl>
      <w:tblPr>
        <w:tblStyle w:val="49"/>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110"/>
        <w:gridCol w:w="1656"/>
        <w:gridCol w:w="1914"/>
        <w:gridCol w:w="1416"/>
        <w:gridCol w:w="175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785" w:type="dxa"/>
            <w:gridSpan w:val="2"/>
            <w:vAlign w:val="center"/>
          </w:tcPr>
          <w:p>
            <w:pPr>
              <w:jc w:val="center"/>
              <w:rPr>
                <w:rFonts w:cs="宋体"/>
                <w:b/>
                <w:color w:val="000000"/>
                <w:szCs w:val="20"/>
              </w:rPr>
            </w:pPr>
            <w:r>
              <w:rPr>
                <w:rFonts w:hint="eastAsia" w:cs="宋体"/>
                <w:b/>
                <w:color w:val="000000"/>
                <w:szCs w:val="20"/>
              </w:rPr>
              <w:t>污染物</w:t>
            </w:r>
          </w:p>
        </w:tc>
        <w:tc>
          <w:tcPr>
            <w:tcW w:w="1656" w:type="dxa"/>
            <w:tcMar>
              <w:top w:w="57" w:type="dxa"/>
              <w:left w:w="108" w:type="dxa"/>
              <w:bottom w:w="57" w:type="dxa"/>
              <w:right w:w="108" w:type="dxa"/>
            </w:tcMar>
            <w:vAlign w:val="center"/>
          </w:tcPr>
          <w:p>
            <w:pPr>
              <w:jc w:val="center"/>
              <w:rPr>
                <w:rFonts w:cs="宋体"/>
                <w:b/>
                <w:color w:val="000000"/>
                <w:szCs w:val="20"/>
              </w:rPr>
            </w:pPr>
            <w:r>
              <w:rPr>
                <w:rFonts w:hint="eastAsia" w:cs="宋体"/>
                <w:b/>
                <w:color w:val="000000"/>
                <w:szCs w:val="20"/>
              </w:rPr>
              <w:t>排污量（</w:t>
            </w:r>
            <w:r>
              <w:rPr>
                <w:rFonts w:cs="宋体"/>
                <w:b/>
                <w:color w:val="000000"/>
                <w:szCs w:val="20"/>
              </w:rPr>
              <w:t>kg/a</w:t>
            </w:r>
            <w:r>
              <w:rPr>
                <w:rFonts w:hint="eastAsia" w:cs="宋体"/>
                <w:b/>
                <w:color w:val="000000"/>
                <w:szCs w:val="20"/>
              </w:rPr>
              <w:t>）</w:t>
            </w:r>
          </w:p>
        </w:tc>
        <w:tc>
          <w:tcPr>
            <w:tcW w:w="1914" w:type="dxa"/>
            <w:tcMar>
              <w:top w:w="57" w:type="dxa"/>
              <w:left w:w="108" w:type="dxa"/>
              <w:bottom w:w="57" w:type="dxa"/>
              <w:right w:w="108" w:type="dxa"/>
            </w:tcMar>
            <w:vAlign w:val="center"/>
          </w:tcPr>
          <w:p>
            <w:pPr>
              <w:jc w:val="center"/>
              <w:rPr>
                <w:rFonts w:cs="宋体"/>
                <w:b/>
                <w:color w:val="000000"/>
                <w:szCs w:val="20"/>
              </w:rPr>
            </w:pPr>
            <w:r>
              <w:rPr>
                <w:rFonts w:hint="eastAsia" w:cs="宋体"/>
                <w:b/>
                <w:color w:val="000000"/>
                <w:szCs w:val="20"/>
              </w:rPr>
              <w:t>污染当量值（</w:t>
            </w:r>
            <w:r>
              <w:rPr>
                <w:rFonts w:cs="宋体"/>
                <w:b/>
                <w:color w:val="000000"/>
                <w:szCs w:val="20"/>
              </w:rPr>
              <w:t>kg</w:t>
            </w:r>
            <w:r>
              <w:rPr>
                <w:rFonts w:hint="eastAsia" w:cs="宋体"/>
                <w:b/>
                <w:color w:val="000000"/>
                <w:szCs w:val="20"/>
              </w:rPr>
              <w:t>）</w:t>
            </w:r>
          </w:p>
        </w:tc>
        <w:tc>
          <w:tcPr>
            <w:tcW w:w="1416" w:type="dxa"/>
            <w:tcMar>
              <w:top w:w="57" w:type="dxa"/>
              <w:left w:w="108" w:type="dxa"/>
              <w:bottom w:w="57" w:type="dxa"/>
              <w:right w:w="108" w:type="dxa"/>
            </w:tcMar>
            <w:vAlign w:val="center"/>
          </w:tcPr>
          <w:p>
            <w:pPr>
              <w:jc w:val="center"/>
              <w:rPr>
                <w:rFonts w:cs="宋体"/>
                <w:b/>
                <w:color w:val="000000"/>
                <w:szCs w:val="20"/>
              </w:rPr>
            </w:pPr>
            <w:r>
              <w:rPr>
                <w:rFonts w:hint="eastAsia" w:cs="宋体"/>
                <w:b/>
                <w:color w:val="000000"/>
                <w:szCs w:val="20"/>
              </w:rPr>
              <w:t>污染当量数</w:t>
            </w:r>
          </w:p>
        </w:tc>
        <w:tc>
          <w:tcPr>
            <w:tcW w:w="1757" w:type="dxa"/>
            <w:tcMar>
              <w:top w:w="57" w:type="dxa"/>
              <w:left w:w="108" w:type="dxa"/>
              <w:bottom w:w="57" w:type="dxa"/>
              <w:right w:w="108" w:type="dxa"/>
            </w:tcMar>
            <w:vAlign w:val="center"/>
          </w:tcPr>
          <w:p>
            <w:pPr>
              <w:jc w:val="center"/>
              <w:rPr>
                <w:rFonts w:cs="宋体"/>
                <w:b/>
                <w:color w:val="000000"/>
                <w:szCs w:val="20"/>
              </w:rPr>
            </w:pPr>
            <w:r>
              <w:rPr>
                <w:rFonts w:hint="eastAsia" w:cs="宋体"/>
                <w:b/>
                <w:color w:val="000000"/>
                <w:szCs w:val="20"/>
              </w:rPr>
              <w:t>环保税（万元</w:t>
            </w:r>
            <w:r>
              <w:rPr>
                <w:rFonts w:cs="宋体"/>
                <w:b/>
                <w:color w:val="000000"/>
                <w:szCs w:val="20"/>
              </w:rPr>
              <w:t>/a</w:t>
            </w:r>
            <w:r>
              <w:rPr>
                <w:rFonts w:hint="eastAsia" w:cs="宋体"/>
                <w:b/>
                <w:color w:val="000000"/>
                <w:szCs w:val="20"/>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675" w:type="dxa"/>
            <w:vMerge w:val="restart"/>
            <w:tcMar>
              <w:top w:w="57" w:type="dxa"/>
              <w:left w:w="108" w:type="dxa"/>
              <w:bottom w:w="57" w:type="dxa"/>
              <w:right w:w="108" w:type="dxa"/>
            </w:tcMar>
            <w:vAlign w:val="center"/>
          </w:tcPr>
          <w:p>
            <w:pPr>
              <w:contextualSpacing/>
              <w:jc w:val="center"/>
              <w:textAlignment w:val="baseline"/>
              <w:rPr>
                <w:kern w:val="0"/>
                <w:szCs w:val="21"/>
              </w:rPr>
            </w:pPr>
            <w:r>
              <w:rPr>
                <w:rFonts w:hint="eastAsia"/>
                <w:kern w:val="0"/>
                <w:szCs w:val="21"/>
              </w:rPr>
              <w:t>废水</w:t>
            </w:r>
          </w:p>
        </w:tc>
        <w:tc>
          <w:tcPr>
            <w:tcW w:w="1110" w:type="dxa"/>
            <w:tcMar>
              <w:top w:w="57" w:type="dxa"/>
              <w:left w:w="108" w:type="dxa"/>
              <w:bottom w:w="57" w:type="dxa"/>
              <w:right w:w="108" w:type="dxa"/>
            </w:tcMar>
            <w:vAlign w:val="center"/>
          </w:tcPr>
          <w:p>
            <w:pPr>
              <w:contextualSpacing/>
              <w:jc w:val="center"/>
              <w:textAlignment w:val="baseline"/>
              <w:rPr>
                <w:kern w:val="0"/>
                <w:szCs w:val="21"/>
              </w:rPr>
            </w:pPr>
            <w:r>
              <w:rPr>
                <w:kern w:val="0"/>
                <w:szCs w:val="21"/>
              </w:rPr>
              <w:t>COD</w:t>
            </w:r>
          </w:p>
        </w:tc>
        <w:tc>
          <w:tcPr>
            <w:tcW w:w="1656" w:type="dxa"/>
            <w:tcMar>
              <w:top w:w="57" w:type="dxa"/>
              <w:left w:w="108" w:type="dxa"/>
              <w:bottom w:w="57" w:type="dxa"/>
              <w:right w:w="108" w:type="dxa"/>
            </w:tcMar>
            <w:vAlign w:val="center"/>
          </w:tcPr>
          <w:p>
            <w:pPr>
              <w:contextualSpacing/>
              <w:jc w:val="center"/>
              <w:textAlignment w:val="baseline"/>
              <w:rPr>
                <w:bCs/>
                <w:kern w:val="0"/>
                <w:szCs w:val="21"/>
              </w:rPr>
            </w:pPr>
            <w:r>
              <w:rPr>
                <w:bCs/>
                <w:kern w:val="0"/>
                <w:szCs w:val="21"/>
              </w:rPr>
              <w:t>24000</w:t>
            </w:r>
          </w:p>
        </w:tc>
        <w:tc>
          <w:tcPr>
            <w:tcW w:w="1914" w:type="dxa"/>
            <w:tcMar>
              <w:top w:w="57" w:type="dxa"/>
              <w:left w:w="108" w:type="dxa"/>
              <w:bottom w:w="57" w:type="dxa"/>
              <w:right w:w="108" w:type="dxa"/>
            </w:tcMar>
            <w:vAlign w:val="center"/>
          </w:tcPr>
          <w:p>
            <w:pPr>
              <w:contextualSpacing/>
              <w:jc w:val="center"/>
              <w:textAlignment w:val="baseline"/>
              <w:rPr>
                <w:kern w:val="0"/>
                <w:szCs w:val="21"/>
              </w:rPr>
            </w:pPr>
            <w:r>
              <w:rPr>
                <w:kern w:val="0"/>
                <w:szCs w:val="21"/>
              </w:rPr>
              <w:t>1</w:t>
            </w:r>
          </w:p>
        </w:tc>
        <w:tc>
          <w:tcPr>
            <w:tcW w:w="1416" w:type="dxa"/>
            <w:tcMar>
              <w:top w:w="57" w:type="dxa"/>
              <w:left w:w="108" w:type="dxa"/>
              <w:bottom w:w="57" w:type="dxa"/>
              <w:right w:w="108" w:type="dxa"/>
            </w:tcMar>
            <w:vAlign w:val="center"/>
          </w:tcPr>
          <w:p>
            <w:pPr>
              <w:contextualSpacing/>
              <w:jc w:val="center"/>
              <w:textAlignment w:val="baseline"/>
              <w:rPr>
                <w:bCs/>
                <w:kern w:val="0"/>
                <w:szCs w:val="21"/>
              </w:rPr>
            </w:pPr>
            <w:r>
              <w:rPr>
                <w:rFonts w:hint="eastAsia"/>
                <w:bCs/>
                <w:kern w:val="0"/>
                <w:szCs w:val="21"/>
              </w:rPr>
              <w:t>2</w:t>
            </w:r>
            <w:r>
              <w:rPr>
                <w:bCs/>
                <w:kern w:val="0"/>
                <w:szCs w:val="21"/>
              </w:rPr>
              <w:t>4000</w:t>
            </w:r>
          </w:p>
        </w:tc>
        <w:tc>
          <w:tcPr>
            <w:tcW w:w="1757" w:type="dxa"/>
            <w:vMerge w:val="restart"/>
            <w:tcMar>
              <w:top w:w="57" w:type="dxa"/>
              <w:left w:w="108" w:type="dxa"/>
              <w:bottom w:w="57" w:type="dxa"/>
              <w:right w:w="108" w:type="dxa"/>
            </w:tcMar>
            <w:vAlign w:val="center"/>
          </w:tcPr>
          <w:p>
            <w:pPr>
              <w:contextualSpacing/>
              <w:jc w:val="center"/>
              <w:textAlignment w:val="baseline"/>
              <w:rPr>
                <w:bCs/>
                <w:kern w:val="0"/>
                <w:szCs w:val="21"/>
              </w:rPr>
            </w:pPr>
            <w:r>
              <w:rPr>
                <w:bCs/>
                <w:kern w:val="0"/>
                <w:szCs w:val="21"/>
              </w:rPr>
              <w:t>3.4944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675" w:type="dxa"/>
            <w:vMerge w:val="continue"/>
            <w:vAlign w:val="center"/>
          </w:tcPr>
          <w:p>
            <w:pPr>
              <w:contextualSpacing/>
              <w:jc w:val="center"/>
              <w:textAlignment w:val="baseline"/>
              <w:rPr>
                <w:kern w:val="0"/>
                <w:szCs w:val="21"/>
              </w:rPr>
            </w:pPr>
          </w:p>
        </w:tc>
        <w:tc>
          <w:tcPr>
            <w:tcW w:w="1110" w:type="dxa"/>
            <w:tcMar>
              <w:top w:w="57" w:type="dxa"/>
              <w:left w:w="108" w:type="dxa"/>
              <w:bottom w:w="57" w:type="dxa"/>
              <w:right w:w="108" w:type="dxa"/>
            </w:tcMar>
            <w:vAlign w:val="center"/>
          </w:tcPr>
          <w:p>
            <w:pPr>
              <w:contextualSpacing/>
              <w:jc w:val="center"/>
              <w:textAlignment w:val="baseline"/>
              <w:rPr>
                <w:kern w:val="0"/>
                <w:szCs w:val="21"/>
              </w:rPr>
            </w:pPr>
            <w:r>
              <w:rPr>
                <w:kern w:val="0"/>
                <w:szCs w:val="21"/>
              </w:rPr>
              <w:t>NH</w:t>
            </w:r>
            <w:r>
              <w:rPr>
                <w:kern w:val="0"/>
                <w:szCs w:val="21"/>
                <w:vertAlign w:val="subscript"/>
              </w:rPr>
              <w:t>3</w:t>
            </w:r>
            <w:r>
              <w:rPr>
                <w:kern w:val="0"/>
                <w:szCs w:val="21"/>
              </w:rPr>
              <w:t>-N</w:t>
            </w:r>
          </w:p>
        </w:tc>
        <w:tc>
          <w:tcPr>
            <w:tcW w:w="1656" w:type="dxa"/>
            <w:tcMar>
              <w:top w:w="57" w:type="dxa"/>
              <w:left w:w="108" w:type="dxa"/>
              <w:bottom w:w="57" w:type="dxa"/>
              <w:right w:w="108" w:type="dxa"/>
            </w:tcMar>
            <w:vAlign w:val="center"/>
          </w:tcPr>
          <w:p>
            <w:pPr>
              <w:contextualSpacing/>
              <w:jc w:val="center"/>
              <w:textAlignment w:val="baseline"/>
              <w:rPr>
                <w:bCs/>
                <w:kern w:val="0"/>
                <w:szCs w:val="21"/>
              </w:rPr>
            </w:pPr>
            <w:r>
              <w:rPr>
                <w:bCs/>
                <w:kern w:val="0"/>
                <w:szCs w:val="21"/>
              </w:rPr>
              <w:t>1200</w:t>
            </w:r>
          </w:p>
        </w:tc>
        <w:tc>
          <w:tcPr>
            <w:tcW w:w="1914" w:type="dxa"/>
            <w:tcMar>
              <w:top w:w="57" w:type="dxa"/>
              <w:left w:w="108" w:type="dxa"/>
              <w:bottom w:w="57" w:type="dxa"/>
              <w:right w:w="108" w:type="dxa"/>
            </w:tcMar>
            <w:vAlign w:val="center"/>
          </w:tcPr>
          <w:p>
            <w:pPr>
              <w:contextualSpacing/>
              <w:jc w:val="center"/>
              <w:textAlignment w:val="baseline"/>
              <w:rPr>
                <w:kern w:val="0"/>
                <w:szCs w:val="21"/>
              </w:rPr>
            </w:pPr>
            <w:r>
              <w:rPr>
                <w:kern w:val="0"/>
                <w:szCs w:val="21"/>
              </w:rPr>
              <w:t>0.8</w:t>
            </w:r>
          </w:p>
        </w:tc>
        <w:tc>
          <w:tcPr>
            <w:tcW w:w="1416" w:type="dxa"/>
            <w:tcMar>
              <w:top w:w="57" w:type="dxa"/>
              <w:left w:w="108" w:type="dxa"/>
              <w:bottom w:w="57" w:type="dxa"/>
              <w:right w:w="108" w:type="dxa"/>
            </w:tcMar>
            <w:vAlign w:val="center"/>
          </w:tcPr>
          <w:p>
            <w:pPr>
              <w:contextualSpacing/>
              <w:jc w:val="center"/>
              <w:textAlignment w:val="baseline"/>
              <w:rPr>
                <w:bCs/>
                <w:kern w:val="0"/>
                <w:szCs w:val="21"/>
              </w:rPr>
            </w:pPr>
            <w:r>
              <w:rPr>
                <w:bCs/>
                <w:kern w:val="0"/>
                <w:szCs w:val="21"/>
              </w:rPr>
              <w:t>960</w:t>
            </w:r>
          </w:p>
        </w:tc>
        <w:tc>
          <w:tcPr>
            <w:tcW w:w="1757" w:type="dxa"/>
            <w:vMerge w:val="continue"/>
            <w:vAlign w:val="center"/>
          </w:tcPr>
          <w:p>
            <w:pPr>
              <w:contextualSpacing/>
              <w:jc w:val="center"/>
              <w:textAlignment w:val="baseline"/>
              <w:rPr>
                <w:b/>
                <w:kern w:val="0"/>
                <w:szCs w:val="21"/>
                <w:u w:val="singl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8528" w:type="dxa"/>
            <w:gridSpan w:val="6"/>
            <w:vAlign w:val="center"/>
          </w:tcPr>
          <w:p>
            <w:pPr>
              <w:contextualSpacing/>
              <w:jc w:val="center"/>
              <w:textAlignment w:val="baseline"/>
              <w:rPr>
                <w:kern w:val="0"/>
                <w:szCs w:val="21"/>
              </w:rPr>
            </w:pPr>
            <w:r>
              <w:rPr>
                <w:rFonts w:hint="eastAsia"/>
                <w:kern w:val="0"/>
                <w:szCs w:val="21"/>
              </w:rPr>
              <w:t>某</w:t>
            </w:r>
            <w:r>
              <w:fldChar w:fldCharType="begin"/>
            </w:r>
            <w:r>
              <w:instrText xml:space="preserve"> HYPERLINK "http://www.so.com/s?q=%E6%B1%A1%E6%9F%93%E7%89%A9&amp;ie=utf-8&amp;src=internal_wenda_recommend_textn" \t "_blank" </w:instrText>
            </w:r>
            <w:r>
              <w:fldChar w:fldCharType="separate"/>
            </w:r>
            <w:r>
              <w:rPr>
                <w:rFonts w:hint="eastAsia"/>
                <w:kern w:val="0"/>
                <w:szCs w:val="21"/>
              </w:rPr>
              <w:t>污染物</w:t>
            </w:r>
            <w:r>
              <w:rPr>
                <w:rFonts w:hint="eastAsia"/>
                <w:kern w:val="0"/>
                <w:szCs w:val="21"/>
              </w:rPr>
              <w:fldChar w:fldCharType="end"/>
            </w:r>
            <w:r>
              <w:rPr>
                <w:rFonts w:hint="eastAsia"/>
                <w:kern w:val="0"/>
                <w:szCs w:val="21"/>
              </w:rPr>
              <w:t>的污染当量数</w:t>
            </w:r>
            <w:r>
              <w:rPr>
                <w:kern w:val="0"/>
                <w:szCs w:val="21"/>
              </w:rPr>
              <w:t>=</w:t>
            </w:r>
            <w:r>
              <w:rPr>
                <w:rFonts w:hint="eastAsia"/>
                <w:kern w:val="0"/>
                <w:szCs w:val="21"/>
              </w:rPr>
              <w:t>该污染物的排放量</w:t>
            </w:r>
            <w:r>
              <w:rPr>
                <w:kern w:val="0"/>
                <w:szCs w:val="21"/>
              </w:rPr>
              <w:t>(kg)/</w:t>
            </w:r>
            <w:r>
              <w:rPr>
                <w:rFonts w:hint="eastAsia"/>
                <w:kern w:val="0"/>
                <w:szCs w:val="21"/>
              </w:rPr>
              <w:t>该污染物的污染当量值</w:t>
            </w:r>
            <w:r>
              <w:rPr>
                <w:kern w:val="0"/>
                <w:szCs w:val="21"/>
              </w:rPr>
              <w:t>(</w:t>
            </w:r>
            <w:r>
              <w:rPr>
                <w:rFonts w:hint="eastAsia"/>
                <w:kern w:val="0"/>
                <w:szCs w:val="21"/>
              </w:rPr>
              <w:t>kg</w:t>
            </w:r>
            <w:r>
              <w:rPr>
                <w:kern w:val="0"/>
                <w:szCs w:val="21"/>
              </w:rPr>
              <w:t>)</w:t>
            </w:r>
          </w:p>
        </w:tc>
      </w:tr>
    </w:tbl>
    <w:p>
      <w:pPr>
        <w:tabs>
          <w:tab w:val="left" w:pos="670"/>
        </w:tabs>
        <w:spacing w:line="520" w:lineRule="exact"/>
        <w:ind w:firstLine="480" w:firstLineChars="200"/>
        <w:rPr>
          <w:bCs/>
          <w:sz w:val="24"/>
          <w:szCs w:val="24"/>
        </w:rPr>
      </w:pPr>
      <w:r>
        <w:rPr>
          <w:rFonts w:hint="eastAsia"/>
          <w:bCs/>
          <w:sz w:val="24"/>
          <w:szCs w:val="24"/>
        </w:rPr>
        <w:t>综上所述，项目环保设施总运行费用为</w:t>
      </w:r>
      <w:r>
        <w:rPr>
          <w:bCs/>
          <w:sz w:val="24"/>
          <w:szCs w:val="24"/>
        </w:rPr>
        <w:t>280</w:t>
      </w:r>
      <w:r>
        <w:rPr>
          <w:rFonts w:hint="eastAsia"/>
          <w:bCs/>
          <w:sz w:val="24"/>
          <w:szCs w:val="24"/>
        </w:rPr>
        <w:t>+</w:t>
      </w:r>
      <w:r>
        <w:rPr>
          <w:bCs/>
          <w:sz w:val="24"/>
          <w:szCs w:val="24"/>
        </w:rPr>
        <w:t>3</w:t>
      </w:r>
      <w:r>
        <w:rPr>
          <w:rFonts w:hint="eastAsia"/>
          <w:bCs/>
          <w:sz w:val="24"/>
          <w:szCs w:val="24"/>
        </w:rPr>
        <w:t>5+</w:t>
      </w:r>
      <w:r>
        <w:rPr>
          <w:bCs/>
          <w:sz w:val="24"/>
          <w:szCs w:val="24"/>
        </w:rPr>
        <w:t>84</w:t>
      </w:r>
      <w:r>
        <w:rPr>
          <w:rFonts w:hint="eastAsia"/>
          <w:bCs/>
          <w:sz w:val="24"/>
          <w:szCs w:val="24"/>
        </w:rPr>
        <w:t>+</w:t>
      </w:r>
      <w:r>
        <w:rPr>
          <w:bCs/>
          <w:sz w:val="24"/>
          <w:szCs w:val="24"/>
        </w:rPr>
        <w:t>18.2</w:t>
      </w:r>
      <w:r>
        <w:rPr>
          <w:rFonts w:hint="eastAsia"/>
          <w:bCs/>
          <w:sz w:val="24"/>
          <w:szCs w:val="24"/>
        </w:rPr>
        <w:t>+</w:t>
      </w:r>
      <w:r>
        <w:rPr>
          <w:bCs/>
          <w:sz w:val="24"/>
          <w:szCs w:val="24"/>
        </w:rPr>
        <w:t>3.4944</w:t>
      </w:r>
      <w:r>
        <w:rPr>
          <w:rFonts w:hint="eastAsia"/>
          <w:bCs/>
          <w:sz w:val="24"/>
          <w:szCs w:val="24"/>
        </w:rPr>
        <w:t>=</w:t>
      </w:r>
      <w:r>
        <w:rPr>
          <w:bCs/>
          <w:sz w:val="24"/>
          <w:szCs w:val="24"/>
        </w:rPr>
        <w:t>420.6944</w:t>
      </w:r>
      <w:r>
        <w:rPr>
          <w:rFonts w:hint="eastAsia"/>
          <w:bCs/>
          <w:sz w:val="24"/>
          <w:szCs w:val="24"/>
        </w:rPr>
        <w:t>万元，占全年净利润的</w:t>
      </w:r>
      <w:r>
        <w:rPr>
          <w:bCs/>
          <w:sz w:val="24"/>
          <w:szCs w:val="24"/>
        </w:rPr>
        <w:t>8.51</w:t>
      </w:r>
      <w:r>
        <w:rPr>
          <w:rFonts w:hint="eastAsia"/>
          <w:bCs/>
          <w:sz w:val="24"/>
          <w:szCs w:val="24"/>
        </w:rPr>
        <w:t>%。</w:t>
      </w:r>
    </w:p>
    <w:p>
      <w:pPr>
        <w:keepNext/>
        <w:keepLines/>
        <w:spacing w:line="520" w:lineRule="exact"/>
        <w:outlineLvl w:val="2"/>
        <w:rPr>
          <w:rFonts w:eastAsia="黑体"/>
          <w:sz w:val="28"/>
          <w:szCs w:val="28"/>
        </w:rPr>
      </w:pPr>
      <w:r>
        <w:rPr>
          <w:rFonts w:eastAsia="黑体"/>
          <w:sz w:val="28"/>
          <w:szCs w:val="28"/>
        </w:rPr>
        <w:t xml:space="preserve">8.3.3 </w:t>
      </w:r>
      <w:r>
        <w:rPr>
          <w:rFonts w:hint="eastAsia" w:eastAsia="黑体"/>
          <w:sz w:val="28"/>
          <w:szCs w:val="28"/>
        </w:rPr>
        <w:t>工程环境收益估算</w:t>
      </w:r>
    </w:p>
    <w:p>
      <w:pPr>
        <w:spacing w:line="520" w:lineRule="exact"/>
        <w:ind w:firstLine="480" w:firstLineChars="200"/>
        <w:rPr>
          <w:sz w:val="28"/>
          <w:szCs w:val="24"/>
        </w:rPr>
      </w:pPr>
      <w:r>
        <w:rPr>
          <w:rFonts w:hint="eastAsia"/>
          <w:sz w:val="24"/>
          <w:szCs w:val="24"/>
        </w:rPr>
        <w:t>项目环境收益主要是废水经厂区污水处理站处理减少污染物超标排放的费用，本项目环保工程环境收益约2</w:t>
      </w:r>
      <w:r>
        <w:rPr>
          <w:sz w:val="24"/>
          <w:szCs w:val="24"/>
        </w:rPr>
        <w:t>00</w:t>
      </w:r>
      <w:r>
        <w:rPr>
          <w:rFonts w:hint="eastAsia"/>
          <w:sz w:val="24"/>
          <w:szCs w:val="24"/>
        </w:rPr>
        <w:t>万元。</w:t>
      </w:r>
    </w:p>
    <w:p>
      <w:pPr>
        <w:keepNext/>
        <w:keepLines/>
        <w:spacing w:line="520" w:lineRule="exact"/>
        <w:outlineLvl w:val="2"/>
        <w:rPr>
          <w:rFonts w:eastAsia="黑体"/>
          <w:sz w:val="28"/>
          <w:szCs w:val="28"/>
        </w:rPr>
      </w:pPr>
      <w:r>
        <w:rPr>
          <w:rFonts w:hint="eastAsia" w:eastAsia="黑体"/>
          <w:sz w:val="28"/>
          <w:szCs w:val="28"/>
        </w:rPr>
        <w:t>8</w:t>
      </w:r>
      <w:r>
        <w:rPr>
          <w:rFonts w:eastAsia="黑体"/>
          <w:sz w:val="28"/>
          <w:szCs w:val="28"/>
        </w:rPr>
        <w:t xml:space="preserve">.3.4 </w:t>
      </w:r>
      <w:r>
        <w:rPr>
          <w:rFonts w:hint="eastAsia" w:eastAsia="黑体"/>
          <w:sz w:val="28"/>
          <w:szCs w:val="28"/>
        </w:rPr>
        <w:t xml:space="preserve">环保投资比例系数 </w:t>
      </w:r>
      <w:r>
        <w:rPr>
          <w:rFonts w:eastAsia="黑体"/>
          <w:sz w:val="28"/>
          <w:szCs w:val="28"/>
        </w:rPr>
        <w:t>Hz</w:t>
      </w:r>
    </w:p>
    <w:p>
      <w:pPr>
        <w:spacing w:line="520" w:lineRule="exact"/>
        <w:ind w:firstLine="480" w:firstLineChars="200"/>
        <w:rPr>
          <w:sz w:val="24"/>
          <w:szCs w:val="24"/>
        </w:rPr>
      </w:pPr>
      <w:r>
        <w:rPr>
          <w:sz w:val="24"/>
          <w:szCs w:val="24"/>
        </w:rPr>
        <w:t>环保投资比例系数是指环保建设投资与企业建设总投资的比值，它体现了企业对环保工作的重视程度。</w:t>
      </w:r>
    </w:p>
    <w:p>
      <w:pPr>
        <w:spacing w:line="520" w:lineRule="exact"/>
        <w:jc w:val="center"/>
        <w:rPr>
          <w:sz w:val="24"/>
          <w:szCs w:val="24"/>
        </w:rPr>
      </w:pPr>
      <w:r>
        <w:rPr>
          <w:sz w:val="24"/>
          <w:szCs w:val="24"/>
        </w:rPr>
        <w:t>Hz=</w:t>
      </w:r>
      <w:r>
        <w:rPr>
          <w:rFonts w:hint="eastAsia"/>
          <w:sz w:val="24"/>
          <w:szCs w:val="24"/>
        </w:rPr>
        <w:t>（</w:t>
      </w:r>
      <w:r>
        <w:rPr>
          <w:sz w:val="24"/>
          <w:szCs w:val="24"/>
        </w:rPr>
        <w:t>E</w:t>
      </w:r>
      <w:r>
        <w:rPr>
          <w:sz w:val="24"/>
          <w:szCs w:val="24"/>
          <w:vertAlign w:val="subscript"/>
        </w:rPr>
        <w:t>O</w:t>
      </w:r>
      <w:r>
        <w:rPr>
          <w:sz w:val="24"/>
          <w:szCs w:val="24"/>
        </w:rPr>
        <w:t>/E</w:t>
      </w:r>
      <w:r>
        <w:rPr>
          <w:sz w:val="24"/>
          <w:szCs w:val="24"/>
          <w:vertAlign w:val="subscript"/>
        </w:rPr>
        <w:t>R</w:t>
      </w:r>
      <w:r>
        <w:rPr>
          <w:rFonts w:hint="eastAsia"/>
          <w:sz w:val="24"/>
          <w:szCs w:val="24"/>
        </w:rPr>
        <w:t>）</w:t>
      </w:r>
      <w:r>
        <w:rPr>
          <w:sz w:val="24"/>
          <w:szCs w:val="24"/>
        </w:rPr>
        <w:t>×100%</w:t>
      </w:r>
    </w:p>
    <w:p>
      <w:pPr>
        <w:spacing w:line="520" w:lineRule="exact"/>
        <w:ind w:firstLine="480" w:firstLineChars="200"/>
        <w:rPr>
          <w:sz w:val="24"/>
          <w:szCs w:val="24"/>
        </w:rPr>
      </w:pPr>
      <w:r>
        <w:rPr>
          <w:sz w:val="24"/>
          <w:szCs w:val="24"/>
        </w:rPr>
        <w:t>式中：E</w:t>
      </w:r>
      <w:r>
        <w:rPr>
          <w:sz w:val="24"/>
          <w:szCs w:val="24"/>
          <w:vertAlign w:val="subscript"/>
        </w:rPr>
        <w:t>O</w:t>
      </w:r>
      <w:r>
        <w:rPr>
          <w:sz w:val="24"/>
          <w:szCs w:val="24"/>
        </w:rPr>
        <w:t>——环保建设投资，万元</w:t>
      </w:r>
    </w:p>
    <w:p>
      <w:pPr>
        <w:spacing w:line="520" w:lineRule="exact"/>
        <w:ind w:firstLine="1200" w:firstLineChars="500"/>
        <w:rPr>
          <w:sz w:val="24"/>
          <w:szCs w:val="24"/>
        </w:rPr>
      </w:pPr>
      <w:r>
        <w:rPr>
          <w:sz w:val="24"/>
          <w:szCs w:val="24"/>
        </w:rPr>
        <w:t>E</w:t>
      </w:r>
      <w:r>
        <w:rPr>
          <w:sz w:val="24"/>
          <w:szCs w:val="24"/>
          <w:vertAlign w:val="subscript"/>
        </w:rPr>
        <w:t>R</w:t>
      </w:r>
      <w:r>
        <w:rPr>
          <w:sz w:val="24"/>
          <w:szCs w:val="24"/>
        </w:rPr>
        <w:t>——企业建设总投资，万元</w:t>
      </w:r>
    </w:p>
    <w:p>
      <w:pPr>
        <w:spacing w:line="520" w:lineRule="exact"/>
        <w:ind w:firstLine="480" w:firstLineChars="200"/>
        <w:rPr>
          <w:sz w:val="24"/>
          <w:szCs w:val="24"/>
        </w:rPr>
      </w:pPr>
      <w:r>
        <w:rPr>
          <w:bCs/>
          <w:sz w:val="24"/>
          <w:szCs w:val="24"/>
        </w:rPr>
        <w:t>项目各项环保投资费用为1400</w:t>
      </w:r>
      <w:r>
        <w:rPr>
          <w:rFonts w:hint="eastAsia"/>
          <w:bCs/>
          <w:sz w:val="24"/>
          <w:szCs w:val="24"/>
        </w:rPr>
        <w:t>万元</w:t>
      </w:r>
      <w:r>
        <w:rPr>
          <w:bCs/>
          <w:sz w:val="24"/>
          <w:szCs w:val="24"/>
        </w:rPr>
        <w:t>，项目总投资费用为</w:t>
      </w:r>
      <w:r>
        <w:rPr>
          <w:rFonts w:hint="eastAsia"/>
          <w:bCs/>
          <w:sz w:val="24"/>
          <w:szCs w:val="24"/>
        </w:rPr>
        <w:t>3000万元</w:t>
      </w:r>
      <w:r>
        <w:rPr>
          <w:bCs/>
          <w:sz w:val="24"/>
          <w:szCs w:val="24"/>
        </w:rPr>
        <w:t>，环保投资占工程计划总投资的4.7</w:t>
      </w:r>
      <w:r>
        <w:rPr>
          <w:rFonts w:hint="eastAsia"/>
          <w:bCs/>
          <w:sz w:val="24"/>
          <w:szCs w:val="24"/>
        </w:rPr>
        <w:t>%</w:t>
      </w:r>
      <w:r>
        <w:rPr>
          <w:bCs/>
          <w:sz w:val="24"/>
          <w:szCs w:val="24"/>
        </w:rPr>
        <w:t>。</w:t>
      </w:r>
      <w:r>
        <w:rPr>
          <w:sz w:val="24"/>
          <w:szCs w:val="24"/>
        </w:rPr>
        <w:t>本工程的环保投资能有效地提高</w:t>
      </w:r>
      <w:r>
        <w:rPr>
          <w:rFonts w:hint="eastAsia"/>
          <w:sz w:val="24"/>
          <w:szCs w:val="24"/>
        </w:rPr>
        <w:t>水及</w:t>
      </w:r>
      <w:r>
        <w:rPr>
          <w:sz w:val="24"/>
          <w:szCs w:val="24"/>
        </w:rPr>
        <w:t>原料利用率，降低能耗、物耗，减轻了对周围环境的影响。总的来说，该项目的环保投资</w:t>
      </w:r>
      <w:r>
        <w:rPr>
          <w:rFonts w:hint="eastAsia"/>
          <w:sz w:val="24"/>
          <w:szCs w:val="24"/>
        </w:rPr>
        <w:t>在企业的可接受范围内</w:t>
      </w:r>
      <w:r>
        <w:rPr>
          <w:sz w:val="24"/>
          <w:szCs w:val="24"/>
        </w:rPr>
        <w:t>。</w:t>
      </w:r>
    </w:p>
    <w:p>
      <w:pPr>
        <w:keepNext/>
        <w:keepLines/>
        <w:spacing w:line="520" w:lineRule="exact"/>
        <w:outlineLvl w:val="2"/>
        <w:rPr>
          <w:rFonts w:eastAsia="黑体"/>
          <w:sz w:val="28"/>
          <w:szCs w:val="28"/>
        </w:rPr>
      </w:pPr>
      <w:r>
        <w:rPr>
          <w:rFonts w:eastAsia="黑体"/>
          <w:sz w:val="28"/>
          <w:szCs w:val="28"/>
        </w:rPr>
        <w:t>8.3.5 产值环境系数 Fg</w:t>
      </w:r>
    </w:p>
    <w:p>
      <w:pPr>
        <w:spacing w:line="520" w:lineRule="exact"/>
        <w:ind w:firstLine="480" w:firstLineChars="200"/>
        <w:rPr>
          <w:sz w:val="24"/>
          <w:szCs w:val="24"/>
        </w:rPr>
      </w:pPr>
      <w:r>
        <w:rPr>
          <w:sz w:val="24"/>
          <w:szCs w:val="24"/>
        </w:rPr>
        <w:t>产值环境系数是指年环保运行费用与工业总产值的比值，年环保费用是指环保治理设施及综合利用装置的运行费用、折旧费、日常管理费等。产值环境系数的表达式为：</w:t>
      </w:r>
    </w:p>
    <w:p>
      <w:pPr>
        <w:spacing w:line="520" w:lineRule="exact"/>
        <w:jc w:val="center"/>
        <w:rPr>
          <w:sz w:val="24"/>
          <w:szCs w:val="24"/>
        </w:rPr>
      </w:pPr>
      <w:r>
        <w:rPr>
          <w:sz w:val="24"/>
          <w:szCs w:val="24"/>
        </w:rPr>
        <w:t>Fg=</w:t>
      </w:r>
      <w:r>
        <w:rPr>
          <w:rFonts w:hint="eastAsia"/>
          <w:sz w:val="24"/>
          <w:szCs w:val="24"/>
        </w:rPr>
        <w:t>（</w:t>
      </w:r>
      <w:r>
        <w:rPr>
          <w:sz w:val="24"/>
          <w:szCs w:val="24"/>
        </w:rPr>
        <w:t>E</w:t>
      </w:r>
      <w:r>
        <w:rPr>
          <w:bCs/>
          <w:sz w:val="24"/>
          <w:szCs w:val="24"/>
          <w:vertAlign w:val="subscript"/>
        </w:rPr>
        <w:t>Z</w:t>
      </w:r>
      <w:r>
        <w:rPr>
          <w:sz w:val="24"/>
          <w:szCs w:val="24"/>
        </w:rPr>
        <w:t>/E</w:t>
      </w:r>
      <w:r>
        <w:rPr>
          <w:sz w:val="24"/>
          <w:szCs w:val="24"/>
          <w:vertAlign w:val="subscript"/>
        </w:rPr>
        <w:t>RS</w:t>
      </w:r>
      <w:r>
        <w:rPr>
          <w:rFonts w:hint="eastAsia"/>
          <w:sz w:val="24"/>
          <w:szCs w:val="24"/>
        </w:rPr>
        <w:t>）</w:t>
      </w:r>
      <w:r>
        <w:rPr>
          <w:sz w:val="24"/>
          <w:szCs w:val="24"/>
        </w:rPr>
        <w:t>×100%</w:t>
      </w:r>
    </w:p>
    <w:p>
      <w:pPr>
        <w:spacing w:line="520" w:lineRule="exact"/>
        <w:ind w:firstLine="480" w:firstLineChars="200"/>
        <w:rPr>
          <w:sz w:val="24"/>
          <w:szCs w:val="24"/>
        </w:rPr>
      </w:pPr>
      <w:r>
        <w:rPr>
          <w:sz w:val="24"/>
          <w:szCs w:val="24"/>
        </w:rPr>
        <w:t>式中：E</w:t>
      </w:r>
      <w:r>
        <w:rPr>
          <w:sz w:val="24"/>
          <w:szCs w:val="24"/>
          <w:vertAlign w:val="subscript"/>
        </w:rPr>
        <w:t>Z</w:t>
      </w:r>
      <w:r>
        <w:rPr>
          <w:sz w:val="24"/>
          <w:szCs w:val="24"/>
        </w:rPr>
        <w:t>——年环保费用，万元</w:t>
      </w:r>
    </w:p>
    <w:p>
      <w:pPr>
        <w:spacing w:line="520" w:lineRule="exact"/>
        <w:ind w:firstLine="480" w:firstLineChars="200"/>
        <w:rPr>
          <w:sz w:val="24"/>
          <w:szCs w:val="24"/>
        </w:rPr>
      </w:pPr>
      <w:r>
        <w:rPr>
          <w:sz w:val="24"/>
          <w:szCs w:val="24"/>
        </w:rPr>
        <w:t>E</w:t>
      </w:r>
      <w:r>
        <w:rPr>
          <w:sz w:val="24"/>
          <w:szCs w:val="24"/>
          <w:vertAlign w:val="subscript"/>
        </w:rPr>
        <w:t>RS</w:t>
      </w:r>
      <w:r>
        <w:rPr>
          <w:sz w:val="24"/>
          <w:szCs w:val="24"/>
        </w:rPr>
        <w:t>——年工业总产值，万元</w:t>
      </w:r>
    </w:p>
    <w:p>
      <w:pPr>
        <w:spacing w:line="520" w:lineRule="exact"/>
        <w:ind w:firstLine="480" w:firstLineChars="200"/>
        <w:rPr>
          <w:bCs/>
          <w:sz w:val="24"/>
          <w:szCs w:val="24"/>
        </w:rPr>
      </w:pPr>
      <w:r>
        <w:rPr>
          <w:sz w:val="24"/>
          <w:szCs w:val="24"/>
        </w:rPr>
        <w:t>项目实施后，</w:t>
      </w:r>
      <w:r>
        <w:rPr>
          <w:bCs/>
          <w:sz w:val="24"/>
          <w:szCs w:val="24"/>
        </w:rPr>
        <w:t>每年环保运行费用为</w:t>
      </w:r>
      <w:bookmarkStart w:id="249" w:name="_Hlk136361096"/>
      <w:r>
        <w:rPr>
          <w:bCs/>
          <w:sz w:val="24"/>
          <w:szCs w:val="24"/>
        </w:rPr>
        <w:t>42</w:t>
      </w:r>
      <w:bookmarkEnd w:id="249"/>
      <w:r>
        <w:rPr>
          <w:bCs/>
          <w:sz w:val="24"/>
          <w:szCs w:val="24"/>
        </w:rPr>
        <w:t>0.6944万元，本项目年工业总产值16674</w:t>
      </w:r>
      <w:r>
        <w:rPr>
          <w:rFonts w:hint="eastAsia"/>
          <w:bCs/>
          <w:sz w:val="24"/>
          <w:szCs w:val="24"/>
        </w:rPr>
        <w:t>万</w:t>
      </w:r>
      <w:r>
        <w:rPr>
          <w:bCs/>
          <w:sz w:val="24"/>
          <w:szCs w:val="24"/>
        </w:rPr>
        <w:t>元，则产值环境系数为2.53%，这意味着每生产万元产值所花费的环保费用为253元。</w:t>
      </w:r>
    </w:p>
    <w:p>
      <w:pPr>
        <w:keepNext/>
        <w:keepLines/>
        <w:spacing w:line="520" w:lineRule="exact"/>
        <w:outlineLvl w:val="2"/>
        <w:rPr>
          <w:rFonts w:eastAsia="黑体"/>
          <w:b/>
          <w:sz w:val="28"/>
          <w:szCs w:val="28"/>
        </w:rPr>
      </w:pPr>
      <w:r>
        <w:rPr>
          <w:rFonts w:eastAsia="黑体"/>
          <w:sz w:val="28"/>
          <w:szCs w:val="28"/>
        </w:rPr>
        <w:t>8.3.6 环境经济效益系数 J</w:t>
      </w:r>
      <w:r>
        <w:rPr>
          <w:rFonts w:hint="eastAsia" w:eastAsia="黑体"/>
          <w:sz w:val="28"/>
          <w:szCs w:val="28"/>
        </w:rPr>
        <w:t>x</w:t>
      </w:r>
    </w:p>
    <w:p>
      <w:pPr>
        <w:spacing w:line="520" w:lineRule="exact"/>
        <w:ind w:firstLine="480" w:firstLineChars="200"/>
        <w:rPr>
          <w:sz w:val="24"/>
          <w:szCs w:val="24"/>
        </w:rPr>
      </w:pPr>
      <w:r>
        <w:rPr>
          <w:sz w:val="24"/>
          <w:szCs w:val="24"/>
        </w:rPr>
        <w:t>环境经济效益系数J</w:t>
      </w:r>
      <w:r>
        <w:rPr>
          <w:sz w:val="24"/>
          <w:szCs w:val="24"/>
          <w:vertAlign w:val="subscript"/>
        </w:rPr>
        <w:t>X</w:t>
      </w:r>
      <w:r>
        <w:rPr>
          <w:sz w:val="24"/>
          <w:szCs w:val="24"/>
        </w:rPr>
        <w:t>是指因有效的环境保护措施而挽回的经济价值与环境保护费用之比，其表达式为：</w:t>
      </w:r>
    </w:p>
    <w:p>
      <w:pPr>
        <w:spacing w:line="520" w:lineRule="exact"/>
        <w:jc w:val="center"/>
        <w:rPr>
          <w:sz w:val="24"/>
          <w:szCs w:val="24"/>
        </w:rPr>
      </w:pPr>
      <w:r>
        <w:rPr>
          <w:sz w:val="24"/>
          <w:szCs w:val="24"/>
        </w:rPr>
        <w:t>J</w:t>
      </w:r>
      <w:r>
        <w:rPr>
          <w:sz w:val="24"/>
          <w:szCs w:val="24"/>
          <w:vertAlign w:val="subscript"/>
        </w:rPr>
        <w:t>X</w:t>
      </w:r>
      <w:r>
        <w:rPr>
          <w:sz w:val="24"/>
          <w:szCs w:val="24"/>
        </w:rPr>
        <w:t>=E</w:t>
      </w:r>
      <w:r>
        <w:rPr>
          <w:sz w:val="24"/>
          <w:szCs w:val="24"/>
          <w:vertAlign w:val="subscript"/>
        </w:rPr>
        <w:t>i</w:t>
      </w:r>
      <w:r>
        <w:rPr>
          <w:sz w:val="24"/>
          <w:szCs w:val="24"/>
        </w:rPr>
        <w:t>/E</w:t>
      </w:r>
      <w:r>
        <w:rPr>
          <w:sz w:val="24"/>
          <w:szCs w:val="24"/>
          <w:vertAlign w:val="subscript"/>
        </w:rPr>
        <w:t>Z</w:t>
      </w:r>
    </w:p>
    <w:p>
      <w:pPr>
        <w:spacing w:line="520" w:lineRule="exact"/>
        <w:ind w:firstLine="480" w:firstLineChars="200"/>
        <w:rPr>
          <w:sz w:val="24"/>
          <w:szCs w:val="24"/>
        </w:rPr>
      </w:pPr>
      <w:r>
        <w:rPr>
          <w:sz w:val="24"/>
          <w:szCs w:val="24"/>
        </w:rPr>
        <w:t>式中：E</w:t>
      </w:r>
      <w:r>
        <w:rPr>
          <w:sz w:val="24"/>
          <w:szCs w:val="24"/>
          <w:vertAlign w:val="subscript"/>
        </w:rPr>
        <w:t>i</w:t>
      </w:r>
      <w:r>
        <w:rPr>
          <w:sz w:val="24"/>
          <w:szCs w:val="24"/>
        </w:rPr>
        <w:t>——每年环保措施挽回的经济效益，万元</w:t>
      </w:r>
    </w:p>
    <w:p>
      <w:pPr>
        <w:spacing w:line="520" w:lineRule="exact"/>
        <w:ind w:firstLine="480" w:firstLineChars="200"/>
        <w:rPr>
          <w:sz w:val="24"/>
          <w:szCs w:val="24"/>
        </w:rPr>
      </w:pPr>
      <w:r>
        <w:rPr>
          <w:sz w:val="24"/>
          <w:szCs w:val="24"/>
        </w:rPr>
        <w:t>E</w:t>
      </w:r>
      <w:r>
        <w:rPr>
          <w:sz w:val="24"/>
          <w:szCs w:val="24"/>
          <w:vertAlign w:val="subscript"/>
        </w:rPr>
        <w:t>Z</w:t>
      </w:r>
      <w:r>
        <w:rPr>
          <w:sz w:val="24"/>
          <w:szCs w:val="24"/>
        </w:rPr>
        <w:t>——年环保费用，万元</w:t>
      </w:r>
    </w:p>
    <w:p>
      <w:pPr>
        <w:spacing w:line="520" w:lineRule="exact"/>
        <w:ind w:firstLine="480" w:firstLineChars="200"/>
        <w:rPr>
          <w:bCs/>
          <w:sz w:val="24"/>
          <w:szCs w:val="24"/>
        </w:rPr>
      </w:pPr>
      <w:r>
        <w:rPr>
          <w:sz w:val="24"/>
          <w:szCs w:val="24"/>
        </w:rPr>
        <w:t>项目每年环境经济效益为200万元，</w:t>
      </w:r>
      <w:r>
        <w:rPr>
          <w:bCs/>
          <w:sz w:val="24"/>
          <w:szCs w:val="24"/>
        </w:rPr>
        <w:t>年环保运行费用为420.6944万元，则环境经济效益系数为</w:t>
      </w:r>
      <w:r>
        <w:rPr>
          <w:rFonts w:hint="eastAsia"/>
          <w:bCs/>
          <w:sz w:val="24"/>
          <w:szCs w:val="24"/>
        </w:rPr>
        <w:t>0.</w:t>
      </w:r>
      <w:r>
        <w:rPr>
          <w:bCs/>
          <w:sz w:val="24"/>
          <w:szCs w:val="24"/>
        </w:rPr>
        <w:t>48</w:t>
      </w:r>
      <w:r>
        <w:rPr>
          <w:rFonts w:hint="eastAsia"/>
          <w:bCs/>
          <w:sz w:val="24"/>
          <w:szCs w:val="24"/>
        </w:rPr>
        <w:t>:</w:t>
      </w:r>
      <w:r>
        <w:rPr>
          <w:bCs/>
          <w:sz w:val="24"/>
          <w:szCs w:val="24"/>
        </w:rPr>
        <w:t>1。</w:t>
      </w:r>
    </w:p>
    <w:p>
      <w:pPr>
        <w:keepNext/>
        <w:keepLines/>
        <w:spacing w:line="520" w:lineRule="exact"/>
        <w:outlineLvl w:val="2"/>
        <w:rPr>
          <w:rFonts w:eastAsia="黑体"/>
          <w:sz w:val="28"/>
          <w:szCs w:val="28"/>
        </w:rPr>
      </w:pPr>
      <w:r>
        <w:rPr>
          <w:rFonts w:eastAsia="黑体"/>
          <w:sz w:val="28"/>
          <w:szCs w:val="28"/>
        </w:rPr>
        <w:t xml:space="preserve">8.3.7 </w:t>
      </w:r>
      <w:r>
        <w:rPr>
          <w:rFonts w:hint="eastAsia" w:eastAsia="黑体"/>
          <w:sz w:val="28"/>
          <w:szCs w:val="28"/>
        </w:rPr>
        <w:t>工程环境效益综述</w:t>
      </w:r>
    </w:p>
    <w:p>
      <w:pPr>
        <w:spacing w:line="520" w:lineRule="exact"/>
        <w:ind w:firstLine="480" w:firstLineChars="200"/>
        <w:rPr>
          <w:sz w:val="24"/>
          <w:szCs w:val="24"/>
          <w:highlight w:val="yellow"/>
        </w:rPr>
      </w:pPr>
      <w:r>
        <w:rPr>
          <w:sz w:val="24"/>
          <w:szCs w:val="24"/>
        </w:rPr>
        <w:t>本项目的环境效益主要体现在环保投资减轻项目对环境的影响程度，本项目</w:t>
      </w:r>
      <w:r>
        <w:rPr>
          <w:rFonts w:hint="eastAsia"/>
          <w:sz w:val="24"/>
          <w:szCs w:val="24"/>
        </w:rPr>
        <w:t>对污水处理站恶臭气体</w:t>
      </w:r>
      <w:r>
        <w:rPr>
          <w:sz w:val="24"/>
          <w:szCs w:val="24"/>
        </w:rPr>
        <w:t>采用</w:t>
      </w:r>
      <w:r>
        <w:rPr>
          <w:rFonts w:hint="eastAsia"/>
          <w:sz w:val="24"/>
          <w:szCs w:val="24"/>
        </w:rPr>
        <w:t>“碱喷淋+生物除臭剂喷淋”进行</w:t>
      </w:r>
      <w:r>
        <w:rPr>
          <w:sz w:val="24"/>
          <w:szCs w:val="24"/>
        </w:rPr>
        <w:t>治理</w:t>
      </w:r>
      <w:r>
        <w:rPr>
          <w:rFonts w:hint="eastAsia"/>
          <w:sz w:val="24"/>
          <w:szCs w:val="24"/>
        </w:rPr>
        <w:t>；对废水，工程采用厂区污水处理站（</w:t>
      </w:r>
      <w:r>
        <w:rPr>
          <w:rFonts w:hint="eastAsia"/>
          <w:bCs/>
          <w:sz w:val="24"/>
          <w:szCs w:val="24"/>
        </w:rPr>
        <w:t>格栅+集水池+超微过滤机+初沉池+调节池+水解酸化池+厌氧池+缺氧池+好氧池+二沉池+三沉池</w:t>
      </w:r>
      <w:r>
        <w:rPr>
          <w:rFonts w:hint="eastAsia"/>
          <w:sz w:val="24"/>
          <w:szCs w:val="24"/>
        </w:rPr>
        <w:t>）对废水进行处理</w:t>
      </w:r>
      <w:r>
        <w:rPr>
          <w:sz w:val="24"/>
          <w:szCs w:val="24"/>
        </w:rPr>
        <w:t>，各类污染物均能实现稳定达标排放。同时，本项目充分考虑了固废的综合利用与处置。经计算：</w:t>
      </w:r>
    </w:p>
    <w:p>
      <w:pPr>
        <w:spacing w:line="520" w:lineRule="exact"/>
        <w:ind w:firstLine="480" w:firstLineChars="200"/>
        <w:rPr>
          <w:bCs/>
          <w:sz w:val="24"/>
          <w:szCs w:val="24"/>
        </w:rPr>
      </w:pPr>
      <w:r>
        <w:rPr>
          <w:bCs/>
          <w:sz w:val="24"/>
          <w:szCs w:val="24"/>
        </w:rPr>
        <w:t>（1）项目完成后项目环保投资比例系数Hz为4.7</w:t>
      </w:r>
      <w:r>
        <w:rPr>
          <w:rFonts w:hint="eastAsia"/>
          <w:bCs/>
          <w:sz w:val="24"/>
          <w:szCs w:val="24"/>
        </w:rPr>
        <w:t>%</w:t>
      </w:r>
      <w:r>
        <w:rPr>
          <w:bCs/>
          <w:sz w:val="24"/>
          <w:szCs w:val="24"/>
        </w:rPr>
        <w:t>，表示环保投资占工程计划总投资的4.7</w:t>
      </w:r>
      <w:r>
        <w:rPr>
          <w:rFonts w:hint="eastAsia"/>
          <w:bCs/>
          <w:sz w:val="24"/>
          <w:szCs w:val="24"/>
        </w:rPr>
        <w:t>%</w:t>
      </w:r>
      <w:r>
        <w:rPr>
          <w:bCs/>
          <w:sz w:val="24"/>
          <w:szCs w:val="24"/>
        </w:rPr>
        <w:t>；</w:t>
      </w:r>
    </w:p>
    <w:p>
      <w:pPr>
        <w:spacing w:line="520" w:lineRule="exact"/>
        <w:ind w:firstLine="480" w:firstLineChars="200"/>
        <w:rPr>
          <w:bCs/>
          <w:sz w:val="24"/>
          <w:szCs w:val="24"/>
        </w:rPr>
      </w:pPr>
      <w:r>
        <w:rPr>
          <w:bCs/>
          <w:sz w:val="24"/>
          <w:szCs w:val="24"/>
        </w:rPr>
        <w:t>（2）Fg产值环境系数为2.53%，表示每生产万元产值所花费的环保费用为253元；</w:t>
      </w:r>
    </w:p>
    <w:p>
      <w:pPr>
        <w:spacing w:line="520" w:lineRule="exact"/>
        <w:ind w:firstLine="480" w:firstLineChars="200"/>
        <w:rPr>
          <w:bCs/>
          <w:sz w:val="24"/>
          <w:szCs w:val="24"/>
        </w:rPr>
      </w:pPr>
      <w:r>
        <w:rPr>
          <w:bCs/>
          <w:sz w:val="24"/>
          <w:szCs w:val="24"/>
        </w:rPr>
        <w:t>（3）环境经济效益系数J</w:t>
      </w:r>
      <w:r>
        <w:rPr>
          <w:bCs/>
          <w:sz w:val="24"/>
          <w:szCs w:val="24"/>
          <w:vertAlign w:val="subscript"/>
        </w:rPr>
        <w:t>X</w:t>
      </w:r>
      <w:r>
        <w:rPr>
          <w:bCs/>
          <w:sz w:val="24"/>
          <w:szCs w:val="24"/>
        </w:rPr>
        <w:t>为0.48：1，表示每投入1元环保投资可挽回0.48元经济价值。</w:t>
      </w:r>
    </w:p>
    <w:p>
      <w:pPr>
        <w:spacing w:line="520" w:lineRule="exact"/>
        <w:ind w:firstLine="480" w:firstLineChars="200"/>
        <w:rPr>
          <w:sz w:val="24"/>
          <w:szCs w:val="24"/>
        </w:rPr>
      </w:pPr>
      <w:r>
        <w:rPr>
          <w:rFonts w:hint="eastAsia"/>
          <w:sz w:val="24"/>
          <w:szCs w:val="24"/>
        </w:rPr>
        <w:t>建设项目环境效益的核算是一项复杂、系统的工作，本项目通过适当的环保投资实现污染物达标排放，并纳入区域总量控制指标内，在达到经济目标的同时亦实现环境目标和持续发展。</w:t>
      </w:r>
    </w:p>
    <w:p>
      <w:pPr>
        <w:spacing w:line="520" w:lineRule="exact"/>
        <w:ind w:firstLine="480" w:firstLineChars="200"/>
        <w:rPr>
          <w:sz w:val="24"/>
          <w:szCs w:val="24"/>
        </w:rPr>
      </w:pPr>
      <w:r>
        <w:rPr>
          <w:rFonts w:hint="eastAsia"/>
          <w:sz w:val="24"/>
          <w:szCs w:val="24"/>
        </w:rPr>
        <w:t>综上所述，虽然项目需要付出一定的经济代价进行污染治理，但在治理污染物的同时也为企业带来了一定程度的收益，综合评定后，评价认为项目设置的环保投资是必要的，设置环保投资带来的环境效益是明显的。</w:t>
      </w: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sectPr>
          <w:footerReference r:id="rId27" w:type="default"/>
          <w:pgSz w:w="11906" w:h="16838"/>
          <w:pgMar w:top="1701" w:right="1588" w:bottom="1701" w:left="1588" w:header="851" w:footer="1134" w:gutter="0"/>
          <w:pgNumType w:start="1"/>
          <w:cols w:space="720" w:num="1"/>
          <w:docGrid w:type="lines" w:linePitch="312" w:charSpace="0"/>
        </w:sectPr>
      </w:pPr>
    </w:p>
    <w:p>
      <w:pPr>
        <w:jc w:val="center"/>
        <w:outlineLvl w:val="0"/>
        <w:rPr>
          <w:rFonts w:eastAsia="黑体"/>
          <w:sz w:val="44"/>
          <w:szCs w:val="44"/>
        </w:rPr>
      </w:pPr>
      <w:bookmarkStart w:id="250" w:name="_Toc24263"/>
      <w:r>
        <w:rPr>
          <w:rFonts w:eastAsia="黑体"/>
          <w:sz w:val="44"/>
          <w:szCs w:val="44"/>
        </w:rPr>
        <w:t>第9章  环境管理与监测计划</w:t>
      </w:r>
      <w:bookmarkEnd w:id="250"/>
    </w:p>
    <w:p>
      <w:pPr>
        <w:spacing w:line="200" w:lineRule="exact"/>
        <w:ind w:firstLine="480" w:firstLineChars="200"/>
        <w:jc w:val="center"/>
        <w:rPr>
          <w:sz w:val="24"/>
          <w:szCs w:val="24"/>
          <w:highlight w:val="yellow"/>
        </w:rPr>
      </w:pPr>
    </w:p>
    <w:p>
      <w:pPr>
        <w:rPr>
          <w:kern w:val="0"/>
          <w:sz w:val="20"/>
          <w:szCs w:val="20"/>
          <w:highlight w:val="yellow"/>
        </w:rPr>
      </w:pPr>
    </w:p>
    <w:p>
      <w:pPr>
        <w:spacing w:line="520" w:lineRule="exact"/>
        <w:ind w:firstLine="480" w:firstLineChars="200"/>
        <w:rPr>
          <w:sz w:val="24"/>
          <w:szCs w:val="24"/>
        </w:rPr>
      </w:pPr>
      <w:r>
        <w:rPr>
          <w:sz w:val="24"/>
          <w:szCs w:val="24"/>
        </w:rPr>
        <w:t>环境管理是企业管理的一项重要管理内容，是企业可持续发展的基础，</w:t>
      </w:r>
      <w:r>
        <w:rPr>
          <w:sz w:val="24"/>
        </w:rPr>
        <w:t>是监督企业环保设施正常运行、确保污染物达标排放的重要保证。</w:t>
      </w:r>
      <w:r>
        <w:rPr>
          <w:sz w:val="24"/>
          <w:szCs w:val="24"/>
        </w:rPr>
        <w:t>加强环境监督、管理力度，是企业实现社会效益、经济效益、环境效益协调发展和走可持续发展道路的重要措施。环境监测是企业环境管理的重要组成部分，通过监测计划的制定与执行，可以定量反映企业的环境信息，及时发现问题、解决问题和总结经验，保证环保措施的实施和落实，并以此完善环境管理，使环境资源维持在期望值范围以内。</w:t>
      </w:r>
    </w:p>
    <w:p>
      <w:pPr>
        <w:spacing w:line="520" w:lineRule="exact"/>
        <w:ind w:firstLine="480" w:firstLineChars="200"/>
        <w:rPr>
          <w:sz w:val="24"/>
          <w:szCs w:val="24"/>
        </w:rPr>
      </w:pPr>
      <w:r>
        <w:rPr>
          <w:sz w:val="24"/>
        </w:rPr>
        <w:t>本项目</w:t>
      </w:r>
      <w:r>
        <w:rPr>
          <w:sz w:val="24"/>
          <w:szCs w:val="24"/>
        </w:rPr>
        <w:t>在建设和生产过程中有三废产生，为了保护当地人居环境，同时为了企业能够持续化发展，要求企业有一套完善的环境保护管理体系，并将环境管理和环境监控纳入日常生产管理中，在搞好生产的同时，确保各项污染治理措施的正常运行和污染物的达标排放。制定并落实严格的环境管理与监控计划，才能最大限度的减少污染物的产生与排放。</w:t>
      </w:r>
    </w:p>
    <w:p>
      <w:pPr>
        <w:snapToGrid w:val="0"/>
        <w:spacing w:line="520" w:lineRule="exact"/>
        <w:outlineLvl w:val="1"/>
        <w:rPr>
          <w:rFonts w:eastAsia="黑体"/>
          <w:snapToGrid w:val="0"/>
          <w:kern w:val="0"/>
          <w:sz w:val="28"/>
          <w:szCs w:val="28"/>
          <w:lang w:val="zh-CN"/>
        </w:rPr>
      </w:pPr>
      <w:bookmarkStart w:id="251" w:name="_Toc21319410"/>
      <w:bookmarkStart w:id="252" w:name="_Toc5001"/>
      <w:r>
        <w:rPr>
          <w:rFonts w:eastAsia="黑体"/>
          <w:snapToGrid w:val="0"/>
          <w:kern w:val="0"/>
          <w:sz w:val="28"/>
          <w:szCs w:val="28"/>
          <w:lang w:val="zh-CN"/>
        </w:rPr>
        <w:t>9.1 环境管理</w:t>
      </w:r>
      <w:bookmarkEnd w:id="251"/>
      <w:bookmarkEnd w:id="252"/>
    </w:p>
    <w:p>
      <w:pPr>
        <w:keepNext/>
        <w:keepLines/>
        <w:spacing w:line="360" w:lineRule="auto"/>
        <w:outlineLvl w:val="2"/>
        <w:rPr>
          <w:rFonts w:eastAsia="黑体"/>
          <w:bCs/>
          <w:sz w:val="28"/>
          <w:szCs w:val="28"/>
        </w:rPr>
      </w:pPr>
      <w:r>
        <w:rPr>
          <w:rFonts w:eastAsia="黑体"/>
          <w:bCs/>
          <w:sz w:val="28"/>
          <w:szCs w:val="28"/>
        </w:rPr>
        <w:t>9.1.1环境管理机构的设置</w:t>
      </w:r>
    </w:p>
    <w:p>
      <w:pPr>
        <w:spacing w:line="520" w:lineRule="exact"/>
        <w:ind w:firstLine="570"/>
        <w:rPr>
          <w:sz w:val="24"/>
          <w:szCs w:val="28"/>
        </w:rPr>
      </w:pPr>
      <w:r>
        <w:rPr>
          <w:sz w:val="24"/>
          <w:szCs w:val="28"/>
        </w:rPr>
        <w:t>按照环保要求，该公司拟设置专门的安全环境管理机构，由该公司副总经理作为环境管理机构的总负责人，由一名环保的部门经理作为直接负责人，下设管理人员3名，负责日常环境管理工作，以满足本厂环保管理的需求。</w:t>
      </w:r>
    </w:p>
    <w:p>
      <w:pPr>
        <w:keepNext/>
        <w:keepLines/>
        <w:spacing w:line="360" w:lineRule="auto"/>
        <w:outlineLvl w:val="2"/>
        <w:rPr>
          <w:rFonts w:eastAsia="黑体"/>
          <w:bCs/>
          <w:sz w:val="28"/>
          <w:szCs w:val="28"/>
        </w:rPr>
      </w:pPr>
      <w:r>
        <w:rPr>
          <w:rFonts w:eastAsia="黑体"/>
          <w:bCs/>
          <w:sz w:val="28"/>
          <w:szCs w:val="28"/>
        </w:rPr>
        <w:t>9.1.2环境管理的原则</w:t>
      </w:r>
    </w:p>
    <w:p>
      <w:pPr>
        <w:spacing w:line="520" w:lineRule="exact"/>
        <w:ind w:firstLine="570"/>
        <w:rPr>
          <w:sz w:val="24"/>
          <w:szCs w:val="28"/>
        </w:rPr>
      </w:pPr>
      <w:r>
        <w:rPr>
          <w:sz w:val="24"/>
          <w:szCs w:val="28"/>
        </w:rPr>
        <w:t>根据国家环境保护发展的要求及本公司特点，应遵循以下环境管理原则：</w:t>
      </w:r>
    </w:p>
    <w:p>
      <w:pPr>
        <w:spacing w:line="520" w:lineRule="exact"/>
        <w:ind w:firstLine="360" w:firstLineChars="150"/>
        <w:rPr>
          <w:sz w:val="24"/>
          <w:szCs w:val="28"/>
        </w:rPr>
      </w:pPr>
      <w:r>
        <w:rPr>
          <w:sz w:val="24"/>
          <w:szCs w:val="28"/>
        </w:rPr>
        <w:t>（1）经济效益、社会效益和环境效益高度统一，坚持可持续发展的原则。</w:t>
      </w:r>
    </w:p>
    <w:p>
      <w:pPr>
        <w:spacing w:line="520" w:lineRule="exact"/>
        <w:ind w:firstLine="360" w:firstLineChars="150"/>
        <w:rPr>
          <w:sz w:val="24"/>
          <w:szCs w:val="28"/>
        </w:rPr>
      </w:pPr>
      <w:r>
        <w:rPr>
          <w:sz w:val="24"/>
          <w:szCs w:val="28"/>
        </w:rPr>
        <w:t>（2）预防为主，管治结合的原则。</w:t>
      </w:r>
    </w:p>
    <w:p>
      <w:pPr>
        <w:spacing w:line="520" w:lineRule="exact"/>
        <w:ind w:firstLine="360" w:firstLineChars="150"/>
        <w:rPr>
          <w:sz w:val="24"/>
          <w:szCs w:val="28"/>
        </w:rPr>
      </w:pPr>
      <w:r>
        <w:rPr>
          <w:sz w:val="24"/>
          <w:szCs w:val="28"/>
        </w:rPr>
        <w:t>（3）坚持统筹规划、合理布局、清洁生产、集中控制和污染治理相结合，环保优先的原则。</w:t>
      </w:r>
    </w:p>
    <w:p>
      <w:pPr>
        <w:spacing w:line="520" w:lineRule="exact"/>
        <w:ind w:firstLine="360" w:firstLineChars="150"/>
        <w:rPr>
          <w:sz w:val="24"/>
          <w:szCs w:val="28"/>
        </w:rPr>
      </w:pPr>
      <w:r>
        <w:rPr>
          <w:sz w:val="24"/>
          <w:szCs w:val="28"/>
        </w:rPr>
        <w:t>（4）依靠科技进步，推进清洁生产，节能降耗，降低污染的原则。</w:t>
      </w:r>
    </w:p>
    <w:p>
      <w:pPr>
        <w:spacing w:line="520" w:lineRule="exact"/>
        <w:ind w:firstLine="360" w:firstLineChars="150"/>
        <w:rPr>
          <w:sz w:val="24"/>
          <w:szCs w:val="28"/>
          <w:highlight w:val="yellow"/>
        </w:rPr>
      </w:pPr>
      <w:r>
        <w:rPr>
          <w:sz w:val="24"/>
          <w:szCs w:val="28"/>
        </w:rPr>
        <w:t>（5）专业环保管理与公众参与相结合的原则。加强环保宣传，提高全体员工的环境保护意识，领导重视、公众参与、齐抓共管，推动公司的环境保护工作。</w:t>
      </w:r>
    </w:p>
    <w:p>
      <w:pPr>
        <w:keepNext/>
        <w:keepLines/>
        <w:spacing w:line="360" w:lineRule="auto"/>
        <w:outlineLvl w:val="2"/>
        <w:rPr>
          <w:rFonts w:eastAsia="黑体"/>
          <w:bCs/>
          <w:sz w:val="28"/>
          <w:szCs w:val="28"/>
        </w:rPr>
      </w:pPr>
      <w:r>
        <w:rPr>
          <w:rFonts w:eastAsia="黑体"/>
          <w:bCs/>
          <w:sz w:val="28"/>
          <w:szCs w:val="28"/>
        </w:rPr>
        <w:t>9.1.3环境管理机构的日常管理工作</w:t>
      </w:r>
    </w:p>
    <w:p>
      <w:pPr>
        <w:spacing w:line="520" w:lineRule="exact"/>
        <w:ind w:firstLine="480" w:firstLineChars="200"/>
        <w:jc w:val="left"/>
        <w:rPr>
          <w:sz w:val="24"/>
          <w:szCs w:val="24"/>
        </w:rPr>
      </w:pPr>
      <w:r>
        <w:rPr>
          <w:sz w:val="24"/>
          <w:szCs w:val="24"/>
        </w:rPr>
        <w:t>环境管理应贯穿于建设项目从筹备到运行的整个过程，并针对建设项目的不同阶段制定相应的环保条例，规定不同阶段的环保内容，明确不同阶段的工作职责，本项目环境管理机构各阶段的主要职责见表9.1-1。</w:t>
      </w:r>
    </w:p>
    <w:p>
      <w:pPr>
        <w:spacing w:line="500" w:lineRule="exact"/>
        <w:ind w:firstLine="570"/>
        <w:rPr>
          <w:sz w:val="24"/>
          <w:szCs w:val="24"/>
        </w:rPr>
      </w:pPr>
      <w:r>
        <w:rPr>
          <w:rFonts w:eastAsia="黑体"/>
          <w:sz w:val="24"/>
          <w:szCs w:val="24"/>
        </w:rPr>
        <w:t>表9.1-1             环境管理机构职责一览表</w:t>
      </w:r>
    </w:p>
    <w:tbl>
      <w:tblPr>
        <w:tblStyle w:val="49"/>
        <w:tblW w:w="8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978"/>
        <w:gridCol w:w="79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978" w:type="dxa"/>
            <w:vAlign w:val="center"/>
          </w:tcPr>
          <w:p>
            <w:pPr>
              <w:spacing w:line="300" w:lineRule="exact"/>
              <w:jc w:val="center"/>
              <w:rPr>
                <w:b/>
                <w:bCs/>
                <w:szCs w:val="21"/>
              </w:rPr>
            </w:pPr>
            <w:r>
              <w:rPr>
                <w:b/>
                <w:bCs/>
                <w:szCs w:val="21"/>
              </w:rPr>
              <w:t>运行时段</w:t>
            </w:r>
          </w:p>
        </w:tc>
        <w:tc>
          <w:tcPr>
            <w:tcW w:w="7981" w:type="dxa"/>
            <w:vAlign w:val="center"/>
          </w:tcPr>
          <w:p>
            <w:pPr>
              <w:spacing w:line="300" w:lineRule="exact"/>
              <w:ind w:firstLine="2319" w:firstLineChars="1100"/>
              <w:rPr>
                <w:b/>
                <w:bCs/>
                <w:szCs w:val="21"/>
              </w:rPr>
            </w:pPr>
            <w:r>
              <w:rPr>
                <w:b/>
                <w:bCs/>
                <w:szCs w:val="21"/>
              </w:rPr>
              <w:t>主    要    职    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978" w:type="dxa"/>
            <w:vAlign w:val="center"/>
          </w:tcPr>
          <w:p>
            <w:pPr>
              <w:spacing w:line="300" w:lineRule="exact"/>
              <w:jc w:val="center"/>
              <w:rPr>
                <w:szCs w:val="21"/>
              </w:rPr>
            </w:pPr>
            <w:r>
              <w:rPr>
                <w:szCs w:val="21"/>
              </w:rPr>
              <w:t>项目</w:t>
            </w:r>
          </w:p>
          <w:p>
            <w:pPr>
              <w:spacing w:line="300" w:lineRule="exact"/>
              <w:jc w:val="center"/>
              <w:rPr>
                <w:szCs w:val="21"/>
              </w:rPr>
            </w:pPr>
            <w:r>
              <w:rPr>
                <w:szCs w:val="21"/>
              </w:rPr>
              <w:t>筹备期</w:t>
            </w:r>
          </w:p>
        </w:tc>
        <w:tc>
          <w:tcPr>
            <w:tcW w:w="7981" w:type="dxa"/>
            <w:vAlign w:val="center"/>
          </w:tcPr>
          <w:p>
            <w:pPr>
              <w:spacing w:line="300" w:lineRule="exact"/>
              <w:rPr>
                <w:szCs w:val="21"/>
              </w:rPr>
            </w:pPr>
            <w:r>
              <w:rPr>
                <w:szCs w:val="21"/>
              </w:rPr>
              <w:t>·熟悉环保法律法规</w:t>
            </w:r>
          </w:p>
          <w:p>
            <w:pPr>
              <w:spacing w:line="300" w:lineRule="exact"/>
              <w:rPr>
                <w:szCs w:val="21"/>
              </w:rPr>
            </w:pPr>
            <w:r>
              <w:rPr>
                <w:szCs w:val="21"/>
              </w:rPr>
              <w:t>·审核项目准入条件，确定项目是否符合国家产业政策和环保准入条件</w:t>
            </w:r>
          </w:p>
          <w:p>
            <w:pPr>
              <w:spacing w:line="300" w:lineRule="exact"/>
              <w:ind w:left="210" w:hanging="210" w:hangingChars="100"/>
              <w:rPr>
                <w:szCs w:val="21"/>
              </w:rPr>
            </w:pPr>
            <w:r>
              <w:rPr>
                <w:szCs w:val="21"/>
              </w:rPr>
              <w:t>·向环保管理部门申报建设项目，包括产品规模、生产工艺、采用设备、建设地点等</w:t>
            </w:r>
          </w:p>
          <w:p>
            <w:pPr>
              <w:spacing w:line="300" w:lineRule="exact"/>
              <w:ind w:left="210" w:hanging="210" w:hangingChars="100"/>
              <w:rPr>
                <w:szCs w:val="21"/>
              </w:rPr>
            </w:pPr>
            <w:r>
              <w:rPr>
                <w:szCs w:val="21"/>
              </w:rPr>
              <w:t>·请有资质的正规单位进行可行性研究和初步设计，进行建设项目环境影响评价，待管理部门批准后进行建设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978" w:type="dxa"/>
            <w:vAlign w:val="center"/>
          </w:tcPr>
          <w:p>
            <w:pPr>
              <w:spacing w:line="300" w:lineRule="exact"/>
              <w:jc w:val="center"/>
              <w:rPr>
                <w:szCs w:val="21"/>
              </w:rPr>
            </w:pPr>
            <w:r>
              <w:rPr>
                <w:szCs w:val="21"/>
              </w:rPr>
              <w:t>项目</w:t>
            </w:r>
          </w:p>
          <w:p>
            <w:pPr>
              <w:spacing w:line="300" w:lineRule="exact"/>
              <w:jc w:val="center"/>
              <w:rPr>
                <w:szCs w:val="21"/>
              </w:rPr>
            </w:pPr>
            <w:r>
              <w:rPr>
                <w:szCs w:val="21"/>
              </w:rPr>
              <w:t>建设期</w:t>
            </w:r>
          </w:p>
        </w:tc>
        <w:tc>
          <w:tcPr>
            <w:tcW w:w="7981" w:type="dxa"/>
            <w:vAlign w:val="center"/>
          </w:tcPr>
          <w:p>
            <w:pPr>
              <w:spacing w:line="300" w:lineRule="exact"/>
              <w:ind w:left="210" w:hanging="210" w:hangingChars="100"/>
              <w:rPr>
                <w:szCs w:val="21"/>
              </w:rPr>
            </w:pPr>
            <w:r>
              <w:rPr>
                <w:szCs w:val="21"/>
              </w:rPr>
              <w:t>·请有资质的正规单位按照设计图纸进行规范施工和全过程的施工监理、环境监理，认真执行环评提出的建设期污染治理措施</w:t>
            </w:r>
          </w:p>
          <w:p>
            <w:pPr>
              <w:spacing w:line="300" w:lineRule="exact"/>
              <w:rPr>
                <w:szCs w:val="21"/>
              </w:rPr>
            </w:pPr>
            <w:r>
              <w:rPr>
                <w:szCs w:val="21"/>
              </w:rPr>
              <w:t>·根据环评及批复的污染防治措施和“三同时”原则落实环保设施的建设</w:t>
            </w:r>
          </w:p>
          <w:p>
            <w:pPr>
              <w:spacing w:line="300" w:lineRule="exact"/>
              <w:rPr>
                <w:szCs w:val="21"/>
              </w:rPr>
            </w:pPr>
            <w:r>
              <w:rPr>
                <w:szCs w:val="21"/>
              </w:rPr>
              <w:t>·在工程投入试运行前，检查施工现场恢复情况，未恢复的及时恢复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978" w:type="dxa"/>
            <w:vAlign w:val="center"/>
          </w:tcPr>
          <w:p>
            <w:pPr>
              <w:spacing w:line="300" w:lineRule="exact"/>
              <w:jc w:val="center"/>
              <w:rPr>
                <w:szCs w:val="21"/>
              </w:rPr>
            </w:pPr>
            <w:r>
              <w:rPr>
                <w:szCs w:val="21"/>
              </w:rPr>
              <w:t>项目竣工</w:t>
            </w:r>
          </w:p>
          <w:p>
            <w:pPr>
              <w:spacing w:line="300" w:lineRule="exact"/>
              <w:jc w:val="center"/>
              <w:rPr>
                <w:szCs w:val="21"/>
              </w:rPr>
            </w:pPr>
            <w:r>
              <w:rPr>
                <w:szCs w:val="21"/>
              </w:rPr>
              <w:t>验收期</w:t>
            </w:r>
          </w:p>
        </w:tc>
        <w:tc>
          <w:tcPr>
            <w:tcW w:w="7981" w:type="dxa"/>
            <w:vAlign w:val="center"/>
          </w:tcPr>
          <w:p>
            <w:pPr>
              <w:spacing w:line="300" w:lineRule="exact"/>
              <w:ind w:left="210" w:hanging="210" w:hangingChars="100"/>
              <w:rPr>
                <w:szCs w:val="21"/>
              </w:rPr>
            </w:pPr>
            <w:r>
              <w:rPr>
                <w:szCs w:val="21"/>
              </w:rPr>
              <w:t>·项目建成后，汇同施工单位、设计单位检查环保设施是否符合“三同时”原则，并将检查结果和项目准备试生产报告提交当地环境保护行政管理部门，经检查同意后进行试生产</w:t>
            </w:r>
          </w:p>
          <w:p>
            <w:pPr>
              <w:spacing w:line="300" w:lineRule="exact"/>
              <w:rPr>
                <w:szCs w:val="21"/>
              </w:rPr>
            </w:pPr>
            <w:r>
              <w:rPr>
                <w:szCs w:val="21"/>
              </w:rPr>
              <w:t>·监测环保设施运行效率与效果</w:t>
            </w:r>
          </w:p>
          <w:p>
            <w:pPr>
              <w:spacing w:line="300" w:lineRule="exact"/>
              <w:ind w:left="210" w:hanging="210" w:hangingChars="100"/>
              <w:rPr>
                <w:szCs w:val="21"/>
              </w:rPr>
            </w:pPr>
            <w:r>
              <w:rPr>
                <w:szCs w:val="21"/>
              </w:rPr>
              <w:t>·向审批的环保管理部门提交《建设项目环保设施施工验收申请报告》，经组织验收通过后，工程正式投入运行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978" w:type="dxa"/>
            <w:vAlign w:val="center"/>
          </w:tcPr>
          <w:p>
            <w:pPr>
              <w:spacing w:line="300" w:lineRule="exact"/>
              <w:jc w:val="center"/>
              <w:rPr>
                <w:szCs w:val="21"/>
              </w:rPr>
            </w:pPr>
            <w:r>
              <w:rPr>
                <w:szCs w:val="21"/>
              </w:rPr>
              <w:t>项目</w:t>
            </w:r>
          </w:p>
          <w:p>
            <w:pPr>
              <w:spacing w:line="300" w:lineRule="exact"/>
              <w:jc w:val="center"/>
              <w:rPr>
                <w:szCs w:val="21"/>
              </w:rPr>
            </w:pPr>
            <w:r>
              <w:rPr>
                <w:szCs w:val="21"/>
              </w:rPr>
              <w:t>运行期</w:t>
            </w:r>
          </w:p>
        </w:tc>
        <w:tc>
          <w:tcPr>
            <w:tcW w:w="7981" w:type="dxa"/>
            <w:vAlign w:val="center"/>
          </w:tcPr>
          <w:p>
            <w:pPr>
              <w:tabs>
                <w:tab w:val="left" w:pos="540"/>
                <w:tab w:val="left" w:pos="720"/>
              </w:tabs>
              <w:spacing w:line="300" w:lineRule="exact"/>
              <w:rPr>
                <w:szCs w:val="21"/>
              </w:rPr>
            </w:pPr>
            <w:r>
              <w:rPr>
                <w:szCs w:val="21"/>
              </w:rPr>
              <w:t>·制定切实可行的环保管理制度和条例。组织开展环保宣传教育培训。</w:t>
            </w:r>
          </w:p>
          <w:p>
            <w:pPr>
              <w:tabs>
                <w:tab w:val="left" w:pos="540"/>
                <w:tab w:val="left" w:pos="720"/>
              </w:tabs>
              <w:spacing w:line="300" w:lineRule="exact"/>
              <w:ind w:left="210" w:hanging="210" w:hangingChars="100"/>
              <w:rPr>
                <w:szCs w:val="21"/>
              </w:rPr>
            </w:pPr>
            <w:r>
              <w:rPr>
                <w:szCs w:val="21"/>
              </w:rPr>
              <w:t>·把污染源监督和“三废”排放纳入日常管理工作，并落实到岗位，进行全方位管理。</w:t>
            </w:r>
          </w:p>
          <w:p>
            <w:pPr>
              <w:tabs>
                <w:tab w:val="left" w:pos="540"/>
                <w:tab w:val="left" w:pos="720"/>
              </w:tabs>
              <w:spacing w:line="300" w:lineRule="exact"/>
              <w:ind w:left="210" w:hanging="210" w:hangingChars="100"/>
              <w:rPr>
                <w:szCs w:val="21"/>
              </w:rPr>
            </w:pPr>
            <w:r>
              <w:rPr>
                <w:szCs w:val="21"/>
              </w:rPr>
              <w:t>·实施有效的“三废”综合利用开发措施。收集整理和推广环保技术经验，及时解决运行中出现的环保问题。</w:t>
            </w:r>
          </w:p>
          <w:p>
            <w:pPr>
              <w:tabs>
                <w:tab w:val="left" w:pos="540"/>
                <w:tab w:val="left" w:pos="720"/>
              </w:tabs>
              <w:spacing w:line="300" w:lineRule="exact"/>
              <w:ind w:left="210" w:hanging="210" w:hangingChars="100"/>
              <w:rPr>
                <w:szCs w:val="21"/>
              </w:rPr>
            </w:pPr>
            <w:r>
              <w:rPr>
                <w:szCs w:val="21"/>
              </w:rPr>
              <w:t>·按照责、权、利实施奖罚制度，对违反法规和制度的行为根据情节给与处罚，对有功者给与奖励。</w:t>
            </w:r>
          </w:p>
          <w:p>
            <w:pPr>
              <w:spacing w:line="300" w:lineRule="exact"/>
              <w:ind w:left="210" w:hanging="210" w:hangingChars="100"/>
              <w:rPr>
                <w:szCs w:val="21"/>
              </w:rPr>
            </w:pPr>
            <w:r>
              <w:rPr>
                <w:szCs w:val="21"/>
              </w:rPr>
              <w:t>·配合当地和上级环保主管部门，认真落实国家环保法规和行政主管部门的规定。接受环保管理部门的监督检查和管理。</w:t>
            </w:r>
          </w:p>
          <w:p>
            <w:pPr>
              <w:spacing w:line="300" w:lineRule="exact"/>
              <w:ind w:left="210" w:hanging="210" w:hangingChars="100"/>
              <w:rPr>
                <w:szCs w:val="21"/>
              </w:rPr>
            </w:pPr>
            <w:r>
              <w:rPr>
                <w:szCs w:val="21"/>
              </w:rPr>
              <w:t>·按照环评及批复要求制订全厂环境监测计划，定期进行污染源和环境监测，整理分析各项监测资料，填报环境监测统计报表、环境指标考核资料，建立环保档案，掌握污染排放情况，分析变化规律。</w:t>
            </w:r>
          </w:p>
        </w:tc>
      </w:tr>
    </w:tbl>
    <w:p>
      <w:pPr>
        <w:spacing w:line="520" w:lineRule="exact"/>
        <w:ind w:firstLine="480" w:firstLineChars="200"/>
        <w:rPr>
          <w:sz w:val="24"/>
          <w:szCs w:val="24"/>
        </w:rPr>
      </w:pPr>
      <w:r>
        <w:rPr>
          <w:sz w:val="24"/>
          <w:szCs w:val="24"/>
        </w:rPr>
        <w:t>根据工程特点，公司拟制定一系列行之有效的环境保护管理规章制度和《环境风险事故应急预案》、建立环境监测报表、台账等。评价建议每年制定环境保护资金计划，拨付足额的资金，确保厂区各项环境保护设施和措施的建设、运行及维护能稳定运行。</w:t>
      </w:r>
    </w:p>
    <w:p>
      <w:pPr>
        <w:keepNext/>
        <w:keepLines/>
        <w:spacing w:line="360" w:lineRule="auto"/>
        <w:outlineLvl w:val="2"/>
        <w:rPr>
          <w:rFonts w:eastAsia="黑体"/>
          <w:bCs/>
          <w:sz w:val="28"/>
          <w:szCs w:val="28"/>
        </w:rPr>
      </w:pPr>
      <w:r>
        <w:rPr>
          <w:rFonts w:eastAsia="黑体"/>
          <w:bCs/>
          <w:sz w:val="28"/>
          <w:szCs w:val="28"/>
        </w:rPr>
        <w:t>9.1.4</w:t>
      </w:r>
      <w:r>
        <w:rPr>
          <w:rFonts w:hint="eastAsia" w:eastAsia="黑体"/>
          <w:bCs/>
          <w:sz w:val="28"/>
          <w:szCs w:val="28"/>
        </w:rPr>
        <w:t>环境保护管理机构的任务</w:t>
      </w:r>
    </w:p>
    <w:p>
      <w:pPr>
        <w:spacing w:line="520" w:lineRule="exact"/>
        <w:ind w:left="210" w:leftChars="100" w:firstLine="480" w:firstLineChars="200"/>
        <w:rPr>
          <w:sz w:val="24"/>
          <w:szCs w:val="24"/>
        </w:rPr>
      </w:pPr>
      <w:r>
        <w:rPr>
          <w:sz w:val="24"/>
          <w:szCs w:val="24"/>
        </w:rPr>
        <w:t>针对企业运行及排污情况，确定企业环保管理部门的具体责任及任务，主要有：</w:t>
      </w:r>
    </w:p>
    <w:p>
      <w:pPr>
        <w:spacing w:line="520" w:lineRule="exact"/>
        <w:ind w:left="210" w:leftChars="100" w:firstLine="480" w:firstLineChars="200"/>
        <w:rPr>
          <w:sz w:val="24"/>
          <w:szCs w:val="24"/>
        </w:rPr>
      </w:pPr>
      <w:r>
        <w:rPr>
          <w:rFonts w:hint="eastAsia" w:ascii="宋体" w:hAnsi="宋体" w:cs="宋体"/>
          <w:sz w:val="24"/>
          <w:szCs w:val="24"/>
        </w:rPr>
        <w:t>①</w:t>
      </w:r>
      <w:r>
        <w:rPr>
          <w:sz w:val="24"/>
          <w:szCs w:val="24"/>
        </w:rPr>
        <w:t>贯彻执行国家及地方环境保护的法律、法规和方针、政策。并督促、检查本企业的执行情况。</w:t>
      </w:r>
    </w:p>
    <w:p>
      <w:pPr>
        <w:spacing w:line="520" w:lineRule="exact"/>
        <w:ind w:left="210" w:leftChars="100" w:firstLine="480" w:firstLineChars="200"/>
        <w:rPr>
          <w:sz w:val="24"/>
          <w:szCs w:val="24"/>
        </w:rPr>
      </w:pPr>
      <w:r>
        <w:rPr>
          <w:rFonts w:hint="eastAsia" w:ascii="宋体" w:hAnsi="宋体" w:cs="宋体"/>
          <w:sz w:val="24"/>
          <w:szCs w:val="24"/>
        </w:rPr>
        <w:t>②</w:t>
      </w:r>
      <w:r>
        <w:rPr>
          <w:sz w:val="24"/>
          <w:szCs w:val="24"/>
        </w:rPr>
        <w:t>结合本项目生产特点，编制并实施本企业环境保护的计划，开展环境污染防治工作。</w:t>
      </w:r>
    </w:p>
    <w:p>
      <w:pPr>
        <w:spacing w:line="520" w:lineRule="exact"/>
        <w:ind w:left="210" w:leftChars="100" w:firstLine="480" w:firstLineChars="200"/>
        <w:rPr>
          <w:sz w:val="24"/>
          <w:szCs w:val="24"/>
        </w:rPr>
      </w:pPr>
      <w:r>
        <w:rPr>
          <w:rFonts w:hint="eastAsia" w:ascii="宋体" w:hAnsi="宋体" w:cs="宋体"/>
          <w:sz w:val="24"/>
          <w:szCs w:val="24"/>
        </w:rPr>
        <w:t>③</w:t>
      </w:r>
      <w:r>
        <w:rPr>
          <w:sz w:val="24"/>
          <w:szCs w:val="24"/>
        </w:rPr>
        <w:t>实施上级主管部门和地方政府下达的环境保护任务。</w:t>
      </w:r>
    </w:p>
    <w:p>
      <w:pPr>
        <w:spacing w:line="520" w:lineRule="exact"/>
        <w:ind w:left="210" w:leftChars="100" w:firstLine="480" w:firstLineChars="200"/>
        <w:rPr>
          <w:sz w:val="24"/>
          <w:szCs w:val="24"/>
        </w:rPr>
      </w:pPr>
      <w:r>
        <w:rPr>
          <w:rFonts w:hint="eastAsia" w:ascii="宋体" w:hAnsi="宋体" w:cs="宋体"/>
          <w:sz w:val="24"/>
          <w:szCs w:val="24"/>
        </w:rPr>
        <w:t>④</w:t>
      </w:r>
      <w:r>
        <w:rPr>
          <w:sz w:val="24"/>
          <w:szCs w:val="24"/>
        </w:rPr>
        <w:t>负责对企业各污染源环境监测的领导和组织工作，建立和健全日常环境保护管理及环境污染防治设施、设备运行管理制度，对环保设施的运行情况及治理效果进行监控，及时了解存在的问题并给予解决，确保污染防治设施的正常运行并达到设计指标要求，为公司环境保护数据资料统计、各污染源治理提供基础数据，建立本项目环境管理台账。</w:t>
      </w:r>
    </w:p>
    <w:p>
      <w:pPr>
        <w:spacing w:line="520" w:lineRule="exact"/>
        <w:ind w:left="210" w:leftChars="100" w:firstLine="480" w:firstLineChars="200"/>
        <w:rPr>
          <w:sz w:val="24"/>
          <w:szCs w:val="24"/>
        </w:rPr>
      </w:pPr>
      <w:r>
        <w:rPr>
          <w:rFonts w:hint="eastAsia" w:ascii="宋体" w:hAnsi="宋体" w:cs="宋体"/>
          <w:sz w:val="24"/>
          <w:szCs w:val="24"/>
        </w:rPr>
        <w:t>⑤</w:t>
      </w:r>
      <w:r>
        <w:rPr>
          <w:sz w:val="24"/>
          <w:szCs w:val="24"/>
        </w:rPr>
        <w:t>负责组织本企业环境管理考核、环境监督监测和环境保护统计。结合本厂年度监测项目进行各项监测项目定期监测，按时提交监测分析报告。</w:t>
      </w:r>
    </w:p>
    <w:p>
      <w:pPr>
        <w:spacing w:line="520" w:lineRule="exact"/>
        <w:ind w:left="210" w:leftChars="100" w:firstLine="480" w:firstLineChars="200"/>
        <w:rPr>
          <w:sz w:val="24"/>
          <w:szCs w:val="24"/>
        </w:rPr>
      </w:pPr>
      <w:r>
        <w:rPr>
          <w:rFonts w:hint="eastAsia" w:ascii="宋体" w:hAnsi="宋体" w:cs="宋体"/>
          <w:sz w:val="24"/>
          <w:szCs w:val="24"/>
        </w:rPr>
        <w:t>⑥</w:t>
      </w:r>
      <w:r>
        <w:rPr>
          <w:sz w:val="24"/>
          <w:szCs w:val="24"/>
        </w:rPr>
        <w:t>负责环保排污缴费管理、审定工作，处理本企业环境污染事故、污染纠纷，及时向上级部门报告情况。</w:t>
      </w:r>
    </w:p>
    <w:p>
      <w:pPr>
        <w:spacing w:line="520" w:lineRule="exact"/>
        <w:ind w:left="210" w:leftChars="100" w:firstLine="480" w:firstLineChars="200"/>
        <w:rPr>
          <w:sz w:val="24"/>
          <w:szCs w:val="24"/>
        </w:rPr>
      </w:pPr>
      <w:r>
        <w:rPr>
          <w:rFonts w:hint="eastAsia" w:ascii="宋体" w:hAnsi="宋体" w:cs="宋体"/>
          <w:sz w:val="24"/>
          <w:szCs w:val="24"/>
        </w:rPr>
        <w:t>⑦</w:t>
      </w:r>
      <w:r>
        <w:rPr>
          <w:sz w:val="24"/>
          <w:szCs w:val="24"/>
        </w:rPr>
        <w:t>组织开展环境保护宣传、教育和培训等。将员工的环保考核纳入到生产考核之中并作为其重要组成部分，以提高员工的环保意识。便于环境管理工作的开展。</w:t>
      </w:r>
    </w:p>
    <w:p>
      <w:pPr>
        <w:spacing w:line="520" w:lineRule="exact"/>
        <w:ind w:left="210" w:leftChars="100" w:firstLine="480" w:firstLineChars="200"/>
        <w:rPr>
          <w:sz w:val="24"/>
          <w:szCs w:val="24"/>
        </w:rPr>
      </w:pPr>
      <w:r>
        <w:rPr>
          <w:rFonts w:hint="eastAsia" w:ascii="宋体" w:hAnsi="宋体" w:cs="宋体"/>
          <w:sz w:val="24"/>
          <w:szCs w:val="24"/>
        </w:rPr>
        <w:t>⑧</w:t>
      </w:r>
      <w:r>
        <w:rPr>
          <w:sz w:val="24"/>
          <w:szCs w:val="24"/>
        </w:rPr>
        <w:t>制定本企业的环境事故应急计划，发现事故及其隐患应及时处理并记录在案及时上报有关部门。</w:t>
      </w:r>
    </w:p>
    <w:p>
      <w:pPr>
        <w:spacing w:line="520" w:lineRule="exact"/>
        <w:ind w:left="210" w:leftChars="100" w:firstLine="480" w:firstLineChars="200"/>
        <w:rPr>
          <w:rFonts w:ascii="Calibri" w:hAnsi="Calibri"/>
        </w:rPr>
      </w:pPr>
      <w:r>
        <w:rPr>
          <w:rFonts w:hint="eastAsia"/>
          <w:sz w:val="24"/>
          <w:szCs w:val="24"/>
        </w:rPr>
        <w:t>⑨</w:t>
      </w:r>
      <w:r>
        <w:rPr>
          <w:sz w:val="24"/>
          <w:szCs w:val="24"/>
        </w:rPr>
        <w:t>项目建成后，</w:t>
      </w:r>
      <w:r>
        <w:rPr>
          <w:rFonts w:hint="eastAsia"/>
          <w:sz w:val="24"/>
          <w:szCs w:val="24"/>
        </w:rPr>
        <w:t>根据《排污许可证申请与核发技术规范 畜禽养殖行业》（</w:t>
      </w:r>
      <w:r>
        <w:rPr>
          <w:sz w:val="24"/>
          <w:szCs w:val="24"/>
        </w:rPr>
        <w:t>HJ 1029</w:t>
      </w:r>
      <w:r>
        <w:rPr>
          <w:rFonts w:hint="eastAsia"/>
          <w:sz w:val="24"/>
          <w:szCs w:val="24"/>
        </w:rPr>
        <w:t>-</w:t>
      </w:r>
      <w:r>
        <w:rPr>
          <w:sz w:val="24"/>
          <w:szCs w:val="24"/>
        </w:rPr>
        <w:t>2019</w:t>
      </w:r>
      <w:r>
        <w:rPr>
          <w:rFonts w:hint="eastAsia"/>
          <w:sz w:val="24"/>
          <w:szCs w:val="24"/>
        </w:rPr>
        <w:t>）</w:t>
      </w:r>
      <w:r>
        <w:rPr>
          <w:sz w:val="24"/>
          <w:szCs w:val="24"/>
        </w:rPr>
        <w:t>要求，建立环境管理台账记录制度，落实环境管理台账记录的责任部门和责任人，明确工作职责，包括台账的记录、整理、维护和管理等，并对台账记录结果的真实性、完整性和规范性负责；按许可证规定落实自行监测、台账记录、执行报告、信息公开等环境管理要求。</w:t>
      </w:r>
    </w:p>
    <w:p>
      <w:pPr>
        <w:widowControl/>
        <w:shd w:val="clear" w:color="auto" w:fill="FFFFFF"/>
        <w:spacing w:line="520" w:lineRule="exact"/>
        <w:outlineLvl w:val="1"/>
        <w:rPr>
          <w:rFonts w:eastAsia="黑体"/>
          <w:kern w:val="0"/>
          <w:sz w:val="28"/>
          <w:szCs w:val="28"/>
        </w:rPr>
      </w:pPr>
      <w:bookmarkStart w:id="253" w:name="_Toc19571"/>
      <w:r>
        <w:rPr>
          <w:rFonts w:eastAsia="黑体"/>
          <w:kern w:val="0"/>
          <w:sz w:val="28"/>
          <w:szCs w:val="28"/>
        </w:rPr>
        <w:t>9.2环境监测计划</w:t>
      </w:r>
      <w:bookmarkEnd w:id="253"/>
    </w:p>
    <w:p>
      <w:pPr>
        <w:keepNext/>
        <w:keepLines/>
        <w:spacing w:line="360" w:lineRule="auto"/>
        <w:outlineLvl w:val="2"/>
        <w:rPr>
          <w:rFonts w:eastAsia="黑体"/>
          <w:bCs/>
          <w:sz w:val="28"/>
          <w:szCs w:val="28"/>
        </w:rPr>
      </w:pPr>
      <w:r>
        <w:rPr>
          <w:rFonts w:eastAsia="黑体"/>
          <w:bCs/>
          <w:sz w:val="28"/>
          <w:szCs w:val="28"/>
        </w:rPr>
        <w:t>9.2.1环境监测机构的设置</w:t>
      </w:r>
    </w:p>
    <w:p>
      <w:pPr>
        <w:spacing w:line="520" w:lineRule="exact"/>
        <w:ind w:firstLine="480" w:firstLineChars="200"/>
        <w:rPr>
          <w:sz w:val="24"/>
          <w:szCs w:val="24"/>
        </w:rPr>
      </w:pPr>
      <w:r>
        <w:rPr>
          <w:sz w:val="24"/>
          <w:szCs w:val="24"/>
        </w:rPr>
        <w:t>项目建成后，由污水处理站在线监测系统和公司化验室负责企业内部的废水监测，同时配备与公司环境监测有关的采样与监测仪器，负责公司的废水污染源与环境监测分析工作，并记录台帐报表。</w:t>
      </w:r>
    </w:p>
    <w:p>
      <w:pPr>
        <w:keepNext/>
        <w:keepLines/>
        <w:spacing w:line="360" w:lineRule="auto"/>
        <w:outlineLvl w:val="2"/>
        <w:rPr>
          <w:rFonts w:eastAsia="黑体"/>
          <w:bCs/>
          <w:sz w:val="28"/>
          <w:szCs w:val="28"/>
        </w:rPr>
      </w:pPr>
      <w:r>
        <w:rPr>
          <w:rFonts w:eastAsia="黑体"/>
          <w:bCs/>
          <w:sz w:val="28"/>
          <w:szCs w:val="28"/>
        </w:rPr>
        <w:t>9.2.2监测部门的职责</w:t>
      </w:r>
    </w:p>
    <w:p>
      <w:pPr>
        <w:spacing w:line="520" w:lineRule="exact"/>
        <w:ind w:firstLine="480"/>
        <w:rPr>
          <w:sz w:val="24"/>
          <w:szCs w:val="24"/>
        </w:rPr>
      </w:pPr>
      <w:r>
        <w:rPr>
          <w:sz w:val="24"/>
          <w:szCs w:val="24"/>
        </w:rPr>
        <w:t>环境监测部门主要职责和任务如下：</w:t>
      </w:r>
    </w:p>
    <w:p>
      <w:pPr>
        <w:spacing w:line="520" w:lineRule="exact"/>
        <w:ind w:firstLine="480"/>
        <w:rPr>
          <w:sz w:val="24"/>
        </w:rPr>
      </w:pPr>
      <w:r>
        <w:rPr>
          <w:sz w:val="24"/>
        </w:rPr>
        <w:t>（1）认真贯彻</w:t>
      </w:r>
      <w:r>
        <w:rPr>
          <w:sz w:val="24"/>
          <w:szCs w:val="24"/>
        </w:rPr>
        <w:t>国家</w:t>
      </w:r>
      <w:r>
        <w:rPr>
          <w:sz w:val="24"/>
        </w:rPr>
        <w:t>有关环保法规、规范，建立健全本站各项规章制度。</w:t>
      </w:r>
    </w:p>
    <w:p>
      <w:pPr>
        <w:spacing w:line="520" w:lineRule="exact"/>
        <w:ind w:firstLine="480"/>
        <w:rPr>
          <w:sz w:val="24"/>
        </w:rPr>
      </w:pPr>
      <w:r>
        <w:rPr>
          <w:sz w:val="24"/>
        </w:rPr>
        <w:t>（2）完成公司</w:t>
      </w:r>
      <w:r>
        <w:rPr>
          <w:sz w:val="24"/>
          <w:szCs w:val="24"/>
        </w:rPr>
        <w:t>环境监测</w:t>
      </w:r>
      <w:r>
        <w:rPr>
          <w:sz w:val="24"/>
        </w:rPr>
        <w:t>计划，对全厂的废水、废气、噪声等污染物的排放情况进行监测（或委托有能力的监测单位监测），掌握污染物排放情况。</w:t>
      </w:r>
    </w:p>
    <w:p>
      <w:pPr>
        <w:spacing w:line="520" w:lineRule="exact"/>
        <w:ind w:firstLine="480"/>
        <w:rPr>
          <w:spacing w:val="-4"/>
          <w:sz w:val="24"/>
          <w:szCs w:val="24"/>
        </w:rPr>
      </w:pPr>
      <w:r>
        <w:rPr>
          <w:sz w:val="24"/>
        </w:rPr>
        <w:t>（3）整理、分析</w:t>
      </w:r>
      <w:r>
        <w:rPr>
          <w:sz w:val="24"/>
          <w:szCs w:val="24"/>
        </w:rPr>
        <w:t>各项</w:t>
      </w:r>
      <w:r>
        <w:rPr>
          <w:sz w:val="24"/>
        </w:rPr>
        <w:t>监测资料，负责填报环境统计报表、监测月报、环境指标考核资料及其他环境报告，建立环保档案，为公司环境管理工作提供技术依据。</w:t>
      </w:r>
    </w:p>
    <w:p>
      <w:pPr>
        <w:spacing w:line="520" w:lineRule="exact"/>
        <w:ind w:firstLine="480"/>
        <w:rPr>
          <w:sz w:val="24"/>
        </w:rPr>
      </w:pPr>
      <w:r>
        <w:rPr>
          <w:sz w:val="24"/>
        </w:rPr>
        <w:t>（4）负责环境监测仪器设备维护保养和校验工作，确保监测工作正常进行。</w:t>
      </w:r>
    </w:p>
    <w:p>
      <w:pPr>
        <w:spacing w:line="520" w:lineRule="exact"/>
        <w:ind w:firstLine="480"/>
        <w:rPr>
          <w:sz w:val="24"/>
        </w:rPr>
      </w:pPr>
      <w:r>
        <w:rPr>
          <w:sz w:val="24"/>
        </w:rPr>
        <w:t>（5）参加公司环境质量评价工作及</w:t>
      </w:r>
      <w:r>
        <w:rPr>
          <w:sz w:val="24"/>
          <w:szCs w:val="24"/>
        </w:rPr>
        <w:t>环境</w:t>
      </w:r>
      <w:r>
        <w:rPr>
          <w:sz w:val="24"/>
        </w:rPr>
        <w:t>科研工作。</w:t>
      </w:r>
    </w:p>
    <w:p>
      <w:pPr>
        <w:spacing w:line="520" w:lineRule="exact"/>
        <w:ind w:left="464"/>
        <w:rPr>
          <w:sz w:val="24"/>
          <w:szCs w:val="24"/>
        </w:rPr>
      </w:pPr>
      <w:r>
        <w:rPr>
          <w:sz w:val="24"/>
          <w:szCs w:val="24"/>
        </w:rPr>
        <w:t>（6）接受当地环保部门的监督和管理。</w:t>
      </w:r>
    </w:p>
    <w:p>
      <w:pPr>
        <w:keepNext/>
        <w:keepLines/>
        <w:spacing w:line="360" w:lineRule="auto"/>
        <w:outlineLvl w:val="2"/>
        <w:rPr>
          <w:rFonts w:eastAsia="黑体"/>
          <w:bCs/>
          <w:sz w:val="28"/>
          <w:szCs w:val="28"/>
        </w:rPr>
      </w:pPr>
      <w:r>
        <w:rPr>
          <w:rFonts w:eastAsia="黑体"/>
          <w:bCs/>
          <w:sz w:val="28"/>
          <w:szCs w:val="28"/>
        </w:rPr>
        <w:t>9.2.3环境监测计划</w:t>
      </w:r>
    </w:p>
    <w:p>
      <w:pPr>
        <w:widowControl/>
        <w:shd w:val="clear" w:color="auto" w:fill="FFFFFF"/>
        <w:spacing w:line="520" w:lineRule="exact"/>
        <w:ind w:left="714"/>
        <w:rPr>
          <w:kern w:val="0"/>
          <w:sz w:val="24"/>
          <w:szCs w:val="24"/>
        </w:rPr>
      </w:pPr>
      <w:r>
        <w:rPr>
          <w:kern w:val="0"/>
          <w:sz w:val="24"/>
          <w:szCs w:val="24"/>
        </w:rPr>
        <w:t>环境监测计划包括污染源监测计划和环境质量监测计划两部分。</w:t>
      </w:r>
    </w:p>
    <w:p>
      <w:pPr>
        <w:widowControl/>
        <w:shd w:val="clear" w:color="auto" w:fill="FFFFFF"/>
        <w:spacing w:line="520" w:lineRule="exact"/>
        <w:jc w:val="left"/>
        <w:outlineLvl w:val="3"/>
        <w:rPr>
          <w:kern w:val="0"/>
          <w:sz w:val="24"/>
          <w:szCs w:val="24"/>
        </w:rPr>
      </w:pPr>
      <w:r>
        <w:rPr>
          <w:kern w:val="0"/>
          <w:sz w:val="24"/>
          <w:szCs w:val="24"/>
        </w:rPr>
        <w:t>9.2.3.1本项目污染源监测计划</w:t>
      </w:r>
    </w:p>
    <w:p>
      <w:pPr>
        <w:spacing w:line="520" w:lineRule="exact"/>
        <w:ind w:firstLine="570"/>
        <w:rPr>
          <w:b/>
          <w:bCs/>
          <w:sz w:val="24"/>
          <w:highlight w:val="yellow"/>
          <w:u w:val="single"/>
        </w:rPr>
      </w:pPr>
      <w:r>
        <w:rPr>
          <w:sz w:val="24"/>
          <w:szCs w:val="24"/>
        </w:rPr>
        <w:t>根据本工程具体排污情况，</w:t>
      </w:r>
      <w:r>
        <w:rPr>
          <w:sz w:val="24"/>
        </w:rPr>
        <w:t xml:space="preserve">监测数据采集与处理、采样分析方法参照执行《排污单位自行监测技术指南 总则》（HJ 819-2017）、《排污单位自行监测技术指南 </w:t>
      </w:r>
      <w:r>
        <w:rPr>
          <w:rFonts w:hint="eastAsia"/>
          <w:sz w:val="24"/>
        </w:rPr>
        <w:t>水处理</w:t>
      </w:r>
      <w:r>
        <w:rPr>
          <w:sz w:val="24"/>
        </w:rPr>
        <w:t>》（HJ 1083-2020）、</w:t>
      </w:r>
      <w:r>
        <w:rPr>
          <w:rFonts w:hint="eastAsia"/>
          <w:sz w:val="24"/>
        </w:rPr>
        <w:t>《新乡市生态环境局 关于2</w:t>
      </w:r>
      <w:r>
        <w:rPr>
          <w:sz w:val="24"/>
        </w:rPr>
        <w:t>019</w:t>
      </w:r>
      <w:r>
        <w:rPr>
          <w:rFonts w:hint="eastAsia"/>
          <w:sz w:val="24"/>
        </w:rPr>
        <w:t>年新乡市企业安装自动监控设施有关问题的通知》（新环[</w:t>
      </w:r>
      <w:r>
        <w:rPr>
          <w:sz w:val="24"/>
        </w:rPr>
        <w:t>2019]110</w:t>
      </w:r>
      <w:r>
        <w:rPr>
          <w:rFonts w:hint="eastAsia"/>
          <w:sz w:val="24"/>
        </w:rPr>
        <w:t>号）</w:t>
      </w:r>
      <w:r>
        <w:rPr>
          <w:sz w:val="24"/>
        </w:rPr>
        <w:t>。经对比分析后，本次评价污染源监测频率按照指南中最严要求执行，</w:t>
      </w:r>
      <w:r>
        <w:rPr>
          <w:sz w:val="24"/>
          <w:szCs w:val="24"/>
        </w:rPr>
        <w:t>项目运行期环境监测内容及监测频率见表9.2-1。</w:t>
      </w:r>
    </w:p>
    <w:p>
      <w:pPr>
        <w:spacing w:line="500" w:lineRule="exact"/>
        <w:ind w:firstLine="480" w:firstLineChars="200"/>
        <w:rPr>
          <w:rFonts w:eastAsia="黑体"/>
          <w:sz w:val="24"/>
          <w:szCs w:val="24"/>
        </w:rPr>
      </w:pPr>
    </w:p>
    <w:p>
      <w:pPr>
        <w:spacing w:line="500" w:lineRule="exact"/>
        <w:ind w:firstLine="480" w:firstLineChars="200"/>
        <w:rPr>
          <w:rFonts w:eastAsia="黑体"/>
          <w:sz w:val="24"/>
          <w:szCs w:val="24"/>
        </w:rPr>
      </w:pPr>
      <w:r>
        <w:rPr>
          <w:rFonts w:eastAsia="黑体"/>
          <w:sz w:val="24"/>
          <w:szCs w:val="24"/>
        </w:rPr>
        <w:t>表9.2-1             污染源监测内容及监测频率一览表</w:t>
      </w:r>
    </w:p>
    <w:tbl>
      <w:tblPr>
        <w:tblStyle w:val="49"/>
        <w:tblW w:w="887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6"/>
        <w:gridCol w:w="2045"/>
        <w:gridCol w:w="1843"/>
        <w:gridCol w:w="1842"/>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16" w:type="dxa"/>
            <w:vAlign w:val="center"/>
          </w:tcPr>
          <w:p>
            <w:pPr>
              <w:jc w:val="center"/>
              <w:rPr>
                <w:b/>
                <w:bCs/>
                <w:szCs w:val="21"/>
              </w:rPr>
            </w:pPr>
            <w:r>
              <w:rPr>
                <w:b/>
                <w:bCs/>
                <w:szCs w:val="21"/>
              </w:rPr>
              <w:t>污染物类别</w:t>
            </w:r>
          </w:p>
        </w:tc>
        <w:tc>
          <w:tcPr>
            <w:tcW w:w="2045" w:type="dxa"/>
            <w:vAlign w:val="center"/>
          </w:tcPr>
          <w:p>
            <w:pPr>
              <w:jc w:val="center"/>
              <w:rPr>
                <w:b/>
                <w:bCs/>
                <w:szCs w:val="21"/>
              </w:rPr>
            </w:pPr>
            <w:r>
              <w:rPr>
                <w:b/>
                <w:bCs/>
                <w:szCs w:val="21"/>
              </w:rPr>
              <w:t>污染源监测点位</w:t>
            </w:r>
          </w:p>
        </w:tc>
        <w:tc>
          <w:tcPr>
            <w:tcW w:w="1843" w:type="dxa"/>
            <w:vAlign w:val="center"/>
          </w:tcPr>
          <w:p>
            <w:pPr>
              <w:jc w:val="center"/>
              <w:rPr>
                <w:b/>
                <w:bCs/>
                <w:szCs w:val="21"/>
              </w:rPr>
            </w:pPr>
            <w:r>
              <w:rPr>
                <w:b/>
                <w:bCs/>
                <w:szCs w:val="21"/>
              </w:rPr>
              <w:t>监测因子</w:t>
            </w:r>
          </w:p>
        </w:tc>
        <w:tc>
          <w:tcPr>
            <w:tcW w:w="1842" w:type="dxa"/>
            <w:vAlign w:val="center"/>
          </w:tcPr>
          <w:p>
            <w:pPr>
              <w:jc w:val="center"/>
              <w:rPr>
                <w:b/>
                <w:bCs/>
                <w:szCs w:val="21"/>
              </w:rPr>
            </w:pPr>
            <w:r>
              <w:rPr>
                <w:b/>
                <w:bCs/>
                <w:szCs w:val="21"/>
              </w:rPr>
              <w:t>排气筒高度（m）</w:t>
            </w:r>
          </w:p>
        </w:tc>
        <w:tc>
          <w:tcPr>
            <w:tcW w:w="1931" w:type="dxa"/>
            <w:vAlign w:val="center"/>
          </w:tcPr>
          <w:p>
            <w:pPr>
              <w:jc w:val="center"/>
              <w:rPr>
                <w:b/>
                <w:bCs/>
                <w:szCs w:val="21"/>
              </w:rPr>
            </w:pPr>
            <w:r>
              <w:rPr>
                <w:b/>
                <w:bCs/>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16" w:type="dxa"/>
            <w:vMerge w:val="restart"/>
            <w:vAlign w:val="center"/>
          </w:tcPr>
          <w:p>
            <w:pPr>
              <w:jc w:val="center"/>
              <w:rPr>
                <w:kern w:val="0"/>
                <w:szCs w:val="21"/>
              </w:rPr>
            </w:pPr>
            <w:r>
              <w:rPr>
                <w:kern w:val="0"/>
                <w:szCs w:val="21"/>
              </w:rPr>
              <w:t>废气</w:t>
            </w:r>
          </w:p>
        </w:tc>
        <w:tc>
          <w:tcPr>
            <w:tcW w:w="2045" w:type="dxa"/>
            <w:vMerge w:val="restart"/>
            <w:vAlign w:val="center"/>
          </w:tcPr>
          <w:p>
            <w:pPr>
              <w:widowControl/>
              <w:adjustRightInd w:val="0"/>
              <w:snapToGrid w:val="0"/>
              <w:jc w:val="center"/>
              <w:rPr>
                <w:szCs w:val="21"/>
              </w:rPr>
            </w:pPr>
            <w:r>
              <w:rPr>
                <w:szCs w:val="21"/>
              </w:rPr>
              <w:t>P1排气筒</w:t>
            </w:r>
          </w:p>
        </w:tc>
        <w:tc>
          <w:tcPr>
            <w:tcW w:w="1843" w:type="dxa"/>
            <w:vAlign w:val="center"/>
          </w:tcPr>
          <w:p>
            <w:pPr>
              <w:widowControl/>
              <w:adjustRightInd w:val="0"/>
              <w:snapToGrid w:val="0"/>
              <w:jc w:val="center"/>
              <w:rPr>
                <w:szCs w:val="21"/>
              </w:rPr>
            </w:pPr>
            <w:r>
              <w:rPr>
                <w:szCs w:val="21"/>
              </w:rPr>
              <w:t>氨</w:t>
            </w:r>
          </w:p>
        </w:tc>
        <w:tc>
          <w:tcPr>
            <w:tcW w:w="1842" w:type="dxa"/>
            <w:vMerge w:val="restart"/>
            <w:vAlign w:val="center"/>
          </w:tcPr>
          <w:p>
            <w:pPr>
              <w:jc w:val="center"/>
              <w:rPr>
                <w:szCs w:val="21"/>
              </w:rPr>
            </w:pPr>
            <w:r>
              <w:rPr>
                <w:szCs w:val="21"/>
              </w:rPr>
              <w:t>15</w:t>
            </w:r>
          </w:p>
        </w:tc>
        <w:tc>
          <w:tcPr>
            <w:tcW w:w="1931" w:type="dxa"/>
            <w:vMerge w:val="restart"/>
            <w:vAlign w:val="center"/>
          </w:tcPr>
          <w:p>
            <w:pPr>
              <w:jc w:val="center"/>
              <w:rPr>
                <w:szCs w:val="21"/>
              </w:rPr>
            </w:pPr>
            <w:r>
              <w:rPr>
                <w:rFonts w:hint="eastAsia"/>
                <w:szCs w:val="21"/>
              </w:rPr>
              <w:t>半</w:t>
            </w:r>
            <w:r>
              <w:rPr>
                <w:szCs w:val="21"/>
              </w:rPr>
              <w:t>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16" w:type="dxa"/>
            <w:vMerge w:val="continue"/>
            <w:vAlign w:val="center"/>
          </w:tcPr>
          <w:p>
            <w:pPr>
              <w:jc w:val="center"/>
              <w:rPr>
                <w:kern w:val="0"/>
                <w:szCs w:val="21"/>
              </w:rPr>
            </w:pPr>
          </w:p>
        </w:tc>
        <w:tc>
          <w:tcPr>
            <w:tcW w:w="2045" w:type="dxa"/>
            <w:vMerge w:val="continue"/>
            <w:vAlign w:val="center"/>
          </w:tcPr>
          <w:p>
            <w:pPr>
              <w:widowControl/>
              <w:adjustRightInd w:val="0"/>
              <w:snapToGrid w:val="0"/>
              <w:jc w:val="center"/>
              <w:rPr>
                <w:szCs w:val="21"/>
              </w:rPr>
            </w:pPr>
          </w:p>
        </w:tc>
        <w:tc>
          <w:tcPr>
            <w:tcW w:w="1843" w:type="dxa"/>
            <w:vAlign w:val="center"/>
          </w:tcPr>
          <w:p>
            <w:pPr>
              <w:widowControl/>
              <w:adjustRightInd w:val="0"/>
              <w:snapToGrid w:val="0"/>
              <w:jc w:val="center"/>
              <w:rPr>
                <w:szCs w:val="21"/>
              </w:rPr>
            </w:pPr>
            <w:r>
              <w:rPr>
                <w:szCs w:val="21"/>
              </w:rPr>
              <w:t>硫化氢</w:t>
            </w:r>
          </w:p>
        </w:tc>
        <w:tc>
          <w:tcPr>
            <w:tcW w:w="1842" w:type="dxa"/>
            <w:vMerge w:val="continue"/>
            <w:vAlign w:val="center"/>
          </w:tcPr>
          <w:p>
            <w:pPr>
              <w:jc w:val="center"/>
              <w:rPr>
                <w:szCs w:val="21"/>
              </w:rPr>
            </w:pPr>
          </w:p>
        </w:tc>
        <w:tc>
          <w:tcPr>
            <w:tcW w:w="1931"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16" w:type="dxa"/>
            <w:vMerge w:val="continue"/>
            <w:vAlign w:val="center"/>
          </w:tcPr>
          <w:p>
            <w:pPr>
              <w:jc w:val="center"/>
              <w:rPr>
                <w:szCs w:val="21"/>
              </w:rPr>
            </w:pPr>
          </w:p>
        </w:tc>
        <w:tc>
          <w:tcPr>
            <w:tcW w:w="2045" w:type="dxa"/>
            <w:vMerge w:val="continue"/>
            <w:vAlign w:val="center"/>
          </w:tcPr>
          <w:p>
            <w:pPr>
              <w:widowControl/>
              <w:adjustRightInd w:val="0"/>
              <w:snapToGrid w:val="0"/>
              <w:jc w:val="center"/>
              <w:rPr>
                <w:szCs w:val="21"/>
              </w:rPr>
            </w:pPr>
          </w:p>
        </w:tc>
        <w:tc>
          <w:tcPr>
            <w:tcW w:w="1843" w:type="dxa"/>
            <w:vAlign w:val="center"/>
          </w:tcPr>
          <w:p>
            <w:pPr>
              <w:widowControl/>
              <w:adjustRightInd w:val="0"/>
              <w:snapToGrid w:val="0"/>
              <w:jc w:val="center"/>
              <w:rPr>
                <w:szCs w:val="21"/>
              </w:rPr>
            </w:pPr>
            <w:r>
              <w:rPr>
                <w:szCs w:val="21"/>
              </w:rPr>
              <w:t>臭气浓度</w:t>
            </w:r>
          </w:p>
        </w:tc>
        <w:tc>
          <w:tcPr>
            <w:tcW w:w="1842" w:type="dxa"/>
            <w:vMerge w:val="continue"/>
            <w:vAlign w:val="center"/>
          </w:tcPr>
          <w:p>
            <w:pPr>
              <w:jc w:val="center"/>
              <w:rPr>
                <w:szCs w:val="21"/>
              </w:rPr>
            </w:pPr>
          </w:p>
        </w:tc>
        <w:tc>
          <w:tcPr>
            <w:tcW w:w="1931"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16" w:type="dxa"/>
            <w:vMerge w:val="continue"/>
            <w:vAlign w:val="center"/>
          </w:tcPr>
          <w:p>
            <w:pPr>
              <w:jc w:val="center"/>
              <w:rPr>
                <w:szCs w:val="21"/>
              </w:rPr>
            </w:pPr>
          </w:p>
        </w:tc>
        <w:tc>
          <w:tcPr>
            <w:tcW w:w="2045" w:type="dxa"/>
            <w:vMerge w:val="restart"/>
            <w:vAlign w:val="center"/>
          </w:tcPr>
          <w:p>
            <w:pPr>
              <w:jc w:val="center"/>
              <w:rPr>
                <w:szCs w:val="21"/>
              </w:rPr>
            </w:pPr>
            <w:r>
              <w:rPr>
                <w:szCs w:val="21"/>
              </w:rPr>
              <w:t>无组织排放废气</w:t>
            </w:r>
          </w:p>
        </w:tc>
        <w:tc>
          <w:tcPr>
            <w:tcW w:w="1843" w:type="dxa"/>
            <w:vAlign w:val="center"/>
          </w:tcPr>
          <w:p>
            <w:pPr>
              <w:widowControl/>
              <w:adjustRightInd w:val="0"/>
              <w:snapToGrid w:val="0"/>
              <w:jc w:val="center"/>
              <w:rPr>
                <w:szCs w:val="21"/>
              </w:rPr>
            </w:pPr>
            <w:r>
              <w:rPr>
                <w:szCs w:val="21"/>
              </w:rPr>
              <w:t>氨</w:t>
            </w:r>
          </w:p>
        </w:tc>
        <w:tc>
          <w:tcPr>
            <w:tcW w:w="1842" w:type="dxa"/>
            <w:vMerge w:val="restart"/>
            <w:vAlign w:val="center"/>
          </w:tcPr>
          <w:p>
            <w:pPr>
              <w:jc w:val="center"/>
              <w:rPr>
                <w:szCs w:val="21"/>
              </w:rPr>
            </w:pPr>
            <w:r>
              <w:rPr>
                <w:szCs w:val="21"/>
              </w:rPr>
              <w:t>四周厂界</w:t>
            </w:r>
          </w:p>
        </w:tc>
        <w:tc>
          <w:tcPr>
            <w:tcW w:w="1931" w:type="dxa"/>
            <w:vMerge w:val="restart"/>
            <w:vAlign w:val="center"/>
          </w:tcPr>
          <w:p>
            <w:pPr>
              <w:jc w:val="center"/>
              <w:rPr>
                <w:szCs w:val="21"/>
              </w:rPr>
            </w:pPr>
            <w:r>
              <w:rPr>
                <w:szCs w:val="21"/>
              </w:rPr>
              <w:t>每半年一次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16" w:type="dxa"/>
            <w:vMerge w:val="continue"/>
            <w:vAlign w:val="center"/>
          </w:tcPr>
          <w:p>
            <w:pPr>
              <w:jc w:val="center"/>
              <w:rPr>
                <w:szCs w:val="21"/>
              </w:rPr>
            </w:pPr>
          </w:p>
        </w:tc>
        <w:tc>
          <w:tcPr>
            <w:tcW w:w="2045" w:type="dxa"/>
            <w:vMerge w:val="continue"/>
            <w:vAlign w:val="center"/>
          </w:tcPr>
          <w:p>
            <w:pPr>
              <w:jc w:val="center"/>
              <w:rPr>
                <w:szCs w:val="21"/>
              </w:rPr>
            </w:pPr>
          </w:p>
        </w:tc>
        <w:tc>
          <w:tcPr>
            <w:tcW w:w="1843" w:type="dxa"/>
            <w:vAlign w:val="center"/>
          </w:tcPr>
          <w:p>
            <w:pPr>
              <w:widowControl/>
              <w:adjustRightInd w:val="0"/>
              <w:snapToGrid w:val="0"/>
              <w:jc w:val="center"/>
              <w:rPr>
                <w:szCs w:val="21"/>
              </w:rPr>
            </w:pPr>
            <w:r>
              <w:rPr>
                <w:szCs w:val="21"/>
              </w:rPr>
              <w:t>硫化氢</w:t>
            </w:r>
          </w:p>
        </w:tc>
        <w:tc>
          <w:tcPr>
            <w:tcW w:w="1842" w:type="dxa"/>
            <w:vMerge w:val="continue"/>
            <w:vAlign w:val="center"/>
          </w:tcPr>
          <w:p>
            <w:pPr>
              <w:jc w:val="center"/>
              <w:rPr>
                <w:szCs w:val="21"/>
              </w:rPr>
            </w:pPr>
          </w:p>
        </w:tc>
        <w:tc>
          <w:tcPr>
            <w:tcW w:w="1931"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16" w:type="dxa"/>
            <w:vMerge w:val="continue"/>
            <w:vAlign w:val="center"/>
          </w:tcPr>
          <w:p>
            <w:pPr>
              <w:jc w:val="center"/>
              <w:rPr>
                <w:szCs w:val="21"/>
              </w:rPr>
            </w:pPr>
          </w:p>
        </w:tc>
        <w:tc>
          <w:tcPr>
            <w:tcW w:w="2045" w:type="dxa"/>
            <w:vMerge w:val="continue"/>
            <w:vAlign w:val="center"/>
          </w:tcPr>
          <w:p>
            <w:pPr>
              <w:jc w:val="center"/>
              <w:rPr>
                <w:szCs w:val="21"/>
              </w:rPr>
            </w:pPr>
          </w:p>
        </w:tc>
        <w:tc>
          <w:tcPr>
            <w:tcW w:w="1843" w:type="dxa"/>
            <w:vAlign w:val="center"/>
          </w:tcPr>
          <w:p>
            <w:pPr>
              <w:widowControl/>
              <w:adjustRightInd w:val="0"/>
              <w:snapToGrid w:val="0"/>
              <w:jc w:val="center"/>
              <w:rPr>
                <w:szCs w:val="21"/>
              </w:rPr>
            </w:pPr>
            <w:r>
              <w:rPr>
                <w:szCs w:val="21"/>
              </w:rPr>
              <w:t>臭气浓度</w:t>
            </w:r>
          </w:p>
        </w:tc>
        <w:tc>
          <w:tcPr>
            <w:tcW w:w="1842" w:type="dxa"/>
            <w:vMerge w:val="continue"/>
            <w:vAlign w:val="center"/>
          </w:tcPr>
          <w:p>
            <w:pPr>
              <w:jc w:val="center"/>
              <w:rPr>
                <w:szCs w:val="21"/>
              </w:rPr>
            </w:pPr>
          </w:p>
        </w:tc>
        <w:tc>
          <w:tcPr>
            <w:tcW w:w="1931"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16" w:type="dxa"/>
            <w:vMerge w:val="restart"/>
            <w:vAlign w:val="center"/>
          </w:tcPr>
          <w:p>
            <w:pPr>
              <w:jc w:val="center"/>
              <w:rPr>
                <w:szCs w:val="21"/>
              </w:rPr>
            </w:pPr>
            <w:r>
              <w:rPr>
                <w:szCs w:val="21"/>
              </w:rPr>
              <w:t>废水</w:t>
            </w:r>
          </w:p>
        </w:tc>
        <w:tc>
          <w:tcPr>
            <w:tcW w:w="2045" w:type="dxa"/>
            <w:vMerge w:val="restart"/>
            <w:vAlign w:val="center"/>
          </w:tcPr>
          <w:p>
            <w:pPr>
              <w:jc w:val="center"/>
              <w:rPr>
                <w:szCs w:val="21"/>
              </w:rPr>
            </w:pPr>
            <w:r>
              <w:rPr>
                <w:szCs w:val="21"/>
              </w:rPr>
              <w:t>厂区总排口</w:t>
            </w:r>
          </w:p>
        </w:tc>
        <w:tc>
          <w:tcPr>
            <w:tcW w:w="3685" w:type="dxa"/>
            <w:gridSpan w:val="2"/>
            <w:vAlign w:val="center"/>
          </w:tcPr>
          <w:p>
            <w:pPr>
              <w:jc w:val="center"/>
              <w:rPr>
                <w:szCs w:val="21"/>
              </w:rPr>
            </w:pPr>
            <w:r>
              <w:rPr>
                <w:szCs w:val="21"/>
              </w:rPr>
              <w:t>流量、</w:t>
            </w:r>
            <w:r>
              <w:rPr>
                <w:rFonts w:hint="eastAsia"/>
                <w:szCs w:val="21"/>
              </w:rPr>
              <w:t>p</w:t>
            </w:r>
            <w:r>
              <w:rPr>
                <w:szCs w:val="21"/>
              </w:rPr>
              <w:t>H</w:t>
            </w:r>
            <w:r>
              <w:rPr>
                <w:rFonts w:hint="eastAsia"/>
                <w:szCs w:val="21"/>
              </w:rPr>
              <w:t>值、水温、</w:t>
            </w:r>
            <w:r>
              <w:rPr>
                <w:szCs w:val="21"/>
              </w:rPr>
              <w:t>COD、氨氮、总氮、总磷</w:t>
            </w:r>
          </w:p>
        </w:tc>
        <w:tc>
          <w:tcPr>
            <w:tcW w:w="1931" w:type="dxa"/>
            <w:vAlign w:val="center"/>
          </w:tcPr>
          <w:p>
            <w:pPr>
              <w:jc w:val="center"/>
              <w:rPr>
                <w:szCs w:val="21"/>
              </w:rPr>
            </w:pPr>
            <w:r>
              <w:rPr>
                <w:szCs w:val="21"/>
              </w:rPr>
              <w:t>在线监测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16" w:type="dxa"/>
            <w:vMerge w:val="continue"/>
            <w:vAlign w:val="center"/>
          </w:tcPr>
          <w:p>
            <w:pPr>
              <w:jc w:val="center"/>
              <w:rPr>
                <w:szCs w:val="21"/>
              </w:rPr>
            </w:pPr>
          </w:p>
        </w:tc>
        <w:tc>
          <w:tcPr>
            <w:tcW w:w="2045" w:type="dxa"/>
            <w:vMerge w:val="continue"/>
            <w:vAlign w:val="center"/>
          </w:tcPr>
          <w:p>
            <w:pPr>
              <w:jc w:val="center"/>
              <w:rPr>
                <w:szCs w:val="21"/>
              </w:rPr>
            </w:pPr>
          </w:p>
        </w:tc>
        <w:tc>
          <w:tcPr>
            <w:tcW w:w="3685" w:type="dxa"/>
            <w:gridSpan w:val="2"/>
            <w:vAlign w:val="center"/>
          </w:tcPr>
          <w:p>
            <w:pPr>
              <w:jc w:val="center"/>
              <w:rPr>
                <w:szCs w:val="21"/>
              </w:rPr>
            </w:pPr>
            <w:r>
              <w:rPr>
                <w:szCs w:val="21"/>
              </w:rPr>
              <w:t>BOD</w:t>
            </w:r>
            <w:r>
              <w:rPr>
                <w:szCs w:val="21"/>
                <w:vertAlign w:val="subscript"/>
              </w:rPr>
              <w:t>5</w:t>
            </w:r>
            <w:r>
              <w:rPr>
                <w:szCs w:val="21"/>
              </w:rPr>
              <w:t>、SS</w:t>
            </w:r>
            <w:r>
              <w:rPr>
                <w:rFonts w:hint="eastAsia"/>
                <w:szCs w:val="21"/>
              </w:rPr>
              <w:t>、动植物油</w:t>
            </w:r>
          </w:p>
        </w:tc>
        <w:tc>
          <w:tcPr>
            <w:tcW w:w="1931" w:type="dxa"/>
            <w:vAlign w:val="center"/>
          </w:tcPr>
          <w:p>
            <w:pPr>
              <w:jc w:val="center"/>
              <w:rPr>
                <w:szCs w:val="21"/>
              </w:rPr>
            </w:pPr>
            <w:r>
              <w:rPr>
                <w:szCs w:val="21"/>
              </w:rPr>
              <w:t>每</w:t>
            </w:r>
            <w:r>
              <w:rPr>
                <w:rFonts w:hint="eastAsia"/>
                <w:szCs w:val="21"/>
              </w:rPr>
              <w:t>季度</w:t>
            </w:r>
            <w:r>
              <w:rPr>
                <w:szCs w:val="21"/>
              </w:rPr>
              <w:t>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16" w:type="dxa"/>
            <w:vMerge w:val="continue"/>
            <w:vAlign w:val="center"/>
          </w:tcPr>
          <w:p>
            <w:pPr>
              <w:jc w:val="center"/>
              <w:rPr>
                <w:szCs w:val="21"/>
              </w:rPr>
            </w:pPr>
          </w:p>
        </w:tc>
        <w:tc>
          <w:tcPr>
            <w:tcW w:w="2045" w:type="dxa"/>
            <w:vAlign w:val="center"/>
          </w:tcPr>
          <w:p>
            <w:pPr>
              <w:jc w:val="center"/>
              <w:rPr>
                <w:szCs w:val="21"/>
              </w:rPr>
            </w:pPr>
            <w:r>
              <w:rPr>
                <w:szCs w:val="21"/>
              </w:rPr>
              <w:t>雨水排放口</w:t>
            </w:r>
          </w:p>
        </w:tc>
        <w:tc>
          <w:tcPr>
            <w:tcW w:w="3685" w:type="dxa"/>
            <w:gridSpan w:val="2"/>
            <w:vAlign w:val="center"/>
          </w:tcPr>
          <w:p>
            <w:pPr>
              <w:jc w:val="center"/>
              <w:rPr>
                <w:szCs w:val="21"/>
              </w:rPr>
            </w:pPr>
            <w:r>
              <w:rPr>
                <w:szCs w:val="21"/>
              </w:rPr>
              <w:t>COD、SS</w:t>
            </w:r>
          </w:p>
        </w:tc>
        <w:tc>
          <w:tcPr>
            <w:tcW w:w="1931" w:type="dxa"/>
            <w:vAlign w:val="center"/>
          </w:tcPr>
          <w:p>
            <w:pPr>
              <w:jc w:val="center"/>
              <w:rPr>
                <w:szCs w:val="21"/>
              </w:rPr>
            </w:pPr>
            <w:r>
              <w:rPr>
                <w:szCs w:val="21"/>
              </w:rPr>
              <w:t>每月一次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16" w:type="dxa"/>
            <w:vAlign w:val="center"/>
          </w:tcPr>
          <w:p>
            <w:pPr>
              <w:jc w:val="center"/>
              <w:rPr>
                <w:szCs w:val="21"/>
              </w:rPr>
            </w:pPr>
            <w:r>
              <w:rPr>
                <w:szCs w:val="21"/>
              </w:rPr>
              <w:t>噪声</w:t>
            </w:r>
          </w:p>
        </w:tc>
        <w:tc>
          <w:tcPr>
            <w:tcW w:w="2045" w:type="dxa"/>
            <w:vAlign w:val="center"/>
          </w:tcPr>
          <w:p>
            <w:pPr>
              <w:jc w:val="center"/>
              <w:rPr>
                <w:szCs w:val="21"/>
              </w:rPr>
            </w:pPr>
            <w:r>
              <w:rPr>
                <w:szCs w:val="21"/>
              </w:rPr>
              <w:t>四周厂界外1米</w:t>
            </w:r>
          </w:p>
        </w:tc>
        <w:tc>
          <w:tcPr>
            <w:tcW w:w="3685" w:type="dxa"/>
            <w:gridSpan w:val="2"/>
            <w:vAlign w:val="center"/>
          </w:tcPr>
          <w:p>
            <w:pPr>
              <w:jc w:val="center"/>
              <w:rPr>
                <w:szCs w:val="21"/>
              </w:rPr>
            </w:pPr>
            <w:r>
              <w:rPr>
                <w:szCs w:val="21"/>
              </w:rPr>
              <w:t>连续等效噪声级</w:t>
            </w:r>
          </w:p>
        </w:tc>
        <w:tc>
          <w:tcPr>
            <w:tcW w:w="1931" w:type="dxa"/>
            <w:vAlign w:val="center"/>
          </w:tcPr>
          <w:p>
            <w:pPr>
              <w:jc w:val="center"/>
              <w:rPr>
                <w:szCs w:val="21"/>
              </w:rPr>
            </w:pPr>
            <w:r>
              <w:rPr>
                <w:szCs w:val="21"/>
              </w:rPr>
              <w:t>每季度一次，</w:t>
            </w:r>
          </w:p>
          <w:p>
            <w:pPr>
              <w:jc w:val="center"/>
              <w:rPr>
                <w:szCs w:val="21"/>
              </w:rPr>
            </w:pPr>
            <w:r>
              <w:rPr>
                <w:szCs w:val="21"/>
              </w:rPr>
              <w:t>昼、夜各监测一次</w:t>
            </w:r>
          </w:p>
        </w:tc>
      </w:tr>
    </w:tbl>
    <w:p>
      <w:pPr>
        <w:widowControl/>
        <w:shd w:val="clear" w:color="auto" w:fill="FFFFFF"/>
        <w:spacing w:line="520" w:lineRule="exact"/>
        <w:jc w:val="left"/>
        <w:outlineLvl w:val="3"/>
        <w:rPr>
          <w:kern w:val="0"/>
          <w:sz w:val="24"/>
          <w:szCs w:val="24"/>
        </w:rPr>
      </w:pPr>
      <w:r>
        <w:rPr>
          <w:kern w:val="0"/>
          <w:sz w:val="24"/>
          <w:szCs w:val="24"/>
        </w:rPr>
        <w:t>9.2.3.2环境监测计划</w:t>
      </w:r>
    </w:p>
    <w:p>
      <w:pPr>
        <w:spacing w:line="520" w:lineRule="exact"/>
        <w:ind w:firstLine="480" w:firstLineChars="200"/>
        <w:rPr>
          <w:sz w:val="24"/>
          <w:szCs w:val="24"/>
        </w:rPr>
      </w:pPr>
      <w:r>
        <w:rPr>
          <w:sz w:val="24"/>
          <w:szCs w:val="24"/>
        </w:rPr>
        <w:t>为了保护周边环境和人群健康，需要定期对周围环境敏感点进行环境空气、地表水、地下水、声环境、土壤的监测。根据工程内容和周边环境敏感点分布情况，本评价根据</w:t>
      </w:r>
      <w:r>
        <w:rPr>
          <w:sz w:val="24"/>
        </w:rPr>
        <w:t xml:space="preserve">《排污单位自行监测技术指南 </w:t>
      </w:r>
      <w:r>
        <w:rPr>
          <w:rFonts w:hint="eastAsia"/>
          <w:sz w:val="24"/>
        </w:rPr>
        <w:t>水处理</w:t>
      </w:r>
      <w:r>
        <w:rPr>
          <w:sz w:val="24"/>
        </w:rPr>
        <w:t>》（HJ 1083-2020）、</w:t>
      </w:r>
      <w:r>
        <w:rPr>
          <w:sz w:val="24"/>
          <w:szCs w:val="24"/>
        </w:rPr>
        <w:t>《工业企业土壤和地下水自行监测技术指南（试行）》（HJ 1209-2021）及相关要素导则，建议制定环境监测计划见表9.2-2，。</w:t>
      </w:r>
    </w:p>
    <w:p>
      <w:pPr>
        <w:spacing w:line="540" w:lineRule="exact"/>
        <w:ind w:firstLine="480" w:firstLineChars="200"/>
        <w:rPr>
          <w:rFonts w:eastAsia="黑体"/>
          <w:sz w:val="24"/>
          <w:szCs w:val="24"/>
        </w:rPr>
      </w:pPr>
      <w:r>
        <w:rPr>
          <w:rFonts w:eastAsia="黑体"/>
          <w:sz w:val="24"/>
          <w:szCs w:val="24"/>
        </w:rPr>
        <w:t>表9.2-2          环境质量监测内容及监测频率一览表</w:t>
      </w:r>
    </w:p>
    <w:tbl>
      <w:tblPr>
        <w:tblStyle w:val="49"/>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5"/>
        <w:gridCol w:w="4018"/>
        <w:gridCol w:w="1423"/>
        <w:gridCol w:w="1384"/>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1195" w:type="dxa"/>
            <w:vAlign w:val="center"/>
          </w:tcPr>
          <w:p>
            <w:pPr>
              <w:jc w:val="center"/>
              <w:rPr>
                <w:b/>
                <w:bCs/>
                <w:szCs w:val="21"/>
              </w:rPr>
            </w:pPr>
            <w:r>
              <w:rPr>
                <w:b/>
                <w:bCs/>
                <w:szCs w:val="21"/>
              </w:rPr>
              <w:t>类别</w:t>
            </w:r>
          </w:p>
        </w:tc>
        <w:tc>
          <w:tcPr>
            <w:tcW w:w="4018" w:type="dxa"/>
            <w:vAlign w:val="center"/>
          </w:tcPr>
          <w:p>
            <w:pPr>
              <w:jc w:val="center"/>
              <w:rPr>
                <w:b/>
                <w:bCs/>
                <w:szCs w:val="21"/>
              </w:rPr>
            </w:pPr>
            <w:r>
              <w:rPr>
                <w:b/>
                <w:bCs/>
                <w:szCs w:val="21"/>
              </w:rPr>
              <w:t>监测因子</w:t>
            </w:r>
          </w:p>
        </w:tc>
        <w:tc>
          <w:tcPr>
            <w:tcW w:w="2807" w:type="dxa"/>
            <w:gridSpan w:val="2"/>
            <w:vAlign w:val="center"/>
          </w:tcPr>
          <w:p>
            <w:pPr>
              <w:jc w:val="center"/>
              <w:rPr>
                <w:b/>
                <w:bCs/>
                <w:szCs w:val="21"/>
              </w:rPr>
            </w:pPr>
            <w:r>
              <w:rPr>
                <w:b/>
                <w:bCs/>
                <w:szCs w:val="21"/>
              </w:rPr>
              <w:t>监测点位</w:t>
            </w:r>
          </w:p>
        </w:tc>
        <w:tc>
          <w:tcPr>
            <w:tcW w:w="939" w:type="dxa"/>
            <w:vAlign w:val="center"/>
          </w:tcPr>
          <w:p>
            <w:pPr>
              <w:jc w:val="center"/>
              <w:rPr>
                <w:b/>
                <w:bCs/>
                <w:szCs w:val="21"/>
              </w:rPr>
            </w:pPr>
            <w:r>
              <w:rPr>
                <w:b/>
                <w:bCs/>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95" w:type="dxa"/>
            <w:vAlign w:val="center"/>
          </w:tcPr>
          <w:p>
            <w:pPr>
              <w:jc w:val="center"/>
              <w:rPr>
                <w:szCs w:val="21"/>
              </w:rPr>
            </w:pPr>
            <w:r>
              <w:rPr>
                <w:szCs w:val="21"/>
              </w:rPr>
              <w:t>环境空气</w:t>
            </w:r>
          </w:p>
        </w:tc>
        <w:tc>
          <w:tcPr>
            <w:tcW w:w="4018" w:type="dxa"/>
            <w:vAlign w:val="center"/>
          </w:tcPr>
          <w:p>
            <w:pPr>
              <w:jc w:val="center"/>
              <w:rPr>
                <w:szCs w:val="21"/>
              </w:rPr>
            </w:pPr>
            <w:r>
              <w:rPr>
                <w:szCs w:val="21"/>
              </w:rPr>
              <w:t>氨气、硫化氢、NOx</w:t>
            </w:r>
          </w:p>
        </w:tc>
        <w:tc>
          <w:tcPr>
            <w:tcW w:w="2807" w:type="dxa"/>
            <w:gridSpan w:val="2"/>
            <w:vAlign w:val="center"/>
          </w:tcPr>
          <w:p>
            <w:pPr>
              <w:jc w:val="center"/>
              <w:rPr>
                <w:szCs w:val="21"/>
              </w:rPr>
            </w:pPr>
            <w:r>
              <w:rPr>
                <w:rFonts w:hint="eastAsia"/>
                <w:szCs w:val="21"/>
              </w:rPr>
              <w:t>尹圪垱村</w:t>
            </w:r>
          </w:p>
        </w:tc>
        <w:tc>
          <w:tcPr>
            <w:tcW w:w="939" w:type="dxa"/>
            <w:vAlign w:val="center"/>
          </w:tcPr>
          <w:p>
            <w:pPr>
              <w:jc w:val="center"/>
              <w:rPr>
                <w:szCs w:val="21"/>
              </w:rPr>
            </w:pPr>
            <w:r>
              <w:rPr>
                <w:szCs w:val="21"/>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95" w:type="dxa"/>
            <w:vAlign w:val="center"/>
          </w:tcPr>
          <w:p>
            <w:pPr>
              <w:jc w:val="center"/>
              <w:rPr>
                <w:szCs w:val="21"/>
              </w:rPr>
            </w:pPr>
            <w:r>
              <w:rPr>
                <w:szCs w:val="21"/>
              </w:rPr>
              <w:t>地下水</w:t>
            </w:r>
          </w:p>
        </w:tc>
        <w:tc>
          <w:tcPr>
            <w:tcW w:w="4018" w:type="dxa"/>
            <w:vAlign w:val="center"/>
          </w:tcPr>
          <w:p>
            <w:pPr>
              <w:jc w:val="center"/>
              <w:rPr>
                <w:szCs w:val="21"/>
              </w:rPr>
            </w:pPr>
            <w:r>
              <w:rPr>
                <w:szCs w:val="21"/>
              </w:rPr>
              <w:t>pH值、K</w:t>
            </w:r>
            <w:r>
              <w:rPr>
                <w:szCs w:val="21"/>
                <w:vertAlign w:val="superscript"/>
              </w:rPr>
              <w:t>+</w:t>
            </w:r>
            <w:r>
              <w:rPr>
                <w:szCs w:val="21"/>
              </w:rPr>
              <w:t>、Na</w:t>
            </w:r>
            <w:r>
              <w:rPr>
                <w:szCs w:val="21"/>
                <w:vertAlign w:val="superscript"/>
              </w:rPr>
              <w:t>+</w:t>
            </w:r>
            <w:r>
              <w:rPr>
                <w:szCs w:val="21"/>
              </w:rPr>
              <w:t>、Ca</w:t>
            </w:r>
            <w:r>
              <w:rPr>
                <w:szCs w:val="21"/>
                <w:vertAlign w:val="superscript"/>
              </w:rPr>
              <w:t>2+</w:t>
            </w:r>
            <w:r>
              <w:rPr>
                <w:szCs w:val="21"/>
              </w:rPr>
              <w:t>、Mg</w:t>
            </w:r>
            <w:r>
              <w:rPr>
                <w:szCs w:val="21"/>
                <w:vertAlign w:val="superscript"/>
              </w:rPr>
              <w:t>2+</w:t>
            </w:r>
            <w:r>
              <w:rPr>
                <w:szCs w:val="21"/>
              </w:rPr>
              <w:t>、CO</w:t>
            </w:r>
            <w:r>
              <w:rPr>
                <w:szCs w:val="21"/>
                <w:vertAlign w:val="subscript"/>
              </w:rPr>
              <w:t>3</w:t>
            </w:r>
            <w:r>
              <w:rPr>
                <w:szCs w:val="21"/>
                <w:vertAlign w:val="superscript"/>
              </w:rPr>
              <w:t>2-</w:t>
            </w:r>
            <w:r>
              <w:rPr>
                <w:szCs w:val="21"/>
              </w:rPr>
              <w:t>、HCO</w:t>
            </w:r>
            <w:r>
              <w:rPr>
                <w:szCs w:val="21"/>
                <w:vertAlign w:val="subscript"/>
              </w:rPr>
              <w:t>3</w:t>
            </w:r>
            <w:r>
              <w:rPr>
                <w:szCs w:val="21"/>
                <w:vertAlign w:val="superscript"/>
              </w:rPr>
              <w:t>-</w:t>
            </w:r>
            <w:r>
              <w:rPr>
                <w:szCs w:val="21"/>
              </w:rPr>
              <w:t>、Cl</w:t>
            </w:r>
            <w:r>
              <w:rPr>
                <w:szCs w:val="21"/>
                <w:vertAlign w:val="superscript"/>
              </w:rPr>
              <w:t>-</w:t>
            </w:r>
            <w:r>
              <w:rPr>
                <w:szCs w:val="21"/>
              </w:rPr>
              <w:t>、SO</w:t>
            </w:r>
            <w:r>
              <w:rPr>
                <w:szCs w:val="21"/>
                <w:vertAlign w:val="subscript"/>
              </w:rPr>
              <w:t>4</w:t>
            </w:r>
            <w:r>
              <w:rPr>
                <w:szCs w:val="21"/>
                <w:vertAlign w:val="superscript"/>
              </w:rPr>
              <w:t>2-</w:t>
            </w:r>
            <w:r>
              <w:rPr>
                <w:szCs w:val="21"/>
              </w:rPr>
              <w:t>、氨氮、硝酸盐、亚硝酸盐、挥发性酚类、</w:t>
            </w:r>
            <w:r>
              <w:rPr>
                <w:bCs/>
                <w:szCs w:val="21"/>
              </w:rPr>
              <w:t>氰化物、砷、汞、六价铬、总硬度、铅、氟</w:t>
            </w:r>
            <w:r>
              <w:rPr>
                <w:rFonts w:hint="eastAsia"/>
                <w:bCs/>
                <w:szCs w:val="21"/>
              </w:rPr>
              <w:t>化物</w:t>
            </w:r>
            <w:r>
              <w:rPr>
                <w:bCs/>
                <w:szCs w:val="21"/>
              </w:rPr>
              <w:t>、镉、铁、锰、溶解性总固体、耗氧量、总大肠菌群、菌落总数、</w:t>
            </w:r>
            <w:r>
              <w:rPr>
                <w:rFonts w:hint="eastAsia"/>
                <w:bCs/>
                <w:szCs w:val="21"/>
              </w:rPr>
              <w:t>硫化物、可萃取石油烃</w:t>
            </w:r>
          </w:p>
        </w:tc>
        <w:tc>
          <w:tcPr>
            <w:tcW w:w="2807" w:type="dxa"/>
            <w:gridSpan w:val="2"/>
            <w:vAlign w:val="center"/>
          </w:tcPr>
          <w:p>
            <w:pPr>
              <w:jc w:val="center"/>
              <w:rPr>
                <w:szCs w:val="21"/>
              </w:rPr>
            </w:pPr>
            <w:r>
              <w:rPr>
                <w:szCs w:val="21"/>
              </w:rPr>
              <w:t>厂区上游、厂区</w:t>
            </w:r>
            <w:r>
              <w:rPr>
                <w:rFonts w:hint="eastAsia"/>
                <w:szCs w:val="21"/>
              </w:rPr>
              <w:t>下游两侧</w:t>
            </w:r>
            <w:r>
              <w:rPr>
                <w:szCs w:val="21"/>
              </w:rPr>
              <w:t>、厂区下游各1个监测点位</w:t>
            </w:r>
          </w:p>
        </w:tc>
        <w:tc>
          <w:tcPr>
            <w:tcW w:w="939" w:type="dxa"/>
            <w:vAlign w:val="center"/>
          </w:tcPr>
          <w:p>
            <w:pPr>
              <w:jc w:val="center"/>
              <w:rPr>
                <w:szCs w:val="21"/>
              </w:rPr>
            </w:pPr>
            <w:r>
              <w:rPr>
                <w:szCs w:val="21"/>
              </w:rPr>
              <w:t>每</w:t>
            </w:r>
            <w:r>
              <w:rPr>
                <w:rFonts w:hint="eastAsia"/>
                <w:szCs w:val="21"/>
              </w:rPr>
              <w:t>季度</w:t>
            </w:r>
            <w:r>
              <w:rPr>
                <w:szCs w:val="21"/>
              </w:rPr>
              <w:t>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0" w:hRule="atLeast"/>
          <w:jc w:val="center"/>
        </w:trPr>
        <w:tc>
          <w:tcPr>
            <w:tcW w:w="1195" w:type="dxa"/>
            <w:vMerge w:val="restart"/>
            <w:vAlign w:val="center"/>
          </w:tcPr>
          <w:p>
            <w:pPr>
              <w:jc w:val="center"/>
              <w:rPr>
                <w:szCs w:val="21"/>
                <w:highlight w:val="yellow"/>
              </w:rPr>
            </w:pPr>
            <w:r>
              <w:rPr>
                <w:szCs w:val="21"/>
              </w:rPr>
              <w:t>土壤</w:t>
            </w:r>
          </w:p>
        </w:tc>
        <w:tc>
          <w:tcPr>
            <w:tcW w:w="4018" w:type="dxa"/>
            <w:vMerge w:val="restart"/>
            <w:vAlign w:val="center"/>
          </w:tcPr>
          <w:p>
            <w:pPr>
              <w:jc w:val="center"/>
              <w:rPr>
                <w:szCs w:val="21"/>
                <w:highlight w:val="yellow"/>
              </w:rPr>
            </w:pPr>
            <w:r>
              <w:rPr>
                <w:szCs w:val="21"/>
              </w:rPr>
              <w:t>pH值、</w:t>
            </w:r>
            <w:r>
              <w:rPr>
                <w:rFonts w:hint="eastAsia"/>
                <w:szCs w:val="21"/>
              </w:rPr>
              <w:t>石油烃</w:t>
            </w:r>
          </w:p>
        </w:tc>
        <w:tc>
          <w:tcPr>
            <w:tcW w:w="1423" w:type="dxa"/>
            <w:vMerge w:val="restart"/>
            <w:vAlign w:val="center"/>
          </w:tcPr>
          <w:p>
            <w:pPr>
              <w:jc w:val="center"/>
              <w:rPr>
                <w:szCs w:val="21"/>
              </w:rPr>
            </w:pPr>
            <w:r>
              <w:t>污水处理站附近</w:t>
            </w:r>
          </w:p>
        </w:tc>
        <w:tc>
          <w:tcPr>
            <w:tcW w:w="1384" w:type="dxa"/>
            <w:vAlign w:val="center"/>
          </w:tcPr>
          <w:p>
            <w:pPr>
              <w:jc w:val="center"/>
              <w:rPr>
                <w:szCs w:val="21"/>
              </w:rPr>
            </w:pPr>
            <w:r>
              <w:rPr>
                <w:rFonts w:hint="eastAsia"/>
                <w:szCs w:val="21"/>
              </w:rPr>
              <w:t>1个深层土壤监测点</w:t>
            </w:r>
          </w:p>
        </w:tc>
        <w:tc>
          <w:tcPr>
            <w:tcW w:w="939" w:type="dxa"/>
            <w:vAlign w:val="center"/>
          </w:tcPr>
          <w:p>
            <w:pPr>
              <w:jc w:val="center"/>
              <w:rPr>
                <w:szCs w:val="21"/>
              </w:rPr>
            </w:pPr>
            <w:r>
              <w:rPr>
                <w:szCs w:val="21"/>
              </w:rPr>
              <w:t>1次/3年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0" w:hRule="atLeast"/>
          <w:jc w:val="center"/>
        </w:trPr>
        <w:tc>
          <w:tcPr>
            <w:tcW w:w="1195" w:type="dxa"/>
            <w:vMerge w:val="continue"/>
            <w:vAlign w:val="center"/>
          </w:tcPr>
          <w:p>
            <w:pPr>
              <w:jc w:val="center"/>
              <w:rPr>
                <w:szCs w:val="21"/>
              </w:rPr>
            </w:pPr>
          </w:p>
        </w:tc>
        <w:tc>
          <w:tcPr>
            <w:tcW w:w="4018" w:type="dxa"/>
            <w:vMerge w:val="continue"/>
            <w:vAlign w:val="center"/>
          </w:tcPr>
          <w:p>
            <w:pPr>
              <w:jc w:val="center"/>
              <w:rPr>
                <w:szCs w:val="21"/>
              </w:rPr>
            </w:pPr>
          </w:p>
        </w:tc>
        <w:tc>
          <w:tcPr>
            <w:tcW w:w="1423" w:type="dxa"/>
            <w:vMerge w:val="continue"/>
            <w:vAlign w:val="center"/>
          </w:tcPr>
          <w:p>
            <w:pPr>
              <w:jc w:val="center"/>
            </w:pPr>
          </w:p>
        </w:tc>
        <w:tc>
          <w:tcPr>
            <w:tcW w:w="1384" w:type="dxa"/>
            <w:vMerge w:val="restart"/>
            <w:vAlign w:val="center"/>
          </w:tcPr>
          <w:p>
            <w:pPr>
              <w:jc w:val="center"/>
            </w:pPr>
            <w:r>
              <w:rPr>
                <w:rFonts w:hint="eastAsia"/>
              </w:rPr>
              <w:t>1个表层土壤监测点</w:t>
            </w:r>
          </w:p>
        </w:tc>
        <w:tc>
          <w:tcPr>
            <w:tcW w:w="939" w:type="dxa"/>
            <w:vMerge w:val="restart"/>
            <w:vAlign w:val="center"/>
          </w:tcPr>
          <w:p>
            <w:pPr>
              <w:jc w:val="center"/>
              <w:rPr>
                <w:szCs w:val="21"/>
              </w:rPr>
            </w:pPr>
            <w:r>
              <w:rPr>
                <w:szCs w:val="21"/>
              </w:rPr>
              <w:t>1次/1年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0" w:hRule="atLeast"/>
          <w:jc w:val="center"/>
        </w:trPr>
        <w:tc>
          <w:tcPr>
            <w:tcW w:w="1195" w:type="dxa"/>
            <w:vMerge w:val="continue"/>
            <w:vAlign w:val="center"/>
          </w:tcPr>
          <w:p>
            <w:pPr>
              <w:jc w:val="center"/>
              <w:rPr>
                <w:szCs w:val="21"/>
              </w:rPr>
            </w:pPr>
          </w:p>
        </w:tc>
        <w:tc>
          <w:tcPr>
            <w:tcW w:w="4018" w:type="dxa"/>
            <w:vMerge w:val="continue"/>
            <w:vAlign w:val="center"/>
          </w:tcPr>
          <w:p>
            <w:pPr>
              <w:jc w:val="center"/>
              <w:rPr>
                <w:szCs w:val="21"/>
              </w:rPr>
            </w:pPr>
          </w:p>
        </w:tc>
        <w:tc>
          <w:tcPr>
            <w:tcW w:w="1423" w:type="dxa"/>
            <w:vAlign w:val="center"/>
          </w:tcPr>
          <w:p>
            <w:pPr>
              <w:jc w:val="center"/>
            </w:pPr>
            <w:r>
              <w:rPr>
                <w:rFonts w:hint="eastAsia" w:ascii="Calibri" w:hAnsi="Calibri"/>
              </w:rPr>
              <w:t>厂区西南角空地</w:t>
            </w:r>
          </w:p>
        </w:tc>
        <w:tc>
          <w:tcPr>
            <w:tcW w:w="1384" w:type="dxa"/>
            <w:vMerge w:val="continue"/>
            <w:vAlign w:val="center"/>
          </w:tcPr>
          <w:p>
            <w:pPr>
              <w:jc w:val="center"/>
            </w:pPr>
          </w:p>
        </w:tc>
        <w:tc>
          <w:tcPr>
            <w:tcW w:w="939" w:type="dxa"/>
            <w:vMerge w:val="continue"/>
            <w:vAlign w:val="center"/>
          </w:tcPr>
          <w:p>
            <w:pPr>
              <w:jc w:val="center"/>
              <w:rPr>
                <w:szCs w:val="21"/>
              </w:rPr>
            </w:pPr>
          </w:p>
        </w:tc>
      </w:tr>
    </w:tbl>
    <w:p>
      <w:pPr>
        <w:spacing w:line="520" w:lineRule="exact"/>
        <w:ind w:firstLine="570"/>
        <w:rPr>
          <w:sz w:val="24"/>
        </w:rPr>
      </w:pPr>
      <w:r>
        <w:rPr>
          <w:sz w:val="24"/>
        </w:rPr>
        <w:t>监测数据采集与处理、采样分析方法参照执行国家有关技术标准和规范。</w:t>
      </w:r>
    </w:p>
    <w:p>
      <w:pPr>
        <w:widowControl/>
        <w:shd w:val="clear" w:color="auto" w:fill="FFFFFF"/>
        <w:spacing w:line="520" w:lineRule="exact"/>
        <w:outlineLvl w:val="1"/>
        <w:rPr>
          <w:rFonts w:eastAsia="黑体"/>
          <w:kern w:val="0"/>
          <w:sz w:val="28"/>
          <w:szCs w:val="28"/>
        </w:rPr>
      </w:pPr>
      <w:bookmarkStart w:id="254" w:name="_Toc10200"/>
      <w:r>
        <w:rPr>
          <w:rFonts w:eastAsia="黑体"/>
          <w:kern w:val="0"/>
          <w:sz w:val="28"/>
          <w:szCs w:val="28"/>
        </w:rPr>
        <w:t>9.3环境管理台账</w:t>
      </w:r>
      <w:bookmarkEnd w:id="254"/>
    </w:p>
    <w:p>
      <w:pPr>
        <w:spacing w:line="520" w:lineRule="exact"/>
        <w:ind w:firstLine="570"/>
        <w:rPr>
          <w:sz w:val="24"/>
        </w:rPr>
      </w:pPr>
      <w:r>
        <w:rPr>
          <w:sz w:val="24"/>
        </w:rPr>
        <w:t xml:space="preserve">企业应当按照《排污单位自行监测技术指南 </w:t>
      </w:r>
      <w:r>
        <w:rPr>
          <w:rFonts w:hint="eastAsia"/>
          <w:sz w:val="24"/>
        </w:rPr>
        <w:t>水处理</w:t>
      </w:r>
      <w:r>
        <w:rPr>
          <w:sz w:val="24"/>
        </w:rPr>
        <w:t>》（HJ 1083-2020）</w:t>
      </w:r>
      <w:r>
        <w:rPr>
          <w:rFonts w:hint="eastAsia"/>
          <w:sz w:val="24"/>
        </w:rPr>
        <w:t>8</w:t>
      </w:r>
      <w:r>
        <w:rPr>
          <w:sz w:val="24"/>
        </w:rPr>
        <w:t>.1</w:t>
      </w:r>
      <w:r>
        <w:rPr>
          <w:rFonts w:hint="eastAsia"/>
          <w:sz w:val="24"/>
        </w:rPr>
        <w:t>环境管理台账记录要求</w:t>
      </w:r>
      <w:r>
        <w:rPr>
          <w:sz w:val="24"/>
        </w:rPr>
        <w:t>建立环境</w:t>
      </w:r>
      <w:r>
        <w:rPr>
          <w:rFonts w:hint="eastAsia"/>
          <w:sz w:val="24"/>
        </w:rPr>
        <w:t>管理</w:t>
      </w:r>
      <w:r>
        <w:rPr>
          <w:sz w:val="24"/>
        </w:rPr>
        <w:t>台账</w:t>
      </w:r>
      <w:r>
        <w:rPr>
          <w:rFonts w:hint="eastAsia"/>
          <w:sz w:val="24"/>
        </w:rPr>
        <w:t>，</w:t>
      </w:r>
      <w:r>
        <w:rPr>
          <w:sz w:val="24"/>
        </w:rPr>
        <w:t>具体包括。</w:t>
      </w:r>
    </w:p>
    <w:p>
      <w:pPr>
        <w:spacing w:line="520" w:lineRule="exact"/>
        <w:ind w:firstLine="480" w:firstLineChars="200"/>
        <w:rPr>
          <w:sz w:val="24"/>
        </w:rPr>
      </w:pPr>
      <w:r>
        <w:rPr>
          <w:rFonts w:hint="eastAsia" w:ascii="宋体" w:hAnsi="宋体" w:cs="宋体"/>
          <w:sz w:val="24"/>
        </w:rPr>
        <w:t>①</w:t>
      </w:r>
      <w:r>
        <w:rPr>
          <w:rFonts w:hint="eastAsia"/>
          <w:sz w:val="24"/>
        </w:rPr>
        <w:t>污染治理</w:t>
      </w:r>
      <w:r>
        <w:rPr>
          <w:sz w:val="24"/>
        </w:rPr>
        <w:t>设施运行信息（</w:t>
      </w:r>
      <w:r>
        <w:rPr>
          <w:rFonts w:hint="eastAsia"/>
          <w:sz w:val="24"/>
        </w:rPr>
        <w:t>进水信息</w:t>
      </w:r>
      <w:r>
        <w:rPr>
          <w:sz w:val="24"/>
        </w:rPr>
        <w:t>、</w:t>
      </w:r>
      <w:r>
        <w:rPr>
          <w:rFonts w:hint="eastAsia"/>
          <w:sz w:val="24"/>
        </w:rPr>
        <w:t>污水处理设施日常运行信息</w:t>
      </w:r>
      <w:r>
        <w:rPr>
          <w:sz w:val="24"/>
        </w:rPr>
        <w:t>、</w:t>
      </w:r>
      <w:r>
        <w:rPr>
          <w:rFonts w:hint="eastAsia"/>
          <w:sz w:val="24"/>
        </w:rPr>
        <w:t>废气治理设施日常运行信息</w:t>
      </w:r>
      <w:r>
        <w:rPr>
          <w:sz w:val="24"/>
        </w:rPr>
        <w:t>等</w:t>
      </w:r>
      <w:r>
        <w:rPr>
          <w:rFonts w:hint="eastAsia"/>
          <w:sz w:val="24"/>
        </w:rPr>
        <w:t>、污泥处理设施日常运行信息、污染治理设施维修维护记录</w:t>
      </w:r>
      <w:r>
        <w:rPr>
          <w:sz w:val="24"/>
        </w:rPr>
        <w:t>）；</w:t>
      </w:r>
    </w:p>
    <w:p>
      <w:pPr>
        <w:spacing w:line="520" w:lineRule="exact"/>
        <w:ind w:firstLine="570"/>
        <w:rPr>
          <w:sz w:val="24"/>
        </w:rPr>
      </w:pPr>
      <w:r>
        <w:rPr>
          <w:rFonts w:hint="eastAsia" w:ascii="宋体" w:hAnsi="宋体" w:cs="宋体"/>
          <w:sz w:val="24"/>
        </w:rPr>
        <w:t>②</w:t>
      </w:r>
      <w:r>
        <w:rPr>
          <w:sz w:val="24"/>
        </w:rPr>
        <w:t>监测记录信息（废气排放口</w:t>
      </w:r>
      <w:r>
        <w:rPr>
          <w:rFonts w:hint="eastAsia"/>
          <w:sz w:val="24"/>
        </w:rPr>
        <w:t>和废水排放口</w:t>
      </w:r>
      <w:r>
        <w:rPr>
          <w:sz w:val="24"/>
        </w:rPr>
        <w:t>排放记录</w:t>
      </w:r>
      <w:r>
        <w:rPr>
          <w:rFonts w:hint="eastAsia"/>
          <w:sz w:val="24"/>
        </w:rPr>
        <w:t>“手工监测记录信息和自动监测运维记录信息”，应同步记录监测期间的运行工况</w:t>
      </w:r>
      <w:r>
        <w:rPr>
          <w:sz w:val="24"/>
        </w:rPr>
        <w:t>）；</w:t>
      </w:r>
    </w:p>
    <w:p>
      <w:pPr>
        <w:spacing w:line="520" w:lineRule="exact"/>
        <w:ind w:firstLine="570"/>
        <w:rPr>
          <w:sz w:val="24"/>
        </w:rPr>
      </w:pPr>
      <w:r>
        <w:rPr>
          <w:rFonts w:hint="eastAsia" w:ascii="宋体" w:hAnsi="宋体" w:cs="宋体"/>
          <w:sz w:val="24"/>
        </w:rPr>
        <w:t>③其他环境管理要求（排污单位所在区域生态环境主管部门有其他环境管理信息要求的,可根据环境管理要求增加记录的内容，记录频次依实际生产内容、生产规律等确定）。</w:t>
      </w:r>
    </w:p>
    <w:p>
      <w:pPr>
        <w:widowControl/>
        <w:shd w:val="clear" w:color="auto" w:fill="FFFFFF"/>
        <w:spacing w:line="520" w:lineRule="exact"/>
        <w:outlineLvl w:val="1"/>
        <w:rPr>
          <w:rFonts w:eastAsia="黑体"/>
          <w:kern w:val="0"/>
          <w:sz w:val="28"/>
          <w:szCs w:val="28"/>
        </w:rPr>
      </w:pPr>
      <w:bookmarkStart w:id="255" w:name="_Toc8241"/>
      <w:r>
        <w:rPr>
          <w:rFonts w:eastAsia="黑体"/>
          <w:kern w:val="0"/>
          <w:sz w:val="28"/>
          <w:szCs w:val="28"/>
        </w:rPr>
        <w:t>9.4工程概况及信息公开内容</w:t>
      </w:r>
      <w:bookmarkEnd w:id="255"/>
    </w:p>
    <w:p>
      <w:pPr>
        <w:keepNext/>
        <w:keepLines/>
        <w:spacing w:line="360" w:lineRule="auto"/>
        <w:outlineLvl w:val="2"/>
        <w:rPr>
          <w:rFonts w:eastAsia="黑体"/>
          <w:bCs/>
          <w:sz w:val="28"/>
          <w:szCs w:val="28"/>
        </w:rPr>
      </w:pPr>
      <w:r>
        <w:rPr>
          <w:rFonts w:eastAsia="黑体"/>
          <w:bCs/>
          <w:sz w:val="28"/>
          <w:szCs w:val="28"/>
        </w:rPr>
        <w:t>9.4.1公开内容</w:t>
      </w:r>
    </w:p>
    <w:p>
      <w:pPr>
        <w:spacing w:line="520" w:lineRule="exact"/>
        <w:ind w:firstLine="570"/>
        <w:rPr>
          <w:sz w:val="24"/>
        </w:rPr>
      </w:pPr>
      <w:r>
        <w:rPr>
          <w:sz w:val="24"/>
        </w:rPr>
        <w:t>建设单位应该根据《环境影响评价公众参与办法》等要求，按时将自行监测工作开展情况及监测结果向社会公众公开。公开内容应包括：</w:t>
      </w:r>
    </w:p>
    <w:p>
      <w:pPr>
        <w:spacing w:line="520" w:lineRule="exact"/>
        <w:ind w:firstLine="570"/>
        <w:rPr>
          <w:sz w:val="24"/>
        </w:rPr>
      </w:pPr>
      <w:r>
        <w:rPr>
          <w:sz w:val="24"/>
        </w:rPr>
        <w:t>（1）基础信息：企业名称、法人代表、所属行业、地理位置、生产周期、联系方式、委托监测机构名称等；</w:t>
      </w:r>
    </w:p>
    <w:p>
      <w:pPr>
        <w:spacing w:line="520" w:lineRule="exact"/>
        <w:ind w:firstLine="570"/>
        <w:rPr>
          <w:sz w:val="24"/>
        </w:rPr>
      </w:pPr>
      <w:r>
        <w:rPr>
          <w:sz w:val="24"/>
        </w:rPr>
        <w:t>（2）自行监测方案；</w:t>
      </w:r>
    </w:p>
    <w:p>
      <w:pPr>
        <w:spacing w:line="520" w:lineRule="exact"/>
        <w:ind w:firstLine="570"/>
        <w:rPr>
          <w:sz w:val="24"/>
        </w:rPr>
      </w:pPr>
      <w:r>
        <w:rPr>
          <w:sz w:val="24"/>
        </w:rPr>
        <w:t>（3）自行监测结果：全部监测点位、监测时间、污染物种类及浓度、标准限值、达标情况、超标倍数、污染物排放方式及排放去向；</w:t>
      </w:r>
    </w:p>
    <w:p>
      <w:pPr>
        <w:spacing w:line="520" w:lineRule="exact"/>
        <w:ind w:firstLine="570"/>
        <w:rPr>
          <w:sz w:val="24"/>
        </w:rPr>
      </w:pPr>
      <w:r>
        <w:rPr>
          <w:sz w:val="24"/>
        </w:rPr>
        <w:t>（4）未开展自行监测的原因；</w:t>
      </w:r>
    </w:p>
    <w:p>
      <w:pPr>
        <w:spacing w:line="520" w:lineRule="exact"/>
        <w:ind w:firstLine="570"/>
        <w:rPr>
          <w:sz w:val="24"/>
        </w:rPr>
      </w:pPr>
      <w:r>
        <w:rPr>
          <w:sz w:val="24"/>
        </w:rPr>
        <w:t>（5）污染源监测年度报告。</w:t>
      </w:r>
    </w:p>
    <w:p>
      <w:pPr>
        <w:keepNext/>
        <w:keepLines/>
        <w:spacing w:line="360" w:lineRule="auto"/>
        <w:outlineLvl w:val="2"/>
        <w:rPr>
          <w:rFonts w:eastAsia="黑体"/>
          <w:bCs/>
          <w:sz w:val="28"/>
          <w:szCs w:val="28"/>
        </w:rPr>
      </w:pPr>
      <w:r>
        <w:rPr>
          <w:rFonts w:eastAsia="黑体"/>
          <w:bCs/>
          <w:sz w:val="28"/>
          <w:szCs w:val="28"/>
        </w:rPr>
        <w:t>9.4.2 公开方式</w:t>
      </w:r>
    </w:p>
    <w:p>
      <w:pPr>
        <w:spacing w:line="520" w:lineRule="exact"/>
        <w:ind w:firstLine="570"/>
        <w:rPr>
          <w:sz w:val="24"/>
        </w:rPr>
      </w:pPr>
      <w:r>
        <w:rPr>
          <w:sz w:val="24"/>
        </w:rPr>
        <w:t>企业可通过对外网站、报纸、广播、电视等便于公众知晓的方式公开自行监测信息。</w:t>
      </w:r>
    </w:p>
    <w:p>
      <w:pPr>
        <w:keepNext/>
        <w:keepLines/>
        <w:spacing w:line="360" w:lineRule="auto"/>
        <w:outlineLvl w:val="2"/>
        <w:rPr>
          <w:rFonts w:eastAsia="黑体"/>
          <w:bCs/>
          <w:sz w:val="28"/>
          <w:szCs w:val="28"/>
        </w:rPr>
      </w:pPr>
      <w:r>
        <w:rPr>
          <w:rFonts w:eastAsia="黑体"/>
          <w:bCs/>
          <w:sz w:val="28"/>
          <w:szCs w:val="28"/>
        </w:rPr>
        <w:t>9.4.3公开时限</w:t>
      </w:r>
    </w:p>
    <w:p>
      <w:pPr>
        <w:spacing w:line="520" w:lineRule="exact"/>
        <w:ind w:firstLine="570"/>
        <w:rPr>
          <w:sz w:val="24"/>
        </w:rPr>
      </w:pPr>
      <w:r>
        <w:rPr>
          <w:sz w:val="24"/>
        </w:rPr>
        <w:t>企业自行监测信息按以下要求的时限公开：</w:t>
      </w:r>
    </w:p>
    <w:p>
      <w:pPr>
        <w:spacing w:line="520" w:lineRule="exact"/>
        <w:ind w:firstLine="570"/>
        <w:rPr>
          <w:sz w:val="24"/>
        </w:rPr>
      </w:pPr>
      <w:r>
        <w:rPr>
          <w:sz w:val="24"/>
        </w:rPr>
        <w:t>（1）企业基础信息应随监测数据一并公布，基础信息、自行监测方案如有调整变化时，应于变更后的五日内公布最新内容；</w:t>
      </w:r>
    </w:p>
    <w:p>
      <w:pPr>
        <w:spacing w:line="520" w:lineRule="exact"/>
        <w:ind w:firstLine="570"/>
        <w:rPr>
          <w:sz w:val="24"/>
        </w:rPr>
      </w:pPr>
      <w:r>
        <w:rPr>
          <w:sz w:val="24"/>
        </w:rPr>
        <w:t>（2）手工监测数据应于每次监测完成后的次日公布；</w:t>
      </w:r>
    </w:p>
    <w:p>
      <w:pPr>
        <w:spacing w:line="520" w:lineRule="exact"/>
        <w:ind w:firstLine="570"/>
        <w:rPr>
          <w:sz w:val="24"/>
        </w:rPr>
      </w:pPr>
      <w:r>
        <w:rPr>
          <w:sz w:val="24"/>
        </w:rPr>
        <w:t>（3）自动监测数据应实时公布监测结果；</w:t>
      </w:r>
    </w:p>
    <w:p>
      <w:pPr>
        <w:spacing w:line="520" w:lineRule="exact"/>
        <w:ind w:firstLine="570"/>
        <w:rPr>
          <w:sz w:val="24"/>
        </w:rPr>
      </w:pPr>
      <w:r>
        <w:rPr>
          <w:sz w:val="24"/>
        </w:rPr>
        <w:t>（4）每年1月底前公布上年度自行监测年度报告。</w:t>
      </w:r>
    </w:p>
    <w:p>
      <w:pPr>
        <w:widowControl/>
        <w:shd w:val="clear" w:color="auto" w:fill="FFFFFF"/>
        <w:spacing w:line="520" w:lineRule="exact"/>
        <w:outlineLvl w:val="1"/>
        <w:rPr>
          <w:rFonts w:eastAsia="黑体"/>
          <w:kern w:val="0"/>
          <w:sz w:val="28"/>
          <w:szCs w:val="28"/>
        </w:rPr>
      </w:pPr>
      <w:bookmarkStart w:id="256" w:name="_Toc187"/>
      <w:r>
        <w:rPr>
          <w:rFonts w:eastAsia="黑体"/>
          <w:kern w:val="0"/>
          <w:sz w:val="28"/>
          <w:szCs w:val="28"/>
        </w:rPr>
        <w:t>9.5工程污染物总量控制分析</w:t>
      </w:r>
      <w:bookmarkEnd w:id="256"/>
    </w:p>
    <w:p>
      <w:pPr>
        <w:spacing w:line="520" w:lineRule="exact"/>
        <w:ind w:firstLine="570"/>
        <w:rPr>
          <w:sz w:val="24"/>
          <w:highlight w:val="yellow"/>
        </w:rPr>
      </w:pPr>
      <w:r>
        <w:rPr>
          <w:sz w:val="24"/>
        </w:rPr>
        <w:t>污染物排放总量控制是针对工程分析、环保治理措施及环境影响预测和分析的结果，贯彻“总量控制”、“达标排放”的原则，分析确定本项目废水、废气污染物排放总量控制指标，为环保部门监督管理提供依据。</w:t>
      </w:r>
    </w:p>
    <w:p>
      <w:pPr>
        <w:keepNext/>
        <w:keepLines/>
        <w:spacing w:line="360" w:lineRule="auto"/>
        <w:outlineLvl w:val="2"/>
        <w:rPr>
          <w:rFonts w:eastAsia="黑体"/>
          <w:bCs/>
          <w:sz w:val="28"/>
          <w:szCs w:val="28"/>
        </w:rPr>
      </w:pPr>
      <w:r>
        <w:rPr>
          <w:rFonts w:eastAsia="黑体"/>
          <w:bCs/>
          <w:sz w:val="28"/>
          <w:szCs w:val="28"/>
        </w:rPr>
        <w:t>9.5.1工程污染物排放情况</w:t>
      </w:r>
    </w:p>
    <w:p>
      <w:pPr>
        <w:spacing w:line="520" w:lineRule="exact"/>
        <w:ind w:firstLine="480" w:firstLineChars="200"/>
        <w:rPr>
          <w:bCs/>
          <w:sz w:val="24"/>
        </w:rPr>
      </w:pPr>
      <w:r>
        <w:rPr>
          <w:bCs/>
          <w:sz w:val="24"/>
        </w:rPr>
        <w:t>根据工程分析，工程污染物排放情况见表9.5-1。</w:t>
      </w:r>
    </w:p>
    <w:p>
      <w:pPr>
        <w:spacing w:line="520" w:lineRule="exact"/>
        <w:ind w:firstLine="480" w:firstLineChars="200"/>
        <w:rPr>
          <w:rFonts w:eastAsia="黑体"/>
          <w:bCs/>
          <w:sz w:val="24"/>
          <w:szCs w:val="24"/>
        </w:rPr>
      </w:pPr>
      <w:r>
        <w:rPr>
          <w:rFonts w:eastAsia="黑体"/>
          <w:bCs/>
          <w:sz w:val="24"/>
          <w:szCs w:val="24"/>
        </w:rPr>
        <w:t xml:space="preserve">表9.5-1                </w:t>
      </w:r>
      <w:bookmarkStart w:id="257" w:name="_Hlk107990083"/>
      <w:r>
        <w:rPr>
          <w:rFonts w:eastAsia="黑体"/>
          <w:bCs/>
          <w:sz w:val="24"/>
          <w:szCs w:val="24"/>
        </w:rPr>
        <w:t>本项目污染物排放情况汇总</w:t>
      </w:r>
      <w:bookmarkEnd w:id="257"/>
    </w:p>
    <w:tbl>
      <w:tblPr>
        <w:tblStyle w:val="49"/>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75"/>
        <w:gridCol w:w="2408"/>
        <w:gridCol w:w="2619"/>
        <w:gridCol w:w="2844"/>
      </w:tblGrid>
      <w:tr>
        <w:tblPrEx>
          <w:tblCellMar>
            <w:top w:w="0" w:type="dxa"/>
            <w:left w:w="108" w:type="dxa"/>
            <w:bottom w:w="0" w:type="dxa"/>
            <w:right w:w="108" w:type="dxa"/>
          </w:tblCellMar>
        </w:tblPrEx>
        <w:trPr>
          <w:trHeight w:val="20" w:hRule="atLeast"/>
          <w:jc w:val="center"/>
        </w:trPr>
        <w:tc>
          <w:tcPr>
            <w:tcW w:w="1947" w:type="pct"/>
            <w:gridSpan w:val="2"/>
            <w:tcMar>
              <w:top w:w="85" w:type="dxa"/>
              <w:bottom w:w="85" w:type="dxa"/>
            </w:tcMar>
            <w:vAlign w:val="center"/>
          </w:tcPr>
          <w:p>
            <w:pPr>
              <w:widowControl/>
              <w:jc w:val="center"/>
              <w:rPr>
                <w:b/>
                <w:szCs w:val="21"/>
              </w:rPr>
            </w:pPr>
            <w:r>
              <w:rPr>
                <w:b/>
                <w:szCs w:val="21"/>
              </w:rPr>
              <w:t>污染物名称</w:t>
            </w:r>
          </w:p>
        </w:tc>
        <w:tc>
          <w:tcPr>
            <w:tcW w:w="1464" w:type="pct"/>
            <w:tcBorders>
              <w:left w:val="single" w:color="auto" w:sz="4" w:space="0"/>
              <w:right w:val="single" w:color="auto" w:sz="4" w:space="0"/>
            </w:tcBorders>
            <w:vAlign w:val="center"/>
          </w:tcPr>
          <w:p>
            <w:pPr>
              <w:jc w:val="center"/>
              <w:rPr>
                <w:b/>
                <w:szCs w:val="21"/>
              </w:rPr>
            </w:pPr>
            <w:r>
              <w:rPr>
                <w:b/>
                <w:szCs w:val="21"/>
              </w:rPr>
              <w:t>本项目排放量（t/a）</w:t>
            </w:r>
          </w:p>
        </w:tc>
        <w:tc>
          <w:tcPr>
            <w:tcW w:w="1589" w:type="pct"/>
            <w:tcBorders>
              <w:left w:val="single" w:color="auto" w:sz="4" w:space="0"/>
              <w:right w:val="single" w:color="auto" w:sz="4" w:space="0"/>
            </w:tcBorders>
            <w:vAlign w:val="center"/>
          </w:tcPr>
          <w:p>
            <w:pPr>
              <w:jc w:val="center"/>
              <w:rPr>
                <w:b/>
                <w:szCs w:val="21"/>
              </w:rPr>
            </w:pPr>
            <w:r>
              <w:rPr>
                <w:b/>
                <w:szCs w:val="21"/>
              </w:rPr>
              <w:t>排入环境量（t/a）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601" w:type="pct"/>
            <w:vMerge w:val="restart"/>
            <w:tcMar>
              <w:top w:w="85" w:type="dxa"/>
              <w:bottom w:w="85" w:type="dxa"/>
            </w:tcMar>
            <w:vAlign w:val="center"/>
          </w:tcPr>
          <w:p>
            <w:pPr>
              <w:widowControl/>
              <w:jc w:val="center"/>
              <w:rPr>
                <w:bCs/>
                <w:szCs w:val="21"/>
              </w:rPr>
            </w:pPr>
            <w:r>
              <w:rPr>
                <w:bCs/>
                <w:szCs w:val="21"/>
              </w:rPr>
              <w:t>废气</w:t>
            </w:r>
          </w:p>
        </w:tc>
        <w:tc>
          <w:tcPr>
            <w:tcW w:w="1346" w:type="pct"/>
            <w:tcMar>
              <w:top w:w="85" w:type="dxa"/>
              <w:bottom w:w="85" w:type="dxa"/>
            </w:tcMar>
          </w:tcPr>
          <w:p>
            <w:pPr>
              <w:jc w:val="center"/>
              <w:rPr>
                <w:bCs/>
                <w:szCs w:val="21"/>
              </w:rPr>
            </w:pPr>
            <w:r>
              <w:rPr>
                <w:bCs/>
                <w:szCs w:val="21"/>
              </w:rPr>
              <w:t>氨</w:t>
            </w:r>
          </w:p>
        </w:tc>
        <w:tc>
          <w:tcPr>
            <w:tcW w:w="1464" w:type="pct"/>
            <w:tcBorders>
              <w:left w:val="single" w:color="auto" w:sz="4" w:space="0"/>
              <w:right w:val="single" w:color="auto" w:sz="4" w:space="0"/>
            </w:tcBorders>
            <w:vAlign w:val="center"/>
          </w:tcPr>
          <w:p>
            <w:pPr>
              <w:jc w:val="center"/>
              <w:rPr>
                <w:bCs/>
                <w:szCs w:val="21"/>
              </w:rPr>
            </w:pPr>
            <w:r>
              <w:rPr>
                <w:bCs/>
                <w:color w:val="000000"/>
                <w:szCs w:val="21"/>
                <w:lang w:val="fr-FR"/>
              </w:rPr>
              <w:t>0.1806</w:t>
            </w:r>
          </w:p>
        </w:tc>
        <w:tc>
          <w:tcPr>
            <w:tcW w:w="1589" w:type="pct"/>
            <w:tcBorders>
              <w:left w:val="single" w:color="auto" w:sz="4" w:space="0"/>
              <w:right w:val="single" w:color="auto" w:sz="4" w:space="0"/>
            </w:tcBorders>
            <w:vAlign w:val="center"/>
          </w:tcPr>
          <w:p>
            <w:pPr>
              <w:jc w:val="center"/>
              <w:textAlignment w:val="center"/>
              <w:rPr>
                <w:bCs/>
                <w:szCs w:val="21"/>
              </w:rPr>
            </w:pPr>
            <w:r>
              <w:rPr>
                <w:bCs/>
                <w:color w:val="000000"/>
                <w:szCs w:val="21"/>
                <w:lang w:val="fr-FR"/>
              </w:rPr>
              <w:t>0.1806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601" w:type="pct"/>
            <w:vMerge w:val="continue"/>
            <w:tcMar>
              <w:top w:w="85" w:type="dxa"/>
              <w:bottom w:w="85" w:type="dxa"/>
            </w:tcMar>
            <w:vAlign w:val="center"/>
          </w:tcPr>
          <w:p>
            <w:pPr>
              <w:widowControl/>
              <w:jc w:val="center"/>
              <w:rPr>
                <w:bCs/>
                <w:szCs w:val="21"/>
              </w:rPr>
            </w:pPr>
          </w:p>
        </w:tc>
        <w:tc>
          <w:tcPr>
            <w:tcW w:w="1346" w:type="pct"/>
            <w:tcMar>
              <w:top w:w="85" w:type="dxa"/>
              <w:bottom w:w="85" w:type="dxa"/>
            </w:tcMar>
          </w:tcPr>
          <w:p>
            <w:pPr>
              <w:jc w:val="center"/>
              <w:rPr>
                <w:bCs/>
                <w:szCs w:val="21"/>
              </w:rPr>
            </w:pPr>
            <w:r>
              <w:rPr>
                <w:bCs/>
                <w:szCs w:val="21"/>
              </w:rPr>
              <w:t>硫化氢</w:t>
            </w:r>
          </w:p>
        </w:tc>
        <w:tc>
          <w:tcPr>
            <w:tcW w:w="1464" w:type="pct"/>
            <w:tcBorders>
              <w:left w:val="single" w:color="auto" w:sz="4" w:space="0"/>
              <w:right w:val="single" w:color="auto" w:sz="4" w:space="0"/>
            </w:tcBorders>
            <w:vAlign w:val="center"/>
          </w:tcPr>
          <w:p>
            <w:pPr>
              <w:jc w:val="center"/>
              <w:rPr>
                <w:bCs/>
                <w:szCs w:val="21"/>
              </w:rPr>
            </w:pPr>
            <w:r>
              <w:rPr>
                <w:bCs/>
                <w:color w:val="000000"/>
                <w:szCs w:val="21"/>
                <w:lang w:val="fr-FR"/>
              </w:rPr>
              <w:t>0.0069</w:t>
            </w:r>
          </w:p>
        </w:tc>
        <w:tc>
          <w:tcPr>
            <w:tcW w:w="1589" w:type="pct"/>
            <w:tcBorders>
              <w:left w:val="single" w:color="auto" w:sz="4" w:space="0"/>
              <w:right w:val="single" w:color="auto" w:sz="4" w:space="0"/>
            </w:tcBorders>
            <w:vAlign w:val="center"/>
          </w:tcPr>
          <w:p>
            <w:pPr>
              <w:jc w:val="center"/>
              <w:textAlignment w:val="center"/>
              <w:rPr>
                <w:bCs/>
                <w:szCs w:val="21"/>
              </w:rPr>
            </w:pPr>
            <w:r>
              <w:rPr>
                <w:bCs/>
                <w:color w:val="000000"/>
                <w:szCs w:val="21"/>
                <w:lang w:val="fr-FR"/>
              </w:rPr>
              <w:t>0.0069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01" w:type="pct"/>
            <w:vMerge w:val="restart"/>
            <w:tcMar>
              <w:top w:w="85" w:type="dxa"/>
              <w:bottom w:w="85" w:type="dxa"/>
            </w:tcMar>
            <w:vAlign w:val="center"/>
          </w:tcPr>
          <w:p>
            <w:pPr>
              <w:widowControl/>
              <w:jc w:val="center"/>
              <w:rPr>
                <w:bCs/>
                <w:szCs w:val="21"/>
              </w:rPr>
            </w:pPr>
            <w:r>
              <w:rPr>
                <w:bCs/>
                <w:szCs w:val="21"/>
              </w:rPr>
              <w:t>废水</w:t>
            </w:r>
          </w:p>
        </w:tc>
        <w:tc>
          <w:tcPr>
            <w:tcW w:w="1346" w:type="pct"/>
            <w:tcMar>
              <w:top w:w="85" w:type="dxa"/>
              <w:bottom w:w="85" w:type="dxa"/>
            </w:tcMar>
            <w:vAlign w:val="center"/>
          </w:tcPr>
          <w:p>
            <w:pPr>
              <w:widowControl/>
              <w:jc w:val="center"/>
              <w:rPr>
                <w:bCs/>
                <w:szCs w:val="21"/>
              </w:rPr>
            </w:pPr>
            <w:r>
              <w:rPr>
                <w:bCs/>
                <w:szCs w:val="21"/>
              </w:rPr>
              <w:t>废水量（万m</w:t>
            </w:r>
            <w:r>
              <w:rPr>
                <w:bCs/>
                <w:szCs w:val="21"/>
                <w:vertAlign w:val="superscript"/>
              </w:rPr>
              <w:t>3</w:t>
            </w:r>
            <w:r>
              <w:rPr>
                <w:bCs/>
                <w:szCs w:val="21"/>
              </w:rPr>
              <w:t>/a）</w:t>
            </w:r>
          </w:p>
        </w:tc>
        <w:tc>
          <w:tcPr>
            <w:tcW w:w="1464" w:type="pct"/>
            <w:tcBorders>
              <w:left w:val="single" w:color="auto" w:sz="4" w:space="0"/>
              <w:right w:val="single" w:color="auto" w:sz="4" w:space="0"/>
            </w:tcBorders>
            <w:vAlign w:val="center"/>
          </w:tcPr>
          <w:p>
            <w:pPr>
              <w:jc w:val="center"/>
              <w:rPr>
                <w:bCs/>
                <w:szCs w:val="21"/>
              </w:rPr>
            </w:pPr>
            <w:r>
              <w:rPr>
                <w:rFonts w:hint="eastAsia"/>
                <w:szCs w:val="21"/>
              </w:rPr>
              <w:t>60</w:t>
            </w:r>
          </w:p>
        </w:tc>
        <w:tc>
          <w:tcPr>
            <w:tcW w:w="1589" w:type="pct"/>
            <w:tcBorders>
              <w:left w:val="single" w:color="auto" w:sz="4" w:space="0"/>
              <w:right w:val="single" w:color="auto" w:sz="4" w:space="0"/>
            </w:tcBorders>
            <w:vAlign w:val="center"/>
          </w:tcPr>
          <w:p>
            <w:pPr>
              <w:widowControl/>
              <w:jc w:val="center"/>
              <w:rPr>
                <w:bCs/>
                <w:szCs w:val="21"/>
              </w:rPr>
            </w:pPr>
            <w:r>
              <w:rPr>
                <w:rFonts w:hint="eastAsia"/>
                <w:szCs w:val="21"/>
              </w:rPr>
              <w:t>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01" w:type="pct"/>
            <w:vMerge w:val="continue"/>
            <w:tcMar>
              <w:top w:w="85" w:type="dxa"/>
              <w:bottom w:w="85" w:type="dxa"/>
            </w:tcMar>
            <w:vAlign w:val="center"/>
          </w:tcPr>
          <w:p>
            <w:pPr>
              <w:widowControl/>
              <w:jc w:val="center"/>
              <w:rPr>
                <w:bCs/>
                <w:szCs w:val="21"/>
              </w:rPr>
            </w:pPr>
          </w:p>
        </w:tc>
        <w:tc>
          <w:tcPr>
            <w:tcW w:w="1346" w:type="pct"/>
            <w:tcMar>
              <w:top w:w="85" w:type="dxa"/>
              <w:bottom w:w="85" w:type="dxa"/>
            </w:tcMar>
            <w:vAlign w:val="center"/>
          </w:tcPr>
          <w:p>
            <w:pPr>
              <w:widowControl/>
              <w:jc w:val="center"/>
              <w:rPr>
                <w:bCs/>
                <w:szCs w:val="21"/>
              </w:rPr>
            </w:pPr>
            <w:r>
              <w:rPr>
                <w:bCs/>
                <w:szCs w:val="21"/>
              </w:rPr>
              <w:t>COD</w:t>
            </w:r>
          </w:p>
        </w:tc>
        <w:tc>
          <w:tcPr>
            <w:tcW w:w="1464" w:type="pct"/>
            <w:tcBorders>
              <w:left w:val="single" w:color="auto" w:sz="4" w:space="0"/>
              <w:right w:val="single" w:color="auto" w:sz="4" w:space="0"/>
            </w:tcBorders>
            <w:vAlign w:val="center"/>
          </w:tcPr>
          <w:p>
            <w:pPr>
              <w:jc w:val="center"/>
              <w:rPr>
                <w:bCs/>
                <w:szCs w:val="21"/>
              </w:rPr>
            </w:pPr>
            <w:r>
              <w:rPr>
                <w:rFonts w:hint="eastAsia"/>
                <w:szCs w:val="21"/>
              </w:rPr>
              <w:t>44.1</w:t>
            </w:r>
          </w:p>
        </w:tc>
        <w:tc>
          <w:tcPr>
            <w:tcW w:w="1589" w:type="pct"/>
            <w:tcBorders>
              <w:left w:val="single" w:color="auto" w:sz="4" w:space="0"/>
              <w:right w:val="single" w:color="auto" w:sz="4" w:space="0"/>
            </w:tcBorders>
            <w:vAlign w:val="center"/>
          </w:tcPr>
          <w:p>
            <w:pPr>
              <w:jc w:val="center"/>
              <w:rPr>
                <w:bCs/>
                <w:szCs w:val="21"/>
              </w:rPr>
            </w:pPr>
            <w:r>
              <w:rPr>
                <w:szCs w:val="21"/>
              </w:rPr>
              <w:t>2</w:t>
            </w:r>
            <w:r>
              <w:rPr>
                <w:rFonts w:hint="eastAsia"/>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01" w:type="pct"/>
            <w:vMerge w:val="continue"/>
            <w:tcMar>
              <w:top w:w="85" w:type="dxa"/>
              <w:bottom w:w="85" w:type="dxa"/>
            </w:tcMar>
            <w:vAlign w:val="center"/>
          </w:tcPr>
          <w:p>
            <w:pPr>
              <w:widowControl/>
              <w:jc w:val="center"/>
              <w:rPr>
                <w:bCs/>
                <w:szCs w:val="21"/>
              </w:rPr>
            </w:pPr>
          </w:p>
        </w:tc>
        <w:tc>
          <w:tcPr>
            <w:tcW w:w="1346" w:type="pct"/>
            <w:tcMar>
              <w:top w:w="85" w:type="dxa"/>
              <w:bottom w:w="85" w:type="dxa"/>
            </w:tcMar>
            <w:vAlign w:val="center"/>
          </w:tcPr>
          <w:p>
            <w:pPr>
              <w:widowControl/>
              <w:jc w:val="center"/>
              <w:rPr>
                <w:bCs/>
                <w:szCs w:val="21"/>
              </w:rPr>
            </w:pPr>
            <w:r>
              <w:rPr>
                <w:bCs/>
                <w:szCs w:val="21"/>
              </w:rPr>
              <w:t>氨氮</w:t>
            </w:r>
          </w:p>
        </w:tc>
        <w:tc>
          <w:tcPr>
            <w:tcW w:w="1464" w:type="pct"/>
            <w:tcBorders>
              <w:left w:val="single" w:color="auto" w:sz="4" w:space="0"/>
              <w:right w:val="single" w:color="auto" w:sz="4" w:space="0"/>
            </w:tcBorders>
            <w:vAlign w:val="center"/>
          </w:tcPr>
          <w:p>
            <w:pPr>
              <w:jc w:val="center"/>
              <w:rPr>
                <w:bCs/>
                <w:szCs w:val="21"/>
              </w:rPr>
            </w:pPr>
            <w:r>
              <w:rPr>
                <w:szCs w:val="21"/>
              </w:rPr>
              <w:t>1</w:t>
            </w:r>
            <w:r>
              <w:rPr>
                <w:rFonts w:hint="eastAsia"/>
                <w:szCs w:val="21"/>
              </w:rPr>
              <w:t>1.76</w:t>
            </w:r>
          </w:p>
        </w:tc>
        <w:tc>
          <w:tcPr>
            <w:tcW w:w="1589" w:type="pct"/>
            <w:tcBorders>
              <w:left w:val="single" w:color="auto" w:sz="4" w:space="0"/>
              <w:right w:val="single" w:color="auto" w:sz="4" w:space="0"/>
            </w:tcBorders>
            <w:vAlign w:val="center"/>
          </w:tcPr>
          <w:p>
            <w:pPr>
              <w:jc w:val="center"/>
              <w:rPr>
                <w:bCs/>
                <w:szCs w:val="21"/>
              </w:rPr>
            </w:pPr>
            <w:r>
              <w:rPr>
                <w:rFonts w:hint="eastAsia"/>
                <w:szCs w:val="21"/>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01" w:type="pct"/>
            <w:vMerge w:val="continue"/>
            <w:tcMar>
              <w:top w:w="85" w:type="dxa"/>
              <w:bottom w:w="85" w:type="dxa"/>
            </w:tcMar>
            <w:vAlign w:val="center"/>
          </w:tcPr>
          <w:p>
            <w:pPr>
              <w:widowControl/>
              <w:jc w:val="center"/>
              <w:rPr>
                <w:bCs/>
                <w:szCs w:val="21"/>
              </w:rPr>
            </w:pPr>
          </w:p>
        </w:tc>
        <w:tc>
          <w:tcPr>
            <w:tcW w:w="1346" w:type="pct"/>
            <w:tcMar>
              <w:top w:w="85" w:type="dxa"/>
              <w:bottom w:w="85" w:type="dxa"/>
            </w:tcMar>
            <w:vAlign w:val="center"/>
          </w:tcPr>
          <w:p>
            <w:pPr>
              <w:widowControl/>
              <w:jc w:val="center"/>
              <w:rPr>
                <w:bCs/>
                <w:szCs w:val="21"/>
              </w:rPr>
            </w:pPr>
            <w:r>
              <w:rPr>
                <w:bCs/>
                <w:szCs w:val="21"/>
              </w:rPr>
              <w:t>总氮</w:t>
            </w:r>
          </w:p>
        </w:tc>
        <w:tc>
          <w:tcPr>
            <w:tcW w:w="1464" w:type="pct"/>
            <w:tcBorders>
              <w:left w:val="single" w:color="auto" w:sz="4" w:space="0"/>
              <w:right w:val="single" w:color="auto" w:sz="4" w:space="0"/>
            </w:tcBorders>
            <w:vAlign w:val="center"/>
          </w:tcPr>
          <w:p>
            <w:pPr>
              <w:jc w:val="center"/>
              <w:rPr>
                <w:bCs/>
                <w:szCs w:val="21"/>
              </w:rPr>
            </w:pPr>
            <w:r>
              <w:rPr>
                <w:szCs w:val="21"/>
              </w:rPr>
              <w:t>2</w:t>
            </w:r>
            <w:r>
              <w:rPr>
                <w:rFonts w:hint="eastAsia"/>
                <w:szCs w:val="21"/>
              </w:rPr>
              <w:t>1.42</w:t>
            </w:r>
          </w:p>
        </w:tc>
        <w:tc>
          <w:tcPr>
            <w:tcW w:w="1589" w:type="pct"/>
            <w:tcBorders>
              <w:left w:val="single" w:color="auto" w:sz="4" w:space="0"/>
              <w:right w:val="single" w:color="auto" w:sz="4" w:space="0"/>
            </w:tcBorders>
            <w:vAlign w:val="center"/>
          </w:tcPr>
          <w:p>
            <w:pPr>
              <w:jc w:val="center"/>
              <w:rPr>
                <w:bCs/>
                <w:szCs w:val="21"/>
              </w:rPr>
            </w:pPr>
            <w:r>
              <w:rPr>
                <w:rFonts w:hint="eastAsia"/>
                <w:szCs w:val="21"/>
              </w:rPr>
              <w:t>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01" w:type="pct"/>
            <w:vMerge w:val="continue"/>
            <w:tcMar>
              <w:top w:w="85" w:type="dxa"/>
              <w:bottom w:w="85" w:type="dxa"/>
            </w:tcMar>
            <w:vAlign w:val="center"/>
          </w:tcPr>
          <w:p>
            <w:pPr>
              <w:widowControl/>
              <w:jc w:val="center"/>
              <w:rPr>
                <w:bCs/>
                <w:szCs w:val="21"/>
              </w:rPr>
            </w:pPr>
          </w:p>
        </w:tc>
        <w:tc>
          <w:tcPr>
            <w:tcW w:w="1346" w:type="pct"/>
            <w:tcMar>
              <w:top w:w="85" w:type="dxa"/>
              <w:bottom w:w="85" w:type="dxa"/>
            </w:tcMar>
            <w:vAlign w:val="center"/>
          </w:tcPr>
          <w:p>
            <w:pPr>
              <w:widowControl/>
              <w:jc w:val="center"/>
              <w:rPr>
                <w:bCs/>
                <w:szCs w:val="21"/>
              </w:rPr>
            </w:pPr>
            <w:r>
              <w:rPr>
                <w:bCs/>
                <w:szCs w:val="21"/>
              </w:rPr>
              <w:t>总磷</w:t>
            </w:r>
          </w:p>
        </w:tc>
        <w:tc>
          <w:tcPr>
            <w:tcW w:w="1464" w:type="pct"/>
            <w:tcBorders>
              <w:left w:val="single" w:color="auto" w:sz="4" w:space="0"/>
              <w:right w:val="single" w:color="auto" w:sz="4" w:space="0"/>
            </w:tcBorders>
            <w:vAlign w:val="center"/>
          </w:tcPr>
          <w:p>
            <w:pPr>
              <w:jc w:val="center"/>
              <w:rPr>
                <w:bCs/>
                <w:szCs w:val="21"/>
              </w:rPr>
            </w:pPr>
            <w:r>
              <w:rPr>
                <w:szCs w:val="21"/>
              </w:rPr>
              <w:t>0.</w:t>
            </w:r>
            <w:r>
              <w:rPr>
                <w:rFonts w:hint="eastAsia"/>
                <w:szCs w:val="21"/>
              </w:rPr>
              <w:t>48</w:t>
            </w:r>
          </w:p>
        </w:tc>
        <w:tc>
          <w:tcPr>
            <w:tcW w:w="1589" w:type="pct"/>
            <w:tcBorders>
              <w:left w:val="single" w:color="auto" w:sz="4" w:space="0"/>
              <w:right w:val="single" w:color="auto" w:sz="4" w:space="0"/>
            </w:tcBorders>
            <w:vAlign w:val="center"/>
          </w:tcPr>
          <w:p>
            <w:pPr>
              <w:jc w:val="center"/>
              <w:rPr>
                <w:bCs/>
                <w:szCs w:val="21"/>
              </w:rPr>
            </w:pPr>
            <w:r>
              <w:rPr>
                <w:szCs w:val="21"/>
              </w:rPr>
              <w:t>0.2</w:t>
            </w:r>
            <w:r>
              <w:rPr>
                <w:rFonts w:hint="eastAsia"/>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01" w:type="pct"/>
            <w:tcBorders>
              <w:top w:val="single" w:color="auto" w:sz="4" w:space="0"/>
            </w:tcBorders>
            <w:tcMar>
              <w:top w:w="85" w:type="dxa"/>
              <w:bottom w:w="85" w:type="dxa"/>
            </w:tcMar>
            <w:vAlign w:val="center"/>
          </w:tcPr>
          <w:p>
            <w:pPr>
              <w:widowControl/>
              <w:jc w:val="center"/>
              <w:rPr>
                <w:bCs/>
                <w:szCs w:val="21"/>
              </w:rPr>
            </w:pPr>
            <w:r>
              <w:rPr>
                <w:bCs/>
                <w:szCs w:val="21"/>
              </w:rPr>
              <w:t>固废</w:t>
            </w:r>
          </w:p>
        </w:tc>
        <w:tc>
          <w:tcPr>
            <w:tcW w:w="1346" w:type="pct"/>
            <w:tcBorders>
              <w:top w:val="single" w:color="auto" w:sz="4" w:space="0"/>
              <w:bottom w:val="single" w:color="auto" w:sz="4" w:space="0"/>
            </w:tcBorders>
            <w:tcMar>
              <w:top w:w="85" w:type="dxa"/>
              <w:bottom w:w="85" w:type="dxa"/>
            </w:tcMar>
            <w:vAlign w:val="center"/>
          </w:tcPr>
          <w:p>
            <w:pPr>
              <w:widowControl/>
              <w:jc w:val="center"/>
              <w:rPr>
                <w:bCs/>
                <w:szCs w:val="21"/>
              </w:rPr>
            </w:pPr>
            <w:r>
              <w:rPr>
                <w:bCs/>
                <w:szCs w:val="21"/>
              </w:rPr>
              <w:t>一般固废</w:t>
            </w:r>
          </w:p>
        </w:tc>
        <w:tc>
          <w:tcPr>
            <w:tcW w:w="1464" w:type="pct"/>
            <w:tcBorders>
              <w:left w:val="single" w:color="auto" w:sz="4" w:space="0"/>
              <w:right w:val="single" w:color="auto" w:sz="4" w:space="0"/>
            </w:tcBorders>
            <w:vAlign w:val="center"/>
          </w:tcPr>
          <w:p>
            <w:pPr>
              <w:jc w:val="center"/>
              <w:rPr>
                <w:bCs/>
                <w:szCs w:val="21"/>
              </w:rPr>
            </w:pPr>
            <w:r>
              <w:rPr>
                <w:bCs/>
                <w:szCs w:val="21"/>
              </w:rPr>
              <w:t>0</w:t>
            </w:r>
          </w:p>
        </w:tc>
        <w:tc>
          <w:tcPr>
            <w:tcW w:w="1589" w:type="pct"/>
            <w:tcBorders>
              <w:left w:val="single" w:color="auto" w:sz="4" w:space="0"/>
              <w:right w:val="single" w:color="auto" w:sz="4" w:space="0"/>
            </w:tcBorders>
            <w:vAlign w:val="center"/>
          </w:tcPr>
          <w:p>
            <w:pPr>
              <w:jc w:val="center"/>
              <w:textAlignment w:val="center"/>
              <w:rPr>
                <w:bCs/>
                <w:szCs w:val="21"/>
              </w:rPr>
            </w:pPr>
            <w:r>
              <w:rPr>
                <w:bCs/>
                <w:szCs w:val="21"/>
              </w:rPr>
              <w:t>0</w:t>
            </w:r>
          </w:p>
        </w:tc>
      </w:tr>
    </w:tbl>
    <w:p>
      <w:pPr>
        <w:keepNext/>
        <w:keepLines/>
        <w:spacing w:line="360" w:lineRule="auto"/>
        <w:outlineLvl w:val="2"/>
        <w:rPr>
          <w:rFonts w:eastAsia="黑体"/>
          <w:bCs/>
          <w:sz w:val="28"/>
          <w:szCs w:val="28"/>
        </w:rPr>
      </w:pPr>
      <w:r>
        <w:rPr>
          <w:rFonts w:eastAsia="黑体"/>
          <w:bCs/>
          <w:sz w:val="28"/>
          <w:szCs w:val="28"/>
        </w:rPr>
        <w:t>9.5.2工程污染物排放总量控制建议指标</w:t>
      </w:r>
    </w:p>
    <w:p>
      <w:pPr>
        <w:spacing w:line="520" w:lineRule="exact"/>
        <w:ind w:firstLine="480" w:firstLineChars="200"/>
        <w:rPr>
          <w:bCs/>
          <w:sz w:val="24"/>
        </w:rPr>
      </w:pPr>
      <w:r>
        <w:rPr>
          <w:bCs/>
          <w:sz w:val="24"/>
        </w:rPr>
        <w:t>本项目废水污染物排放总量控制建议指标按照排入环境量计算。</w:t>
      </w:r>
    </w:p>
    <w:p>
      <w:pPr>
        <w:spacing w:line="520" w:lineRule="exact"/>
        <w:ind w:firstLine="480" w:firstLineChars="200"/>
        <w:rPr>
          <w:rFonts w:eastAsia="黑体"/>
          <w:bCs/>
          <w:sz w:val="24"/>
          <w:szCs w:val="24"/>
        </w:rPr>
      </w:pPr>
      <w:r>
        <w:rPr>
          <w:rFonts w:eastAsia="黑体"/>
          <w:bCs/>
          <w:sz w:val="24"/>
          <w:szCs w:val="24"/>
        </w:rPr>
        <w:t>表9.5-2             污染物排放总量控制建议指标</w:t>
      </w:r>
    </w:p>
    <w:tbl>
      <w:tblPr>
        <w:tblStyle w:val="49"/>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00"/>
        <w:gridCol w:w="3544"/>
        <w:gridCol w:w="43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596" w:type="pct"/>
            <w:gridSpan w:val="2"/>
            <w:tcMar>
              <w:top w:w="85" w:type="dxa"/>
              <w:bottom w:w="85" w:type="dxa"/>
            </w:tcMar>
            <w:vAlign w:val="center"/>
          </w:tcPr>
          <w:p>
            <w:pPr>
              <w:widowControl/>
              <w:jc w:val="center"/>
              <w:rPr>
                <w:b/>
                <w:szCs w:val="21"/>
              </w:rPr>
            </w:pPr>
            <w:r>
              <w:rPr>
                <w:b/>
                <w:szCs w:val="21"/>
              </w:rPr>
              <w:t>污染物名称</w:t>
            </w:r>
          </w:p>
        </w:tc>
        <w:tc>
          <w:tcPr>
            <w:tcW w:w="2404" w:type="pct"/>
            <w:tcMar>
              <w:top w:w="85" w:type="dxa"/>
              <w:bottom w:w="85" w:type="dxa"/>
            </w:tcMar>
            <w:vAlign w:val="center"/>
          </w:tcPr>
          <w:p>
            <w:pPr>
              <w:widowControl/>
              <w:jc w:val="center"/>
              <w:rPr>
                <w:b/>
                <w:szCs w:val="21"/>
              </w:rPr>
            </w:pPr>
            <w:r>
              <w:rPr>
                <w:b/>
                <w:szCs w:val="21"/>
              </w:rPr>
              <w:t>本项目排放量（t/a）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0" w:hRule="atLeast"/>
          <w:jc w:val="center"/>
        </w:trPr>
        <w:tc>
          <w:tcPr>
            <w:tcW w:w="615" w:type="pct"/>
            <w:vMerge w:val="restart"/>
            <w:tcMar>
              <w:top w:w="85" w:type="dxa"/>
              <w:bottom w:w="85" w:type="dxa"/>
            </w:tcMar>
            <w:vAlign w:val="center"/>
          </w:tcPr>
          <w:p>
            <w:pPr>
              <w:widowControl/>
              <w:jc w:val="center"/>
              <w:rPr>
                <w:bCs/>
                <w:szCs w:val="21"/>
              </w:rPr>
            </w:pPr>
            <w:r>
              <w:rPr>
                <w:bCs/>
                <w:szCs w:val="21"/>
              </w:rPr>
              <w:t>废水</w:t>
            </w:r>
          </w:p>
        </w:tc>
        <w:tc>
          <w:tcPr>
            <w:tcW w:w="1981" w:type="pct"/>
            <w:tcMar>
              <w:top w:w="85" w:type="dxa"/>
              <w:bottom w:w="85" w:type="dxa"/>
            </w:tcMar>
            <w:vAlign w:val="center"/>
          </w:tcPr>
          <w:p>
            <w:pPr>
              <w:widowControl/>
              <w:jc w:val="center"/>
              <w:rPr>
                <w:bCs/>
                <w:szCs w:val="21"/>
              </w:rPr>
            </w:pPr>
            <w:r>
              <w:rPr>
                <w:bCs/>
                <w:szCs w:val="21"/>
              </w:rPr>
              <w:t>COD</w:t>
            </w:r>
          </w:p>
        </w:tc>
        <w:tc>
          <w:tcPr>
            <w:tcW w:w="2404" w:type="pct"/>
            <w:tcMar>
              <w:top w:w="85" w:type="dxa"/>
              <w:bottom w:w="85" w:type="dxa"/>
            </w:tcMar>
            <w:vAlign w:val="center"/>
          </w:tcPr>
          <w:p>
            <w:pPr>
              <w:widowControl/>
              <w:jc w:val="center"/>
              <w:rPr>
                <w:bCs/>
                <w:szCs w:val="21"/>
              </w:rPr>
            </w:pPr>
            <w:r>
              <w:rPr>
                <w:sz w:val="22"/>
              </w:rPr>
              <w:t>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15" w:type="pct"/>
            <w:vMerge w:val="continue"/>
            <w:tcMar>
              <w:top w:w="85" w:type="dxa"/>
              <w:bottom w:w="85" w:type="dxa"/>
            </w:tcMar>
            <w:vAlign w:val="center"/>
          </w:tcPr>
          <w:p>
            <w:pPr>
              <w:widowControl/>
              <w:jc w:val="center"/>
              <w:rPr>
                <w:bCs/>
                <w:szCs w:val="21"/>
              </w:rPr>
            </w:pPr>
          </w:p>
        </w:tc>
        <w:tc>
          <w:tcPr>
            <w:tcW w:w="1981" w:type="pct"/>
            <w:tcMar>
              <w:top w:w="85" w:type="dxa"/>
              <w:bottom w:w="85" w:type="dxa"/>
            </w:tcMar>
            <w:vAlign w:val="center"/>
          </w:tcPr>
          <w:p>
            <w:pPr>
              <w:widowControl/>
              <w:jc w:val="center"/>
              <w:rPr>
                <w:bCs/>
                <w:szCs w:val="21"/>
              </w:rPr>
            </w:pPr>
            <w:r>
              <w:rPr>
                <w:bCs/>
                <w:szCs w:val="21"/>
              </w:rPr>
              <w:t>氨氮</w:t>
            </w:r>
          </w:p>
        </w:tc>
        <w:tc>
          <w:tcPr>
            <w:tcW w:w="2404" w:type="pct"/>
            <w:tcMar>
              <w:top w:w="85" w:type="dxa"/>
              <w:bottom w:w="85" w:type="dxa"/>
            </w:tcMar>
            <w:vAlign w:val="center"/>
          </w:tcPr>
          <w:p>
            <w:pPr>
              <w:widowControl/>
              <w:jc w:val="center"/>
              <w:rPr>
                <w:bCs/>
                <w:szCs w:val="21"/>
              </w:rPr>
            </w:pPr>
            <w:r>
              <w:rPr>
                <w:szCs w:val="21"/>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15" w:type="pct"/>
            <w:vMerge w:val="continue"/>
            <w:tcMar>
              <w:top w:w="85" w:type="dxa"/>
              <w:bottom w:w="85" w:type="dxa"/>
            </w:tcMar>
            <w:vAlign w:val="center"/>
          </w:tcPr>
          <w:p>
            <w:pPr>
              <w:widowControl/>
              <w:jc w:val="center"/>
              <w:rPr>
                <w:bCs/>
                <w:szCs w:val="21"/>
              </w:rPr>
            </w:pPr>
          </w:p>
        </w:tc>
        <w:tc>
          <w:tcPr>
            <w:tcW w:w="1981" w:type="pct"/>
            <w:tcMar>
              <w:top w:w="85" w:type="dxa"/>
              <w:bottom w:w="85" w:type="dxa"/>
            </w:tcMar>
            <w:vAlign w:val="center"/>
          </w:tcPr>
          <w:p>
            <w:pPr>
              <w:widowControl/>
              <w:jc w:val="center"/>
              <w:rPr>
                <w:bCs/>
                <w:szCs w:val="21"/>
              </w:rPr>
            </w:pPr>
            <w:r>
              <w:rPr>
                <w:bCs/>
                <w:szCs w:val="21"/>
              </w:rPr>
              <w:t>总氮</w:t>
            </w:r>
          </w:p>
        </w:tc>
        <w:tc>
          <w:tcPr>
            <w:tcW w:w="2404" w:type="pct"/>
            <w:tcMar>
              <w:top w:w="85" w:type="dxa"/>
              <w:bottom w:w="85" w:type="dxa"/>
            </w:tcMar>
            <w:vAlign w:val="center"/>
          </w:tcPr>
          <w:p>
            <w:pPr>
              <w:widowControl/>
              <w:jc w:val="center"/>
              <w:rPr>
                <w:bCs/>
                <w:szCs w:val="21"/>
              </w:rPr>
            </w:pPr>
            <w:r>
              <w:rPr>
                <w:szCs w:val="21"/>
              </w:rPr>
              <w:t>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615" w:type="pct"/>
            <w:vMerge w:val="continue"/>
            <w:tcMar>
              <w:top w:w="85" w:type="dxa"/>
              <w:bottom w:w="85" w:type="dxa"/>
            </w:tcMar>
            <w:vAlign w:val="center"/>
          </w:tcPr>
          <w:p>
            <w:pPr>
              <w:widowControl/>
              <w:jc w:val="center"/>
              <w:rPr>
                <w:bCs/>
                <w:szCs w:val="21"/>
              </w:rPr>
            </w:pPr>
          </w:p>
        </w:tc>
        <w:tc>
          <w:tcPr>
            <w:tcW w:w="1981" w:type="pct"/>
            <w:tcMar>
              <w:top w:w="85" w:type="dxa"/>
              <w:bottom w:w="85" w:type="dxa"/>
            </w:tcMar>
            <w:vAlign w:val="center"/>
          </w:tcPr>
          <w:p>
            <w:pPr>
              <w:widowControl/>
              <w:jc w:val="center"/>
              <w:rPr>
                <w:bCs/>
                <w:szCs w:val="21"/>
              </w:rPr>
            </w:pPr>
            <w:r>
              <w:rPr>
                <w:bCs/>
                <w:szCs w:val="21"/>
              </w:rPr>
              <w:t>总磷</w:t>
            </w:r>
          </w:p>
        </w:tc>
        <w:tc>
          <w:tcPr>
            <w:tcW w:w="2404" w:type="pct"/>
            <w:tcMar>
              <w:top w:w="85" w:type="dxa"/>
              <w:bottom w:w="85" w:type="dxa"/>
            </w:tcMar>
            <w:vAlign w:val="center"/>
          </w:tcPr>
          <w:p>
            <w:pPr>
              <w:widowControl/>
              <w:jc w:val="center"/>
              <w:rPr>
                <w:bCs/>
                <w:szCs w:val="21"/>
              </w:rPr>
            </w:pPr>
            <w:r>
              <w:rPr>
                <w:szCs w:val="21"/>
              </w:rPr>
              <w:t>0.24</w:t>
            </w:r>
          </w:p>
        </w:tc>
      </w:tr>
    </w:tbl>
    <w:p>
      <w:pPr>
        <w:spacing w:line="520" w:lineRule="exact"/>
        <w:ind w:firstLine="480" w:firstLineChars="200"/>
        <w:rPr>
          <w:sz w:val="24"/>
        </w:rPr>
      </w:pPr>
      <w:r>
        <w:rPr>
          <w:sz w:val="24"/>
        </w:rPr>
        <w:t>根据《新乡市生态环境局关于转发&lt;河南省生态环境厅关于印发建设项目主要污染物排放总量指标管理工作内部规程的通知&gt;的通知》，建设项目环境影响评价文件中应明确建设项目主要污染物排放总量及替代方案。</w:t>
      </w:r>
    </w:p>
    <w:p>
      <w:pPr>
        <w:spacing w:line="520" w:lineRule="exact"/>
        <w:ind w:firstLine="480" w:firstLineChars="200"/>
        <w:rPr>
          <w:sz w:val="24"/>
        </w:rPr>
      </w:pPr>
      <w:r>
        <w:rPr>
          <w:rFonts w:hint="eastAsia"/>
          <w:sz w:val="24"/>
        </w:rPr>
        <w:t xml:space="preserve">根据上表可知，本项目新增污染物COD </w:t>
      </w:r>
      <w:r>
        <w:rPr>
          <w:sz w:val="24"/>
        </w:rPr>
        <w:t>24</w:t>
      </w:r>
      <w:r>
        <w:rPr>
          <w:rFonts w:hint="eastAsia"/>
          <w:sz w:val="24"/>
        </w:rPr>
        <w:t>t/a、氨氮</w:t>
      </w:r>
      <w:r>
        <w:rPr>
          <w:sz w:val="24"/>
        </w:rPr>
        <w:t>1.2</w:t>
      </w:r>
      <w:r>
        <w:rPr>
          <w:rFonts w:hint="eastAsia"/>
          <w:sz w:val="24"/>
        </w:rPr>
        <w:t>t/a需要</w:t>
      </w:r>
      <w:r>
        <w:rPr>
          <w:sz w:val="24"/>
        </w:rPr>
        <w:t>区域内</w:t>
      </w:r>
      <w:r>
        <w:rPr>
          <w:rFonts w:hint="eastAsia"/>
          <w:sz w:val="24"/>
        </w:rPr>
        <w:t>进行等量</w:t>
      </w:r>
      <w:r>
        <w:rPr>
          <w:sz w:val="24"/>
        </w:rPr>
        <w:t>替代</w:t>
      </w:r>
      <w:r>
        <w:rPr>
          <w:rFonts w:hint="eastAsia"/>
          <w:sz w:val="24"/>
        </w:rPr>
        <w:t>，总量替代来自原阳县产业集聚区污水处理厂进水量增加产生的减排量剩余量COD 586.5231t、氨氮 39.6325t。</w:t>
      </w:r>
    </w:p>
    <w:p>
      <w:pPr>
        <w:widowControl/>
        <w:shd w:val="clear" w:color="auto" w:fill="FFFFFF"/>
        <w:spacing w:line="520" w:lineRule="exact"/>
        <w:outlineLvl w:val="1"/>
        <w:rPr>
          <w:rFonts w:eastAsia="黑体"/>
          <w:kern w:val="0"/>
          <w:sz w:val="28"/>
          <w:szCs w:val="28"/>
        </w:rPr>
      </w:pPr>
      <w:bookmarkStart w:id="258" w:name="_Toc1737"/>
      <w:r>
        <w:rPr>
          <w:rFonts w:eastAsia="黑体"/>
          <w:kern w:val="0"/>
          <w:sz w:val="28"/>
          <w:szCs w:val="28"/>
        </w:rPr>
        <w:t>9.6排污口标志管理</w:t>
      </w:r>
      <w:bookmarkEnd w:id="258"/>
    </w:p>
    <w:p>
      <w:pPr>
        <w:spacing w:line="520" w:lineRule="exact"/>
        <w:ind w:firstLine="480" w:firstLineChars="200"/>
        <w:rPr>
          <w:sz w:val="24"/>
        </w:rPr>
      </w:pPr>
      <w:r>
        <w:rPr>
          <w:sz w:val="24"/>
        </w:rPr>
        <w:t>根据《环境保护图形标志－排放口（源）》（GB15562.1-1995）、《环境保护图形标志—固体废物贮存（处置）场》（GB15562.2-1995）</w:t>
      </w:r>
      <w:r>
        <w:rPr>
          <w:rFonts w:hint="eastAsia"/>
          <w:sz w:val="24"/>
        </w:rPr>
        <w:t>及其修改单</w:t>
      </w:r>
      <w:r>
        <w:rPr>
          <w:sz w:val="24"/>
        </w:rPr>
        <w:t>标准要求，本项目应在废气、废水排放口、固废贮存场所和噪声排放源分别设置环境保护图形标志牌，便于污染源监督管理及常规监测工作的进行。根据规定要求各排污口（源）提示标志形状采用正方形边框，背景颜色采用绿色，图形颜色采用白色。标志牌应设在与之功能相应的醒目处，并保持清晰、完整。具体标志牌示意详见下图。</w:t>
      </w:r>
    </w:p>
    <w:p>
      <w:pPr>
        <w:jc w:val="center"/>
        <w:rPr>
          <w:highlight w:val="yellow"/>
        </w:rPr>
      </w:pPr>
      <w:r>
        <w:rPr>
          <w:rFonts w:ascii="Calibri" w:hAnsi="Calibri"/>
        </w:rPr>
        <w:drawing>
          <wp:inline distT="0" distB="0" distL="0" distR="0">
            <wp:extent cx="5243195" cy="2392045"/>
            <wp:effectExtent l="12700" t="12700" r="20955" b="14605"/>
            <wp:docPr id="25379346" name="图片 43"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9346" name="图片 43" descr="形状&#10;&#10;描述已自动生成"/>
                    <pic:cNvPicPr>
                      <a:picLocks noChangeAspect="1" noChangeArrowheads="1"/>
                    </pic:cNvPicPr>
                  </pic:nvPicPr>
                  <pic:blipFill>
                    <a:blip r:embed="rId208"/>
                    <a:srcRect/>
                    <a:stretch>
                      <a:fillRect/>
                    </a:stretch>
                  </pic:blipFill>
                  <pic:spPr>
                    <a:xfrm>
                      <a:off x="0" y="0"/>
                      <a:ext cx="5243195" cy="2392045"/>
                    </a:xfrm>
                    <a:prstGeom prst="rect">
                      <a:avLst/>
                    </a:prstGeom>
                    <a:noFill/>
                    <a:ln w="12700" cmpd="sng">
                      <a:solidFill>
                        <a:srgbClr val="000000"/>
                      </a:solidFill>
                      <a:miter lim="800000"/>
                      <a:headEnd/>
                      <a:tailEnd/>
                    </a:ln>
                    <a:effectLst/>
                  </pic:spPr>
                </pic:pic>
              </a:graphicData>
            </a:graphic>
          </wp:inline>
        </w:drawing>
      </w:r>
    </w:p>
    <w:p>
      <w:pPr>
        <w:spacing w:line="520" w:lineRule="exact"/>
        <w:jc w:val="center"/>
        <w:rPr>
          <w:rFonts w:eastAsia="黑体"/>
          <w:bCs/>
          <w:sz w:val="24"/>
          <w:szCs w:val="20"/>
        </w:rPr>
      </w:pPr>
      <w:r>
        <w:rPr>
          <w:rFonts w:eastAsia="黑体"/>
          <w:bCs/>
          <w:sz w:val="24"/>
          <w:szCs w:val="20"/>
        </w:rPr>
        <w:t>图9.6-1环境保护图形</w:t>
      </w:r>
    </w:p>
    <w:p>
      <w:pPr>
        <w:spacing w:line="520" w:lineRule="exact"/>
        <w:ind w:firstLine="480" w:firstLineChars="200"/>
        <w:rPr>
          <w:sz w:val="24"/>
        </w:rPr>
      </w:pPr>
      <w:r>
        <w:rPr>
          <w:sz w:val="24"/>
        </w:rPr>
        <w:t>排污口标志牌设在醒目处，设置高度为上边缘距地面约2m。建议每年对标志牌进行检查和维护一次，确保标志牌清晰完整。</w:t>
      </w: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sectPr>
          <w:footerReference r:id="rId28" w:type="default"/>
          <w:pgSz w:w="11906" w:h="16838"/>
          <w:pgMar w:top="1701" w:right="1588" w:bottom="1701" w:left="1588" w:header="851" w:footer="1134" w:gutter="0"/>
          <w:pgNumType w:start="1"/>
          <w:cols w:space="720" w:num="1"/>
          <w:docGrid w:type="lines" w:linePitch="312" w:charSpace="0"/>
        </w:sectPr>
      </w:pPr>
    </w:p>
    <w:p>
      <w:pPr>
        <w:keepNext/>
        <w:keepLines/>
        <w:tabs>
          <w:tab w:val="left" w:pos="1275"/>
        </w:tabs>
        <w:spacing w:line="520" w:lineRule="exact"/>
        <w:jc w:val="center"/>
        <w:outlineLvl w:val="0"/>
        <w:rPr>
          <w:rFonts w:eastAsia="黑体"/>
          <w:sz w:val="44"/>
          <w:szCs w:val="44"/>
        </w:rPr>
      </w:pPr>
      <w:bookmarkStart w:id="259" w:name="_Toc12361"/>
      <w:r>
        <w:rPr>
          <w:rFonts w:eastAsia="黑体"/>
          <w:bCs/>
          <w:kern w:val="44"/>
          <w:sz w:val="44"/>
          <w:szCs w:val="44"/>
        </w:rPr>
        <w:t>第10章  环境影响评价结论</w:t>
      </w:r>
      <w:bookmarkEnd w:id="259"/>
    </w:p>
    <w:p>
      <w:pPr>
        <w:spacing w:line="520" w:lineRule="exact"/>
        <w:jc w:val="center"/>
        <w:rPr>
          <w:sz w:val="24"/>
          <w:szCs w:val="24"/>
          <w:highlight w:val="yellow"/>
        </w:rPr>
      </w:pPr>
    </w:p>
    <w:p>
      <w:pPr>
        <w:keepNext/>
        <w:keepLines/>
        <w:spacing w:line="520" w:lineRule="exact"/>
        <w:jc w:val="left"/>
        <w:outlineLvl w:val="1"/>
        <w:rPr>
          <w:rFonts w:eastAsia="黑体"/>
          <w:bCs/>
          <w:kern w:val="24"/>
          <w:sz w:val="28"/>
          <w:szCs w:val="20"/>
          <w:lang w:val="zh-CN"/>
        </w:rPr>
      </w:pPr>
      <w:bookmarkStart w:id="260" w:name="_Toc324839669"/>
      <w:bookmarkStart w:id="261" w:name="_Toc28866859"/>
      <w:bookmarkStart w:id="262" w:name="_Toc96679563"/>
      <w:bookmarkStart w:id="263" w:name="_Toc311812696"/>
      <w:bookmarkStart w:id="264" w:name="_Toc324839386"/>
      <w:bookmarkStart w:id="265" w:name="_Toc10431"/>
      <w:r>
        <w:rPr>
          <w:rFonts w:eastAsia="黑体"/>
          <w:bCs/>
          <w:kern w:val="24"/>
          <w:sz w:val="28"/>
          <w:szCs w:val="20"/>
          <w:lang w:val="zh-CN"/>
        </w:rPr>
        <w:t>10.1评价结论</w:t>
      </w:r>
      <w:bookmarkEnd w:id="260"/>
      <w:bookmarkEnd w:id="261"/>
      <w:bookmarkEnd w:id="262"/>
      <w:bookmarkEnd w:id="263"/>
      <w:bookmarkEnd w:id="264"/>
      <w:bookmarkEnd w:id="265"/>
    </w:p>
    <w:p>
      <w:pPr>
        <w:keepNext/>
        <w:keepLines/>
        <w:spacing w:line="520" w:lineRule="exact"/>
        <w:outlineLvl w:val="2"/>
        <w:rPr>
          <w:rFonts w:eastAsia="黑体"/>
          <w:sz w:val="28"/>
          <w:szCs w:val="28"/>
        </w:rPr>
      </w:pPr>
      <w:bookmarkStart w:id="266" w:name="_Toc7939"/>
      <w:r>
        <w:rPr>
          <w:rFonts w:eastAsia="黑体"/>
          <w:sz w:val="28"/>
          <w:szCs w:val="28"/>
        </w:rPr>
        <w:t>10.1.1工程基本情况</w:t>
      </w:r>
    </w:p>
    <w:p>
      <w:pPr>
        <w:autoSpaceDE w:val="0"/>
        <w:autoSpaceDN w:val="0"/>
        <w:adjustRightInd w:val="0"/>
        <w:spacing w:line="520" w:lineRule="exact"/>
        <w:ind w:firstLine="480" w:firstLineChars="200"/>
        <w:jc w:val="left"/>
        <w:rPr>
          <w:kern w:val="0"/>
          <w:sz w:val="24"/>
          <w:szCs w:val="24"/>
        </w:rPr>
      </w:pPr>
      <w:r>
        <w:rPr>
          <w:kern w:val="0"/>
          <w:sz w:val="24"/>
          <w:szCs w:val="24"/>
        </w:rPr>
        <w:t>河南羽佳金门实业有限公司拟投资30000万元在</w:t>
      </w:r>
      <w:r>
        <w:rPr>
          <w:rFonts w:hint="eastAsia"/>
          <w:kern w:val="0"/>
          <w:sz w:val="24"/>
          <w:szCs w:val="24"/>
        </w:rPr>
        <w:t>原阳县产业聚集区永安路南侧、金祥南街西侧、小庄排河东侧</w:t>
      </w:r>
      <w:r>
        <w:rPr>
          <w:kern w:val="0"/>
          <w:sz w:val="24"/>
          <w:szCs w:val="24"/>
        </w:rPr>
        <w:t>建设</w:t>
      </w:r>
      <w:r>
        <w:rPr>
          <w:rFonts w:hint="eastAsia"/>
          <w:kern w:val="0"/>
          <w:sz w:val="24"/>
          <w:szCs w:val="24"/>
        </w:rPr>
        <w:t>预制菜创新孵化园建设项目</w:t>
      </w:r>
      <w:r>
        <w:rPr>
          <w:kern w:val="0"/>
          <w:sz w:val="24"/>
          <w:szCs w:val="24"/>
        </w:rPr>
        <w:t>。该项目为新建项目，占地面积约</w:t>
      </w:r>
      <w:r>
        <w:rPr>
          <w:rFonts w:hint="eastAsia"/>
          <w:kern w:val="0"/>
          <w:sz w:val="24"/>
          <w:szCs w:val="24"/>
        </w:rPr>
        <w:t>1</w:t>
      </w:r>
      <w:r>
        <w:rPr>
          <w:kern w:val="0"/>
          <w:sz w:val="24"/>
          <w:szCs w:val="24"/>
        </w:rPr>
        <w:t>14.45</w:t>
      </w:r>
      <w:r>
        <w:rPr>
          <w:rFonts w:hint="eastAsia"/>
          <w:kern w:val="0"/>
          <w:sz w:val="24"/>
          <w:szCs w:val="24"/>
        </w:rPr>
        <w:t>亩（7</w:t>
      </w:r>
      <w:r>
        <w:rPr>
          <w:kern w:val="0"/>
          <w:sz w:val="24"/>
          <w:szCs w:val="24"/>
        </w:rPr>
        <w:t>6300m</w:t>
      </w:r>
      <w:r>
        <w:rPr>
          <w:kern w:val="0"/>
          <w:sz w:val="24"/>
          <w:szCs w:val="24"/>
          <w:vertAlign w:val="superscript"/>
        </w:rPr>
        <w:t>2</w:t>
      </w:r>
      <w:r>
        <w:rPr>
          <w:rFonts w:hint="eastAsia"/>
          <w:kern w:val="0"/>
          <w:sz w:val="24"/>
          <w:szCs w:val="24"/>
        </w:rPr>
        <w:t>）</w:t>
      </w:r>
      <w:r>
        <w:rPr>
          <w:kern w:val="0"/>
          <w:sz w:val="24"/>
          <w:szCs w:val="24"/>
        </w:rPr>
        <w:t>，</w:t>
      </w:r>
      <w:r>
        <w:rPr>
          <w:rFonts w:hint="eastAsia"/>
          <w:kern w:val="0"/>
          <w:sz w:val="24"/>
          <w:szCs w:val="24"/>
        </w:rPr>
        <w:t>主要</w:t>
      </w:r>
      <w:r>
        <w:rPr>
          <w:kern w:val="0"/>
          <w:sz w:val="24"/>
          <w:szCs w:val="24"/>
        </w:rPr>
        <w:t>建设内容及规模：建设</w:t>
      </w:r>
      <w:r>
        <w:rPr>
          <w:rFonts w:hint="eastAsia"/>
          <w:kern w:val="0"/>
          <w:sz w:val="24"/>
          <w:szCs w:val="24"/>
        </w:rPr>
        <w:t>污水处理站1座（处理能力2</w:t>
      </w:r>
      <w:r>
        <w:rPr>
          <w:kern w:val="0"/>
          <w:sz w:val="24"/>
          <w:szCs w:val="24"/>
        </w:rPr>
        <w:t>000m</w:t>
      </w:r>
      <w:r>
        <w:rPr>
          <w:kern w:val="0"/>
          <w:sz w:val="24"/>
          <w:szCs w:val="24"/>
          <w:vertAlign w:val="superscript"/>
        </w:rPr>
        <w:t>3</w:t>
      </w:r>
      <w:r>
        <w:rPr>
          <w:kern w:val="0"/>
          <w:sz w:val="24"/>
          <w:szCs w:val="24"/>
        </w:rPr>
        <w:t>/d</w:t>
      </w:r>
      <w:r>
        <w:rPr>
          <w:rFonts w:hint="eastAsia"/>
          <w:kern w:val="0"/>
          <w:sz w:val="24"/>
          <w:szCs w:val="24"/>
        </w:rPr>
        <w:t>）、</w:t>
      </w:r>
      <w:r>
        <w:rPr>
          <w:rFonts w:hint="eastAsia"/>
          <w:bCs/>
          <w:kern w:val="0"/>
          <w:sz w:val="24"/>
          <w:szCs w:val="24"/>
        </w:rPr>
        <w:t>车间厂房1</w:t>
      </w:r>
      <w:r>
        <w:rPr>
          <w:bCs/>
          <w:kern w:val="0"/>
          <w:sz w:val="24"/>
          <w:szCs w:val="24"/>
        </w:rPr>
        <w:t>9</w:t>
      </w:r>
      <w:r>
        <w:rPr>
          <w:rFonts w:hint="eastAsia"/>
          <w:bCs/>
          <w:kern w:val="0"/>
          <w:sz w:val="24"/>
          <w:szCs w:val="24"/>
        </w:rPr>
        <w:t>座</w:t>
      </w:r>
      <w:r>
        <w:rPr>
          <w:kern w:val="0"/>
          <w:sz w:val="24"/>
          <w:szCs w:val="24"/>
        </w:rPr>
        <w:t>。</w:t>
      </w:r>
    </w:p>
    <w:p>
      <w:pPr>
        <w:keepNext/>
        <w:keepLines/>
        <w:spacing w:line="520" w:lineRule="exact"/>
        <w:outlineLvl w:val="2"/>
        <w:rPr>
          <w:rFonts w:eastAsia="黑体"/>
          <w:sz w:val="28"/>
          <w:szCs w:val="28"/>
        </w:rPr>
      </w:pPr>
      <w:r>
        <w:rPr>
          <w:rFonts w:eastAsia="黑体"/>
          <w:sz w:val="28"/>
          <w:szCs w:val="28"/>
        </w:rPr>
        <w:t>10.1.2工程建设符合国家产业政策</w:t>
      </w:r>
      <w:bookmarkEnd w:id="266"/>
    </w:p>
    <w:p>
      <w:pPr>
        <w:autoSpaceDE w:val="0"/>
        <w:autoSpaceDN w:val="0"/>
        <w:adjustRightInd w:val="0"/>
        <w:spacing w:line="520" w:lineRule="exact"/>
        <w:ind w:firstLine="480" w:firstLineChars="200"/>
        <w:jc w:val="left"/>
        <w:rPr>
          <w:kern w:val="0"/>
          <w:sz w:val="24"/>
          <w:szCs w:val="24"/>
        </w:rPr>
      </w:pPr>
      <w:r>
        <w:rPr>
          <w:kern w:val="0"/>
          <w:sz w:val="24"/>
          <w:szCs w:val="24"/>
        </w:rPr>
        <w:t>本项目</w:t>
      </w:r>
      <w:r>
        <w:rPr>
          <w:rFonts w:hint="eastAsia"/>
          <w:kern w:val="0"/>
          <w:sz w:val="24"/>
          <w:szCs w:val="24"/>
        </w:rPr>
        <w:t>新建污水处理站属于</w:t>
      </w:r>
      <w:r>
        <w:rPr>
          <w:rFonts w:hint="eastAsia"/>
          <w:bCs/>
          <w:kern w:val="0"/>
          <w:sz w:val="24"/>
          <w:szCs w:val="24"/>
        </w:rPr>
        <w:t>D4620污水处理及其再生利用，车间厂房属于D4</w:t>
      </w:r>
      <w:r>
        <w:rPr>
          <w:bCs/>
          <w:kern w:val="0"/>
          <w:sz w:val="24"/>
          <w:szCs w:val="24"/>
        </w:rPr>
        <w:t>790</w:t>
      </w:r>
      <w:r>
        <w:rPr>
          <w:rFonts w:hint="eastAsia"/>
          <w:bCs/>
          <w:kern w:val="0"/>
          <w:sz w:val="24"/>
          <w:szCs w:val="24"/>
        </w:rPr>
        <w:t>其他房屋建筑业。</w:t>
      </w:r>
      <w:r>
        <w:rPr>
          <w:kern w:val="0"/>
          <w:sz w:val="24"/>
          <w:szCs w:val="24"/>
        </w:rPr>
        <w:t>本项目属于《产业结构调整指导目录（2019年本）》及其修改文件中的允许类项目，符合国家产业政策。该项目已经在</w:t>
      </w:r>
      <w:r>
        <w:rPr>
          <w:rFonts w:hint="eastAsia"/>
          <w:kern w:val="0"/>
          <w:sz w:val="24"/>
          <w:szCs w:val="24"/>
        </w:rPr>
        <w:t>原阳县产业集聚区管理委员会</w:t>
      </w:r>
      <w:r>
        <w:rPr>
          <w:kern w:val="0"/>
          <w:sz w:val="24"/>
          <w:szCs w:val="24"/>
        </w:rPr>
        <w:t>备案，项目代码：</w:t>
      </w:r>
      <w:r>
        <w:rPr>
          <w:rFonts w:hint="eastAsia"/>
          <w:kern w:val="0"/>
          <w:sz w:val="24"/>
          <w:szCs w:val="24"/>
        </w:rPr>
        <w:t>2</w:t>
      </w:r>
      <w:r>
        <w:rPr>
          <w:kern w:val="0"/>
          <w:sz w:val="24"/>
          <w:szCs w:val="24"/>
        </w:rPr>
        <w:t>212-410725-04-01-366586。</w:t>
      </w:r>
    </w:p>
    <w:p>
      <w:pPr>
        <w:keepNext/>
        <w:keepLines/>
        <w:spacing w:line="520" w:lineRule="exact"/>
        <w:outlineLvl w:val="2"/>
        <w:rPr>
          <w:rFonts w:eastAsia="黑体"/>
          <w:sz w:val="28"/>
          <w:szCs w:val="28"/>
        </w:rPr>
      </w:pPr>
      <w:r>
        <w:rPr>
          <w:rFonts w:eastAsia="黑体"/>
          <w:sz w:val="28"/>
          <w:szCs w:val="28"/>
        </w:rPr>
        <w:t xml:space="preserve">10.1.3 </w:t>
      </w:r>
      <w:bookmarkStart w:id="267" w:name="_Toc2430"/>
      <w:r>
        <w:rPr>
          <w:rFonts w:eastAsia="黑体"/>
          <w:sz w:val="28"/>
          <w:szCs w:val="28"/>
        </w:rPr>
        <w:t>工程选址合理性分析</w:t>
      </w:r>
      <w:bookmarkEnd w:id="267"/>
    </w:p>
    <w:p>
      <w:pPr>
        <w:autoSpaceDE w:val="0"/>
        <w:autoSpaceDN w:val="0"/>
        <w:adjustRightInd w:val="0"/>
        <w:spacing w:line="520" w:lineRule="exact"/>
        <w:ind w:firstLine="480" w:firstLineChars="200"/>
        <w:jc w:val="left"/>
        <w:rPr>
          <w:kern w:val="0"/>
          <w:sz w:val="24"/>
          <w:szCs w:val="24"/>
          <w:highlight w:val="yellow"/>
        </w:rPr>
      </w:pPr>
      <w:r>
        <w:rPr>
          <w:kern w:val="0"/>
          <w:sz w:val="24"/>
          <w:szCs w:val="24"/>
        </w:rPr>
        <w:t>本次项目选址位于</w:t>
      </w:r>
      <w:r>
        <w:rPr>
          <w:rFonts w:hint="eastAsia"/>
          <w:kern w:val="0"/>
          <w:sz w:val="24"/>
          <w:szCs w:val="24"/>
        </w:rPr>
        <w:t>原阳县产业聚集区永安路南侧、金祥南街西侧、小庄排河东侧</w:t>
      </w:r>
      <w:r>
        <w:rPr>
          <w:kern w:val="0"/>
          <w:sz w:val="24"/>
          <w:szCs w:val="24"/>
        </w:rPr>
        <w:t>。根据《</w:t>
      </w:r>
      <w:r>
        <w:rPr>
          <w:rFonts w:hint="eastAsia"/>
          <w:kern w:val="0"/>
          <w:sz w:val="24"/>
          <w:szCs w:val="24"/>
        </w:rPr>
        <w:t>原阳县</w:t>
      </w:r>
      <w:r>
        <w:rPr>
          <w:kern w:val="0"/>
          <w:sz w:val="24"/>
          <w:szCs w:val="24"/>
        </w:rPr>
        <w:t>产业集聚区发展规划（2012-2020）》（见附图二），项目厂址用地为工业用地</w:t>
      </w:r>
      <w:r>
        <w:rPr>
          <w:rFonts w:hint="eastAsia"/>
          <w:kern w:val="0"/>
          <w:sz w:val="24"/>
          <w:szCs w:val="24"/>
        </w:rPr>
        <w:t>，位于农副产品深加工产业区</w:t>
      </w:r>
      <w:r>
        <w:rPr>
          <w:kern w:val="0"/>
          <w:sz w:val="24"/>
          <w:szCs w:val="24"/>
        </w:rPr>
        <w:t>，本项目建设符合</w:t>
      </w:r>
      <w:r>
        <w:rPr>
          <w:rFonts w:hint="eastAsia"/>
          <w:kern w:val="0"/>
          <w:sz w:val="24"/>
          <w:szCs w:val="24"/>
        </w:rPr>
        <w:t>原阳县</w:t>
      </w:r>
      <w:r>
        <w:rPr>
          <w:kern w:val="0"/>
          <w:sz w:val="24"/>
          <w:szCs w:val="24"/>
        </w:rPr>
        <w:t>产业集聚区发展规</w:t>
      </w:r>
      <w:r>
        <w:rPr>
          <w:rFonts w:hint="eastAsia"/>
          <w:kern w:val="0"/>
          <w:sz w:val="24"/>
          <w:szCs w:val="24"/>
        </w:rPr>
        <w:t>划。</w:t>
      </w:r>
      <w:r>
        <w:rPr>
          <w:kern w:val="0"/>
          <w:sz w:val="24"/>
          <w:szCs w:val="24"/>
        </w:rPr>
        <w:t>项目建设符合《新乡市“十四五”生态环境保护和生态经济发展规划》、《新乡市“三线一单”生态环境准入清单（试行）-</w:t>
      </w:r>
      <w:r>
        <w:rPr>
          <w:rFonts w:hint="eastAsia"/>
          <w:kern w:val="0"/>
          <w:sz w:val="24"/>
          <w:szCs w:val="24"/>
        </w:rPr>
        <w:t>原阳县产业集聚区</w:t>
      </w:r>
      <w:r>
        <w:rPr>
          <w:kern w:val="0"/>
          <w:sz w:val="24"/>
          <w:szCs w:val="24"/>
        </w:rPr>
        <w:t>管控单元生态环境准入清单》、</w:t>
      </w:r>
      <w:r>
        <w:rPr>
          <w:rFonts w:hint="eastAsia"/>
          <w:kern w:val="0"/>
          <w:sz w:val="24"/>
          <w:szCs w:val="24"/>
        </w:rPr>
        <w:t>《新乡市环境污染防治攻坚指挥部办公室关于印发&lt;新乡市深入打好秋冬重污染天气消除、夏季臭氧污染防治和柴油货车污染治理攻坚战实施方案&gt;的通知》（新环攻坚办</w:t>
      </w:r>
      <w:r>
        <w:rPr>
          <w:kern w:val="0"/>
          <w:sz w:val="24"/>
          <w:szCs w:val="24"/>
        </w:rPr>
        <w:t>〔2023〕73号</w:t>
      </w:r>
      <w:r>
        <w:rPr>
          <w:rFonts w:hint="eastAsia"/>
          <w:kern w:val="0"/>
          <w:sz w:val="24"/>
          <w:szCs w:val="24"/>
        </w:rPr>
        <w:t>）、《新乡市环境污染防治攻坚指挥部办公室关于印发&lt;新乡市2</w:t>
      </w:r>
      <w:r>
        <w:rPr>
          <w:kern w:val="0"/>
          <w:sz w:val="24"/>
          <w:szCs w:val="24"/>
        </w:rPr>
        <w:t>023</w:t>
      </w:r>
      <w:r>
        <w:rPr>
          <w:rFonts w:hint="eastAsia"/>
          <w:kern w:val="0"/>
          <w:sz w:val="24"/>
          <w:szCs w:val="24"/>
        </w:rPr>
        <w:t>年碧水保卫战实施方案&gt;的通知》（新环攻坚办</w:t>
      </w:r>
      <w:r>
        <w:rPr>
          <w:kern w:val="0"/>
          <w:sz w:val="24"/>
          <w:szCs w:val="24"/>
        </w:rPr>
        <w:t>〔2023〕66号</w:t>
      </w:r>
      <w:r>
        <w:rPr>
          <w:rFonts w:hint="eastAsia"/>
          <w:kern w:val="0"/>
          <w:sz w:val="24"/>
          <w:szCs w:val="24"/>
        </w:rPr>
        <w:t>）、《新乡市环境污染防治攻坚指挥部办公室关于印发&lt;新乡市2</w:t>
      </w:r>
      <w:r>
        <w:rPr>
          <w:kern w:val="0"/>
          <w:sz w:val="24"/>
          <w:szCs w:val="24"/>
        </w:rPr>
        <w:t>023</w:t>
      </w:r>
      <w:r>
        <w:rPr>
          <w:rFonts w:hint="eastAsia"/>
          <w:kern w:val="0"/>
          <w:sz w:val="24"/>
          <w:szCs w:val="24"/>
        </w:rPr>
        <w:t>年净土保卫战实施方案&gt;的通知》（新环攻坚办</w:t>
      </w:r>
      <w:r>
        <w:rPr>
          <w:kern w:val="0"/>
          <w:sz w:val="24"/>
          <w:szCs w:val="24"/>
        </w:rPr>
        <w:t>〔2023〕65号</w:t>
      </w:r>
      <w:r>
        <w:rPr>
          <w:rFonts w:hint="eastAsia"/>
          <w:kern w:val="0"/>
          <w:sz w:val="24"/>
          <w:szCs w:val="24"/>
        </w:rPr>
        <w:t>）、《新乡市环境污染防治攻坚指挥部办公室关于印发&lt;新乡市2</w:t>
      </w:r>
      <w:r>
        <w:rPr>
          <w:kern w:val="0"/>
          <w:sz w:val="24"/>
          <w:szCs w:val="24"/>
        </w:rPr>
        <w:t>023</w:t>
      </w:r>
      <w:r>
        <w:rPr>
          <w:rFonts w:hint="eastAsia"/>
          <w:kern w:val="0"/>
          <w:sz w:val="24"/>
          <w:szCs w:val="24"/>
        </w:rPr>
        <w:t>年蓝天保卫战实施方案&gt;的通知》（新环攻坚办</w:t>
      </w:r>
      <w:r>
        <w:rPr>
          <w:kern w:val="0"/>
          <w:sz w:val="24"/>
          <w:szCs w:val="24"/>
        </w:rPr>
        <w:t>〔2023〕77号</w:t>
      </w:r>
      <w:r>
        <w:rPr>
          <w:rFonts w:hint="eastAsia"/>
          <w:kern w:val="0"/>
          <w:sz w:val="24"/>
          <w:szCs w:val="24"/>
        </w:rPr>
        <w:t>）</w:t>
      </w:r>
      <w:r>
        <w:rPr>
          <w:kern w:val="0"/>
          <w:sz w:val="24"/>
          <w:szCs w:val="24"/>
        </w:rPr>
        <w:t>等文件的要求。</w:t>
      </w:r>
    </w:p>
    <w:p>
      <w:pPr>
        <w:autoSpaceDE w:val="0"/>
        <w:autoSpaceDN w:val="0"/>
        <w:adjustRightInd w:val="0"/>
        <w:spacing w:line="520" w:lineRule="exact"/>
        <w:ind w:firstLine="480" w:firstLineChars="200"/>
        <w:jc w:val="left"/>
        <w:rPr>
          <w:kern w:val="0"/>
          <w:sz w:val="24"/>
          <w:szCs w:val="24"/>
        </w:rPr>
      </w:pPr>
      <w:r>
        <w:rPr>
          <w:kern w:val="0"/>
          <w:sz w:val="24"/>
          <w:szCs w:val="24"/>
        </w:rPr>
        <w:t>本项目厂址距七里营引黄水源地保护区约19.2km；距</w:t>
      </w:r>
      <w:r>
        <w:rPr>
          <w:rFonts w:hint="eastAsia"/>
          <w:kern w:val="0"/>
          <w:sz w:val="24"/>
          <w:szCs w:val="24"/>
        </w:rPr>
        <w:t>原阳县水厂地下水井群</w:t>
      </w:r>
      <w:r>
        <w:rPr>
          <w:kern w:val="0"/>
          <w:sz w:val="24"/>
          <w:szCs w:val="24"/>
        </w:rPr>
        <w:t>水源保护区约为</w:t>
      </w:r>
      <w:r>
        <w:rPr>
          <w:rFonts w:hint="eastAsia"/>
          <w:kern w:val="0"/>
          <w:sz w:val="24"/>
          <w:szCs w:val="24"/>
        </w:rPr>
        <w:t>4</w:t>
      </w:r>
      <w:r>
        <w:rPr>
          <w:kern w:val="0"/>
          <w:sz w:val="24"/>
          <w:szCs w:val="24"/>
        </w:rPr>
        <w:t>60m，距</w:t>
      </w:r>
      <w:r>
        <w:rPr>
          <w:rFonts w:hint="eastAsia"/>
          <w:kern w:val="0"/>
          <w:sz w:val="24"/>
          <w:szCs w:val="24"/>
        </w:rPr>
        <w:t>原阳县师寨镇师寨水厂地下水井群</w:t>
      </w:r>
      <w:r>
        <w:rPr>
          <w:kern w:val="0"/>
          <w:sz w:val="24"/>
          <w:szCs w:val="24"/>
        </w:rPr>
        <w:t>约为7.28km，距</w:t>
      </w:r>
      <w:r>
        <w:rPr>
          <w:rFonts w:hint="eastAsia"/>
          <w:kern w:val="0"/>
          <w:sz w:val="24"/>
          <w:szCs w:val="24"/>
        </w:rPr>
        <w:t>原阳县靳堂乡靳堂水厂地下水井群</w:t>
      </w:r>
      <w:r>
        <w:rPr>
          <w:kern w:val="0"/>
          <w:sz w:val="24"/>
          <w:szCs w:val="24"/>
        </w:rPr>
        <w:t>约为8.96km，均不在其保护区范围内。本项目周边无集中或分散式水源地保护区及文物古迹等。</w:t>
      </w:r>
    </w:p>
    <w:p>
      <w:pPr>
        <w:autoSpaceDE w:val="0"/>
        <w:autoSpaceDN w:val="0"/>
        <w:adjustRightInd w:val="0"/>
        <w:spacing w:line="520" w:lineRule="exact"/>
        <w:ind w:firstLine="480" w:firstLineChars="200"/>
        <w:jc w:val="left"/>
        <w:rPr>
          <w:kern w:val="0"/>
          <w:sz w:val="24"/>
          <w:szCs w:val="24"/>
        </w:rPr>
      </w:pPr>
      <w:r>
        <w:rPr>
          <w:kern w:val="0"/>
          <w:sz w:val="24"/>
          <w:szCs w:val="24"/>
        </w:rPr>
        <w:t>综上，本项目选址合理可行。</w:t>
      </w:r>
    </w:p>
    <w:p>
      <w:pPr>
        <w:keepNext/>
        <w:keepLines/>
        <w:spacing w:line="520" w:lineRule="exact"/>
        <w:outlineLvl w:val="2"/>
        <w:rPr>
          <w:rFonts w:eastAsia="黑体"/>
          <w:sz w:val="28"/>
          <w:szCs w:val="28"/>
        </w:rPr>
      </w:pPr>
      <w:r>
        <w:rPr>
          <w:rFonts w:eastAsia="黑体"/>
          <w:sz w:val="28"/>
          <w:szCs w:val="28"/>
        </w:rPr>
        <w:t>10.1.4 区域环境质量现状</w:t>
      </w:r>
    </w:p>
    <w:p>
      <w:pPr>
        <w:spacing w:line="520" w:lineRule="exact"/>
        <w:outlineLvl w:val="3"/>
        <w:rPr>
          <w:sz w:val="24"/>
        </w:rPr>
      </w:pPr>
      <w:r>
        <w:rPr>
          <w:sz w:val="24"/>
        </w:rPr>
        <w:t>10.1.4.1 环境空气质量现状</w:t>
      </w:r>
    </w:p>
    <w:p>
      <w:pPr>
        <w:spacing w:line="520" w:lineRule="exact"/>
        <w:ind w:firstLine="480"/>
        <w:rPr>
          <w:sz w:val="24"/>
        </w:rPr>
      </w:pPr>
      <w:r>
        <w:rPr>
          <w:rFonts w:hint="eastAsia"/>
          <w:sz w:val="24"/>
        </w:rPr>
        <w:t>原阳县产业集聚区内常规监测站点大信家具2</w:t>
      </w:r>
      <w:r>
        <w:rPr>
          <w:sz w:val="24"/>
        </w:rPr>
        <w:t>021</w:t>
      </w:r>
      <w:r>
        <w:rPr>
          <w:rFonts w:hint="eastAsia"/>
          <w:sz w:val="24"/>
        </w:rPr>
        <w:t>年环境空气质量监测数据</w:t>
      </w:r>
      <w:r>
        <w:rPr>
          <w:sz w:val="24"/>
        </w:rPr>
        <w:t>，</w:t>
      </w:r>
      <w:r>
        <w:rPr>
          <w:rFonts w:hint="eastAsia"/>
          <w:sz w:val="24"/>
        </w:rPr>
        <w:t>区域</w:t>
      </w:r>
      <w:r>
        <w:rPr>
          <w:sz w:val="24"/>
        </w:rPr>
        <w:t>基本因子SO</w:t>
      </w:r>
      <w:r>
        <w:rPr>
          <w:sz w:val="24"/>
          <w:vertAlign w:val="subscript"/>
        </w:rPr>
        <w:t>2</w:t>
      </w:r>
      <w:r>
        <w:rPr>
          <w:sz w:val="24"/>
        </w:rPr>
        <w:t>、NO</w:t>
      </w:r>
      <w:r>
        <w:rPr>
          <w:sz w:val="24"/>
          <w:vertAlign w:val="subscript"/>
        </w:rPr>
        <w:t>2</w:t>
      </w:r>
      <w:r>
        <w:rPr>
          <w:sz w:val="24"/>
        </w:rPr>
        <w:t>、CO能够满足《环境空气质量标准》（GB3095-2012）二级标准；PM</w:t>
      </w:r>
      <w:r>
        <w:rPr>
          <w:sz w:val="24"/>
          <w:vertAlign w:val="subscript"/>
        </w:rPr>
        <w:t>10</w:t>
      </w:r>
      <w:r>
        <w:rPr>
          <w:sz w:val="24"/>
        </w:rPr>
        <w:t>、PM</w:t>
      </w:r>
      <w:r>
        <w:rPr>
          <w:sz w:val="24"/>
          <w:vertAlign w:val="subscript"/>
        </w:rPr>
        <w:t>2.5</w:t>
      </w:r>
      <w:r>
        <w:rPr>
          <w:sz w:val="24"/>
        </w:rPr>
        <w:t>和O</w:t>
      </w:r>
      <w:r>
        <w:rPr>
          <w:sz w:val="24"/>
          <w:vertAlign w:val="subscript"/>
        </w:rPr>
        <w:t>3</w:t>
      </w:r>
      <w:r>
        <w:rPr>
          <w:sz w:val="24"/>
        </w:rPr>
        <w:t>均不能够满足《环境空气质量标准》（GB3095-2012）二级标准要求。</w:t>
      </w:r>
      <w:r>
        <w:rPr>
          <w:sz w:val="24"/>
          <w:shd w:val="clear" w:color="auto" w:fill="FFFFFF"/>
        </w:rPr>
        <w:t>项目所在区域属于未达标区</w:t>
      </w:r>
      <w:r>
        <w:rPr>
          <w:sz w:val="24"/>
        </w:rPr>
        <w:t>。</w:t>
      </w:r>
    </w:p>
    <w:p>
      <w:pPr>
        <w:spacing w:line="520" w:lineRule="exact"/>
        <w:ind w:firstLine="480" w:firstLineChars="200"/>
        <w:rPr>
          <w:sz w:val="24"/>
          <w:highlight w:val="yellow"/>
        </w:rPr>
      </w:pPr>
      <w:r>
        <w:rPr>
          <w:sz w:val="24"/>
        </w:rPr>
        <w:t>根据环境空气现状监测结果可知：氨1小时浓度、硫化氢1小时浓度能够满足《环境影响评价技术导则 大气环境》（HJ2.2-2018）附录D其他污染物空气质量浓度参考限值。</w:t>
      </w:r>
    </w:p>
    <w:p>
      <w:pPr>
        <w:spacing w:line="520" w:lineRule="exact"/>
        <w:outlineLvl w:val="3"/>
        <w:rPr>
          <w:sz w:val="24"/>
        </w:rPr>
      </w:pPr>
      <w:r>
        <w:rPr>
          <w:sz w:val="24"/>
        </w:rPr>
        <w:t>10.1.4.2 地表水环境质量现状</w:t>
      </w:r>
    </w:p>
    <w:p>
      <w:pPr>
        <w:spacing w:line="520" w:lineRule="exact"/>
        <w:ind w:firstLine="480" w:firstLineChars="200"/>
        <w:rPr>
          <w:sz w:val="24"/>
          <w:highlight w:val="yellow"/>
        </w:rPr>
      </w:pPr>
      <w:r>
        <w:rPr>
          <w:rFonts w:hint="eastAsia"/>
          <w:sz w:val="24"/>
        </w:rPr>
        <w:t>园区</w:t>
      </w:r>
      <w:r>
        <w:rPr>
          <w:sz w:val="24"/>
        </w:rPr>
        <w:t>废水经污水处理站处理后</w:t>
      </w:r>
      <w:r>
        <w:rPr>
          <w:rFonts w:hint="eastAsia"/>
          <w:sz w:val="24"/>
        </w:rPr>
        <w:t>通过污水管网进入原阳县产业集聚区污水处理厂进一步处理，</w:t>
      </w:r>
      <w:r>
        <w:rPr>
          <w:bCs/>
          <w:sz w:val="24"/>
        </w:rPr>
        <w:t>处理后排入东关排渠，汇入文岩渠。</w:t>
      </w:r>
      <w:r>
        <w:rPr>
          <w:rFonts w:hint="eastAsia"/>
          <w:sz w:val="24"/>
        </w:rPr>
        <w:t>文岩渠</w:t>
      </w:r>
      <w:r>
        <w:rPr>
          <w:sz w:val="24"/>
        </w:rPr>
        <w:t>地表水功能区划为Ⅲ类。为了解</w:t>
      </w:r>
      <w:r>
        <w:rPr>
          <w:spacing w:val="-4"/>
          <w:kern w:val="0"/>
          <w:sz w:val="24"/>
        </w:rPr>
        <w:t>区域地表水环境质量现</w:t>
      </w:r>
      <w:r>
        <w:rPr>
          <w:sz w:val="24"/>
        </w:rPr>
        <w:t>状，本次引用2023年</w:t>
      </w:r>
      <w:r>
        <w:rPr>
          <w:rFonts w:hint="eastAsia"/>
          <w:sz w:val="24"/>
        </w:rPr>
        <w:t>全年</w:t>
      </w:r>
      <w:r>
        <w:rPr>
          <w:sz w:val="24"/>
        </w:rPr>
        <w:t>对</w:t>
      </w:r>
      <w:r>
        <w:rPr>
          <w:rFonts w:hint="eastAsia"/>
          <w:sz w:val="24"/>
        </w:rPr>
        <w:t>安乐庄</w:t>
      </w:r>
      <w:r>
        <w:rPr>
          <w:sz w:val="24"/>
        </w:rPr>
        <w:t>断面水质的常规监测资料。根据常规监测数据统计结果，</w:t>
      </w:r>
      <w:r>
        <w:rPr>
          <w:rFonts w:hint="eastAsia"/>
          <w:sz w:val="24"/>
        </w:rPr>
        <w:t>安乐庄</w:t>
      </w:r>
      <w:r>
        <w:rPr>
          <w:sz w:val="24"/>
        </w:rPr>
        <w:t>断面2023年水质年均值为：COD 16.8mg/L</w:t>
      </w:r>
      <w:r>
        <w:rPr>
          <w:rFonts w:hint="eastAsia"/>
          <w:sz w:val="24"/>
        </w:rPr>
        <w:t>、</w:t>
      </w:r>
      <w:r>
        <w:rPr>
          <w:sz w:val="24"/>
        </w:rPr>
        <w:t>NH</w:t>
      </w:r>
      <w:r>
        <w:rPr>
          <w:sz w:val="24"/>
          <w:vertAlign w:val="subscript"/>
        </w:rPr>
        <w:t>3</w:t>
      </w:r>
      <w:r>
        <w:rPr>
          <w:sz w:val="24"/>
        </w:rPr>
        <w:t xml:space="preserve">-N </w:t>
      </w:r>
      <w:r>
        <w:rPr>
          <w:rFonts w:hint="eastAsia"/>
          <w:sz w:val="24"/>
        </w:rPr>
        <w:t>0</w:t>
      </w:r>
      <w:r>
        <w:rPr>
          <w:sz w:val="24"/>
        </w:rPr>
        <w:t>.6mg/L</w:t>
      </w:r>
      <w:r>
        <w:rPr>
          <w:rFonts w:hint="eastAsia"/>
          <w:sz w:val="24"/>
        </w:rPr>
        <w:t>、</w:t>
      </w:r>
      <w:r>
        <w:rPr>
          <w:sz w:val="24"/>
        </w:rPr>
        <w:t xml:space="preserve">TP </w:t>
      </w:r>
      <w:r>
        <w:rPr>
          <w:rFonts w:hint="eastAsia"/>
          <w:sz w:val="24"/>
        </w:rPr>
        <w:t>0</w:t>
      </w:r>
      <w:r>
        <w:rPr>
          <w:sz w:val="24"/>
        </w:rPr>
        <w:t>.12mg/L</w:t>
      </w:r>
      <w:r>
        <w:rPr>
          <w:rFonts w:hint="eastAsia"/>
          <w:sz w:val="24"/>
        </w:rPr>
        <w:t>，能够满足《地表水环境质量标准》（GB3838-2002</w:t>
      </w:r>
      <w:r>
        <w:rPr>
          <w:sz w:val="24"/>
        </w:rPr>
        <w:t>）Ⅲ类标准</w:t>
      </w:r>
      <w:r>
        <w:rPr>
          <w:rFonts w:hint="eastAsia"/>
          <w:sz w:val="24"/>
        </w:rPr>
        <w:t>（</w:t>
      </w:r>
      <w:r>
        <w:rPr>
          <w:sz w:val="24"/>
        </w:rPr>
        <w:t>COD 20mg/L、NH</w:t>
      </w:r>
      <w:r>
        <w:rPr>
          <w:sz w:val="24"/>
          <w:vertAlign w:val="subscript"/>
        </w:rPr>
        <w:t>3</w:t>
      </w:r>
      <w:r>
        <w:rPr>
          <w:sz w:val="24"/>
        </w:rPr>
        <w:t>-N 1.0mg/L、TP 0.2mg/L</w:t>
      </w:r>
      <w:r>
        <w:rPr>
          <w:rFonts w:hint="eastAsia"/>
          <w:sz w:val="24"/>
        </w:rPr>
        <w:t>）。</w:t>
      </w:r>
    </w:p>
    <w:p>
      <w:pPr>
        <w:spacing w:line="520" w:lineRule="exact"/>
        <w:outlineLvl w:val="3"/>
        <w:rPr>
          <w:sz w:val="24"/>
        </w:rPr>
      </w:pPr>
      <w:r>
        <w:rPr>
          <w:sz w:val="24"/>
        </w:rPr>
        <w:t>10.1.4.3 地下水环境质量现状</w:t>
      </w:r>
    </w:p>
    <w:p>
      <w:pPr>
        <w:spacing w:line="520" w:lineRule="exact"/>
        <w:ind w:firstLine="480" w:firstLineChars="200"/>
        <w:rPr>
          <w:sz w:val="24"/>
          <w:highlight w:val="yellow"/>
        </w:rPr>
      </w:pPr>
      <w:bookmarkStart w:id="268" w:name="_Hlk108034055"/>
      <w:r>
        <w:rPr>
          <w:sz w:val="24"/>
        </w:rPr>
        <w:t>根据2023年4月7日-9日的地下水现状监测数据可知，</w:t>
      </w:r>
      <w:r>
        <w:rPr>
          <w:rFonts w:hint="eastAsia"/>
          <w:sz w:val="24"/>
        </w:rPr>
        <w:t>项目所在区域地下水类型为H</w:t>
      </w:r>
      <w:r>
        <w:rPr>
          <w:sz w:val="24"/>
        </w:rPr>
        <w:t>CO</w:t>
      </w:r>
      <w:r>
        <w:rPr>
          <w:sz w:val="24"/>
          <w:vertAlign w:val="subscript"/>
        </w:rPr>
        <w:t>3</w:t>
      </w:r>
      <w:r>
        <w:rPr>
          <w:sz w:val="24"/>
        </w:rPr>
        <w:t>-Na-Ca-Mg</w:t>
      </w:r>
      <w:r>
        <w:rPr>
          <w:rFonts w:hint="eastAsia"/>
          <w:sz w:val="24"/>
        </w:rPr>
        <w:t>型，</w:t>
      </w:r>
      <w:r>
        <w:rPr>
          <w:sz w:val="24"/>
        </w:rPr>
        <w:t>各监测点的pH值、氨氮、硝酸盐、亚硝酸盐、挥发性酚类、</w:t>
      </w:r>
      <w:r>
        <w:rPr>
          <w:bCs/>
          <w:sz w:val="24"/>
        </w:rPr>
        <w:t>氰化物、砷、汞、六价铬、总硬度、铅、氟</w:t>
      </w:r>
      <w:r>
        <w:rPr>
          <w:rFonts w:hint="eastAsia"/>
          <w:bCs/>
          <w:sz w:val="24"/>
        </w:rPr>
        <w:t>化物</w:t>
      </w:r>
      <w:r>
        <w:rPr>
          <w:bCs/>
          <w:sz w:val="24"/>
        </w:rPr>
        <w:t>、镉、铁、锰、溶解性总固体、耗氧量、总大肠菌群、菌落总数、</w:t>
      </w:r>
      <w:r>
        <w:rPr>
          <w:rFonts w:hint="eastAsia"/>
          <w:bCs/>
          <w:sz w:val="24"/>
        </w:rPr>
        <w:t>硫化物、可萃取石油烃</w:t>
      </w:r>
      <w:r>
        <w:rPr>
          <w:sz w:val="24"/>
        </w:rPr>
        <w:t>等监测值均可以满足《地下水质量标准》（GB/T14848-2017）III类标准要求。</w:t>
      </w:r>
    </w:p>
    <w:bookmarkEnd w:id="268"/>
    <w:p>
      <w:pPr>
        <w:spacing w:line="520" w:lineRule="exact"/>
        <w:outlineLvl w:val="3"/>
        <w:rPr>
          <w:sz w:val="24"/>
        </w:rPr>
      </w:pPr>
      <w:r>
        <w:rPr>
          <w:sz w:val="24"/>
        </w:rPr>
        <w:t>10.1.4.4 土壤环境质量现状</w:t>
      </w:r>
    </w:p>
    <w:p>
      <w:pPr>
        <w:spacing w:line="520" w:lineRule="exact"/>
        <w:ind w:firstLine="480" w:firstLineChars="200"/>
        <w:rPr>
          <w:sz w:val="24"/>
        </w:rPr>
      </w:pPr>
      <w:r>
        <w:rPr>
          <w:sz w:val="24"/>
        </w:rPr>
        <w:t>2023年4月7日，河南永飞检测科技有限公司对项目厂区及周边土壤进行了取样检测，评价共设置6个监测点位。根据监测结果可知，</w:t>
      </w:r>
      <w:bookmarkStart w:id="269" w:name="_Hlk107942611"/>
      <w:r>
        <w:rPr>
          <w:sz w:val="24"/>
        </w:rPr>
        <w:t>厂区内</w:t>
      </w:r>
      <w:r>
        <w:rPr>
          <w:rFonts w:hint="eastAsia"/>
          <w:sz w:val="24"/>
        </w:rPr>
        <w:t>外各</w:t>
      </w:r>
      <w:r>
        <w:rPr>
          <w:sz w:val="24"/>
        </w:rPr>
        <w:t>监测点位各个监测因子均能够满足《土壤环境质量-建设用地土壤污染风险管控标准（试行）》（GB36600-2018）建设用地第二类用地风险筛选值</w:t>
      </w:r>
      <w:r>
        <w:rPr>
          <w:rFonts w:hint="eastAsia"/>
          <w:sz w:val="24"/>
        </w:rPr>
        <w:t>的</w:t>
      </w:r>
      <w:r>
        <w:rPr>
          <w:sz w:val="24"/>
        </w:rPr>
        <w:t>标准要求，说明项目厂区</w:t>
      </w:r>
      <w:r>
        <w:rPr>
          <w:rFonts w:hint="eastAsia"/>
          <w:sz w:val="24"/>
        </w:rPr>
        <w:t>内外</w:t>
      </w:r>
      <w:r>
        <w:rPr>
          <w:sz w:val="24"/>
        </w:rPr>
        <w:t>土壤环境质量</w:t>
      </w:r>
      <w:r>
        <w:rPr>
          <w:rFonts w:hint="eastAsia"/>
          <w:sz w:val="24"/>
        </w:rPr>
        <w:t>均</w:t>
      </w:r>
      <w:r>
        <w:rPr>
          <w:sz w:val="24"/>
        </w:rPr>
        <w:t>良好。</w:t>
      </w:r>
      <w:bookmarkEnd w:id="269"/>
    </w:p>
    <w:p>
      <w:pPr>
        <w:spacing w:line="520" w:lineRule="exact"/>
        <w:outlineLvl w:val="3"/>
        <w:rPr>
          <w:sz w:val="24"/>
        </w:rPr>
      </w:pPr>
      <w:r>
        <w:rPr>
          <w:sz w:val="24"/>
        </w:rPr>
        <w:t>10.1.4.5 声环境质量现状</w:t>
      </w:r>
    </w:p>
    <w:p>
      <w:pPr>
        <w:spacing w:line="520" w:lineRule="exact"/>
        <w:ind w:firstLine="480" w:firstLineChars="200"/>
        <w:rPr>
          <w:kern w:val="0"/>
          <w:sz w:val="24"/>
        </w:rPr>
      </w:pPr>
      <w:r>
        <w:rPr>
          <w:sz w:val="24"/>
        </w:rPr>
        <w:t>本次评价对厂址处声环境进行监测，在厂界四周设置4个监测点位</w:t>
      </w:r>
      <w:r>
        <w:rPr>
          <w:rFonts w:hint="eastAsia"/>
          <w:sz w:val="24"/>
        </w:rPr>
        <w:t>，在小庄村西布设1个噪声监测点位</w:t>
      </w:r>
      <w:r>
        <w:rPr>
          <w:sz w:val="24"/>
        </w:rPr>
        <w:t>；根据现状监测数据可知，</w:t>
      </w:r>
      <w:r>
        <w:rPr>
          <w:kern w:val="0"/>
          <w:sz w:val="24"/>
        </w:rPr>
        <w:t>东、南、西、北四厂界昼间噪声值为50~55dB(A)、夜间噪声值为40~45dB(A)，均可以满足《声环境质量标准》3类标准的要求。</w:t>
      </w:r>
      <w:r>
        <w:rPr>
          <w:rFonts w:hint="eastAsia"/>
          <w:kern w:val="0"/>
          <w:sz w:val="24"/>
        </w:rPr>
        <w:t>小庄村西昼间噪声5</w:t>
      </w:r>
      <w:r>
        <w:rPr>
          <w:kern w:val="0"/>
          <w:sz w:val="24"/>
        </w:rPr>
        <w:t>0~51dB(A)、夜间噪声值为40~41dB(A)，</w:t>
      </w:r>
      <w:r>
        <w:rPr>
          <w:rFonts w:hint="eastAsia"/>
          <w:kern w:val="0"/>
          <w:sz w:val="24"/>
        </w:rPr>
        <w:t>均</w:t>
      </w:r>
      <w:r>
        <w:rPr>
          <w:kern w:val="0"/>
          <w:sz w:val="24"/>
        </w:rPr>
        <w:t>可以满足《声环境质量标准》2类标准的要求。</w:t>
      </w:r>
    </w:p>
    <w:p>
      <w:pPr>
        <w:keepNext/>
        <w:keepLines/>
        <w:spacing w:line="520" w:lineRule="exact"/>
        <w:outlineLvl w:val="2"/>
        <w:rPr>
          <w:rFonts w:eastAsia="黑体"/>
          <w:sz w:val="28"/>
          <w:szCs w:val="28"/>
        </w:rPr>
      </w:pPr>
      <w:bookmarkStart w:id="270" w:name="_Hlk108034209"/>
      <w:r>
        <w:rPr>
          <w:rFonts w:eastAsia="黑体"/>
          <w:sz w:val="28"/>
          <w:szCs w:val="28"/>
        </w:rPr>
        <w:t>10.1.5 环境影响预测与评价</w:t>
      </w:r>
    </w:p>
    <w:bookmarkEnd w:id="270"/>
    <w:p>
      <w:pPr>
        <w:spacing w:line="520" w:lineRule="exact"/>
        <w:outlineLvl w:val="3"/>
        <w:rPr>
          <w:sz w:val="24"/>
        </w:rPr>
      </w:pPr>
      <w:r>
        <w:rPr>
          <w:sz w:val="24"/>
        </w:rPr>
        <w:t>10.1.5.1 大气环境影响预测与评价</w:t>
      </w:r>
    </w:p>
    <w:p>
      <w:pPr>
        <w:spacing w:line="520" w:lineRule="exact"/>
        <w:ind w:firstLine="482"/>
        <w:rPr>
          <w:kern w:val="0"/>
          <w:sz w:val="24"/>
        </w:rPr>
      </w:pPr>
      <w:r>
        <w:rPr>
          <w:rFonts w:hint="eastAsia"/>
          <w:kern w:val="0"/>
          <w:sz w:val="24"/>
        </w:rPr>
        <w:t>（1）</w:t>
      </w:r>
      <w:r>
        <w:rPr>
          <w:kern w:val="0"/>
          <w:sz w:val="24"/>
        </w:rPr>
        <w:t>本项目</w:t>
      </w:r>
      <w:r>
        <w:rPr>
          <w:rFonts w:hint="eastAsia"/>
          <w:kern w:val="0"/>
          <w:sz w:val="24"/>
        </w:rPr>
        <w:t>有组织废气</w:t>
      </w:r>
      <w:r>
        <w:rPr>
          <w:kern w:val="0"/>
          <w:sz w:val="24"/>
        </w:rPr>
        <w:t>排放</w:t>
      </w:r>
      <w:r>
        <w:rPr>
          <w:rFonts w:hint="eastAsia"/>
          <w:kern w:val="0"/>
          <w:sz w:val="24"/>
        </w:rPr>
        <w:t>的污染物：污水处理站恶臭排气筒P</w:t>
      </w:r>
      <w:r>
        <w:rPr>
          <w:kern w:val="0"/>
          <w:sz w:val="24"/>
        </w:rPr>
        <w:t>1</w:t>
      </w:r>
      <w:r>
        <w:rPr>
          <w:rFonts w:hint="eastAsia"/>
          <w:kern w:val="0"/>
          <w:sz w:val="24"/>
        </w:rPr>
        <w:t>的</w:t>
      </w:r>
      <w:r>
        <w:rPr>
          <w:kern w:val="0"/>
          <w:sz w:val="24"/>
        </w:rPr>
        <w:t>最大落地浓度出现在下风向211m处，污染物</w:t>
      </w:r>
      <w:r>
        <w:rPr>
          <w:rFonts w:hint="eastAsia"/>
          <w:kern w:val="0"/>
          <w:sz w:val="24"/>
        </w:rPr>
        <w:t>氨占标率为</w:t>
      </w:r>
      <w:r>
        <w:rPr>
          <w:kern w:val="0"/>
          <w:sz w:val="24"/>
        </w:rPr>
        <w:t>0.56</w:t>
      </w:r>
      <w:r>
        <w:rPr>
          <w:rFonts w:hint="eastAsia"/>
          <w:kern w:val="0"/>
          <w:sz w:val="24"/>
        </w:rPr>
        <w:t>%，</w:t>
      </w:r>
      <w:r>
        <w:rPr>
          <w:kern w:val="0"/>
          <w:sz w:val="24"/>
        </w:rPr>
        <w:t>最大落地浓度为0.00112</w:t>
      </w:r>
      <w:r>
        <w:rPr>
          <w:rFonts w:hint="eastAsia"/>
          <w:kern w:val="0"/>
          <w:sz w:val="24"/>
        </w:rPr>
        <w:t>m</w:t>
      </w:r>
      <w:r>
        <w:rPr>
          <w:kern w:val="0"/>
          <w:sz w:val="24"/>
        </w:rPr>
        <w:t>g/m</w:t>
      </w:r>
      <w:r>
        <w:rPr>
          <w:kern w:val="0"/>
          <w:sz w:val="24"/>
          <w:vertAlign w:val="superscript"/>
        </w:rPr>
        <w:t>3</w:t>
      </w:r>
      <w:r>
        <w:rPr>
          <w:rFonts w:hint="eastAsia"/>
          <w:kern w:val="0"/>
          <w:sz w:val="24"/>
        </w:rPr>
        <w:t>，硫化氢</w:t>
      </w:r>
      <w:r>
        <w:rPr>
          <w:kern w:val="0"/>
          <w:sz w:val="24"/>
        </w:rPr>
        <w:t>占标率为</w:t>
      </w:r>
      <w:r>
        <w:rPr>
          <w:rFonts w:hint="eastAsia"/>
          <w:kern w:val="0"/>
          <w:sz w:val="24"/>
        </w:rPr>
        <w:t>0.</w:t>
      </w:r>
      <w:r>
        <w:rPr>
          <w:kern w:val="0"/>
          <w:sz w:val="24"/>
        </w:rPr>
        <w:t>46%</w:t>
      </w:r>
      <w:r>
        <w:rPr>
          <w:rFonts w:hint="eastAsia"/>
          <w:kern w:val="0"/>
          <w:sz w:val="24"/>
        </w:rPr>
        <w:t>，</w:t>
      </w:r>
      <w:r>
        <w:rPr>
          <w:kern w:val="0"/>
          <w:sz w:val="24"/>
        </w:rPr>
        <w:t>最大落地浓度0.0000464</w:t>
      </w:r>
      <w:r>
        <w:rPr>
          <w:rFonts w:hint="eastAsia"/>
          <w:kern w:val="0"/>
          <w:sz w:val="24"/>
        </w:rPr>
        <w:t>m</w:t>
      </w:r>
      <w:r>
        <w:rPr>
          <w:kern w:val="0"/>
          <w:sz w:val="24"/>
        </w:rPr>
        <w:t>g/m</w:t>
      </w:r>
      <w:r>
        <w:rPr>
          <w:kern w:val="0"/>
          <w:sz w:val="24"/>
          <w:vertAlign w:val="superscript"/>
        </w:rPr>
        <w:t>3</w:t>
      </w:r>
      <w:r>
        <w:rPr>
          <w:bCs/>
          <w:kern w:val="0"/>
          <w:sz w:val="24"/>
        </w:rPr>
        <w:t>。</w:t>
      </w:r>
      <w:r>
        <w:rPr>
          <w:rFonts w:hint="eastAsia"/>
          <w:kern w:val="0"/>
          <w:sz w:val="24"/>
        </w:rPr>
        <w:t>各污染物占标率均较小，对周围环境影响不大。因此，评价认为：项目运营后，大气污染物对周围环境的影响程度是可以接受。</w:t>
      </w:r>
    </w:p>
    <w:p>
      <w:pPr>
        <w:spacing w:line="520" w:lineRule="exact"/>
        <w:ind w:firstLine="482"/>
        <w:rPr>
          <w:kern w:val="0"/>
          <w:sz w:val="24"/>
        </w:rPr>
      </w:pPr>
      <w:r>
        <w:rPr>
          <w:kern w:val="0"/>
          <w:sz w:val="24"/>
        </w:rPr>
        <w:t>（2）</w:t>
      </w:r>
      <w:r>
        <w:rPr>
          <w:rFonts w:hint="eastAsia"/>
          <w:kern w:val="0"/>
          <w:sz w:val="24"/>
        </w:rPr>
        <w:t>本项目面源</w:t>
      </w:r>
      <w:r>
        <w:rPr>
          <w:kern w:val="0"/>
          <w:sz w:val="24"/>
        </w:rPr>
        <w:t>排放</w:t>
      </w:r>
      <w:r>
        <w:rPr>
          <w:rFonts w:hint="eastAsia"/>
          <w:kern w:val="0"/>
          <w:sz w:val="24"/>
        </w:rPr>
        <w:t>的污染物：氨</w:t>
      </w:r>
      <w:r>
        <w:rPr>
          <w:kern w:val="0"/>
          <w:sz w:val="24"/>
        </w:rPr>
        <w:t>的最大落地浓度出现在下风向78m处，最大落地浓度为0.0121mg/m</w:t>
      </w:r>
      <w:r>
        <w:rPr>
          <w:kern w:val="0"/>
          <w:sz w:val="24"/>
          <w:vertAlign w:val="superscript"/>
        </w:rPr>
        <w:t>3</w:t>
      </w:r>
      <w:r>
        <w:rPr>
          <w:kern w:val="0"/>
          <w:sz w:val="24"/>
        </w:rPr>
        <w:t>，占标率为6.07%</w:t>
      </w:r>
      <w:r>
        <w:rPr>
          <w:rFonts w:hint="eastAsia"/>
          <w:kern w:val="0"/>
          <w:sz w:val="24"/>
        </w:rPr>
        <w:t>；硫化氢</w:t>
      </w:r>
      <w:r>
        <w:rPr>
          <w:kern w:val="0"/>
          <w:sz w:val="24"/>
        </w:rPr>
        <w:t>的最大落地浓度出现在下风向78m处，最大落地浓度为0.0</w:t>
      </w:r>
      <w:r>
        <w:rPr>
          <w:rFonts w:hint="eastAsia"/>
          <w:kern w:val="0"/>
          <w:sz w:val="24"/>
        </w:rPr>
        <w:t>0</w:t>
      </w:r>
      <w:r>
        <w:rPr>
          <w:kern w:val="0"/>
          <w:sz w:val="24"/>
        </w:rPr>
        <w:t>0398mg/m</w:t>
      </w:r>
      <w:r>
        <w:rPr>
          <w:kern w:val="0"/>
          <w:sz w:val="24"/>
          <w:vertAlign w:val="superscript"/>
        </w:rPr>
        <w:t>3</w:t>
      </w:r>
      <w:r>
        <w:rPr>
          <w:rFonts w:hint="eastAsia"/>
          <w:kern w:val="0"/>
          <w:sz w:val="24"/>
        </w:rPr>
        <w:t>，</w:t>
      </w:r>
      <w:r>
        <w:rPr>
          <w:kern w:val="0"/>
          <w:sz w:val="24"/>
        </w:rPr>
        <w:t>占标率为3.98%</w:t>
      </w:r>
      <w:r>
        <w:rPr>
          <w:rFonts w:hint="eastAsia"/>
          <w:kern w:val="0"/>
          <w:sz w:val="24"/>
        </w:rPr>
        <w:t>。各个排放源的占标率均较小，对周围环境影响不大。因此，评价认为：项目运营后，大气污染物对周围环境的影响程度是可以接受。</w:t>
      </w:r>
    </w:p>
    <w:p>
      <w:pPr>
        <w:spacing w:line="520" w:lineRule="exact"/>
        <w:ind w:firstLine="482"/>
        <w:rPr>
          <w:kern w:val="0"/>
          <w:sz w:val="24"/>
        </w:rPr>
      </w:pPr>
      <w:r>
        <w:rPr>
          <w:rFonts w:hint="eastAsia"/>
          <w:kern w:val="0"/>
          <w:sz w:val="24"/>
        </w:rPr>
        <w:t>（</w:t>
      </w:r>
      <w:r>
        <w:rPr>
          <w:kern w:val="0"/>
          <w:sz w:val="24"/>
        </w:rPr>
        <w:t>3</w:t>
      </w:r>
      <w:r>
        <w:rPr>
          <w:rFonts w:hint="eastAsia"/>
          <w:kern w:val="0"/>
          <w:sz w:val="24"/>
        </w:rPr>
        <w:t>）本项目无需设置大气环境防护距离。</w:t>
      </w:r>
    </w:p>
    <w:p>
      <w:pPr>
        <w:spacing w:line="520" w:lineRule="exact"/>
        <w:ind w:firstLine="482"/>
        <w:rPr>
          <w:sz w:val="24"/>
          <w:szCs w:val="24"/>
          <w:highlight w:val="yellow"/>
        </w:rPr>
      </w:pPr>
      <w:r>
        <w:rPr>
          <w:rFonts w:hint="eastAsia"/>
          <w:kern w:val="0"/>
          <w:sz w:val="24"/>
        </w:rPr>
        <w:t>综上所述，</w:t>
      </w:r>
      <w:r>
        <w:rPr>
          <w:kern w:val="0"/>
          <w:sz w:val="24"/>
        </w:rPr>
        <w:t>在保证评价要求和工程设计的防治措施正常运行的条件下，本工程建设对周围大气环境影响可接受。</w:t>
      </w:r>
    </w:p>
    <w:p>
      <w:pPr>
        <w:spacing w:line="520" w:lineRule="exact"/>
        <w:outlineLvl w:val="3"/>
        <w:rPr>
          <w:sz w:val="24"/>
          <w:highlight w:val="yellow"/>
        </w:rPr>
      </w:pPr>
      <w:r>
        <w:rPr>
          <w:sz w:val="24"/>
        </w:rPr>
        <w:t>10.1.5.2地表水环境影响预测与评价</w:t>
      </w:r>
    </w:p>
    <w:p>
      <w:pPr>
        <w:spacing w:line="520" w:lineRule="exact"/>
        <w:ind w:firstLine="480" w:firstLineChars="200"/>
        <w:rPr>
          <w:sz w:val="24"/>
          <w:highlight w:val="yellow"/>
        </w:rPr>
      </w:pPr>
      <w:r>
        <w:rPr>
          <w:bCs/>
          <w:sz w:val="24"/>
          <w:szCs w:val="24"/>
        </w:rPr>
        <w:t>本项目</w:t>
      </w:r>
      <w:r>
        <w:rPr>
          <w:sz w:val="24"/>
        </w:rPr>
        <w:t>废水</w:t>
      </w:r>
      <w:r>
        <w:rPr>
          <w:rFonts w:hint="eastAsia"/>
          <w:sz w:val="24"/>
        </w:rPr>
        <w:t>经污水处理站处理后</w:t>
      </w:r>
      <w:r>
        <w:rPr>
          <w:sz w:val="24"/>
        </w:rPr>
        <w:t>排入</w:t>
      </w:r>
      <w:r>
        <w:rPr>
          <w:rFonts w:hint="eastAsia"/>
          <w:sz w:val="24"/>
        </w:rPr>
        <w:t>原阳县产业集聚区</w:t>
      </w:r>
      <w:r>
        <w:rPr>
          <w:sz w:val="24"/>
        </w:rPr>
        <w:t>污水处理厂作进一步处理，污水处理厂尾水排入</w:t>
      </w:r>
      <w:r>
        <w:rPr>
          <w:rFonts w:hint="eastAsia"/>
          <w:sz w:val="24"/>
          <w:szCs w:val="24"/>
        </w:rPr>
        <w:t>东关排，最终汇入文岩渠</w:t>
      </w:r>
      <w:r>
        <w:rPr>
          <w:sz w:val="24"/>
          <w:szCs w:val="24"/>
        </w:rPr>
        <w:t>。</w:t>
      </w:r>
      <w:r>
        <w:rPr>
          <w:sz w:val="24"/>
        </w:rPr>
        <w:t>依据《环境影响评价技术导则 地表水环境》（HJ2.3-2018），</w:t>
      </w:r>
      <w:r>
        <w:rPr>
          <w:sz w:val="24"/>
          <w:szCs w:val="24"/>
        </w:rPr>
        <w:t>判定本项目地表水环</w:t>
      </w:r>
      <w:r>
        <w:rPr>
          <w:sz w:val="24"/>
        </w:rPr>
        <w:t>境影响评价等级为三级B。</w:t>
      </w:r>
    </w:p>
    <w:p>
      <w:pPr>
        <w:spacing w:line="520" w:lineRule="exact"/>
        <w:ind w:firstLine="480" w:firstLineChars="200"/>
        <w:rPr>
          <w:sz w:val="24"/>
          <w:szCs w:val="24"/>
          <w:highlight w:val="yellow"/>
        </w:rPr>
      </w:pPr>
      <w:r>
        <w:rPr>
          <w:sz w:val="24"/>
          <w:szCs w:val="24"/>
        </w:rPr>
        <w:t>本项目废水主要为</w:t>
      </w:r>
      <w:r>
        <w:rPr>
          <w:rFonts w:hint="eastAsia"/>
          <w:bCs/>
          <w:sz w:val="24"/>
          <w:szCs w:val="24"/>
        </w:rPr>
        <w:t>入驻园区企业的生产工业废水</w:t>
      </w:r>
      <w:r>
        <w:rPr>
          <w:sz w:val="24"/>
          <w:szCs w:val="24"/>
        </w:rPr>
        <w:t>。</w:t>
      </w:r>
      <w:r>
        <w:rPr>
          <w:rFonts w:hint="eastAsia"/>
          <w:bCs/>
          <w:sz w:val="24"/>
          <w:szCs w:val="24"/>
        </w:rPr>
        <w:t>废水</w:t>
      </w:r>
      <w:r>
        <w:rPr>
          <w:sz w:val="24"/>
          <w:szCs w:val="24"/>
        </w:rPr>
        <w:t>经过污水处理站处理后污染物排放浓度能够满足</w:t>
      </w:r>
      <w:r>
        <w:rPr>
          <w:rFonts w:hint="eastAsia"/>
          <w:bCs/>
          <w:sz w:val="24"/>
          <w:szCs w:val="24"/>
        </w:rPr>
        <w:t>《污水综合排放标准》（G</w:t>
      </w:r>
      <w:r>
        <w:rPr>
          <w:bCs/>
          <w:sz w:val="24"/>
          <w:szCs w:val="24"/>
        </w:rPr>
        <w:t>B 8978-1996</w:t>
      </w:r>
      <w:r>
        <w:rPr>
          <w:rFonts w:hint="eastAsia"/>
          <w:bCs/>
          <w:sz w:val="24"/>
          <w:szCs w:val="24"/>
        </w:rPr>
        <w:t>）中二级标准</w:t>
      </w:r>
      <w:r>
        <w:rPr>
          <w:sz w:val="24"/>
          <w:szCs w:val="24"/>
        </w:rPr>
        <w:t>和</w:t>
      </w:r>
      <w:r>
        <w:rPr>
          <w:rFonts w:hint="eastAsia"/>
          <w:sz w:val="24"/>
          <w:szCs w:val="24"/>
        </w:rPr>
        <w:t>原阳县产业集聚区</w:t>
      </w:r>
      <w:r>
        <w:rPr>
          <w:sz w:val="24"/>
          <w:szCs w:val="24"/>
        </w:rPr>
        <w:t>污水处理厂收水标准。</w:t>
      </w:r>
    </w:p>
    <w:p>
      <w:pPr>
        <w:spacing w:line="520" w:lineRule="exact"/>
        <w:ind w:firstLine="420"/>
        <w:rPr>
          <w:kern w:val="0"/>
          <w:sz w:val="24"/>
          <w:szCs w:val="24"/>
          <w:highlight w:val="yellow"/>
          <w:lang w:val="zh-CN"/>
        </w:rPr>
      </w:pPr>
      <w:r>
        <w:rPr>
          <w:kern w:val="0"/>
          <w:sz w:val="24"/>
          <w:szCs w:val="24"/>
          <w:lang w:val="zh-CN"/>
        </w:rPr>
        <w:t>本项目位于新乡市</w:t>
      </w:r>
      <w:r>
        <w:rPr>
          <w:rFonts w:hint="eastAsia"/>
          <w:kern w:val="0"/>
          <w:sz w:val="24"/>
          <w:szCs w:val="24"/>
          <w:lang w:val="zh-CN"/>
        </w:rPr>
        <w:t>原阳县产业集聚区</w:t>
      </w:r>
      <w:r>
        <w:rPr>
          <w:kern w:val="0"/>
          <w:sz w:val="24"/>
          <w:szCs w:val="24"/>
          <w:lang w:val="zh-CN"/>
        </w:rPr>
        <w:t>，在</w:t>
      </w:r>
      <w:r>
        <w:rPr>
          <w:rFonts w:hint="eastAsia"/>
          <w:kern w:val="0"/>
          <w:sz w:val="24"/>
          <w:szCs w:val="24"/>
          <w:lang w:val="zh-CN"/>
        </w:rPr>
        <w:t>原阳县产业集聚区</w:t>
      </w:r>
      <w:r>
        <w:rPr>
          <w:kern w:val="0"/>
          <w:sz w:val="24"/>
          <w:szCs w:val="24"/>
          <w:lang w:val="zh-CN"/>
        </w:rPr>
        <w:t>污水处理厂收水范围内；本项目废水占污水处理厂剩余处理能力的17.86%，满足项目处理的需要，</w:t>
      </w:r>
      <w:r>
        <w:rPr>
          <w:rFonts w:hint="eastAsia"/>
          <w:kern w:val="0"/>
          <w:sz w:val="24"/>
          <w:szCs w:val="24"/>
        </w:rPr>
        <w:t>在本项目负荷运行的情况下，排入污水处理厂的水量仍然在污水处理厂的设计处理水量之内，</w:t>
      </w:r>
      <w:r>
        <w:rPr>
          <w:kern w:val="0"/>
          <w:sz w:val="24"/>
          <w:szCs w:val="24"/>
        </w:rPr>
        <w:t>可以稳定达标排放</w:t>
      </w:r>
      <w:r>
        <w:rPr>
          <w:kern w:val="0"/>
          <w:sz w:val="24"/>
          <w:szCs w:val="24"/>
          <w:lang w:val="zh-CN"/>
        </w:rPr>
        <w:t>。本项目外排水质能够满足</w:t>
      </w:r>
      <w:r>
        <w:rPr>
          <w:rFonts w:hint="eastAsia"/>
          <w:kern w:val="0"/>
          <w:sz w:val="24"/>
          <w:szCs w:val="24"/>
          <w:lang w:val="zh-CN"/>
        </w:rPr>
        <w:t>原阳县产业集聚区</w:t>
      </w:r>
      <w:r>
        <w:rPr>
          <w:kern w:val="0"/>
          <w:sz w:val="24"/>
          <w:szCs w:val="24"/>
          <w:lang w:val="zh-CN"/>
        </w:rPr>
        <w:t>污水处理厂进水水质要求。评价认为本项目废水排放不会对</w:t>
      </w:r>
      <w:r>
        <w:rPr>
          <w:rFonts w:hint="eastAsia"/>
          <w:kern w:val="0"/>
          <w:sz w:val="24"/>
          <w:szCs w:val="24"/>
          <w:lang w:val="zh-CN"/>
        </w:rPr>
        <w:t>原阳县产业集聚区</w:t>
      </w:r>
      <w:r>
        <w:rPr>
          <w:kern w:val="0"/>
          <w:sz w:val="24"/>
          <w:szCs w:val="24"/>
          <w:lang w:val="zh-CN"/>
        </w:rPr>
        <w:t>污水处理厂系统造成冲击或其他不利影响。故本工程废水进入</w:t>
      </w:r>
      <w:r>
        <w:rPr>
          <w:rFonts w:hint="eastAsia"/>
          <w:kern w:val="0"/>
          <w:sz w:val="24"/>
          <w:szCs w:val="24"/>
          <w:lang w:val="zh-CN"/>
        </w:rPr>
        <w:t>原阳县产业集聚区</w:t>
      </w:r>
      <w:r>
        <w:rPr>
          <w:kern w:val="0"/>
          <w:sz w:val="24"/>
          <w:szCs w:val="24"/>
          <w:lang w:val="zh-CN"/>
        </w:rPr>
        <w:t>污水处理厂处理的方案可行。</w:t>
      </w:r>
    </w:p>
    <w:p>
      <w:pPr>
        <w:spacing w:line="520" w:lineRule="exact"/>
        <w:ind w:firstLine="420"/>
        <w:rPr>
          <w:kern w:val="0"/>
          <w:sz w:val="24"/>
          <w:szCs w:val="24"/>
          <w:lang w:val="zh-CN"/>
        </w:rPr>
      </w:pPr>
      <w:r>
        <w:rPr>
          <w:kern w:val="0"/>
          <w:sz w:val="24"/>
          <w:szCs w:val="24"/>
          <w:lang w:val="zh-CN"/>
        </w:rPr>
        <w:t>因此评价认为：项目废水经处理后，对地表水环境的影响可接受。</w:t>
      </w:r>
    </w:p>
    <w:p>
      <w:pPr>
        <w:spacing w:line="520" w:lineRule="exact"/>
        <w:outlineLvl w:val="3"/>
        <w:rPr>
          <w:sz w:val="24"/>
        </w:rPr>
      </w:pPr>
      <w:r>
        <w:rPr>
          <w:sz w:val="24"/>
        </w:rPr>
        <w:t>10.1.5.3地下水环境影响预测与评价</w:t>
      </w:r>
    </w:p>
    <w:p>
      <w:pPr>
        <w:spacing w:line="500" w:lineRule="exact"/>
        <w:ind w:firstLine="480"/>
        <w:rPr>
          <w:kern w:val="0"/>
          <w:sz w:val="24"/>
          <w:highlight w:val="yellow"/>
        </w:rPr>
      </w:pPr>
      <w:r>
        <w:rPr>
          <w:sz w:val="24"/>
        </w:rPr>
        <w:t>项目建成后，正常工况下不会对地下水环境造成不良影响；在非正常工况下</w:t>
      </w:r>
      <w:r>
        <w:rPr>
          <w:kern w:val="0"/>
          <w:sz w:val="24"/>
          <w:szCs w:val="24"/>
        </w:rPr>
        <w:t>污水处理站</w:t>
      </w:r>
      <w:r>
        <w:rPr>
          <w:rFonts w:hint="eastAsia"/>
          <w:kern w:val="0"/>
          <w:sz w:val="24"/>
          <w:szCs w:val="24"/>
        </w:rPr>
        <w:t>集水</w:t>
      </w:r>
      <w:r>
        <w:rPr>
          <w:kern w:val="0"/>
          <w:sz w:val="24"/>
          <w:szCs w:val="24"/>
        </w:rPr>
        <w:t>池发生泄漏。</w:t>
      </w:r>
      <w:r>
        <w:rPr>
          <w:sz w:val="24"/>
        </w:rPr>
        <w:t>由预测结果可知：</w:t>
      </w:r>
      <w:r>
        <w:rPr>
          <w:spacing w:val="10"/>
          <w:sz w:val="24"/>
        </w:rPr>
        <w:t>在厂</w:t>
      </w:r>
      <w:r>
        <w:rPr>
          <w:sz w:val="24"/>
        </w:rPr>
        <w:t>区污水处理站</w:t>
      </w:r>
      <w:r>
        <w:rPr>
          <w:rFonts w:hint="eastAsia"/>
          <w:sz w:val="24"/>
        </w:rPr>
        <w:t>集水</w:t>
      </w:r>
      <w:r>
        <w:rPr>
          <w:sz w:val="24"/>
        </w:rPr>
        <w:t>池非正常状况</w:t>
      </w:r>
      <w:r>
        <w:rPr>
          <w:bCs/>
          <w:sz w:val="24"/>
        </w:rPr>
        <w:t>泄漏</w:t>
      </w:r>
      <w:r>
        <w:rPr>
          <w:sz w:val="24"/>
        </w:rPr>
        <w:t>情景</w:t>
      </w:r>
      <w:r>
        <w:rPr>
          <w:spacing w:val="10"/>
          <w:sz w:val="24"/>
        </w:rPr>
        <w:t>下，</w:t>
      </w:r>
      <w:r>
        <w:rPr>
          <w:bCs/>
          <w:sz w:val="24"/>
        </w:rPr>
        <w:t>泄漏</w:t>
      </w:r>
      <w:r>
        <w:rPr>
          <w:spacing w:val="10"/>
          <w:sz w:val="24"/>
        </w:rPr>
        <w:t>的污染物</w:t>
      </w:r>
      <w:r>
        <w:rPr>
          <w:bCs/>
          <w:sz w:val="24"/>
        </w:rPr>
        <w:t>在水动力条件作用下向下游扩散，浓度在对流作用下逐渐降低。污水处理池泄漏点位置污染物浓度随着时间不断降低，</w:t>
      </w:r>
      <w:r>
        <w:rPr>
          <w:spacing w:val="10"/>
          <w:sz w:val="24"/>
        </w:rPr>
        <w:t>废水</w:t>
      </w:r>
      <w:r>
        <w:rPr>
          <w:rFonts w:hint="eastAsia"/>
          <w:spacing w:val="10"/>
          <w:sz w:val="24"/>
        </w:rPr>
        <w:t>集水</w:t>
      </w:r>
      <w:r>
        <w:rPr>
          <w:spacing w:val="10"/>
          <w:sz w:val="24"/>
        </w:rPr>
        <w:t>池发生泄漏20a，</w:t>
      </w:r>
      <w:r>
        <w:rPr>
          <w:sz w:val="24"/>
        </w:rPr>
        <w:t>项目</w:t>
      </w:r>
      <w:r>
        <w:rPr>
          <w:spacing w:val="10"/>
          <w:sz w:val="24"/>
        </w:rPr>
        <w:t>耗氧量和氨氮最远超标距离</w:t>
      </w:r>
      <w:r>
        <w:rPr>
          <w:rFonts w:hint="eastAsia"/>
          <w:spacing w:val="10"/>
          <w:sz w:val="24"/>
        </w:rPr>
        <w:t>和</w:t>
      </w:r>
      <w:r>
        <w:rPr>
          <w:spacing w:val="10"/>
          <w:sz w:val="24"/>
        </w:rPr>
        <w:t>最远影响距离</w:t>
      </w:r>
      <w:r>
        <w:rPr>
          <w:rFonts w:hint="eastAsia"/>
          <w:spacing w:val="10"/>
          <w:sz w:val="24"/>
        </w:rPr>
        <w:t>均</w:t>
      </w:r>
      <w:r>
        <w:rPr>
          <w:spacing w:val="10"/>
          <w:sz w:val="24"/>
        </w:rPr>
        <w:t>为252m。超标范围内不涉及环境敏感目标区域，不会对</w:t>
      </w:r>
      <w:r>
        <w:rPr>
          <w:rFonts w:hint="eastAsia"/>
          <w:bCs/>
          <w:spacing w:val="10"/>
          <w:sz w:val="24"/>
        </w:rPr>
        <w:t>下游侧向的饮用水水源地保护敏感点</w:t>
      </w:r>
      <w:r>
        <w:rPr>
          <w:spacing w:val="10"/>
          <w:sz w:val="24"/>
        </w:rPr>
        <w:t>地下水水质产生影响，在可控范围之内。</w:t>
      </w:r>
    </w:p>
    <w:p>
      <w:pPr>
        <w:spacing w:line="520" w:lineRule="exact"/>
        <w:ind w:firstLine="480" w:firstLineChars="200"/>
        <w:rPr>
          <w:sz w:val="24"/>
          <w:szCs w:val="24"/>
        </w:rPr>
      </w:pPr>
      <w:r>
        <w:rPr>
          <w:sz w:val="24"/>
          <w:szCs w:val="24"/>
        </w:rPr>
        <w:t>评价认为，建设单位在加强管理，落实本环评提出的源头控制、防渗、监测管理、制定应急预案等措施的前提下，本项目运营期内不会对周围保护目标及下游地下水环境产生明显不利影响。</w:t>
      </w:r>
    </w:p>
    <w:p>
      <w:pPr>
        <w:spacing w:line="520" w:lineRule="exact"/>
        <w:outlineLvl w:val="3"/>
        <w:rPr>
          <w:sz w:val="24"/>
        </w:rPr>
      </w:pPr>
      <w:r>
        <w:rPr>
          <w:sz w:val="24"/>
        </w:rPr>
        <w:t>10.1.5.4声环境影响预测与评价</w:t>
      </w:r>
    </w:p>
    <w:p>
      <w:pPr>
        <w:spacing w:line="520" w:lineRule="exact"/>
        <w:ind w:firstLine="480" w:firstLineChars="200"/>
        <w:rPr>
          <w:sz w:val="24"/>
          <w:szCs w:val="24"/>
        </w:rPr>
      </w:pPr>
      <w:r>
        <w:rPr>
          <w:sz w:val="24"/>
          <w:szCs w:val="24"/>
        </w:rPr>
        <w:t>本工程完成后，噪声贡献值均能达到《工业企业厂界环境噪声排放标准》（GB12348-2008）3类标准要求。评价建议企业在厂区内和各厂界多种植高大的乔木绿化带，增加绿化面积，进一步减弱厂界噪声值。</w:t>
      </w:r>
    </w:p>
    <w:p>
      <w:pPr>
        <w:spacing w:line="520" w:lineRule="exact"/>
        <w:outlineLvl w:val="3"/>
        <w:rPr>
          <w:sz w:val="24"/>
        </w:rPr>
      </w:pPr>
      <w:r>
        <w:rPr>
          <w:sz w:val="24"/>
        </w:rPr>
        <w:t>10.1.5.5固体废物环境影响预测与评价</w:t>
      </w:r>
    </w:p>
    <w:p>
      <w:pPr>
        <w:spacing w:line="520" w:lineRule="exact"/>
        <w:ind w:firstLine="472" w:firstLineChars="200"/>
        <w:rPr>
          <w:spacing w:val="-2"/>
          <w:sz w:val="24"/>
          <w:highlight w:val="yellow"/>
        </w:rPr>
      </w:pPr>
      <w:r>
        <w:rPr>
          <w:spacing w:val="-2"/>
          <w:sz w:val="24"/>
        </w:rPr>
        <w:t>本工程的固废</w:t>
      </w:r>
      <w:r>
        <w:rPr>
          <w:rFonts w:hint="eastAsia"/>
          <w:spacing w:val="-2"/>
          <w:sz w:val="24"/>
        </w:rPr>
        <w:t>主要为</w:t>
      </w:r>
      <w:r>
        <w:rPr>
          <w:spacing w:val="-2"/>
          <w:sz w:val="24"/>
        </w:rPr>
        <w:t>一般</w:t>
      </w:r>
      <w:r>
        <w:rPr>
          <w:bCs/>
          <w:spacing w:val="-2"/>
          <w:sz w:val="24"/>
        </w:rPr>
        <w:t>工业固废</w:t>
      </w:r>
      <w:r>
        <w:rPr>
          <w:rFonts w:hint="eastAsia"/>
          <w:bCs/>
          <w:spacing w:val="-2"/>
          <w:sz w:val="24"/>
        </w:rPr>
        <w:t>，主要包括格栅和超微过滤机产生的废渣</w:t>
      </w:r>
      <w:r>
        <w:rPr>
          <w:bCs/>
          <w:spacing w:val="-2"/>
          <w:sz w:val="24"/>
        </w:rPr>
        <w:t>、</w:t>
      </w:r>
      <w:r>
        <w:rPr>
          <w:rFonts w:hint="eastAsia"/>
          <w:bCs/>
          <w:spacing w:val="-2"/>
          <w:sz w:val="24"/>
        </w:rPr>
        <w:t>污泥脱水后的污泥。废渣在一般固废间暂存后经垃圾车拉走</w:t>
      </w:r>
      <w:r>
        <w:rPr>
          <w:bCs/>
          <w:spacing w:val="-2"/>
          <w:sz w:val="24"/>
        </w:rPr>
        <w:t>。</w:t>
      </w:r>
      <w:r>
        <w:rPr>
          <w:rFonts w:hint="eastAsia"/>
          <w:bCs/>
          <w:spacing w:val="-2"/>
          <w:sz w:val="24"/>
        </w:rPr>
        <w:t>污泥在污泥暂存间暂存后交由污泥处置单位处置。</w:t>
      </w:r>
    </w:p>
    <w:p>
      <w:pPr>
        <w:spacing w:line="520" w:lineRule="exact"/>
        <w:ind w:firstLine="480" w:firstLineChars="200"/>
        <w:rPr>
          <w:sz w:val="24"/>
          <w:szCs w:val="24"/>
        </w:rPr>
      </w:pPr>
      <w:r>
        <w:rPr>
          <w:sz w:val="24"/>
          <w:szCs w:val="24"/>
        </w:rPr>
        <w:t>综上所述，本工程固废能够有效利用或合理处置，并采取相应的固废污染防治措施，预计不会对周边环境产生明显的不良影响。</w:t>
      </w:r>
    </w:p>
    <w:p>
      <w:pPr>
        <w:spacing w:line="520" w:lineRule="exact"/>
        <w:outlineLvl w:val="3"/>
        <w:rPr>
          <w:sz w:val="24"/>
        </w:rPr>
      </w:pPr>
      <w:r>
        <w:rPr>
          <w:sz w:val="24"/>
        </w:rPr>
        <w:t>10.1.5.6土壤环境影响预测与评价</w:t>
      </w:r>
    </w:p>
    <w:p>
      <w:pPr>
        <w:spacing w:line="520" w:lineRule="exact"/>
        <w:ind w:firstLine="480"/>
        <w:rPr>
          <w:sz w:val="24"/>
          <w:szCs w:val="24"/>
        </w:rPr>
      </w:pPr>
      <w:r>
        <w:rPr>
          <w:sz w:val="24"/>
          <w:szCs w:val="24"/>
        </w:rPr>
        <w:t>本项目对土壤的影响主要为</w:t>
      </w:r>
      <w:r>
        <w:rPr>
          <w:rFonts w:hint="eastAsia"/>
          <w:sz w:val="24"/>
          <w:szCs w:val="24"/>
        </w:rPr>
        <w:t>垂直入渗</w:t>
      </w:r>
      <w:r>
        <w:rPr>
          <w:sz w:val="24"/>
          <w:szCs w:val="24"/>
        </w:rPr>
        <w:t>型影响</w:t>
      </w:r>
      <w:r>
        <w:rPr>
          <w:rFonts w:hint="eastAsia"/>
          <w:sz w:val="24"/>
          <w:szCs w:val="24"/>
        </w:rPr>
        <w:t>，污水处理设施按照要求进行硬化防渗处理，</w:t>
      </w:r>
      <w:r>
        <w:rPr>
          <w:bCs/>
          <w:sz w:val="24"/>
          <w:szCs w:val="24"/>
        </w:rPr>
        <w:t>日常运营过程中加强管理，</w:t>
      </w:r>
      <w:r>
        <w:rPr>
          <w:sz w:val="24"/>
          <w:szCs w:val="24"/>
        </w:rPr>
        <w:t>定期维护检修，保证防渗措施的有效性和安全性</w:t>
      </w:r>
      <w:r>
        <w:rPr>
          <w:rFonts w:hint="eastAsia"/>
          <w:sz w:val="24"/>
          <w:szCs w:val="24"/>
        </w:rPr>
        <w:t>，正常情况下不存在废水进入土壤中的可能。因此，本项目建成后不会增加土壤污染的风险，项目生产对项目厂区土壤影响较小，基本不会改变土壤的现状值。</w:t>
      </w:r>
    </w:p>
    <w:p>
      <w:pPr>
        <w:spacing w:line="520" w:lineRule="exact"/>
        <w:outlineLvl w:val="3"/>
        <w:rPr>
          <w:sz w:val="24"/>
        </w:rPr>
      </w:pPr>
      <w:r>
        <w:rPr>
          <w:sz w:val="24"/>
        </w:rPr>
        <w:t>10.1.5.7环境风险分析</w:t>
      </w:r>
    </w:p>
    <w:p>
      <w:pPr>
        <w:adjustRightInd w:val="0"/>
        <w:snapToGrid w:val="0"/>
        <w:spacing w:line="520" w:lineRule="exact"/>
        <w:ind w:firstLine="480" w:firstLineChars="200"/>
        <w:textAlignment w:val="baseline"/>
        <w:rPr>
          <w:kern w:val="0"/>
          <w:sz w:val="24"/>
          <w:szCs w:val="20"/>
        </w:rPr>
      </w:pPr>
      <w:r>
        <w:rPr>
          <w:kern w:val="0"/>
          <w:sz w:val="24"/>
          <w:szCs w:val="20"/>
        </w:rPr>
        <w:t>根据风险评价分析，项目危险物质主要为</w:t>
      </w:r>
      <w:r>
        <w:rPr>
          <w:rFonts w:hint="eastAsia"/>
          <w:kern w:val="0"/>
          <w:sz w:val="24"/>
          <w:szCs w:val="20"/>
        </w:rPr>
        <w:t>硫化氢和氨</w:t>
      </w:r>
      <w:r>
        <w:rPr>
          <w:kern w:val="0"/>
          <w:sz w:val="24"/>
          <w:szCs w:val="20"/>
        </w:rPr>
        <w:t>，主要风险为</w:t>
      </w:r>
      <w:r>
        <w:rPr>
          <w:rFonts w:hint="eastAsia"/>
          <w:kern w:val="0"/>
          <w:sz w:val="24"/>
          <w:szCs w:val="20"/>
        </w:rPr>
        <w:t>硫化氢和氨</w:t>
      </w:r>
      <w:r>
        <w:rPr>
          <w:kern w:val="0"/>
          <w:sz w:val="24"/>
          <w:szCs w:val="20"/>
        </w:rPr>
        <w:t>可燃物质泄漏后遇明火发生火灾、爆炸造成大气污染物排放，影响大气环境质量；</w:t>
      </w:r>
      <w:r>
        <w:rPr>
          <w:rFonts w:hint="eastAsia"/>
          <w:kern w:val="0"/>
          <w:sz w:val="24"/>
          <w:szCs w:val="20"/>
        </w:rPr>
        <w:t>污水处理站高浓度废水</w:t>
      </w:r>
      <w:r>
        <w:rPr>
          <w:kern w:val="0"/>
          <w:sz w:val="24"/>
          <w:szCs w:val="20"/>
        </w:rPr>
        <w:t>泄漏后进入地表水体，污染地表水体</w:t>
      </w:r>
      <w:r>
        <w:rPr>
          <w:rFonts w:hint="eastAsia"/>
          <w:kern w:val="0"/>
          <w:sz w:val="24"/>
          <w:szCs w:val="20"/>
        </w:rPr>
        <w:t>或下渗污染周边地下水环境质量</w:t>
      </w:r>
      <w:r>
        <w:rPr>
          <w:kern w:val="0"/>
          <w:sz w:val="24"/>
          <w:szCs w:val="20"/>
        </w:rPr>
        <w:t>。</w:t>
      </w:r>
    </w:p>
    <w:p>
      <w:pPr>
        <w:adjustRightInd w:val="0"/>
        <w:snapToGrid w:val="0"/>
        <w:spacing w:line="520" w:lineRule="exact"/>
        <w:ind w:firstLine="480" w:firstLineChars="200"/>
        <w:textAlignment w:val="baseline"/>
        <w:rPr>
          <w:kern w:val="0"/>
          <w:sz w:val="24"/>
          <w:szCs w:val="20"/>
        </w:rPr>
      </w:pPr>
      <w:r>
        <w:rPr>
          <w:kern w:val="0"/>
          <w:sz w:val="24"/>
          <w:szCs w:val="20"/>
        </w:rPr>
        <w:t>在按照环评提出的防范与防控措施后，本项目环境风险可防控。为了提高环境风险事故的影响，建议企业定期安排环境风险应急演练，提高职工防范环境风险的素质，另外加强与园区总体应急方案得分衔接，进一步减少项目环境风险可能造成的影响。</w:t>
      </w:r>
    </w:p>
    <w:p>
      <w:pPr>
        <w:adjustRightInd w:val="0"/>
        <w:snapToGrid w:val="0"/>
        <w:spacing w:line="520" w:lineRule="exact"/>
        <w:ind w:firstLine="480" w:firstLineChars="200"/>
        <w:textAlignment w:val="baseline"/>
        <w:rPr>
          <w:kern w:val="0"/>
          <w:sz w:val="24"/>
          <w:szCs w:val="24"/>
        </w:rPr>
      </w:pPr>
      <w:r>
        <w:rPr>
          <w:kern w:val="0"/>
          <w:sz w:val="24"/>
          <w:szCs w:val="20"/>
        </w:rPr>
        <w:t>综上所述，本项目采取相关防范措施和应急措施，环境风险可控。</w:t>
      </w:r>
    </w:p>
    <w:p>
      <w:pPr>
        <w:keepNext/>
        <w:keepLines/>
        <w:spacing w:line="520" w:lineRule="exact"/>
        <w:outlineLvl w:val="2"/>
        <w:rPr>
          <w:rFonts w:eastAsia="黑体"/>
          <w:sz w:val="28"/>
          <w:szCs w:val="28"/>
        </w:rPr>
      </w:pPr>
      <w:r>
        <w:rPr>
          <w:rFonts w:eastAsia="黑体"/>
          <w:sz w:val="28"/>
          <w:szCs w:val="28"/>
        </w:rPr>
        <w:t>10.1.6 污染防治措施及污染物达标排放情况</w:t>
      </w:r>
    </w:p>
    <w:p>
      <w:pPr>
        <w:spacing w:line="520" w:lineRule="exact"/>
        <w:outlineLvl w:val="3"/>
        <w:rPr>
          <w:sz w:val="24"/>
        </w:rPr>
      </w:pPr>
      <w:r>
        <w:rPr>
          <w:sz w:val="24"/>
        </w:rPr>
        <w:t>10.1.6.1废气污染防治措施</w:t>
      </w:r>
    </w:p>
    <w:p>
      <w:pPr>
        <w:spacing w:line="520" w:lineRule="exact"/>
        <w:ind w:firstLine="480" w:firstLineChars="200"/>
        <w:rPr>
          <w:sz w:val="24"/>
        </w:rPr>
      </w:pPr>
      <w:r>
        <w:rPr>
          <w:sz w:val="24"/>
        </w:rPr>
        <w:t>本工程废气主要为污水处理站</w:t>
      </w:r>
      <w:r>
        <w:rPr>
          <w:rFonts w:hint="eastAsia"/>
          <w:sz w:val="24"/>
        </w:rPr>
        <w:t>产生的恶臭气体</w:t>
      </w:r>
      <w:r>
        <w:rPr>
          <w:sz w:val="24"/>
        </w:rPr>
        <w:t>。</w:t>
      </w:r>
      <w:r>
        <w:rPr>
          <w:rFonts w:hint="eastAsia"/>
          <w:sz w:val="24"/>
        </w:rPr>
        <w:t>污水处理站恶臭气体主要为氨、硫化氢、臭气浓度</w:t>
      </w:r>
      <w:r>
        <w:rPr>
          <w:sz w:val="24"/>
        </w:rPr>
        <w:t>。</w:t>
      </w:r>
    </w:p>
    <w:p>
      <w:pPr>
        <w:spacing w:line="520" w:lineRule="exact"/>
        <w:ind w:firstLine="480" w:firstLineChars="200"/>
        <w:rPr>
          <w:bCs/>
          <w:sz w:val="24"/>
          <w:szCs w:val="24"/>
        </w:rPr>
      </w:pPr>
      <w:r>
        <w:rPr>
          <w:bCs/>
          <w:sz w:val="24"/>
          <w:szCs w:val="24"/>
        </w:rPr>
        <w:t>（1）</w:t>
      </w:r>
      <w:r>
        <w:rPr>
          <w:rFonts w:hint="eastAsia"/>
          <w:sz w:val="24"/>
        </w:rPr>
        <w:t>污水处理站恶臭气体</w:t>
      </w:r>
    </w:p>
    <w:p>
      <w:pPr>
        <w:spacing w:line="520" w:lineRule="exact"/>
        <w:ind w:firstLine="480" w:firstLineChars="200"/>
        <w:rPr>
          <w:bCs/>
          <w:sz w:val="24"/>
          <w:szCs w:val="24"/>
        </w:rPr>
      </w:pPr>
      <w:r>
        <w:rPr>
          <w:bCs/>
          <w:sz w:val="24"/>
          <w:szCs w:val="24"/>
        </w:rPr>
        <w:t>污水处理站运行过程中会产生恶臭气体，主要污染物为氨、硫化氢和臭气浓度。污水处理站废气采用“</w:t>
      </w:r>
      <w:r>
        <w:rPr>
          <w:rFonts w:hint="eastAsia"/>
          <w:bCs/>
          <w:sz w:val="24"/>
          <w:szCs w:val="24"/>
        </w:rPr>
        <w:t>洗涤除臭装置（碱喷淋+生物除臭剂喷淋）</w:t>
      </w:r>
      <w:r>
        <w:rPr>
          <w:bCs/>
          <w:sz w:val="24"/>
          <w:szCs w:val="24"/>
        </w:rPr>
        <w:t>”进行处理，处理达标后经1根15m高排气筒。</w:t>
      </w:r>
      <w:r>
        <w:rPr>
          <w:rFonts w:hint="eastAsia"/>
          <w:bCs/>
          <w:sz w:val="24"/>
          <w:szCs w:val="24"/>
        </w:rPr>
        <w:t>本项目污水处理站废气经</w:t>
      </w:r>
      <w:r>
        <w:rPr>
          <w:bCs/>
          <w:sz w:val="24"/>
          <w:szCs w:val="24"/>
        </w:rPr>
        <w:t>“</w:t>
      </w:r>
      <w:r>
        <w:rPr>
          <w:rFonts w:hint="eastAsia"/>
          <w:bCs/>
          <w:sz w:val="24"/>
          <w:szCs w:val="24"/>
        </w:rPr>
        <w:t>洗涤除臭装置（碱喷淋+生物除臭剂喷淋）</w:t>
      </w:r>
      <w:r>
        <w:rPr>
          <w:bCs/>
          <w:sz w:val="24"/>
          <w:szCs w:val="24"/>
        </w:rPr>
        <w:t>”</w:t>
      </w:r>
      <w:r>
        <w:rPr>
          <w:rFonts w:hint="eastAsia"/>
          <w:bCs/>
          <w:sz w:val="24"/>
          <w:szCs w:val="24"/>
        </w:rPr>
        <w:t>处理后</w:t>
      </w:r>
      <w:r>
        <w:rPr>
          <w:bCs/>
          <w:sz w:val="24"/>
          <w:szCs w:val="24"/>
        </w:rPr>
        <w:t>氨、硫化氢</w:t>
      </w:r>
      <w:r>
        <w:rPr>
          <w:rFonts w:hint="eastAsia"/>
          <w:bCs/>
          <w:sz w:val="24"/>
          <w:szCs w:val="24"/>
        </w:rPr>
        <w:t>、恶臭气体</w:t>
      </w:r>
      <w:r>
        <w:rPr>
          <w:bCs/>
          <w:sz w:val="24"/>
          <w:szCs w:val="24"/>
        </w:rPr>
        <w:t>排放浓度</w:t>
      </w:r>
      <w:r>
        <w:rPr>
          <w:rFonts w:hint="eastAsia"/>
          <w:bCs/>
          <w:sz w:val="24"/>
          <w:szCs w:val="24"/>
        </w:rPr>
        <w:t>、</w:t>
      </w:r>
      <w:r>
        <w:rPr>
          <w:bCs/>
          <w:sz w:val="24"/>
          <w:szCs w:val="24"/>
        </w:rPr>
        <w:t>排放速率能够满足《恶臭污染物排放标准》（GB14554-93）（有组织硫化氢：0.33kg/h、有组织氨：4.9kg/h、有组织臭气浓度：2000）。</w:t>
      </w:r>
    </w:p>
    <w:p>
      <w:pPr>
        <w:spacing w:line="520" w:lineRule="exact"/>
        <w:ind w:firstLine="480" w:firstLineChars="200"/>
        <w:rPr>
          <w:bCs/>
          <w:sz w:val="24"/>
        </w:rPr>
      </w:pPr>
      <w:r>
        <w:rPr>
          <w:bCs/>
          <w:sz w:val="24"/>
          <w:szCs w:val="24"/>
          <w:lang w:val="zh-CN"/>
        </w:rPr>
        <w:t>（2）</w:t>
      </w:r>
      <w:r>
        <w:rPr>
          <w:bCs/>
          <w:sz w:val="24"/>
        </w:rPr>
        <w:t>无组织废气</w:t>
      </w:r>
    </w:p>
    <w:p>
      <w:pPr>
        <w:spacing w:line="520" w:lineRule="exact"/>
        <w:ind w:firstLine="480" w:firstLineChars="200"/>
        <w:rPr>
          <w:bCs/>
          <w:sz w:val="24"/>
        </w:rPr>
      </w:pPr>
      <w:r>
        <w:rPr>
          <w:rFonts w:hint="eastAsia"/>
          <w:bCs/>
          <w:sz w:val="24"/>
        </w:rPr>
        <w:t>本项目无组织废气主要为污水处理站未收集的恶臭气体，建议企业加强周边绿化，喷洒除臭剂，可有效减少无组织恶臭气体</w:t>
      </w:r>
      <w:r>
        <w:rPr>
          <w:bCs/>
          <w:sz w:val="24"/>
        </w:rPr>
        <w:t>。</w:t>
      </w:r>
    </w:p>
    <w:p>
      <w:pPr>
        <w:spacing w:line="520" w:lineRule="exact"/>
        <w:ind w:firstLine="480" w:firstLineChars="200"/>
        <w:rPr>
          <w:bCs/>
          <w:sz w:val="24"/>
        </w:rPr>
      </w:pPr>
      <w:r>
        <w:rPr>
          <w:bCs/>
          <w:sz w:val="24"/>
        </w:rPr>
        <w:t>综上，本项目采用以上废气治理措施后对周围环境空气影响较小。废气治理措施可行。</w:t>
      </w:r>
    </w:p>
    <w:p>
      <w:pPr>
        <w:spacing w:line="520" w:lineRule="exact"/>
        <w:outlineLvl w:val="3"/>
        <w:rPr>
          <w:sz w:val="24"/>
        </w:rPr>
      </w:pPr>
      <w:r>
        <w:rPr>
          <w:sz w:val="24"/>
        </w:rPr>
        <w:t>10.1.6.2废水污染防治措施</w:t>
      </w:r>
    </w:p>
    <w:p>
      <w:pPr>
        <w:spacing w:line="520" w:lineRule="exact"/>
        <w:ind w:firstLine="420"/>
        <w:rPr>
          <w:kern w:val="0"/>
          <w:sz w:val="24"/>
          <w:szCs w:val="20"/>
          <w:highlight w:val="yellow"/>
          <w:lang w:val="zh-CN"/>
        </w:rPr>
      </w:pPr>
      <w:r>
        <w:rPr>
          <w:kern w:val="0"/>
          <w:sz w:val="24"/>
          <w:szCs w:val="20"/>
          <w:lang w:val="zh-CN"/>
        </w:rPr>
        <w:t>本项目废水主要为</w:t>
      </w:r>
      <w:r>
        <w:rPr>
          <w:rFonts w:hint="eastAsia"/>
          <w:bCs/>
          <w:kern w:val="0"/>
          <w:sz w:val="24"/>
          <w:szCs w:val="20"/>
        </w:rPr>
        <w:t>入驻园区企业的生产工业废水</w:t>
      </w:r>
      <w:r>
        <w:rPr>
          <w:kern w:val="0"/>
          <w:sz w:val="24"/>
          <w:szCs w:val="20"/>
        </w:rPr>
        <w:t>。</w:t>
      </w:r>
      <w:r>
        <w:rPr>
          <w:kern w:val="0"/>
          <w:sz w:val="24"/>
          <w:szCs w:val="20"/>
          <w:lang w:val="zh-CN"/>
        </w:rPr>
        <w:t>项目拟在厂区</w:t>
      </w:r>
      <w:r>
        <w:rPr>
          <w:kern w:val="0"/>
          <w:sz w:val="24"/>
          <w:szCs w:val="24"/>
          <w:lang w:val="zh-CN"/>
        </w:rPr>
        <w:t>建一座处理能力为2000m</w:t>
      </w:r>
      <w:r>
        <w:rPr>
          <w:kern w:val="0"/>
          <w:sz w:val="24"/>
          <w:szCs w:val="24"/>
          <w:vertAlign w:val="superscript"/>
          <w:lang w:val="zh-CN"/>
        </w:rPr>
        <w:t>3</w:t>
      </w:r>
      <w:r>
        <w:rPr>
          <w:kern w:val="0"/>
          <w:sz w:val="24"/>
          <w:szCs w:val="24"/>
          <w:lang w:val="zh-CN"/>
        </w:rPr>
        <w:t>/d的污水处理站，采用“</w:t>
      </w:r>
      <w:r>
        <w:rPr>
          <w:rFonts w:hint="eastAsia"/>
          <w:bCs/>
          <w:kern w:val="0"/>
          <w:sz w:val="24"/>
          <w:szCs w:val="24"/>
        </w:rPr>
        <w:t>格栅+集水池+超微过滤机+初沉池+调节池+水解酸化池+厌氧池+缺氧池+好氧池+二沉池+三沉池</w:t>
      </w:r>
      <w:r>
        <w:rPr>
          <w:kern w:val="0"/>
          <w:sz w:val="24"/>
          <w:szCs w:val="24"/>
          <w:lang w:val="zh-CN"/>
        </w:rPr>
        <w:t>”工艺进行处理</w:t>
      </w:r>
      <w:r>
        <w:rPr>
          <w:rFonts w:hint="eastAsia"/>
          <w:kern w:val="0"/>
          <w:sz w:val="24"/>
          <w:szCs w:val="24"/>
          <w:lang w:val="zh-CN"/>
        </w:rPr>
        <w:t>废水</w:t>
      </w:r>
      <w:r>
        <w:rPr>
          <w:kern w:val="0"/>
          <w:sz w:val="24"/>
          <w:szCs w:val="24"/>
          <w:lang w:val="zh-CN"/>
        </w:rPr>
        <w:t>，处理后进入</w:t>
      </w:r>
      <w:r>
        <w:rPr>
          <w:rFonts w:hint="eastAsia"/>
          <w:kern w:val="0"/>
          <w:sz w:val="24"/>
          <w:szCs w:val="24"/>
          <w:lang w:val="zh-CN"/>
        </w:rPr>
        <w:t>原阳县产业集聚区</w:t>
      </w:r>
      <w:r>
        <w:rPr>
          <w:kern w:val="0"/>
          <w:sz w:val="24"/>
          <w:szCs w:val="24"/>
          <w:lang w:val="zh-CN"/>
        </w:rPr>
        <w:t>污水处理厂进行进一步处理，</w:t>
      </w:r>
      <w:r>
        <w:rPr>
          <w:kern w:val="0"/>
          <w:sz w:val="24"/>
          <w:szCs w:val="20"/>
          <w:lang w:val="zh-CN"/>
        </w:rPr>
        <w:t>污水处理厂尾水排入</w:t>
      </w:r>
      <w:r>
        <w:rPr>
          <w:rFonts w:hint="eastAsia"/>
          <w:kern w:val="0"/>
          <w:sz w:val="24"/>
          <w:szCs w:val="24"/>
        </w:rPr>
        <w:t>东关排，最终汇入文岩渠</w:t>
      </w:r>
      <w:r>
        <w:rPr>
          <w:kern w:val="0"/>
          <w:sz w:val="24"/>
          <w:szCs w:val="24"/>
        </w:rPr>
        <w:t>。</w:t>
      </w:r>
      <w:bookmarkStart w:id="271" w:name="_Hlk97374533"/>
      <w:r>
        <w:rPr>
          <w:kern w:val="0"/>
          <w:sz w:val="24"/>
          <w:szCs w:val="20"/>
          <w:lang w:val="zh-CN"/>
        </w:rPr>
        <w:t>本项目</w:t>
      </w:r>
      <w:bookmarkEnd w:id="271"/>
      <w:r>
        <w:rPr>
          <w:kern w:val="0"/>
          <w:sz w:val="24"/>
          <w:szCs w:val="20"/>
          <w:lang w:val="zh-CN"/>
        </w:rPr>
        <w:t>废水污染物排放浓度能够满足</w:t>
      </w:r>
      <w:r>
        <w:rPr>
          <w:rFonts w:hint="eastAsia"/>
          <w:bCs/>
          <w:kern w:val="0"/>
          <w:sz w:val="24"/>
          <w:szCs w:val="20"/>
        </w:rPr>
        <w:t>《污水综合排放标准》（G</w:t>
      </w:r>
      <w:r>
        <w:rPr>
          <w:bCs/>
          <w:kern w:val="0"/>
          <w:sz w:val="24"/>
          <w:szCs w:val="20"/>
        </w:rPr>
        <w:t>B 8978-1996</w:t>
      </w:r>
      <w:r>
        <w:rPr>
          <w:rFonts w:hint="eastAsia"/>
          <w:bCs/>
          <w:kern w:val="0"/>
          <w:sz w:val="24"/>
          <w:szCs w:val="20"/>
        </w:rPr>
        <w:t>）中二级标准</w:t>
      </w:r>
      <w:r>
        <w:rPr>
          <w:rFonts w:hint="eastAsia"/>
          <w:kern w:val="0"/>
          <w:sz w:val="24"/>
          <w:szCs w:val="20"/>
        </w:rPr>
        <w:t>：动植物油1</w:t>
      </w:r>
      <w:r>
        <w:rPr>
          <w:kern w:val="0"/>
          <w:sz w:val="24"/>
          <w:szCs w:val="20"/>
        </w:rPr>
        <w:t>5mg/L</w:t>
      </w:r>
      <w:r>
        <w:rPr>
          <w:rFonts w:hint="eastAsia"/>
          <w:kern w:val="0"/>
          <w:sz w:val="24"/>
          <w:szCs w:val="20"/>
        </w:rPr>
        <w:t>的标准限值</w:t>
      </w:r>
      <w:r>
        <w:rPr>
          <w:kern w:val="0"/>
          <w:sz w:val="24"/>
          <w:szCs w:val="20"/>
          <w:lang w:val="zh-CN"/>
        </w:rPr>
        <w:t>和</w:t>
      </w:r>
      <w:r>
        <w:rPr>
          <w:kern w:val="0"/>
          <w:sz w:val="24"/>
          <w:szCs w:val="20"/>
        </w:rPr>
        <w:t>原阳县产业集聚区污水处理厂收水标准</w:t>
      </w:r>
      <w:r>
        <w:rPr>
          <w:kern w:val="0"/>
          <w:sz w:val="24"/>
          <w:szCs w:val="20"/>
          <w:lang w:val="zh-CN"/>
        </w:rPr>
        <w:t>（</w:t>
      </w:r>
      <w:r>
        <w:rPr>
          <w:kern w:val="0"/>
          <w:sz w:val="24"/>
          <w:szCs w:val="20"/>
        </w:rPr>
        <w:t>COD 420</w:t>
      </w:r>
      <w:r>
        <w:rPr>
          <w:rFonts w:hint="eastAsia"/>
          <w:kern w:val="0"/>
          <w:sz w:val="24"/>
          <w:szCs w:val="20"/>
        </w:rPr>
        <w:t>mg/L、B</w:t>
      </w:r>
      <w:r>
        <w:rPr>
          <w:kern w:val="0"/>
          <w:sz w:val="24"/>
          <w:szCs w:val="20"/>
        </w:rPr>
        <w:t>OD</w:t>
      </w:r>
      <w:r>
        <w:rPr>
          <w:kern w:val="0"/>
          <w:sz w:val="24"/>
          <w:szCs w:val="20"/>
          <w:vertAlign w:val="subscript"/>
        </w:rPr>
        <w:t>5</w:t>
      </w:r>
      <w:r>
        <w:rPr>
          <w:kern w:val="0"/>
          <w:sz w:val="24"/>
          <w:szCs w:val="20"/>
        </w:rPr>
        <w:t xml:space="preserve"> 210</w:t>
      </w:r>
      <w:r>
        <w:rPr>
          <w:rFonts w:hint="eastAsia"/>
          <w:kern w:val="0"/>
          <w:sz w:val="24"/>
          <w:szCs w:val="20"/>
        </w:rPr>
        <w:t>mg/L、S</w:t>
      </w:r>
      <w:r>
        <w:rPr>
          <w:kern w:val="0"/>
          <w:sz w:val="24"/>
          <w:szCs w:val="20"/>
        </w:rPr>
        <w:t>S 350</w:t>
      </w:r>
      <w:r>
        <w:rPr>
          <w:rFonts w:hint="eastAsia"/>
          <w:kern w:val="0"/>
          <w:sz w:val="24"/>
          <w:szCs w:val="20"/>
        </w:rPr>
        <w:t>mg/L、氨氮</w:t>
      </w:r>
      <w:r>
        <w:rPr>
          <w:kern w:val="0"/>
          <w:sz w:val="24"/>
          <w:szCs w:val="20"/>
        </w:rPr>
        <w:t>40</w:t>
      </w:r>
      <w:r>
        <w:rPr>
          <w:rFonts w:hint="eastAsia"/>
          <w:kern w:val="0"/>
          <w:sz w:val="24"/>
          <w:szCs w:val="20"/>
        </w:rPr>
        <w:t>mg/L、T</w:t>
      </w:r>
      <w:r>
        <w:rPr>
          <w:kern w:val="0"/>
          <w:sz w:val="24"/>
          <w:szCs w:val="20"/>
        </w:rPr>
        <w:t>P 4</w:t>
      </w:r>
      <w:r>
        <w:rPr>
          <w:rFonts w:hint="eastAsia"/>
          <w:kern w:val="0"/>
          <w:sz w:val="24"/>
          <w:szCs w:val="20"/>
        </w:rPr>
        <w:t>mg/L、T</w:t>
      </w:r>
      <w:r>
        <w:rPr>
          <w:kern w:val="0"/>
          <w:sz w:val="24"/>
          <w:szCs w:val="20"/>
        </w:rPr>
        <w:t>N 50</w:t>
      </w:r>
      <w:r>
        <w:rPr>
          <w:rFonts w:hint="eastAsia"/>
          <w:kern w:val="0"/>
          <w:sz w:val="24"/>
          <w:szCs w:val="20"/>
        </w:rPr>
        <w:t>mg/L</w:t>
      </w:r>
      <w:r>
        <w:rPr>
          <w:kern w:val="0"/>
          <w:sz w:val="24"/>
          <w:szCs w:val="20"/>
          <w:lang w:val="zh-CN"/>
        </w:rPr>
        <w:t>）。</w:t>
      </w:r>
    </w:p>
    <w:p>
      <w:pPr>
        <w:spacing w:line="520" w:lineRule="exact"/>
        <w:outlineLvl w:val="3"/>
        <w:rPr>
          <w:sz w:val="24"/>
        </w:rPr>
      </w:pPr>
      <w:r>
        <w:rPr>
          <w:sz w:val="24"/>
        </w:rPr>
        <w:t>10.1.6.3噪声污染防治措施</w:t>
      </w:r>
    </w:p>
    <w:p>
      <w:pPr>
        <w:spacing w:line="520" w:lineRule="exact"/>
        <w:ind w:firstLine="480" w:firstLineChars="200"/>
        <w:rPr>
          <w:spacing w:val="-2"/>
          <w:kern w:val="0"/>
          <w:sz w:val="24"/>
          <w:szCs w:val="24"/>
          <w:lang w:val="zh-CN"/>
        </w:rPr>
      </w:pPr>
      <w:r>
        <w:rPr>
          <w:bCs/>
          <w:kern w:val="0"/>
          <w:sz w:val="24"/>
          <w:szCs w:val="20"/>
          <w:lang w:val="zh-CN"/>
        </w:rPr>
        <w:t>本工程高噪声设备主要为</w:t>
      </w:r>
      <w:r>
        <w:rPr>
          <w:rFonts w:hint="eastAsia"/>
          <w:bCs/>
          <w:kern w:val="0"/>
          <w:sz w:val="24"/>
          <w:szCs w:val="20"/>
        </w:rPr>
        <w:t>各种风机、超微过滤机、叠螺污泥脱水机、各种泵类</w:t>
      </w:r>
      <w:r>
        <w:rPr>
          <w:bCs/>
          <w:kern w:val="0"/>
          <w:sz w:val="24"/>
          <w:szCs w:val="20"/>
        </w:rPr>
        <w:t>等</w:t>
      </w:r>
      <w:r>
        <w:rPr>
          <w:bCs/>
          <w:kern w:val="0"/>
          <w:sz w:val="24"/>
          <w:szCs w:val="20"/>
          <w:lang w:val="zh-CN"/>
        </w:rPr>
        <w:t>，噪声源强在80-90dB（A）。通过采取基础减震、加消音器、厂房隔</w:t>
      </w:r>
      <w:r>
        <w:rPr>
          <w:rFonts w:hint="eastAsia"/>
          <w:bCs/>
          <w:kern w:val="0"/>
          <w:sz w:val="24"/>
          <w:szCs w:val="20"/>
          <w:lang w:val="zh-CN"/>
        </w:rPr>
        <w:t>声</w:t>
      </w:r>
      <w:r>
        <w:rPr>
          <w:bCs/>
          <w:kern w:val="0"/>
          <w:sz w:val="24"/>
          <w:szCs w:val="20"/>
          <w:lang w:val="zh-CN"/>
        </w:rPr>
        <w:t>等措施降低噪声源强，减轻对周围声环境的影响。在采取上述噪声防治措施后，经过距离衰减，工程对厂界的噪声预测值可满足《工业企业厂界噪声排放标准》（GB12348-2008）中3类</w:t>
      </w:r>
      <w:r>
        <w:rPr>
          <w:kern w:val="0"/>
          <w:sz w:val="24"/>
          <w:szCs w:val="20"/>
        </w:rPr>
        <w:t>昼间65dB(A)、夜间55dB(A)的标准要求</w:t>
      </w:r>
      <w:r>
        <w:rPr>
          <w:rFonts w:hint="eastAsia"/>
          <w:bCs/>
          <w:kern w:val="0"/>
          <w:sz w:val="24"/>
          <w:szCs w:val="20"/>
          <w:lang w:val="zh-CN"/>
        </w:rPr>
        <w:t>，对最近的敏感点小庄村的噪声预测值可满足</w:t>
      </w:r>
      <w:r>
        <w:rPr>
          <w:rFonts w:hint="eastAsia"/>
          <w:kern w:val="0"/>
          <w:sz w:val="24"/>
          <w:szCs w:val="20"/>
        </w:rPr>
        <w:t>《声环境质量标准》（</w:t>
      </w:r>
      <w:r>
        <w:rPr>
          <w:kern w:val="0"/>
          <w:sz w:val="24"/>
          <w:szCs w:val="20"/>
        </w:rPr>
        <w:t>GB3096</w:t>
      </w:r>
      <w:r>
        <w:rPr>
          <w:rFonts w:hint="eastAsia"/>
          <w:kern w:val="0"/>
          <w:sz w:val="24"/>
          <w:szCs w:val="20"/>
        </w:rPr>
        <w:t>-2008）2类</w:t>
      </w:r>
      <w:r>
        <w:rPr>
          <w:kern w:val="0"/>
          <w:sz w:val="24"/>
          <w:szCs w:val="20"/>
        </w:rPr>
        <w:t>昼间60dB(A)、夜间50dB(A)的标准要求</w:t>
      </w:r>
      <w:r>
        <w:rPr>
          <w:bCs/>
          <w:kern w:val="0"/>
          <w:sz w:val="24"/>
          <w:szCs w:val="20"/>
          <w:lang w:val="zh-CN"/>
        </w:rPr>
        <w:t>。</w:t>
      </w:r>
    </w:p>
    <w:p>
      <w:pPr>
        <w:spacing w:line="520" w:lineRule="exact"/>
        <w:outlineLvl w:val="3"/>
        <w:rPr>
          <w:sz w:val="24"/>
        </w:rPr>
      </w:pPr>
      <w:r>
        <w:rPr>
          <w:sz w:val="24"/>
        </w:rPr>
        <w:t>10.1.6.4固废污染防治措施</w:t>
      </w:r>
    </w:p>
    <w:p>
      <w:pPr>
        <w:spacing w:line="520" w:lineRule="exact"/>
        <w:ind w:firstLine="480" w:firstLineChars="200"/>
        <w:rPr>
          <w:spacing w:val="-2"/>
          <w:sz w:val="24"/>
          <w:highlight w:val="yellow"/>
        </w:rPr>
      </w:pPr>
      <w:r>
        <w:rPr>
          <w:bCs/>
          <w:sz w:val="24"/>
        </w:rPr>
        <w:t>本工程的固废</w:t>
      </w:r>
      <w:r>
        <w:rPr>
          <w:rFonts w:hint="eastAsia"/>
          <w:bCs/>
          <w:sz w:val="24"/>
        </w:rPr>
        <w:t>主要为</w:t>
      </w:r>
      <w:r>
        <w:rPr>
          <w:bCs/>
          <w:sz w:val="24"/>
        </w:rPr>
        <w:t>一般工业固废</w:t>
      </w:r>
      <w:r>
        <w:rPr>
          <w:rFonts w:hint="eastAsia"/>
          <w:bCs/>
          <w:sz w:val="24"/>
        </w:rPr>
        <w:t>，主要包括格栅和超微过滤机产生的废渣</w:t>
      </w:r>
      <w:r>
        <w:rPr>
          <w:bCs/>
          <w:sz w:val="24"/>
        </w:rPr>
        <w:t>、</w:t>
      </w:r>
      <w:r>
        <w:rPr>
          <w:rFonts w:hint="eastAsia"/>
          <w:bCs/>
          <w:sz w:val="24"/>
        </w:rPr>
        <w:t>污泥脱水后的污泥</w:t>
      </w:r>
      <w:r>
        <w:rPr>
          <w:spacing w:val="-2"/>
          <w:sz w:val="24"/>
        </w:rPr>
        <w:t>。</w:t>
      </w:r>
      <w:r>
        <w:rPr>
          <w:rFonts w:hint="eastAsia"/>
          <w:bCs/>
          <w:spacing w:val="-2"/>
          <w:sz w:val="24"/>
          <w:szCs w:val="24"/>
        </w:rPr>
        <w:t>废渣不在厂区内贮存直接拉走</w:t>
      </w:r>
      <w:r>
        <w:rPr>
          <w:bCs/>
          <w:spacing w:val="-2"/>
          <w:sz w:val="24"/>
          <w:szCs w:val="24"/>
        </w:rPr>
        <w:t>。</w:t>
      </w:r>
      <w:r>
        <w:rPr>
          <w:rFonts w:hint="eastAsia"/>
          <w:bCs/>
          <w:spacing w:val="-2"/>
          <w:sz w:val="24"/>
          <w:szCs w:val="24"/>
        </w:rPr>
        <w:t>污泥经拉泥车直接拉走，不在厂区内贮存，拟交由原阳县康恒环保能源有限公司焚烧发电综合利用</w:t>
      </w:r>
      <w:r>
        <w:rPr>
          <w:bCs/>
          <w:spacing w:val="-2"/>
          <w:sz w:val="24"/>
          <w:szCs w:val="24"/>
        </w:rPr>
        <w:t>。</w:t>
      </w:r>
    </w:p>
    <w:p>
      <w:pPr>
        <w:spacing w:line="520" w:lineRule="exact"/>
        <w:ind w:firstLine="480" w:firstLineChars="200"/>
        <w:rPr>
          <w:spacing w:val="-2"/>
          <w:kern w:val="0"/>
          <w:sz w:val="24"/>
          <w:szCs w:val="24"/>
          <w:lang w:val="zh-CN"/>
        </w:rPr>
      </w:pPr>
      <w:r>
        <w:rPr>
          <w:bCs/>
          <w:kern w:val="0"/>
          <w:sz w:val="24"/>
          <w:szCs w:val="20"/>
        </w:rPr>
        <w:t>建设单位应严格按照《一般工业固体废物贮存和填埋污染控制标准》（GB18599-2020）的要求进行建设</w:t>
      </w:r>
      <w:r>
        <w:rPr>
          <w:rFonts w:hint="eastAsia"/>
          <w:spacing w:val="-2"/>
          <w:kern w:val="0"/>
          <w:sz w:val="24"/>
          <w:szCs w:val="24"/>
          <w:lang w:val="zh-CN"/>
        </w:rPr>
        <w:t>落泥间及污泥脱水间</w:t>
      </w:r>
      <w:r>
        <w:rPr>
          <w:spacing w:val="-2"/>
          <w:kern w:val="0"/>
          <w:sz w:val="24"/>
          <w:szCs w:val="24"/>
          <w:lang w:val="zh-CN"/>
        </w:rPr>
        <w:t>。</w:t>
      </w:r>
    </w:p>
    <w:p>
      <w:pPr>
        <w:spacing w:line="520" w:lineRule="exact"/>
        <w:outlineLvl w:val="3"/>
        <w:rPr>
          <w:sz w:val="24"/>
        </w:rPr>
      </w:pPr>
      <w:r>
        <w:rPr>
          <w:sz w:val="24"/>
        </w:rPr>
        <w:t>10.1.6.5土壤污染防治措施</w:t>
      </w:r>
    </w:p>
    <w:p>
      <w:pPr>
        <w:spacing w:line="520" w:lineRule="exact"/>
        <w:ind w:firstLine="472" w:firstLineChars="200"/>
        <w:rPr>
          <w:spacing w:val="-2"/>
          <w:kern w:val="0"/>
          <w:sz w:val="24"/>
          <w:szCs w:val="24"/>
          <w:lang w:val="zh-CN"/>
        </w:rPr>
      </w:pPr>
      <w:r>
        <w:rPr>
          <w:spacing w:val="-2"/>
          <w:kern w:val="0"/>
          <w:sz w:val="24"/>
          <w:szCs w:val="24"/>
          <w:lang w:val="zh-CN"/>
        </w:rPr>
        <w:t>本项目</w:t>
      </w:r>
      <w:r>
        <w:rPr>
          <w:kern w:val="0"/>
          <w:sz w:val="24"/>
          <w:szCs w:val="20"/>
        </w:rPr>
        <w:t>可能对土壤环境造成影响的污染因素为废气、废水和固废。评价要求企业先采取源头控制的措施，采取绿色清洁生产工艺，最大限度减少污染物产生量，同时对废气、废水和固废进行深度治理，减少污染物排放量。最后，从项目地面分区防渗等角度入手，预防生产期间废水污染迁移，杜绝废水长期下渗形成的污染，杜绝固废长期堆存期间产生浸出液污染；并制定本项目土壤跟踪监测计划，对厂区及周边土壤进行跟踪监测。</w:t>
      </w:r>
    </w:p>
    <w:p>
      <w:pPr>
        <w:spacing w:line="520" w:lineRule="exact"/>
        <w:outlineLvl w:val="3"/>
        <w:rPr>
          <w:sz w:val="24"/>
        </w:rPr>
      </w:pPr>
      <w:r>
        <w:rPr>
          <w:sz w:val="24"/>
        </w:rPr>
        <w:t>10.1.6.6地下水污染防治措施</w:t>
      </w:r>
    </w:p>
    <w:p>
      <w:pPr>
        <w:spacing w:line="520" w:lineRule="exact"/>
        <w:ind w:firstLine="472" w:firstLineChars="200"/>
        <w:rPr>
          <w:bCs/>
          <w:kern w:val="0"/>
          <w:sz w:val="24"/>
          <w:szCs w:val="20"/>
        </w:rPr>
      </w:pPr>
      <w:r>
        <w:rPr>
          <w:spacing w:val="-2"/>
          <w:kern w:val="0"/>
          <w:sz w:val="24"/>
          <w:szCs w:val="24"/>
          <w:lang w:val="zh-CN"/>
        </w:rPr>
        <w:t>为针对本项目可能发生的地下水污染，本项目地下水污染防治措施将按照“源头控制、分区防治、污染监控、应急响应”相结合的原则，从污染物的产生、入渗、扩散、应急响应全方位进行控制。同时，为了及时准确掌握项目区及下游地下水环境质量状况和地下水体中污染物的动态变化，项目应制定地下水跟踪</w:t>
      </w:r>
      <w:r>
        <w:rPr>
          <w:kern w:val="0"/>
          <w:sz w:val="24"/>
          <w:szCs w:val="20"/>
        </w:rPr>
        <w:t>监测计划，对厂区及周边地下水进行跟踪监测。</w:t>
      </w:r>
    </w:p>
    <w:p>
      <w:pPr>
        <w:keepNext/>
        <w:keepLines/>
        <w:spacing w:line="520" w:lineRule="exact"/>
        <w:outlineLvl w:val="2"/>
        <w:rPr>
          <w:rFonts w:eastAsia="黑体"/>
          <w:sz w:val="28"/>
          <w:szCs w:val="28"/>
        </w:rPr>
      </w:pPr>
      <w:r>
        <w:rPr>
          <w:rFonts w:eastAsia="黑体"/>
          <w:sz w:val="28"/>
          <w:szCs w:val="28"/>
        </w:rPr>
        <w:t>10.1.7 工程污染防治措施投资估算</w:t>
      </w:r>
    </w:p>
    <w:p>
      <w:pPr>
        <w:spacing w:line="520" w:lineRule="exact"/>
        <w:ind w:firstLine="480" w:firstLineChars="200"/>
        <w:rPr>
          <w:bCs/>
          <w:kern w:val="0"/>
          <w:sz w:val="24"/>
          <w:szCs w:val="20"/>
          <w:lang w:val="zh-CN"/>
        </w:rPr>
      </w:pPr>
      <w:r>
        <w:rPr>
          <w:bCs/>
          <w:kern w:val="0"/>
          <w:sz w:val="24"/>
          <w:szCs w:val="20"/>
          <w:lang w:val="zh-CN"/>
        </w:rPr>
        <w:t>本次工程总投资30000万元，环保设施投资1400万元，占工程总投资的4.7%。企业应保证环保资金的落实，专款专用，并做到环保与环境风险防范设施与主体工程同时设计、同时施工、同时投产使用。</w:t>
      </w:r>
    </w:p>
    <w:p>
      <w:pPr>
        <w:keepNext/>
        <w:keepLines/>
        <w:spacing w:line="520" w:lineRule="exact"/>
        <w:outlineLvl w:val="2"/>
        <w:rPr>
          <w:rFonts w:eastAsia="黑体"/>
          <w:sz w:val="28"/>
          <w:szCs w:val="28"/>
        </w:rPr>
      </w:pPr>
      <w:r>
        <w:rPr>
          <w:rFonts w:eastAsia="黑体"/>
          <w:sz w:val="28"/>
          <w:szCs w:val="28"/>
        </w:rPr>
        <w:t>10.1.8 环境影响经济损益分析</w:t>
      </w:r>
    </w:p>
    <w:p>
      <w:pPr>
        <w:tabs>
          <w:tab w:val="left" w:pos="630"/>
        </w:tabs>
        <w:spacing w:line="520" w:lineRule="exact"/>
        <w:ind w:firstLine="472" w:firstLineChars="200"/>
        <w:rPr>
          <w:spacing w:val="-2"/>
          <w:sz w:val="24"/>
        </w:rPr>
      </w:pPr>
      <w:r>
        <w:rPr>
          <w:spacing w:val="-2"/>
          <w:sz w:val="24"/>
        </w:rPr>
        <w:t>本项目符合国家产业政策和环境保护政策，通过严格的管理及控制技术，能够节约能源消耗、降低生产成本。项目的实施在促进地方经济发展的同时又具有良好的社会效益。该项目市场前景良好，并有较好的盈利能力、清偿能力和抗风险能力，从社会经济角度看也是可行的。项目在保证环保投资的前提下，能够达标排放，环境效益比较明显，从环境经济角度来看也是合理可行的。</w:t>
      </w:r>
    </w:p>
    <w:p>
      <w:pPr>
        <w:keepNext/>
        <w:keepLines/>
        <w:spacing w:line="520" w:lineRule="exact"/>
        <w:outlineLvl w:val="2"/>
        <w:rPr>
          <w:rFonts w:eastAsia="黑体"/>
          <w:sz w:val="28"/>
          <w:szCs w:val="28"/>
        </w:rPr>
      </w:pPr>
      <w:r>
        <w:rPr>
          <w:rFonts w:eastAsia="黑体"/>
          <w:sz w:val="28"/>
          <w:szCs w:val="28"/>
        </w:rPr>
        <w:t>10.1.9 环境管理与监测计划</w:t>
      </w:r>
    </w:p>
    <w:p>
      <w:pPr>
        <w:spacing w:line="520" w:lineRule="exact"/>
        <w:ind w:firstLine="480" w:firstLineChars="200"/>
        <w:rPr>
          <w:sz w:val="24"/>
          <w:szCs w:val="24"/>
        </w:rPr>
      </w:pPr>
      <w:r>
        <w:rPr>
          <w:sz w:val="24"/>
          <w:szCs w:val="24"/>
        </w:rPr>
        <w:t>针对本次项目制定环境管理制度，包括废水、废气等处理设施运行维护、环境事故风险应急等相关管理制度，并保证落实到位。另外针对项目环保设施运行制定专门的用款制度，对于设备设施的维护制定专门的财务计划，保障环保设施正常运行的费用及时落实到位。日常监测包括对主要污染产生设施的控制参数检测和记录，对污染物处理设施和排放的监测和记录，不具备监测能力的可委外监测。因此本项目环境管理与监测计划可行。</w:t>
      </w:r>
    </w:p>
    <w:p>
      <w:pPr>
        <w:keepNext/>
        <w:keepLines/>
        <w:spacing w:line="520" w:lineRule="exact"/>
        <w:outlineLvl w:val="2"/>
        <w:rPr>
          <w:rFonts w:eastAsia="黑体"/>
          <w:sz w:val="28"/>
          <w:szCs w:val="28"/>
        </w:rPr>
      </w:pPr>
      <w:r>
        <w:rPr>
          <w:rFonts w:eastAsia="黑体"/>
          <w:sz w:val="28"/>
          <w:szCs w:val="28"/>
        </w:rPr>
        <w:t xml:space="preserve">10.1.10 </w:t>
      </w:r>
      <w:r>
        <w:rPr>
          <w:rFonts w:hint="eastAsia" w:eastAsia="黑体"/>
          <w:sz w:val="28"/>
          <w:szCs w:val="28"/>
        </w:rPr>
        <w:t>公众参与</w:t>
      </w:r>
    </w:p>
    <w:p>
      <w:pPr>
        <w:spacing w:line="520" w:lineRule="exact"/>
        <w:ind w:firstLine="480" w:firstLineChars="200"/>
        <w:rPr>
          <w:rFonts w:ascii="Calibri" w:hAnsi="Calibri"/>
        </w:rPr>
      </w:pPr>
      <w:r>
        <w:rPr>
          <w:rFonts w:hint="eastAsia"/>
          <w:sz w:val="24"/>
          <w:szCs w:val="24"/>
        </w:rPr>
        <w:t>河南羽佳金门实业有限公司按照《环境影响评价公众参与办法》（生态环境部令第4号，2019.1.1）的要求开展了公众参与调查，</w:t>
      </w:r>
      <w:r>
        <w:rPr>
          <w:sz w:val="24"/>
          <w:szCs w:val="24"/>
        </w:rPr>
        <w:t>2023</w:t>
      </w:r>
      <w:r>
        <w:rPr>
          <w:rFonts w:hint="eastAsia"/>
          <w:sz w:val="24"/>
          <w:szCs w:val="24"/>
        </w:rPr>
        <w:t>年</w:t>
      </w:r>
      <w:r>
        <w:rPr>
          <w:sz w:val="24"/>
          <w:szCs w:val="24"/>
        </w:rPr>
        <w:t>2</w:t>
      </w:r>
      <w:r>
        <w:rPr>
          <w:rFonts w:hint="eastAsia"/>
          <w:sz w:val="24"/>
          <w:szCs w:val="24"/>
        </w:rPr>
        <w:t>月</w:t>
      </w:r>
      <w:r>
        <w:rPr>
          <w:sz w:val="24"/>
          <w:szCs w:val="24"/>
        </w:rPr>
        <w:t>20</w:t>
      </w:r>
      <w:r>
        <w:rPr>
          <w:rFonts w:hint="eastAsia"/>
          <w:sz w:val="24"/>
          <w:szCs w:val="24"/>
        </w:rPr>
        <w:t>日在</w:t>
      </w:r>
      <w:r>
        <w:rPr>
          <w:sz w:val="24"/>
          <w:szCs w:val="24"/>
        </w:rPr>
        <w:t>网络平台</w:t>
      </w:r>
      <w:r>
        <w:rPr>
          <w:rFonts w:hint="eastAsia"/>
          <w:sz w:val="24"/>
          <w:szCs w:val="24"/>
        </w:rPr>
        <w:t>（http://henanlt.com/）</w:t>
      </w:r>
      <w:r>
        <w:rPr>
          <w:sz w:val="24"/>
          <w:szCs w:val="24"/>
        </w:rPr>
        <w:t>进行了第一次媒体公示</w:t>
      </w:r>
      <w:r>
        <w:rPr>
          <w:rFonts w:hint="eastAsia"/>
          <w:sz w:val="24"/>
          <w:szCs w:val="24"/>
        </w:rPr>
        <w:t>，2023年</w:t>
      </w:r>
      <w:r>
        <w:rPr>
          <w:sz w:val="24"/>
          <w:szCs w:val="24"/>
        </w:rPr>
        <w:t>7</w:t>
      </w:r>
      <w:r>
        <w:rPr>
          <w:rFonts w:hint="eastAsia"/>
          <w:sz w:val="24"/>
          <w:szCs w:val="24"/>
        </w:rPr>
        <w:t>月</w:t>
      </w:r>
      <w:r>
        <w:rPr>
          <w:sz w:val="24"/>
          <w:szCs w:val="24"/>
        </w:rPr>
        <w:t>7</w:t>
      </w:r>
      <w:r>
        <w:rPr>
          <w:rFonts w:hint="eastAsia"/>
          <w:sz w:val="24"/>
          <w:szCs w:val="24"/>
        </w:rPr>
        <w:t>日，建设单位在网络平台（http://henanlt.com/）进行了项目</w:t>
      </w:r>
      <w:r>
        <w:rPr>
          <w:sz w:val="24"/>
          <w:szCs w:val="24"/>
        </w:rPr>
        <w:t>环境影响报告书</w:t>
      </w:r>
      <w:r>
        <w:rPr>
          <w:rFonts w:hint="eastAsia"/>
          <w:sz w:val="24"/>
          <w:szCs w:val="24"/>
        </w:rPr>
        <w:t>征求意见稿公示，同时在距离项目最近的敏感点小庄村进行了张贴公示和入户调查，并于2023年</w:t>
      </w:r>
      <w:r>
        <w:rPr>
          <w:sz w:val="24"/>
          <w:szCs w:val="24"/>
        </w:rPr>
        <w:t>7</w:t>
      </w:r>
      <w:r>
        <w:rPr>
          <w:rFonts w:hint="eastAsia"/>
          <w:sz w:val="24"/>
          <w:szCs w:val="24"/>
        </w:rPr>
        <w:t>月</w:t>
      </w:r>
      <w:r>
        <w:rPr>
          <w:sz w:val="24"/>
          <w:szCs w:val="24"/>
        </w:rPr>
        <w:t>19</w:t>
      </w:r>
      <w:r>
        <w:rPr>
          <w:rFonts w:hint="eastAsia"/>
          <w:sz w:val="24"/>
          <w:szCs w:val="24"/>
        </w:rPr>
        <w:t>日和</w:t>
      </w:r>
      <w:r>
        <w:rPr>
          <w:sz w:val="24"/>
          <w:szCs w:val="24"/>
        </w:rPr>
        <w:t>7</w:t>
      </w:r>
      <w:r>
        <w:rPr>
          <w:rFonts w:hint="eastAsia"/>
          <w:sz w:val="24"/>
          <w:szCs w:val="24"/>
        </w:rPr>
        <w:t>月</w:t>
      </w:r>
      <w:r>
        <w:rPr>
          <w:sz w:val="24"/>
          <w:szCs w:val="24"/>
        </w:rPr>
        <w:t>20</w:t>
      </w:r>
      <w:r>
        <w:rPr>
          <w:rFonts w:hint="eastAsia"/>
          <w:sz w:val="24"/>
          <w:szCs w:val="24"/>
        </w:rPr>
        <w:t>日在新乡日报进行了两次报纸公示，征求了区域公众的意见。建设单位在公众参与期间发放公众意见调查表，公众及相关单位均对项目持支持态度。建设单位按照要求编制完成了《</w:t>
      </w:r>
      <w:r>
        <w:rPr>
          <w:rFonts w:hint="eastAsia"/>
          <w:sz w:val="24"/>
          <w:szCs w:val="24"/>
          <w:lang w:val="zh-CN"/>
        </w:rPr>
        <w:t>河南羽佳金门实业有限公司预制菜创新孵化园建设</w:t>
      </w:r>
      <w:r>
        <w:rPr>
          <w:sz w:val="24"/>
          <w:szCs w:val="24"/>
          <w:lang w:val="zh-CN"/>
        </w:rPr>
        <w:t>项目</w:t>
      </w:r>
      <w:r>
        <w:rPr>
          <w:rFonts w:hint="eastAsia"/>
          <w:sz w:val="24"/>
          <w:szCs w:val="24"/>
        </w:rPr>
        <w:t>环境影响评价公众参与说明》。</w:t>
      </w:r>
    </w:p>
    <w:p>
      <w:pPr>
        <w:keepNext/>
        <w:keepLines/>
        <w:spacing w:line="520" w:lineRule="exact"/>
        <w:outlineLvl w:val="2"/>
        <w:rPr>
          <w:rFonts w:eastAsia="黑体"/>
          <w:sz w:val="28"/>
          <w:szCs w:val="28"/>
        </w:rPr>
      </w:pPr>
      <w:r>
        <w:rPr>
          <w:rFonts w:eastAsia="黑体"/>
          <w:sz w:val="28"/>
          <w:szCs w:val="28"/>
        </w:rPr>
        <w:t>10.1.11污染物总量控制指标建议</w:t>
      </w:r>
    </w:p>
    <w:p>
      <w:pPr>
        <w:spacing w:line="520" w:lineRule="exact"/>
        <w:ind w:firstLine="480" w:firstLineChars="200"/>
        <w:rPr>
          <w:bCs/>
          <w:sz w:val="24"/>
          <w:szCs w:val="24"/>
        </w:rPr>
      </w:pPr>
      <w:r>
        <w:rPr>
          <w:bCs/>
          <w:sz w:val="24"/>
          <w:szCs w:val="24"/>
        </w:rPr>
        <w:t>根据《新乡市生态环境局关于转发&lt;河南省生态环境厅关于印发建设项目主要污染物排放总量指标管理工作内部规程的通知&gt;的通知》，建设项目环境影响评价文件中应明确建设项目主要污染物排放总量及替代方案。</w:t>
      </w:r>
    </w:p>
    <w:p>
      <w:pPr>
        <w:spacing w:line="520" w:lineRule="exact"/>
        <w:ind w:firstLine="480" w:firstLineChars="200"/>
        <w:rPr>
          <w:b/>
          <w:sz w:val="24"/>
          <w:szCs w:val="24"/>
          <w:highlight w:val="yellow"/>
          <w:u w:val="single"/>
        </w:rPr>
      </w:pPr>
      <w:r>
        <w:rPr>
          <w:rFonts w:hint="eastAsia"/>
          <w:bCs/>
          <w:sz w:val="24"/>
          <w:szCs w:val="24"/>
        </w:rPr>
        <w:t xml:space="preserve">本项目污染物COD </w:t>
      </w:r>
      <w:r>
        <w:rPr>
          <w:bCs/>
          <w:sz w:val="24"/>
          <w:szCs w:val="24"/>
        </w:rPr>
        <w:t>24</w:t>
      </w:r>
      <w:r>
        <w:rPr>
          <w:rFonts w:hint="eastAsia"/>
          <w:bCs/>
          <w:sz w:val="24"/>
          <w:szCs w:val="24"/>
        </w:rPr>
        <w:t>t/a、氨氮</w:t>
      </w:r>
      <w:r>
        <w:rPr>
          <w:bCs/>
          <w:sz w:val="24"/>
          <w:szCs w:val="24"/>
        </w:rPr>
        <w:t>1.2</w:t>
      </w:r>
      <w:r>
        <w:rPr>
          <w:rFonts w:hint="eastAsia"/>
          <w:bCs/>
          <w:sz w:val="24"/>
          <w:szCs w:val="24"/>
        </w:rPr>
        <w:t>t/a需要</w:t>
      </w:r>
      <w:r>
        <w:rPr>
          <w:bCs/>
          <w:sz w:val="24"/>
          <w:szCs w:val="24"/>
        </w:rPr>
        <w:t>区域内</w:t>
      </w:r>
      <w:r>
        <w:rPr>
          <w:rFonts w:hint="eastAsia"/>
          <w:bCs/>
          <w:sz w:val="24"/>
          <w:szCs w:val="24"/>
        </w:rPr>
        <w:t>进行等量</w:t>
      </w:r>
      <w:r>
        <w:rPr>
          <w:bCs/>
          <w:sz w:val="24"/>
          <w:szCs w:val="24"/>
        </w:rPr>
        <w:t>替代</w:t>
      </w:r>
      <w:r>
        <w:rPr>
          <w:rFonts w:hint="eastAsia"/>
          <w:bCs/>
          <w:sz w:val="24"/>
          <w:szCs w:val="24"/>
        </w:rPr>
        <w:t>，总量替代来自原阳县产业集聚区污水处理厂进水量增加产生的减排量剩余量COD 586.5231t、氨氮 39.6325t。</w:t>
      </w:r>
    </w:p>
    <w:p>
      <w:pPr>
        <w:keepNext/>
        <w:keepLines/>
        <w:spacing w:line="520" w:lineRule="exact"/>
        <w:jc w:val="left"/>
        <w:outlineLvl w:val="1"/>
        <w:rPr>
          <w:rFonts w:eastAsia="黑体"/>
          <w:bCs/>
          <w:kern w:val="24"/>
          <w:sz w:val="28"/>
          <w:szCs w:val="20"/>
          <w:lang w:val="zh-CN"/>
        </w:rPr>
      </w:pPr>
      <w:bookmarkStart w:id="272" w:name="_Toc75824240"/>
      <w:bookmarkStart w:id="273" w:name="_Toc10414"/>
      <w:r>
        <w:rPr>
          <w:rFonts w:eastAsia="黑体"/>
          <w:bCs/>
          <w:kern w:val="24"/>
          <w:sz w:val="28"/>
          <w:szCs w:val="20"/>
          <w:lang w:val="zh-CN"/>
        </w:rPr>
        <w:t>10.2建议</w:t>
      </w:r>
      <w:bookmarkEnd w:id="272"/>
      <w:bookmarkEnd w:id="273"/>
    </w:p>
    <w:p>
      <w:pPr>
        <w:adjustRightInd w:val="0"/>
        <w:snapToGrid w:val="0"/>
        <w:spacing w:line="520" w:lineRule="exact"/>
        <w:ind w:firstLine="480" w:firstLineChars="200"/>
        <w:textAlignment w:val="baseline"/>
        <w:rPr>
          <w:kern w:val="0"/>
          <w:sz w:val="24"/>
          <w:szCs w:val="20"/>
        </w:rPr>
      </w:pPr>
      <w:r>
        <w:rPr>
          <w:kern w:val="0"/>
          <w:sz w:val="24"/>
          <w:szCs w:val="20"/>
        </w:rPr>
        <w:t>（1）建设单位应严格执行环保“三同时”制度，确保环保资金落实到位。</w:t>
      </w:r>
    </w:p>
    <w:p>
      <w:pPr>
        <w:adjustRightInd w:val="0"/>
        <w:snapToGrid w:val="0"/>
        <w:spacing w:line="520" w:lineRule="exact"/>
        <w:ind w:firstLine="480" w:firstLineChars="200"/>
        <w:textAlignment w:val="baseline"/>
        <w:rPr>
          <w:kern w:val="0"/>
          <w:sz w:val="24"/>
          <w:szCs w:val="20"/>
        </w:rPr>
      </w:pPr>
      <w:r>
        <w:rPr>
          <w:kern w:val="0"/>
          <w:sz w:val="24"/>
          <w:szCs w:val="20"/>
        </w:rPr>
        <w:t>（2）建立健全安全生产和管理制度，积极消除事故隐患，杜绝事故发生。</w:t>
      </w:r>
    </w:p>
    <w:p>
      <w:pPr>
        <w:adjustRightInd w:val="0"/>
        <w:snapToGrid w:val="0"/>
        <w:spacing w:line="520" w:lineRule="exact"/>
        <w:ind w:firstLine="480" w:firstLineChars="200"/>
        <w:textAlignment w:val="baseline"/>
        <w:rPr>
          <w:kern w:val="0"/>
          <w:sz w:val="24"/>
          <w:szCs w:val="20"/>
        </w:rPr>
      </w:pPr>
      <w:r>
        <w:rPr>
          <w:kern w:val="0"/>
          <w:sz w:val="24"/>
          <w:szCs w:val="20"/>
        </w:rPr>
        <w:t>（3）加强公司清洁生产工作，认真实施各项清洁生产措施，提高原料利用率，减少污染物的排放量。</w:t>
      </w:r>
    </w:p>
    <w:p>
      <w:pPr>
        <w:adjustRightInd w:val="0"/>
        <w:snapToGrid w:val="0"/>
        <w:spacing w:line="520" w:lineRule="exact"/>
        <w:ind w:firstLine="480" w:firstLineChars="200"/>
        <w:textAlignment w:val="baseline"/>
        <w:rPr>
          <w:kern w:val="0"/>
          <w:sz w:val="24"/>
          <w:szCs w:val="20"/>
        </w:rPr>
      </w:pPr>
      <w:r>
        <w:rPr>
          <w:kern w:val="0"/>
          <w:sz w:val="24"/>
          <w:szCs w:val="20"/>
        </w:rPr>
        <w:t>（4）加强厂区及周围的环境绿化，利用绿色植物阻滞粉尘、吸音降噪作用，有效降低噪声对外环境的影响。</w:t>
      </w:r>
    </w:p>
    <w:p>
      <w:pPr>
        <w:adjustRightInd w:val="0"/>
        <w:snapToGrid w:val="0"/>
        <w:spacing w:line="520" w:lineRule="exact"/>
        <w:ind w:firstLine="480" w:firstLineChars="200"/>
        <w:textAlignment w:val="baseline"/>
        <w:rPr>
          <w:kern w:val="0"/>
          <w:sz w:val="24"/>
          <w:szCs w:val="20"/>
        </w:rPr>
      </w:pPr>
      <w:r>
        <w:rPr>
          <w:kern w:val="0"/>
          <w:sz w:val="24"/>
          <w:szCs w:val="20"/>
        </w:rPr>
        <w:t>（5）加强环境保护机构建设，健全环保规章制度，加强对各种污染防治设施的运行管理，定期维护检修，确保其正常稳定运行。</w:t>
      </w:r>
    </w:p>
    <w:p>
      <w:pPr>
        <w:adjustRightInd w:val="0"/>
        <w:snapToGrid w:val="0"/>
        <w:spacing w:line="520" w:lineRule="exact"/>
        <w:ind w:firstLine="480" w:firstLineChars="200"/>
        <w:textAlignment w:val="baseline"/>
        <w:rPr>
          <w:kern w:val="0"/>
          <w:sz w:val="24"/>
          <w:szCs w:val="20"/>
        </w:rPr>
      </w:pPr>
      <w:r>
        <w:rPr>
          <w:kern w:val="0"/>
          <w:sz w:val="24"/>
          <w:szCs w:val="20"/>
        </w:rPr>
        <w:t>（6）规范员工的岗位操作章程制度、增强员工的安全意识。</w:t>
      </w:r>
    </w:p>
    <w:p>
      <w:pPr>
        <w:adjustRightInd w:val="0"/>
        <w:snapToGrid w:val="0"/>
        <w:spacing w:line="520" w:lineRule="exact"/>
        <w:ind w:firstLine="480" w:firstLineChars="200"/>
        <w:textAlignment w:val="baseline"/>
        <w:rPr>
          <w:kern w:val="0"/>
          <w:sz w:val="24"/>
          <w:szCs w:val="20"/>
        </w:rPr>
      </w:pPr>
      <w:r>
        <w:rPr>
          <w:kern w:val="0"/>
          <w:sz w:val="24"/>
          <w:szCs w:val="20"/>
        </w:rPr>
        <w:t>（7）加强废气排放烟囱和固体废物暂存间地的规范化管理，按规定设置明显标志牌和便于监督监测的采样孔。</w:t>
      </w:r>
    </w:p>
    <w:p>
      <w:pPr>
        <w:keepNext/>
        <w:keepLines/>
        <w:spacing w:line="520" w:lineRule="exact"/>
        <w:jc w:val="left"/>
        <w:outlineLvl w:val="1"/>
        <w:rPr>
          <w:rFonts w:eastAsia="黑体"/>
          <w:bCs/>
          <w:kern w:val="24"/>
          <w:sz w:val="28"/>
          <w:szCs w:val="20"/>
          <w:lang w:val="zh-CN"/>
        </w:rPr>
      </w:pPr>
      <w:bookmarkStart w:id="274" w:name="_Toc21591"/>
      <w:r>
        <w:rPr>
          <w:rFonts w:eastAsia="黑体"/>
          <w:bCs/>
          <w:kern w:val="24"/>
          <w:sz w:val="28"/>
          <w:szCs w:val="20"/>
          <w:lang w:val="zh-CN"/>
        </w:rPr>
        <w:t>10.3评价总结论</w:t>
      </w:r>
      <w:bookmarkEnd w:id="274"/>
    </w:p>
    <w:p>
      <w:pPr>
        <w:adjustRightInd w:val="0"/>
        <w:snapToGrid w:val="0"/>
        <w:spacing w:line="520" w:lineRule="exact"/>
        <w:ind w:firstLine="472" w:firstLineChars="200"/>
        <w:textAlignment w:val="baseline"/>
        <w:rPr>
          <w:kern w:val="0"/>
          <w:sz w:val="24"/>
          <w:szCs w:val="20"/>
        </w:rPr>
      </w:pPr>
      <w:r>
        <w:rPr>
          <w:rFonts w:hint="eastAsia"/>
          <w:spacing w:val="-2"/>
          <w:kern w:val="0"/>
          <w:sz w:val="24"/>
          <w:szCs w:val="21"/>
        </w:rPr>
        <w:t>河南羽佳金属实业</w:t>
      </w:r>
      <w:r>
        <w:rPr>
          <w:spacing w:val="-2"/>
          <w:kern w:val="0"/>
          <w:sz w:val="24"/>
          <w:szCs w:val="21"/>
        </w:rPr>
        <w:t>有限公司</w:t>
      </w:r>
      <w:r>
        <w:rPr>
          <w:rFonts w:hint="eastAsia"/>
          <w:spacing w:val="-2"/>
          <w:kern w:val="0"/>
          <w:sz w:val="24"/>
          <w:szCs w:val="21"/>
        </w:rPr>
        <w:t>预制菜创新孵化园建设项目</w:t>
      </w:r>
      <w:r>
        <w:rPr>
          <w:kern w:val="0"/>
          <w:sz w:val="24"/>
          <w:szCs w:val="20"/>
        </w:rPr>
        <w:t>不属于《产业结构调整指导目录（20</w:t>
      </w:r>
      <w:r>
        <w:rPr>
          <w:rFonts w:hint="eastAsia"/>
          <w:kern w:val="0"/>
          <w:sz w:val="24"/>
          <w:szCs w:val="20"/>
        </w:rPr>
        <w:t>24</w:t>
      </w:r>
      <w:r>
        <w:rPr>
          <w:kern w:val="0"/>
          <w:sz w:val="24"/>
          <w:szCs w:val="20"/>
        </w:rPr>
        <w:t>年本）》中的限制类和淘汰类项目，属于允许类，符合国家产业政策，选址符合</w:t>
      </w:r>
      <w:r>
        <w:rPr>
          <w:rFonts w:hint="eastAsia"/>
          <w:kern w:val="0"/>
          <w:sz w:val="24"/>
          <w:szCs w:val="20"/>
        </w:rPr>
        <w:t>原阳县</w:t>
      </w:r>
      <w:r>
        <w:rPr>
          <w:kern w:val="0"/>
          <w:sz w:val="24"/>
          <w:szCs w:val="20"/>
        </w:rPr>
        <w:t>产业集聚区发展规划，厂区布局合理，各项污染物经治理后能够实现达标排放。建设单位要严格执行国家有关环境保护法规，认真落实各项环境保护和污染防治措施，实现各污染物长期稳定达标排放，该项目从环保角度分析是可行的。</w:t>
      </w: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sectPr>
          <w:footerReference r:id="rId29" w:type="default"/>
          <w:pgSz w:w="11906" w:h="16838"/>
          <w:pgMar w:top="1701" w:right="1588" w:bottom="1701" w:left="1588" w:header="851" w:footer="1134" w:gutter="0"/>
          <w:pgNumType w:start="1"/>
          <w:cols w:space="720" w:num="1"/>
          <w:docGrid w:type="lines" w:linePitch="312" w:charSpace="0"/>
        </w:sectPr>
      </w:pPr>
    </w:p>
    <w:p>
      <w:pPr>
        <w:spacing w:line="360" w:lineRule="auto"/>
        <w:jc w:val="center"/>
        <w:rPr>
          <w:color w:val="000000" w:themeColor="text1"/>
          <w:sz w:val="24"/>
          <w:szCs w:val="24"/>
          <w14:textFill>
            <w14:solidFill>
              <w14:schemeClr w14:val="tx1"/>
            </w14:solidFill>
          </w14:textFill>
        </w:rPr>
      </w:pPr>
      <w:r>
        <w:drawing>
          <wp:inline distT="0" distB="0" distL="0" distR="0">
            <wp:extent cx="6794500" cy="5057775"/>
            <wp:effectExtent l="0" t="0" r="6350" b="9525"/>
            <wp:docPr id="177783103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31031" name="图片 1" descr="地图&#10;&#10;描述已自动生成"/>
                    <pic:cNvPicPr>
                      <a:picLocks noChangeAspect="1"/>
                    </pic:cNvPicPr>
                  </pic:nvPicPr>
                  <pic:blipFill>
                    <a:blip r:embed="rId209"/>
                    <a:stretch>
                      <a:fillRect/>
                    </a:stretch>
                  </pic:blipFill>
                  <pic:spPr>
                    <a:xfrm>
                      <a:off x="0" y="0"/>
                      <a:ext cx="6794500" cy="5057775"/>
                    </a:xfrm>
                    <a:prstGeom prst="rect">
                      <a:avLst/>
                    </a:prstGeom>
                  </pic:spPr>
                </pic:pic>
              </a:graphicData>
            </a:graphic>
          </wp:inline>
        </w:drawing>
      </w: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sectPr>
          <w:pgSz w:w="16838" w:h="11906" w:orient="landscape"/>
          <w:pgMar w:top="1588" w:right="1701" w:bottom="1588" w:left="1701" w:header="851" w:footer="1134" w:gutter="0"/>
          <w:pgNumType w:start="1"/>
          <w:cols w:space="720" w:num="1"/>
          <w:docGrid w:type="lines" w:linePitch="312" w:charSpace="0"/>
        </w:sectPr>
      </w:pPr>
    </w:p>
    <w:p>
      <w:pPr>
        <w:spacing w:line="520" w:lineRule="exact"/>
        <w:ind w:firstLine="480" w:firstLineChars="200"/>
        <w:rPr>
          <w:color w:val="000000" w:themeColor="text1"/>
          <w:sz w:val="24"/>
          <w:szCs w:val="24"/>
          <w14:textFill>
            <w14:solidFill>
              <w14:schemeClr w14:val="tx1"/>
            </w14:solidFill>
          </w14:textFill>
        </w:rPr>
      </w:pPr>
    </w:p>
    <w:p>
      <w:pPr>
        <w:spacing w:line="360" w:lineRule="auto"/>
        <w:rPr>
          <w:color w:val="000000" w:themeColor="text1"/>
          <w:sz w:val="24"/>
          <w:szCs w:val="24"/>
          <w14:textFill>
            <w14:solidFill>
              <w14:schemeClr w14:val="tx1"/>
            </w14:solidFill>
          </w14:textFill>
        </w:rPr>
      </w:pPr>
      <w:r>
        <w:drawing>
          <wp:inline distT="0" distB="0" distL="0" distR="0">
            <wp:extent cx="8531860" cy="4921885"/>
            <wp:effectExtent l="0" t="0" r="2540" b="12065"/>
            <wp:docPr id="42871334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13342" name="图片 1" descr="图示&#10;&#10;描述已自动生成"/>
                    <pic:cNvPicPr>
                      <a:picLocks noChangeAspect="1"/>
                    </pic:cNvPicPr>
                  </pic:nvPicPr>
                  <pic:blipFill>
                    <a:blip r:embed="rId210"/>
                    <a:stretch>
                      <a:fillRect/>
                    </a:stretch>
                  </pic:blipFill>
                  <pic:spPr>
                    <a:xfrm>
                      <a:off x="0" y="0"/>
                      <a:ext cx="8531860" cy="4921885"/>
                    </a:xfrm>
                    <a:prstGeom prst="rect">
                      <a:avLst/>
                    </a:prstGeom>
                  </pic:spPr>
                </pic:pic>
              </a:graphicData>
            </a:graphic>
          </wp:inline>
        </w:drawing>
      </w:r>
    </w:p>
    <w:p>
      <w:pPr>
        <w:spacing w:line="520" w:lineRule="exact"/>
        <w:ind w:firstLine="480" w:firstLineChars="200"/>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6629400" cy="5162550"/>
            <wp:effectExtent l="0" t="0" r="0" b="0"/>
            <wp:docPr id="872596449"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96449" name="图片 1" descr="地图&#10;&#10;描述已自动生成"/>
                    <pic:cNvPicPr>
                      <a:picLocks noChangeAspect="1"/>
                    </pic:cNvPicPr>
                  </pic:nvPicPr>
                  <pic:blipFill>
                    <a:blip r:embed="rId211"/>
                    <a:stretch>
                      <a:fillRect/>
                    </a:stretch>
                  </pic:blipFill>
                  <pic:spPr>
                    <a:xfrm>
                      <a:off x="0" y="0"/>
                      <a:ext cx="6629400" cy="5162550"/>
                    </a:xfrm>
                    <a:prstGeom prst="rect">
                      <a:avLst/>
                    </a:prstGeom>
                  </pic:spPr>
                </pic:pic>
              </a:graphicData>
            </a:graphic>
          </wp:inline>
        </w:drawing>
      </w:r>
    </w:p>
    <w:p>
      <w:pPr>
        <w:spacing w:line="520" w:lineRule="exact"/>
        <w:ind w:firstLine="480" w:firstLineChars="200"/>
        <w:rPr>
          <w:color w:val="000000" w:themeColor="text1"/>
          <w:sz w:val="24"/>
          <w:szCs w:val="24"/>
          <w14:textFill>
            <w14:solidFill>
              <w14:schemeClr w14:val="tx1"/>
            </w14:solidFill>
          </w14:textFill>
        </w:rPr>
        <w:sectPr>
          <w:pgSz w:w="16838" w:h="11906" w:orient="landscape"/>
          <w:pgMar w:top="1588" w:right="1701" w:bottom="1588" w:left="1701" w:header="851" w:footer="1134" w:gutter="0"/>
          <w:pgNumType w:start="1"/>
          <w:cols w:space="720" w:num="1"/>
          <w:docGrid w:type="lines" w:linePitch="312" w:charSpace="0"/>
        </w:sectPr>
      </w:pPr>
    </w:p>
    <w:p>
      <w:pPr>
        <w:spacing w:line="360" w:lineRule="auto"/>
        <w:jc w:val="center"/>
        <w:rPr>
          <w:color w:val="000000" w:themeColor="text1"/>
          <w:sz w:val="24"/>
          <w:szCs w:val="24"/>
          <w14:textFill>
            <w14:solidFill>
              <w14:schemeClr w14:val="tx1"/>
            </w14:solidFill>
          </w14:textFill>
        </w:rPr>
      </w:pPr>
      <w:r>
        <w:drawing>
          <wp:inline distT="0" distB="0" distL="0" distR="0">
            <wp:extent cx="7219950" cy="5173345"/>
            <wp:effectExtent l="0" t="0" r="0" b="8255"/>
            <wp:docPr id="28848006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80063" name="图片 1" descr="图示&#10;&#10;描述已自动生成"/>
                    <pic:cNvPicPr>
                      <a:picLocks noChangeAspect="1"/>
                    </pic:cNvPicPr>
                  </pic:nvPicPr>
                  <pic:blipFill>
                    <a:blip r:embed="rId212"/>
                    <a:stretch>
                      <a:fillRect/>
                    </a:stretch>
                  </pic:blipFill>
                  <pic:spPr>
                    <a:xfrm>
                      <a:off x="0" y="0"/>
                      <a:ext cx="7227963" cy="5173345"/>
                    </a:xfrm>
                    <a:prstGeom prst="rect">
                      <a:avLst/>
                    </a:prstGeom>
                  </pic:spPr>
                </pic:pic>
              </a:graphicData>
            </a:graphic>
          </wp:inline>
        </w:drawing>
      </w:r>
    </w:p>
    <w:p>
      <w:pPr>
        <w:spacing w:line="520" w:lineRule="exact"/>
        <w:ind w:firstLine="480" w:firstLineChars="200"/>
        <w:rPr>
          <w:color w:val="000000" w:themeColor="text1"/>
          <w:sz w:val="24"/>
          <w:szCs w:val="24"/>
          <w14:textFill>
            <w14:solidFill>
              <w14:schemeClr w14:val="tx1"/>
            </w14:solidFill>
          </w14:textFill>
        </w:rPr>
        <w:sectPr>
          <w:pgSz w:w="16838" w:h="11906" w:orient="landscape"/>
          <w:pgMar w:top="1588" w:right="1701" w:bottom="1588" w:left="1701" w:header="851" w:footer="1134" w:gutter="0"/>
          <w:pgNumType w:start="1"/>
          <w:cols w:space="720" w:num="1"/>
          <w:docGrid w:type="lines" w:linePitch="312" w:charSpace="0"/>
        </w:sectPr>
      </w:pPr>
    </w:p>
    <w:p>
      <w:pPr>
        <w:spacing w:line="520" w:lineRule="exact"/>
        <w:ind w:firstLine="480" w:firstLineChars="200"/>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3550" cy="5509895"/>
            <wp:effectExtent l="0" t="0" r="0" b="0"/>
            <wp:docPr id="127565786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57860" name="图片 1" descr="地图&#10;&#10;描述已自动生成"/>
                    <pic:cNvPicPr>
                      <a:picLocks noChangeAspect="1"/>
                    </pic:cNvPicPr>
                  </pic:nvPicPr>
                  <pic:blipFill>
                    <a:blip r:embed="rId213"/>
                    <a:stretch>
                      <a:fillRect/>
                    </a:stretch>
                  </pic:blipFill>
                  <pic:spPr>
                    <a:xfrm>
                      <a:off x="0" y="0"/>
                      <a:ext cx="5543550" cy="5509895"/>
                    </a:xfrm>
                    <a:prstGeom prst="rect">
                      <a:avLst/>
                    </a:prstGeom>
                  </pic:spPr>
                </pic:pic>
              </a:graphicData>
            </a:graphic>
          </wp:inline>
        </w:drawing>
      </w: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pPr>
    </w:p>
    <w:p>
      <w:pPr>
        <w:spacing w:line="520" w:lineRule="exact"/>
        <w:ind w:firstLine="480" w:firstLineChars="200"/>
        <w:rPr>
          <w:color w:val="000000" w:themeColor="text1"/>
          <w:sz w:val="24"/>
          <w:szCs w:val="24"/>
          <w14:textFill>
            <w14:solidFill>
              <w14:schemeClr w14:val="tx1"/>
            </w14:solidFill>
          </w14:textFill>
        </w:rPr>
        <w:sectPr>
          <w:pgSz w:w="11906" w:h="16838"/>
          <w:pgMar w:top="1701" w:right="1588" w:bottom="1701" w:left="1588" w:header="851" w:footer="1134" w:gutter="0"/>
          <w:pgNumType w:start="1"/>
          <w:cols w:space="720" w:num="1"/>
          <w:docGrid w:type="lines" w:linePitch="312" w:charSpace="0"/>
        </w:sectPr>
      </w:pPr>
    </w:p>
    <w:p>
      <w:pPr>
        <w:spacing w:line="360" w:lineRule="auto"/>
        <w:rPr>
          <w:color w:val="000000" w:themeColor="text1"/>
          <w:sz w:val="24"/>
          <w:szCs w:val="24"/>
          <w14:textFill>
            <w14:solidFill>
              <w14:schemeClr w14:val="tx1"/>
            </w14:solidFill>
          </w14:textFill>
        </w:rPr>
      </w:pPr>
      <w:r>
        <w:drawing>
          <wp:inline distT="0" distB="0" distL="0" distR="0">
            <wp:extent cx="7938135" cy="5457825"/>
            <wp:effectExtent l="0" t="0" r="5715" b="9525"/>
            <wp:docPr id="27996641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66411" name="图片 1" descr="图示&#10;&#10;描述已自动生成"/>
                    <pic:cNvPicPr>
                      <a:picLocks noChangeAspect="1"/>
                    </pic:cNvPicPr>
                  </pic:nvPicPr>
                  <pic:blipFill>
                    <a:blip r:embed="rId214"/>
                    <a:stretch>
                      <a:fillRect/>
                    </a:stretch>
                  </pic:blipFill>
                  <pic:spPr>
                    <a:xfrm>
                      <a:off x="0" y="0"/>
                      <a:ext cx="7938135" cy="545782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6627495" cy="5172075"/>
            <wp:effectExtent l="0" t="0" r="1905" b="9525"/>
            <wp:docPr id="1725762835"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62835" name="图片 1" descr="地图&#10;&#10;描述已自动生成"/>
                    <pic:cNvPicPr>
                      <a:picLocks noChangeAspect="1"/>
                    </pic:cNvPicPr>
                  </pic:nvPicPr>
                  <pic:blipFill>
                    <a:blip r:embed="rId215"/>
                    <a:stretch>
                      <a:fillRect/>
                    </a:stretch>
                  </pic:blipFill>
                  <pic:spPr>
                    <a:xfrm>
                      <a:off x="0" y="0"/>
                      <a:ext cx="6627495" cy="517207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7952740" cy="5314950"/>
            <wp:effectExtent l="0" t="0" r="10160" b="0"/>
            <wp:docPr id="482411464"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11464" name="图片 1" descr="地图&#10;&#10;描述已自动生成"/>
                    <pic:cNvPicPr>
                      <a:picLocks noChangeAspect="1"/>
                    </pic:cNvPicPr>
                  </pic:nvPicPr>
                  <pic:blipFill>
                    <a:blip r:embed="rId216"/>
                    <a:stretch>
                      <a:fillRect/>
                    </a:stretch>
                  </pic:blipFill>
                  <pic:spPr>
                    <a:xfrm>
                      <a:off x="0" y="0"/>
                      <a:ext cx="7952740" cy="5314950"/>
                    </a:xfrm>
                    <a:prstGeom prst="rect">
                      <a:avLst/>
                    </a:prstGeom>
                  </pic:spPr>
                </pic:pic>
              </a:graphicData>
            </a:graphic>
          </wp:inline>
        </w:drawing>
      </w:r>
    </w:p>
    <w:p>
      <w:pPr>
        <w:spacing w:line="520" w:lineRule="exact"/>
        <w:ind w:firstLine="480" w:firstLineChars="200"/>
        <w:rPr>
          <w:color w:val="000000" w:themeColor="text1"/>
          <w:sz w:val="24"/>
          <w:szCs w:val="24"/>
          <w14:textFill>
            <w14:solidFill>
              <w14:schemeClr w14:val="tx1"/>
            </w14:solidFill>
          </w14:textFill>
        </w:rPr>
        <w:sectPr>
          <w:pgSz w:w="16838" w:h="11906" w:orient="landscape"/>
          <w:pgMar w:top="1588" w:right="1701" w:bottom="1588" w:left="1701" w:header="851" w:footer="1134" w:gutter="0"/>
          <w:pgNumType w:start="1"/>
          <w:cols w:space="720" w:num="1"/>
          <w:docGrid w:type="lines" w:linePitch="312" w:charSpace="0"/>
        </w:sect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1645" cy="5904230"/>
            <wp:effectExtent l="0" t="0" r="1905" b="1270"/>
            <wp:docPr id="857504662"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04662" name="图片 1" descr="图形用户界面&#10;&#10;描述已自动生成"/>
                    <pic:cNvPicPr>
                      <a:picLocks noChangeAspect="1"/>
                    </pic:cNvPicPr>
                  </pic:nvPicPr>
                  <pic:blipFill>
                    <a:blip r:embed="rId217"/>
                    <a:stretch>
                      <a:fillRect/>
                    </a:stretch>
                  </pic:blipFill>
                  <pic:spPr>
                    <a:xfrm>
                      <a:off x="0" y="0"/>
                      <a:ext cx="5541645" cy="590423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sectPr>
          <w:pgSz w:w="11906" w:h="16838"/>
          <w:pgMar w:top="1701" w:right="1588" w:bottom="1701" w:left="1588" w:header="851" w:footer="1134" w:gutter="0"/>
          <w:pgNumType w:start="1"/>
          <w:cols w:space="720" w:num="1"/>
          <w:docGrid w:type="lines" w:linePitch="312" w:charSpace="0"/>
        </w:sectPr>
      </w:pPr>
    </w:p>
    <w:p>
      <w:pPr>
        <w:spacing w:line="360" w:lineRule="auto"/>
        <w:jc w:val="center"/>
        <w:rPr>
          <w:color w:val="000000" w:themeColor="text1"/>
          <w:sz w:val="24"/>
          <w:szCs w:val="24"/>
          <w14:textFill>
            <w14:solidFill>
              <w14:schemeClr w14:val="tx1"/>
            </w14:solidFill>
          </w14:textFill>
        </w:rPr>
      </w:pPr>
      <w:r>
        <w:drawing>
          <wp:inline distT="0" distB="0" distL="0" distR="0">
            <wp:extent cx="5543550" cy="7397115"/>
            <wp:effectExtent l="0" t="0" r="0" b="0"/>
            <wp:docPr id="1787837724"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37724" name="图片 1" descr="图形用户界面, 应用程序&#10;&#10;描述已自动生成"/>
                    <pic:cNvPicPr>
                      <a:picLocks noChangeAspect="1"/>
                    </pic:cNvPicPr>
                  </pic:nvPicPr>
                  <pic:blipFill>
                    <a:blip r:embed="rId218"/>
                    <a:stretch>
                      <a:fillRect/>
                    </a:stretch>
                  </pic:blipFill>
                  <pic:spPr>
                    <a:xfrm>
                      <a:off x="0" y="0"/>
                      <a:ext cx="5543550" cy="739711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sectPr>
          <w:pgSz w:w="11906" w:h="16838"/>
          <w:pgMar w:top="1701" w:right="1588" w:bottom="1701" w:left="1588" w:header="851" w:footer="1134" w:gutter="0"/>
          <w:pgNumType w:start="1"/>
          <w:cols w:space="720" w:num="1"/>
          <w:docGrid w:type="lines" w:linePitch="312" w:charSpace="0"/>
        </w:sect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sectPr>
          <w:pgSz w:w="11906" w:h="16838"/>
          <w:pgMar w:top="1701" w:right="1588" w:bottom="1701" w:left="1588" w:header="851" w:footer="1134" w:gutter="0"/>
          <w:pgNumType w:start="1"/>
          <w:cols w:space="720" w:num="1"/>
          <w:docGrid w:type="lines" w:linePitch="312" w:charSpace="0"/>
        </w:sectPr>
      </w:pPr>
      <w:r>
        <w:drawing>
          <wp:inline distT="0" distB="0" distL="0" distR="0">
            <wp:extent cx="5143500" cy="7010400"/>
            <wp:effectExtent l="0" t="0" r="0" b="0"/>
            <wp:docPr id="1086861602" name="图片 1" descr="图片包含 报纸, 游戏机, 照片,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61602" name="图片 1" descr="图片包含 报纸, 游戏机, 照片, 不同&#10;&#10;描述已自动生成"/>
                    <pic:cNvPicPr>
                      <a:picLocks noChangeAspect="1"/>
                    </pic:cNvPicPr>
                  </pic:nvPicPr>
                  <pic:blipFill>
                    <a:blip r:embed="rId219"/>
                    <a:stretch>
                      <a:fillRect/>
                    </a:stretch>
                  </pic:blipFill>
                  <pic:spPr>
                    <a:xfrm>
                      <a:off x="0" y="0"/>
                      <a:ext cx="5143500" cy="701040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3550" cy="3938905"/>
            <wp:effectExtent l="0" t="0" r="0" b="4445"/>
            <wp:docPr id="1139450875"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50875" name="图片 1" descr="文本, 信件&#10;&#10;描述已自动生成"/>
                    <pic:cNvPicPr>
                      <a:picLocks noChangeAspect="1"/>
                    </pic:cNvPicPr>
                  </pic:nvPicPr>
                  <pic:blipFill>
                    <a:blip r:embed="rId220"/>
                    <a:stretch>
                      <a:fillRect/>
                    </a:stretch>
                  </pic:blipFill>
                  <pic:spPr>
                    <a:xfrm>
                      <a:off x="0" y="0"/>
                      <a:ext cx="5543550" cy="393890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sectPr>
          <w:pgSz w:w="11906" w:h="16838"/>
          <w:pgMar w:top="1701" w:right="1588" w:bottom="1701" w:left="1588" w:header="851" w:footer="1134" w:gutter="0"/>
          <w:pgNumType w:start="1"/>
          <w:cols w:space="720" w:num="1"/>
          <w:docGrid w:type="lines" w:linePitch="312" w:charSpace="0"/>
        </w:sect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sectPr>
          <w:pgSz w:w="11906" w:h="16838"/>
          <w:pgMar w:top="1701" w:right="1588" w:bottom="1701" w:left="1588" w:header="851" w:footer="1134" w:gutter="0"/>
          <w:pgNumType w:start="1"/>
          <w:cols w:space="720" w:num="1"/>
          <w:docGrid w:type="lines" w:linePitch="312" w:charSpace="0"/>
        </w:sectPr>
      </w:pPr>
      <w:r>
        <w:drawing>
          <wp:inline distT="0" distB="0" distL="0" distR="0">
            <wp:extent cx="5530850" cy="8050530"/>
            <wp:effectExtent l="0" t="0" r="12700" b="7620"/>
            <wp:docPr id="80605975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59751" name="图片 1" descr="手机屏幕截图&#10;&#10;描述已自动生成"/>
                    <pic:cNvPicPr>
                      <a:picLocks noChangeAspect="1"/>
                    </pic:cNvPicPr>
                  </pic:nvPicPr>
                  <pic:blipFill>
                    <a:blip r:embed="rId221"/>
                    <a:stretch>
                      <a:fillRect/>
                    </a:stretch>
                  </pic:blipFill>
                  <pic:spPr>
                    <a:xfrm>
                      <a:off x="0" y="0"/>
                      <a:ext cx="5530850" cy="805053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2755" cy="7211695"/>
            <wp:effectExtent l="0" t="0" r="10795" b="8255"/>
            <wp:docPr id="802721725" name="图片 1" descr="一些文字和图片的手机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21725" name="图片 1" descr="一些文字和图片的手机截图&#10;&#10;中度可信度描述已自动生成"/>
                    <pic:cNvPicPr>
                      <a:picLocks noChangeAspect="1"/>
                    </pic:cNvPicPr>
                  </pic:nvPicPr>
                  <pic:blipFill>
                    <a:blip r:embed="rId222"/>
                    <a:stretch>
                      <a:fillRect/>
                    </a:stretch>
                  </pic:blipFill>
                  <pic:spPr>
                    <a:xfrm>
                      <a:off x="0" y="0"/>
                      <a:ext cx="5532755" cy="721169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4025" cy="6960870"/>
            <wp:effectExtent l="0" t="0" r="9525" b="11430"/>
            <wp:docPr id="1647909408"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09408" name="图片 1" descr="文本, 信件&#10;&#10;描述已自动生成"/>
                    <pic:cNvPicPr>
                      <a:picLocks noChangeAspect="1"/>
                    </pic:cNvPicPr>
                  </pic:nvPicPr>
                  <pic:blipFill>
                    <a:blip r:embed="rId223"/>
                    <a:stretch>
                      <a:fillRect/>
                    </a:stretch>
                  </pic:blipFill>
                  <pic:spPr>
                    <a:xfrm>
                      <a:off x="0" y="0"/>
                      <a:ext cx="5534025" cy="696087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0375" cy="7865110"/>
            <wp:effectExtent l="0" t="0" r="3175" b="2540"/>
            <wp:docPr id="1368411477"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11477" name="图片 1" descr="表格&#10;&#10;描述已自动生成"/>
                    <pic:cNvPicPr>
                      <a:picLocks noChangeAspect="1"/>
                    </pic:cNvPicPr>
                  </pic:nvPicPr>
                  <pic:blipFill>
                    <a:blip r:embed="rId224"/>
                    <a:stretch>
                      <a:fillRect/>
                    </a:stretch>
                  </pic:blipFill>
                  <pic:spPr>
                    <a:xfrm>
                      <a:off x="0" y="0"/>
                      <a:ext cx="5540375" cy="786511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0375" cy="7823200"/>
            <wp:effectExtent l="0" t="0" r="3175" b="6350"/>
            <wp:docPr id="554134410" name="图片 1" descr="电脑屏幕的照片上有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34410" name="图片 1" descr="电脑屏幕的照片上有文字&#10;&#10;中度可信度描述已自动生成"/>
                    <pic:cNvPicPr>
                      <a:picLocks noChangeAspect="1"/>
                    </pic:cNvPicPr>
                  </pic:nvPicPr>
                  <pic:blipFill>
                    <a:blip r:embed="rId225"/>
                    <a:stretch>
                      <a:fillRect/>
                    </a:stretch>
                  </pic:blipFill>
                  <pic:spPr>
                    <a:xfrm>
                      <a:off x="0" y="0"/>
                      <a:ext cx="5540375" cy="782320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0375" cy="7877810"/>
            <wp:effectExtent l="0" t="0" r="3175" b="8890"/>
            <wp:docPr id="52476585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65858" name="图片 1" descr="表格&#10;&#10;描述已自动生成"/>
                    <pic:cNvPicPr>
                      <a:picLocks noChangeAspect="1"/>
                    </pic:cNvPicPr>
                  </pic:nvPicPr>
                  <pic:blipFill>
                    <a:blip r:embed="rId226"/>
                    <a:stretch>
                      <a:fillRect/>
                    </a:stretch>
                  </pic:blipFill>
                  <pic:spPr>
                    <a:xfrm>
                      <a:off x="0" y="0"/>
                      <a:ext cx="5540375" cy="787781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295900" cy="7962900"/>
            <wp:effectExtent l="0" t="0" r="0" b="0"/>
            <wp:docPr id="781278266"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78266" name="图片 1" descr="表格&#10;&#10;描述已自动生成"/>
                    <pic:cNvPicPr>
                      <a:picLocks noChangeAspect="1"/>
                    </pic:cNvPicPr>
                  </pic:nvPicPr>
                  <pic:blipFill>
                    <a:blip r:embed="rId227"/>
                    <a:stretch>
                      <a:fillRect/>
                    </a:stretch>
                  </pic:blipFill>
                  <pic:spPr>
                    <a:xfrm>
                      <a:off x="0" y="0"/>
                      <a:ext cx="5295900" cy="796290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3550" cy="7921625"/>
            <wp:effectExtent l="0" t="0" r="0" b="3175"/>
            <wp:docPr id="35392560" name="图片 1"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2560" name="图片 1" descr="背景图案&#10;&#10;描述已自动生成"/>
                    <pic:cNvPicPr>
                      <a:picLocks noChangeAspect="1"/>
                    </pic:cNvPicPr>
                  </pic:nvPicPr>
                  <pic:blipFill>
                    <a:blip r:embed="rId228"/>
                    <a:stretch>
                      <a:fillRect/>
                    </a:stretch>
                  </pic:blipFill>
                  <pic:spPr>
                    <a:xfrm>
                      <a:off x="0" y="0"/>
                      <a:ext cx="5543550" cy="792162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24500" cy="8248650"/>
            <wp:effectExtent l="0" t="0" r="0" b="0"/>
            <wp:docPr id="136363542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35428" name="图片 1" descr="表格&#10;&#10;描述已自动生成"/>
                    <pic:cNvPicPr>
                      <a:picLocks noChangeAspect="1"/>
                    </pic:cNvPicPr>
                  </pic:nvPicPr>
                  <pic:blipFill>
                    <a:blip r:embed="rId229"/>
                    <a:stretch>
                      <a:fillRect/>
                    </a:stretch>
                  </pic:blipFill>
                  <pic:spPr>
                    <a:xfrm>
                      <a:off x="0" y="0"/>
                      <a:ext cx="5524500" cy="824865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320665" cy="8296275"/>
            <wp:effectExtent l="0" t="0" r="13335" b="9525"/>
            <wp:docPr id="123306395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3959" name="图片 1" descr="表格&#10;&#10;描述已自动生成"/>
                    <pic:cNvPicPr>
                      <a:picLocks noChangeAspect="1"/>
                    </pic:cNvPicPr>
                  </pic:nvPicPr>
                  <pic:blipFill>
                    <a:blip r:embed="rId230"/>
                    <a:stretch>
                      <a:fillRect/>
                    </a:stretch>
                  </pic:blipFill>
                  <pic:spPr>
                    <a:xfrm>
                      <a:off x="0" y="0"/>
                      <a:ext cx="5320665" cy="829627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282565" cy="8143875"/>
            <wp:effectExtent l="0" t="0" r="13335" b="9525"/>
            <wp:docPr id="1245163776" name="图片 1" descr="表格&#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63776" name="图片 1" descr="表格&#10;&#10;低可信度描述已自动生成"/>
                    <pic:cNvPicPr>
                      <a:picLocks noChangeAspect="1"/>
                    </pic:cNvPicPr>
                  </pic:nvPicPr>
                  <pic:blipFill>
                    <a:blip r:embed="rId231"/>
                    <a:stretch>
                      <a:fillRect/>
                    </a:stretch>
                  </pic:blipFill>
                  <pic:spPr>
                    <a:xfrm>
                      <a:off x="0" y="0"/>
                      <a:ext cx="5282565" cy="814387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05450" cy="8191500"/>
            <wp:effectExtent l="0" t="0" r="0" b="0"/>
            <wp:docPr id="1317249523" name="图片 1"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49523" name="图片 1" descr="表格&#10;&#10;中度可信度描述已自动生成"/>
                    <pic:cNvPicPr>
                      <a:picLocks noChangeAspect="1"/>
                    </pic:cNvPicPr>
                  </pic:nvPicPr>
                  <pic:blipFill>
                    <a:blip r:embed="rId232"/>
                    <a:stretch>
                      <a:fillRect/>
                    </a:stretch>
                  </pic:blipFill>
                  <pic:spPr>
                    <a:xfrm>
                      <a:off x="0" y="0"/>
                      <a:ext cx="5505450" cy="819150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0850" cy="8096885"/>
            <wp:effectExtent l="0" t="0" r="12700" b="18415"/>
            <wp:docPr id="29210218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02180" name="图片 1" descr="表格&#10;&#10;描述已自动生成"/>
                    <pic:cNvPicPr>
                      <a:picLocks noChangeAspect="1"/>
                    </pic:cNvPicPr>
                  </pic:nvPicPr>
                  <pic:blipFill>
                    <a:blip r:embed="rId233"/>
                    <a:stretch>
                      <a:fillRect/>
                    </a:stretch>
                  </pic:blipFill>
                  <pic:spPr>
                    <a:xfrm>
                      <a:off x="0" y="0"/>
                      <a:ext cx="5530850" cy="809688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0850" cy="7955915"/>
            <wp:effectExtent l="0" t="0" r="12700" b="6985"/>
            <wp:docPr id="191866706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67065" name="图片 1" descr="表格&#10;&#10;描述已自动生成"/>
                    <pic:cNvPicPr>
                      <a:picLocks noChangeAspect="1"/>
                    </pic:cNvPicPr>
                  </pic:nvPicPr>
                  <pic:blipFill>
                    <a:blip r:embed="rId234"/>
                    <a:stretch>
                      <a:fillRect/>
                    </a:stretch>
                  </pic:blipFill>
                  <pic:spPr>
                    <a:xfrm>
                      <a:off x="0" y="0"/>
                      <a:ext cx="5530850" cy="795591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0850" cy="8058785"/>
            <wp:effectExtent l="0" t="0" r="12700" b="18415"/>
            <wp:docPr id="157819486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94868" name="图片 1" descr="表格&#10;&#10;描述已自动生成"/>
                    <pic:cNvPicPr>
                      <a:picLocks noChangeAspect="1"/>
                    </pic:cNvPicPr>
                  </pic:nvPicPr>
                  <pic:blipFill>
                    <a:blip r:embed="rId235"/>
                    <a:stretch>
                      <a:fillRect/>
                    </a:stretch>
                  </pic:blipFill>
                  <pic:spPr>
                    <a:xfrm>
                      <a:off x="0" y="0"/>
                      <a:ext cx="5530850" cy="805878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7200" cy="8061325"/>
            <wp:effectExtent l="0" t="0" r="6350" b="15875"/>
            <wp:docPr id="1102047420" name="图片 1"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47420" name="图片 1" descr="手机屏幕截图&#10;&#10;中度可信度描述已自动生成"/>
                    <pic:cNvPicPr>
                      <a:picLocks noChangeAspect="1"/>
                    </pic:cNvPicPr>
                  </pic:nvPicPr>
                  <pic:blipFill>
                    <a:blip r:embed="rId236"/>
                    <a:stretch>
                      <a:fillRect/>
                    </a:stretch>
                  </pic:blipFill>
                  <pic:spPr>
                    <a:xfrm>
                      <a:off x="0" y="0"/>
                      <a:ext cx="5537200" cy="806132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2915" cy="7779385"/>
            <wp:effectExtent l="0" t="0" r="635" b="12065"/>
            <wp:docPr id="44182409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24094" name="图片 1" descr="表格&#10;&#10;描述已自动生成"/>
                    <pic:cNvPicPr>
                      <a:picLocks noChangeAspect="1"/>
                    </pic:cNvPicPr>
                  </pic:nvPicPr>
                  <pic:blipFill>
                    <a:blip r:embed="rId237"/>
                    <a:stretch>
                      <a:fillRect/>
                    </a:stretch>
                  </pic:blipFill>
                  <pic:spPr>
                    <a:xfrm>
                      <a:off x="0" y="0"/>
                      <a:ext cx="5542915" cy="777938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4025" cy="8168640"/>
            <wp:effectExtent l="0" t="0" r="9525" b="3810"/>
            <wp:docPr id="757147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475" name="图片 1" descr="表格&#10;&#10;描述已自动生成"/>
                    <pic:cNvPicPr>
                      <a:picLocks noChangeAspect="1"/>
                    </pic:cNvPicPr>
                  </pic:nvPicPr>
                  <pic:blipFill>
                    <a:blip r:embed="rId238"/>
                    <a:stretch>
                      <a:fillRect/>
                    </a:stretch>
                  </pic:blipFill>
                  <pic:spPr>
                    <a:xfrm>
                      <a:off x="0" y="0"/>
                      <a:ext cx="5534025" cy="816864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3550" cy="8044180"/>
            <wp:effectExtent l="0" t="0" r="0" b="13970"/>
            <wp:docPr id="407451500"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51500" name="图片 1" descr="图片包含 图形用户界面&#10;&#10;描述已自动生成"/>
                    <pic:cNvPicPr>
                      <a:picLocks noChangeAspect="1"/>
                    </pic:cNvPicPr>
                  </pic:nvPicPr>
                  <pic:blipFill>
                    <a:blip r:embed="rId239"/>
                    <a:stretch>
                      <a:fillRect/>
                    </a:stretch>
                  </pic:blipFill>
                  <pic:spPr>
                    <a:xfrm>
                      <a:off x="0" y="0"/>
                      <a:ext cx="5543550" cy="804418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454650" cy="8124825"/>
            <wp:effectExtent l="0" t="0" r="12700" b="9525"/>
            <wp:docPr id="2035904446" name="图片 1" descr="图形用户界面, 应用程序, 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04446" name="图片 1" descr="图形用户界面, 应用程序, 日历&#10;&#10;中度可信度描述已自动生成"/>
                    <pic:cNvPicPr>
                      <a:picLocks noChangeAspect="1"/>
                    </pic:cNvPicPr>
                  </pic:nvPicPr>
                  <pic:blipFill>
                    <a:blip r:embed="rId240"/>
                    <a:stretch>
                      <a:fillRect/>
                    </a:stretch>
                  </pic:blipFill>
                  <pic:spPr>
                    <a:xfrm>
                      <a:off x="0" y="0"/>
                      <a:ext cx="5454650" cy="812482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4025" cy="7994015"/>
            <wp:effectExtent l="0" t="0" r="9525" b="6985"/>
            <wp:docPr id="606481019" name="图片 1"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81019" name="图片 1" descr="文本&#10;&#10;低可信度描述已自动生成"/>
                    <pic:cNvPicPr>
                      <a:picLocks noChangeAspect="1"/>
                    </pic:cNvPicPr>
                  </pic:nvPicPr>
                  <pic:blipFill>
                    <a:blip r:embed="rId241"/>
                    <a:stretch>
                      <a:fillRect/>
                    </a:stretch>
                  </pic:blipFill>
                  <pic:spPr>
                    <a:xfrm>
                      <a:off x="0" y="0"/>
                      <a:ext cx="5534025" cy="799401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28310" cy="7091680"/>
            <wp:effectExtent l="0" t="0" r="15240" b="13970"/>
            <wp:docPr id="1841231404"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31404" name="图片 1" descr="手机屏幕截图&#10;&#10;描述已自动生成"/>
                    <pic:cNvPicPr>
                      <a:picLocks noChangeAspect="1"/>
                    </pic:cNvPicPr>
                  </pic:nvPicPr>
                  <pic:blipFill>
                    <a:blip r:embed="rId242"/>
                    <a:stretch>
                      <a:fillRect/>
                    </a:stretch>
                  </pic:blipFill>
                  <pic:spPr>
                    <a:xfrm>
                      <a:off x="0" y="0"/>
                      <a:ext cx="5528310" cy="709168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3550" cy="7353300"/>
            <wp:effectExtent l="0" t="0" r="0" b="0"/>
            <wp:docPr id="503965545"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65545" name="图片 1" descr="文本&#10;&#10;描述已自动生成"/>
                    <pic:cNvPicPr>
                      <a:picLocks noChangeAspect="1"/>
                    </pic:cNvPicPr>
                  </pic:nvPicPr>
                  <pic:blipFill>
                    <a:blip r:embed="rId243"/>
                    <a:stretch>
                      <a:fillRect/>
                    </a:stretch>
                  </pic:blipFill>
                  <pic:spPr>
                    <a:xfrm>
                      <a:off x="0" y="0"/>
                      <a:ext cx="5543550" cy="735330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2280" cy="7800975"/>
            <wp:effectExtent l="0" t="0" r="1270" b="9525"/>
            <wp:docPr id="420224212"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24212" name="图片 1" descr="表格&#10;&#10;描述已自动生成"/>
                    <pic:cNvPicPr>
                      <a:picLocks noChangeAspect="1"/>
                    </pic:cNvPicPr>
                  </pic:nvPicPr>
                  <pic:blipFill>
                    <a:blip r:embed="rId244"/>
                    <a:stretch>
                      <a:fillRect/>
                    </a:stretch>
                  </pic:blipFill>
                  <pic:spPr>
                    <a:xfrm>
                      <a:off x="0" y="0"/>
                      <a:ext cx="5542280" cy="780097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4025" cy="8118475"/>
            <wp:effectExtent l="0" t="0" r="9525" b="15875"/>
            <wp:docPr id="1036657399"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57399" name="图片 1" descr="手机屏幕截图&#10;&#10;描述已自动生成"/>
                    <pic:cNvPicPr>
                      <a:picLocks noChangeAspect="1"/>
                    </pic:cNvPicPr>
                  </pic:nvPicPr>
                  <pic:blipFill>
                    <a:blip r:embed="rId245"/>
                    <a:stretch>
                      <a:fillRect/>
                    </a:stretch>
                  </pic:blipFill>
                  <pic:spPr>
                    <a:xfrm>
                      <a:off x="0" y="0"/>
                      <a:ext cx="5534025" cy="811847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3550" cy="8190865"/>
            <wp:effectExtent l="0" t="0" r="0" b="635"/>
            <wp:docPr id="118188339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83395" name="图片 1" descr="表格&#10;&#10;描述已自动生成"/>
                    <pic:cNvPicPr>
                      <a:picLocks noChangeAspect="1"/>
                    </pic:cNvPicPr>
                  </pic:nvPicPr>
                  <pic:blipFill>
                    <a:blip r:embed="rId246"/>
                    <a:stretch>
                      <a:fillRect/>
                    </a:stretch>
                  </pic:blipFill>
                  <pic:spPr>
                    <a:xfrm>
                      <a:off x="0" y="0"/>
                      <a:ext cx="5543550" cy="819086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3550" cy="7955280"/>
            <wp:effectExtent l="0" t="0" r="0" b="7620"/>
            <wp:docPr id="157298654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86548" name="图片 1" descr="表格&#10;&#10;描述已自动生成"/>
                    <pic:cNvPicPr>
                      <a:picLocks noChangeAspect="1"/>
                    </pic:cNvPicPr>
                  </pic:nvPicPr>
                  <pic:blipFill>
                    <a:blip r:embed="rId247"/>
                    <a:stretch>
                      <a:fillRect/>
                    </a:stretch>
                  </pic:blipFill>
                  <pic:spPr>
                    <a:xfrm>
                      <a:off x="0" y="0"/>
                      <a:ext cx="5543550" cy="795528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1645" cy="7903845"/>
            <wp:effectExtent l="0" t="0" r="1905" b="1905"/>
            <wp:docPr id="194735659"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5659" name="图片 1" descr="手机屏幕截图&#10;&#10;描述已自动生成"/>
                    <pic:cNvPicPr>
                      <a:picLocks noChangeAspect="1"/>
                    </pic:cNvPicPr>
                  </pic:nvPicPr>
                  <pic:blipFill>
                    <a:blip r:embed="rId248"/>
                    <a:stretch>
                      <a:fillRect/>
                    </a:stretch>
                  </pic:blipFill>
                  <pic:spPr>
                    <a:xfrm>
                      <a:off x="0" y="0"/>
                      <a:ext cx="5541645" cy="790384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4025" cy="7482205"/>
            <wp:effectExtent l="0" t="0" r="9525" b="4445"/>
            <wp:docPr id="1569933403"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33403" name="图片 1" descr="表格&#10;&#10;描述已自动生成"/>
                    <pic:cNvPicPr>
                      <a:picLocks noChangeAspect="1"/>
                    </pic:cNvPicPr>
                  </pic:nvPicPr>
                  <pic:blipFill>
                    <a:blip r:embed="rId249"/>
                    <a:stretch>
                      <a:fillRect/>
                    </a:stretch>
                  </pic:blipFill>
                  <pic:spPr>
                    <a:xfrm>
                      <a:off x="0" y="0"/>
                      <a:ext cx="5534025" cy="748220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4025" cy="7495540"/>
            <wp:effectExtent l="0" t="0" r="9525" b="10160"/>
            <wp:docPr id="144776343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63431" name="图片 1" descr="表格&#10;&#10;描述已自动生成"/>
                    <pic:cNvPicPr>
                      <a:picLocks noChangeAspect="1"/>
                    </pic:cNvPicPr>
                  </pic:nvPicPr>
                  <pic:blipFill>
                    <a:blip r:embed="rId250"/>
                    <a:stretch>
                      <a:fillRect/>
                    </a:stretch>
                  </pic:blipFill>
                  <pic:spPr>
                    <a:xfrm>
                      <a:off x="0" y="0"/>
                      <a:ext cx="5534025" cy="749554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0375" cy="7693660"/>
            <wp:effectExtent l="0" t="0" r="3175" b="2540"/>
            <wp:docPr id="55303465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34658" name="图片 1" descr="表格&#10;&#10;描述已自动生成"/>
                    <pic:cNvPicPr>
                      <a:picLocks noChangeAspect="1"/>
                    </pic:cNvPicPr>
                  </pic:nvPicPr>
                  <pic:blipFill>
                    <a:blip r:embed="rId251"/>
                    <a:stretch>
                      <a:fillRect/>
                    </a:stretch>
                  </pic:blipFill>
                  <pic:spPr>
                    <a:xfrm>
                      <a:off x="0" y="0"/>
                      <a:ext cx="5540375" cy="769366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0850" cy="7933690"/>
            <wp:effectExtent l="0" t="0" r="12700" b="10160"/>
            <wp:docPr id="173710512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05125" name="图片 1" descr="表格&#10;&#10;描述已自动生成"/>
                    <pic:cNvPicPr>
                      <a:picLocks noChangeAspect="1"/>
                    </pic:cNvPicPr>
                  </pic:nvPicPr>
                  <pic:blipFill>
                    <a:blip r:embed="rId252"/>
                    <a:stretch>
                      <a:fillRect/>
                    </a:stretch>
                  </pic:blipFill>
                  <pic:spPr>
                    <a:xfrm>
                      <a:off x="0" y="0"/>
                      <a:ext cx="5530850" cy="793369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0850" cy="7917815"/>
            <wp:effectExtent l="0" t="0" r="12700" b="6985"/>
            <wp:docPr id="184385129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51294" name="图片 1" descr="表格&#10;&#10;描述已自动生成"/>
                    <pic:cNvPicPr>
                      <a:picLocks noChangeAspect="1"/>
                    </pic:cNvPicPr>
                  </pic:nvPicPr>
                  <pic:blipFill>
                    <a:blip r:embed="rId253"/>
                    <a:stretch>
                      <a:fillRect/>
                    </a:stretch>
                  </pic:blipFill>
                  <pic:spPr>
                    <a:xfrm>
                      <a:off x="0" y="0"/>
                      <a:ext cx="5530850" cy="791781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3550" cy="7488555"/>
            <wp:effectExtent l="0" t="0" r="0" b="17145"/>
            <wp:docPr id="380468624" name="图片 1"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68624" name="图片 1" descr="手机屏幕截图&#10;&#10;中度可信度描述已自动生成"/>
                    <pic:cNvPicPr>
                      <a:picLocks noChangeAspect="1"/>
                    </pic:cNvPicPr>
                  </pic:nvPicPr>
                  <pic:blipFill>
                    <a:blip r:embed="rId254"/>
                    <a:stretch>
                      <a:fillRect/>
                    </a:stretch>
                  </pic:blipFill>
                  <pic:spPr>
                    <a:xfrm>
                      <a:off x="0" y="0"/>
                      <a:ext cx="5543550" cy="748855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32120" cy="7165975"/>
            <wp:effectExtent l="0" t="0" r="11430" b="15875"/>
            <wp:docPr id="117464186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41864" name="图片 1" descr="表格&#10;&#10;描述已自动生成"/>
                    <pic:cNvPicPr>
                      <a:picLocks noChangeAspect="1"/>
                    </pic:cNvPicPr>
                  </pic:nvPicPr>
                  <pic:blipFill>
                    <a:blip r:embed="rId255"/>
                    <a:stretch>
                      <a:fillRect/>
                    </a:stretch>
                  </pic:blipFill>
                  <pic:spPr>
                    <a:xfrm>
                      <a:off x="0" y="0"/>
                      <a:ext cx="5532120" cy="716597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3550" cy="7602855"/>
            <wp:effectExtent l="0" t="0" r="0" b="0"/>
            <wp:docPr id="1109774644" name="图片 1" descr="墙上贴着许多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74644" name="图片 1" descr="墙上贴着许多海报&#10;&#10;描述已自动生成"/>
                    <pic:cNvPicPr>
                      <a:picLocks noChangeAspect="1"/>
                    </pic:cNvPicPr>
                  </pic:nvPicPr>
                  <pic:blipFill>
                    <a:blip r:embed="rId256"/>
                    <a:stretch>
                      <a:fillRect/>
                    </a:stretch>
                  </pic:blipFill>
                  <pic:spPr>
                    <a:xfrm>
                      <a:off x="0" y="0"/>
                      <a:ext cx="5543550" cy="760285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sectPr>
          <w:pgSz w:w="11906" w:h="16838"/>
          <w:pgMar w:top="1701" w:right="1588" w:bottom="1701" w:left="1588" w:header="851" w:footer="1134" w:gutter="0"/>
          <w:pgNumType w:start="1"/>
          <w:cols w:space="720" w:num="1"/>
          <w:docGrid w:type="lines" w:linePitch="312" w:charSpace="0"/>
        </w:sectPr>
      </w:pPr>
    </w:p>
    <w:p>
      <w:pPr>
        <w:spacing w:line="360" w:lineRule="auto"/>
        <w:jc w:val="center"/>
        <w:rPr>
          <w:color w:val="000000" w:themeColor="text1"/>
          <w:sz w:val="24"/>
          <w:szCs w:val="24"/>
          <w14:textFill>
            <w14:solidFill>
              <w14:schemeClr w14:val="tx1"/>
            </w14:solidFill>
          </w14:textFill>
        </w:rPr>
      </w:pPr>
      <w:r>
        <w:drawing>
          <wp:inline distT="0" distB="0" distL="0" distR="0">
            <wp:extent cx="4063365" cy="5255895"/>
            <wp:effectExtent l="0" t="0" r="13335" b="1905"/>
            <wp:docPr id="26783923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39230" name="图片 1" descr="表格&#10;&#10;描述已自动生成"/>
                    <pic:cNvPicPr>
                      <a:picLocks noChangeAspect="1"/>
                    </pic:cNvPicPr>
                  </pic:nvPicPr>
                  <pic:blipFill>
                    <a:blip r:embed="rId257"/>
                    <a:stretch>
                      <a:fillRect/>
                    </a:stretch>
                  </pic:blipFill>
                  <pic:spPr>
                    <a:xfrm>
                      <a:off x="0" y="0"/>
                      <a:ext cx="4063365" cy="5256000"/>
                    </a:xfrm>
                    <a:prstGeom prst="rect">
                      <a:avLst/>
                    </a:prstGeom>
                  </pic:spPr>
                </pic:pic>
              </a:graphicData>
            </a:graphic>
          </wp:inline>
        </w:drawing>
      </w:r>
      <w:r>
        <w:t xml:space="preserve"> </w:t>
      </w:r>
      <w:r>
        <w:drawing>
          <wp:inline distT="0" distB="0" distL="0" distR="0">
            <wp:extent cx="3638550" cy="5247005"/>
            <wp:effectExtent l="0" t="0" r="0" b="10795"/>
            <wp:docPr id="2128721972"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21972" name="图片 1" descr="表格&#10;&#10;描述已自动生成"/>
                    <pic:cNvPicPr>
                      <a:picLocks noChangeAspect="1"/>
                    </pic:cNvPicPr>
                  </pic:nvPicPr>
                  <pic:blipFill>
                    <a:blip r:embed="rId258"/>
                    <a:stretch>
                      <a:fillRect/>
                    </a:stretch>
                  </pic:blipFill>
                  <pic:spPr>
                    <a:xfrm>
                      <a:off x="0" y="0"/>
                      <a:ext cx="3638550" cy="524700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4061460" cy="5543550"/>
            <wp:effectExtent l="0" t="0" r="15240" b="0"/>
            <wp:docPr id="2123720802"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20802" name="图片 1" descr="文本, 信件&#10;&#10;描述已自动生成"/>
                    <pic:cNvPicPr>
                      <a:picLocks noChangeAspect="1"/>
                    </pic:cNvPicPr>
                  </pic:nvPicPr>
                  <pic:blipFill>
                    <a:blip r:embed="rId259"/>
                    <a:stretch>
                      <a:fillRect/>
                    </a:stretch>
                  </pic:blipFill>
                  <pic:spPr>
                    <a:xfrm>
                      <a:off x="0" y="0"/>
                      <a:ext cx="4061460" cy="5543550"/>
                    </a:xfrm>
                    <a:prstGeom prst="rect">
                      <a:avLst/>
                    </a:prstGeom>
                  </pic:spPr>
                </pic:pic>
              </a:graphicData>
            </a:graphic>
          </wp:inline>
        </w:drawing>
      </w:r>
      <w:r>
        <w:t xml:space="preserve"> </w:t>
      </w:r>
      <w:r>
        <w:drawing>
          <wp:inline distT="0" distB="0" distL="0" distR="0">
            <wp:extent cx="3797300" cy="5534025"/>
            <wp:effectExtent l="0" t="0" r="12700" b="9525"/>
            <wp:docPr id="206171838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18385" name="图片 1" descr="表格&#10;&#10;描述已自动生成"/>
                    <pic:cNvPicPr>
                      <a:picLocks noChangeAspect="1"/>
                    </pic:cNvPicPr>
                  </pic:nvPicPr>
                  <pic:blipFill>
                    <a:blip r:embed="rId260"/>
                    <a:stretch>
                      <a:fillRect/>
                    </a:stretch>
                  </pic:blipFill>
                  <pic:spPr>
                    <a:xfrm>
                      <a:off x="0" y="0"/>
                      <a:ext cx="3797300" cy="553402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4109720" cy="5543550"/>
            <wp:effectExtent l="0" t="0" r="5080" b="0"/>
            <wp:docPr id="845854383"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54383" name="图片 1" descr="文本, 信件&#10;&#10;描述已自动生成"/>
                    <pic:cNvPicPr>
                      <a:picLocks noChangeAspect="1"/>
                    </pic:cNvPicPr>
                  </pic:nvPicPr>
                  <pic:blipFill>
                    <a:blip r:embed="rId261"/>
                    <a:stretch>
                      <a:fillRect/>
                    </a:stretch>
                  </pic:blipFill>
                  <pic:spPr>
                    <a:xfrm>
                      <a:off x="0" y="0"/>
                      <a:ext cx="4109720" cy="5543550"/>
                    </a:xfrm>
                    <a:prstGeom prst="rect">
                      <a:avLst/>
                    </a:prstGeom>
                  </pic:spPr>
                </pic:pic>
              </a:graphicData>
            </a:graphic>
          </wp:inline>
        </w:drawing>
      </w:r>
      <w:r>
        <w:t xml:space="preserve"> </w:t>
      </w:r>
      <w:r>
        <w:drawing>
          <wp:inline distT="0" distB="0" distL="0" distR="0">
            <wp:extent cx="3962400" cy="5524500"/>
            <wp:effectExtent l="0" t="0" r="0" b="0"/>
            <wp:docPr id="905250833"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50833" name="图片 1" descr="表格&#10;&#10;描述已自动生成"/>
                    <pic:cNvPicPr>
                      <a:picLocks noChangeAspect="1"/>
                    </pic:cNvPicPr>
                  </pic:nvPicPr>
                  <pic:blipFill>
                    <a:blip r:embed="rId262"/>
                    <a:stretch>
                      <a:fillRect/>
                    </a:stretch>
                  </pic:blipFill>
                  <pic:spPr>
                    <a:xfrm>
                      <a:off x="0" y="0"/>
                      <a:ext cx="3962400" cy="552450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4071620" cy="5543550"/>
            <wp:effectExtent l="0" t="0" r="5080" b="0"/>
            <wp:docPr id="52524252"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4252" name="图片 1" descr="文本, 信件&#10;&#10;描述已自动生成"/>
                    <pic:cNvPicPr>
                      <a:picLocks noChangeAspect="1"/>
                    </pic:cNvPicPr>
                  </pic:nvPicPr>
                  <pic:blipFill>
                    <a:blip r:embed="rId263"/>
                    <a:stretch>
                      <a:fillRect/>
                    </a:stretch>
                  </pic:blipFill>
                  <pic:spPr>
                    <a:xfrm>
                      <a:off x="0" y="0"/>
                      <a:ext cx="4071620" cy="5543550"/>
                    </a:xfrm>
                    <a:prstGeom prst="rect">
                      <a:avLst/>
                    </a:prstGeom>
                  </pic:spPr>
                </pic:pic>
              </a:graphicData>
            </a:graphic>
          </wp:inline>
        </w:drawing>
      </w:r>
      <w:r>
        <w:t xml:space="preserve"> </w:t>
      </w:r>
      <w:r>
        <w:drawing>
          <wp:inline distT="0" distB="0" distL="0" distR="0">
            <wp:extent cx="3923030" cy="5542280"/>
            <wp:effectExtent l="0" t="0" r="1270" b="1270"/>
            <wp:docPr id="63336616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66168" name="图片 1" descr="表格&#10;&#10;描述已自动生成"/>
                    <pic:cNvPicPr>
                      <a:picLocks noChangeAspect="1"/>
                    </pic:cNvPicPr>
                  </pic:nvPicPr>
                  <pic:blipFill>
                    <a:blip r:embed="rId264"/>
                    <a:stretch>
                      <a:fillRect/>
                    </a:stretch>
                  </pic:blipFill>
                  <pic:spPr>
                    <a:xfrm>
                      <a:off x="0" y="0"/>
                      <a:ext cx="3923030" cy="554228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4128770" cy="5543550"/>
            <wp:effectExtent l="0" t="0" r="5080" b="0"/>
            <wp:docPr id="1832877907"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77907" name="图片 1" descr="文本, 信件&#10;&#10;描述已自动生成"/>
                    <pic:cNvPicPr>
                      <a:picLocks noChangeAspect="1"/>
                    </pic:cNvPicPr>
                  </pic:nvPicPr>
                  <pic:blipFill>
                    <a:blip r:embed="rId265"/>
                    <a:stretch>
                      <a:fillRect/>
                    </a:stretch>
                  </pic:blipFill>
                  <pic:spPr>
                    <a:xfrm>
                      <a:off x="0" y="0"/>
                      <a:ext cx="4128770" cy="5543550"/>
                    </a:xfrm>
                    <a:prstGeom prst="rect">
                      <a:avLst/>
                    </a:prstGeom>
                  </pic:spPr>
                </pic:pic>
              </a:graphicData>
            </a:graphic>
          </wp:inline>
        </w:drawing>
      </w:r>
      <w:r>
        <w:t xml:space="preserve"> </w:t>
      </w:r>
      <w:r>
        <w:drawing>
          <wp:inline distT="0" distB="0" distL="0" distR="0">
            <wp:extent cx="3931285" cy="5546090"/>
            <wp:effectExtent l="0" t="0" r="12065" b="16510"/>
            <wp:docPr id="131185669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56690" name="图片 1" descr="表格&#10;&#10;描述已自动生成"/>
                    <pic:cNvPicPr>
                      <a:picLocks noChangeAspect="1"/>
                    </pic:cNvPicPr>
                  </pic:nvPicPr>
                  <pic:blipFill>
                    <a:blip r:embed="rId266"/>
                    <a:stretch>
                      <a:fillRect/>
                    </a:stretch>
                  </pic:blipFill>
                  <pic:spPr>
                    <a:xfrm>
                      <a:off x="0" y="0"/>
                      <a:ext cx="3931285" cy="554609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4092575" cy="5539105"/>
            <wp:effectExtent l="0" t="0" r="3175" b="4445"/>
            <wp:docPr id="2024431979"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31979" name="图片 1" descr="文本, 信件&#10;&#10;描述已自动生成"/>
                    <pic:cNvPicPr>
                      <a:picLocks noChangeAspect="1"/>
                    </pic:cNvPicPr>
                  </pic:nvPicPr>
                  <pic:blipFill>
                    <a:blip r:embed="rId267"/>
                    <a:stretch>
                      <a:fillRect/>
                    </a:stretch>
                  </pic:blipFill>
                  <pic:spPr>
                    <a:xfrm>
                      <a:off x="0" y="0"/>
                      <a:ext cx="4092575" cy="5539105"/>
                    </a:xfrm>
                    <a:prstGeom prst="rect">
                      <a:avLst/>
                    </a:prstGeom>
                  </pic:spPr>
                </pic:pic>
              </a:graphicData>
            </a:graphic>
          </wp:inline>
        </w:drawing>
      </w:r>
      <w:r>
        <w:t xml:space="preserve"> </w:t>
      </w:r>
      <w:r>
        <w:drawing>
          <wp:inline distT="0" distB="0" distL="0" distR="0">
            <wp:extent cx="3905250" cy="5524500"/>
            <wp:effectExtent l="0" t="0" r="0" b="0"/>
            <wp:docPr id="73594798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47981" name="图片 1" descr="表格&#10;&#10;描述已自动生成"/>
                    <pic:cNvPicPr>
                      <a:picLocks noChangeAspect="1"/>
                    </pic:cNvPicPr>
                  </pic:nvPicPr>
                  <pic:blipFill>
                    <a:blip r:embed="rId268"/>
                    <a:stretch>
                      <a:fillRect/>
                    </a:stretch>
                  </pic:blipFill>
                  <pic:spPr>
                    <a:xfrm>
                      <a:off x="0" y="0"/>
                      <a:ext cx="3905250" cy="552450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4032885" cy="5543550"/>
            <wp:effectExtent l="0" t="0" r="5715" b="0"/>
            <wp:docPr id="1477558048"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58048" name="图片 1" descr="图片包含 文本&#10;&#10;描述已自动生成"/>
                    <pic:cNvPicPr>
                      <a:picLocks noChangeAspect="1"/>
                    </pic:cNvPicPr>
                  </pic:nvPicPr>
                  <pic:blipFill>
                    <a:blip r:embed="rId269"/>
                    <a:stretch>
                      <a:fillRect/>
                    </a:stretch>
                  </pic:blipFill>
                  <pic:spPr>
                    <a:xfrm>
                      <a:off x="0" y="0"/>
                      <a:ext cx="4032885" cy="5543550"/>
                    </a:xfrm>
                    <a:prstGeom prst="rect">
                      <a:avLst/>
                    </a:prstGeom>
                  </pic:spPr>
                </pic:pic>
              </a:graphicData>
            </a:graphic>
          </wp:inline>
        </w:drawing>
      </w:r>
      <w:r>
        <w:t xml:space="preserve"> </w:t>
      </w:r>
      <w:r>
        <w:drawing>
          <wp:inline distT="0" distB="0" distL="0" distR="0">
            <wp:extent cx="3829685" cy="5544820"/>
            <wp:effectExtent l="0" t="0" r="18415" b="17780"/>
            <wp:docPr id="148180998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09980" name="图片 1" descr="表格&#10;&#10;描述已自动生成"/>
                    <pic:cNvPicPr>
                      <a:picLocks noChangeAspect="1"/>
                    </pic:cNvPicPr>
                  </pic:nvPicPr>
                  <pic:blipFill>
                    <a:blip r:embed="rId270"/>
                    <a:stretch>
                      <a:fillRect/>
                    </a:stretch>
                  </pic:blipFill>
                  <pic:spPr>
                    <a:xfrm>
                      <a:off x="0" y="0"/>
                      <a:ext cx="3829685" cy="554482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4138295" cy="5543550"/>
            <wp:effectExtent l="0" t="0" r="14605" b="0"/>
            <wp:docPr id="2057272865"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72865" name="图片 1" descr="文本, 信件&#10;&#10;描述已自动生成"/>
                    <pic:cNvPicPr>
                      <a:picLocks noChangeAspect="1"/>
                    </pic:cNvPicPr>
                  </pic:nvPicPr>
                  <pic:blipFill>
                    <a:blip r:embed="rId271"/>
                    <a:stretch>
                      <a:fillRect/>
                    </a:stretch>
                  </pic:blipFill>
                  <pic:spPr>
                    <a:xfrm>
                      <a:off x="0" y="0"/>
                      <a:ext cx="4138295" cy="5543550"/>
                    </a:xfrm>
                    <a:prstGeom prst="rect">
                      <a:avLst/>
                    </a:prstGeom>
                  </pic:spPr>
                </pic:pic>
              </a:graphicData>
            </a:graphic>
          </wp:inline>
        </w:drawing>
      </w:r>
      <w:r>
        <w:t xml:space="preserve"> </w:t>
      </w:r>
      <w:r>
        <w:drawing>
          <wp:inline distT="0" distB="0" distL="0" distR="0">
            <wp:extent cx="3977005" cy="5537835"/>
            <wp:effectExtent l="0" t="0" r="4445" b="5715"/>
            <wp:docPr id="201533027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270" name="图片 1" descr="表格&#10;&#10;描述已自动生成"/>
                    <pic:cNvPicPr>
                      <a:picLocks noChangeAspect="1"/>
                    </pic:cNvPicPr>
                  </pic:nvPicPr>
                  <pic:blipFill>
                    <a:blip r:embed="rId272"/>
                    <a:stretch>
                      <a:fillRect/>
                    </a:stretch>
                  </pic:blipFill>
                  <pic:spPr>
                    <a:xfrm>
                      <a:off x="0" y="0"/>
                      <a:ext cx="3977005" cy="553783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4054475" cy="5543550"/>
            <wp:effectExtent l="0" t="0" r="3175" b="0"/>
            <wp:docPr id="2042152201"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52201" name="图片 1" descr="文本, 信件&#10;&#10;描述已自动生成"/>
                    <pic:cNvPicPr>
                      <a:picLocks noChangeAspect="1"/>
                    </pic:cNvPicPr>
                  </pic:nvPicPr>
                  <pic:blipFill>
                    <a:blip r:embed="rId273"/>
                    <a:stretch>
                      <a:fillRect/>
                    </a:stretch>
                  </pic:blipFill>
                  <pic:spPr>
                    <a:xfrm>
                      <a:off x="0" y="0"/>
                      <a:ext cx="4054475" cy="5543550"/>
                    </a:xfrm>
                    <a:prstGeom prst="rect">
                      <a:avLst/>
                    </a:prstGeom>
                  </pic:spPr>
                </pic:pic>
              </a:graphicData>
            </a:graphic>
          </wp:inline>
        </w:drawing>
      </w:r>
      <w:r>
        <w:t xml:space="preserve"> </w:t>
      </w:r>
      <w:r>
        <w:drawing>
          <wp:inline distT="0" distB="0" distL="0" distR="0">
            <wp:extent cx="3853815" cy="5544185"/>
            <wp:effectExtent l="0" t="0" r="13335" b="18415"/>
            <wp:docPr id="274951096"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51096" name="图片 1" descr="表格&#10;&#10;描述已自动生成"/>
                    <pic:cNvPicPr>
                      <a:picLocks noChangeAspect="1"/>
                    </pic:cNvPicPr>
                  </pic:nvPicPr>
                  <pic:blipFill>
                    <a:blip r:embed="rId274"/>
                    <a:stretch>
                      <a:fillRect/>
                    </a:stretch>
                  </pic:blipFill>
                  <pic:spPr>
                    <a:xfrm>
                      <a:off x="0" y="0"/>
                      <a:ext cx="3853815" cy="554418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4019550" cy="5543550"/>
            <wp:effectExtent l="0" t="0" r="0" b="0"/>
            <wp:docPr id="396745676"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45676" name="图片 1" descr="文本&#10;&#10;描述已自动生成"/>
                    <pic:cNvPicPr>
                      <a:picLocks noChangeAspect="1"/>
                    </pic:cNvPicPr>
                  </pic:nvPicPr>
                  <pic:blipFill>
                    <a:blip r:embed="rId275"/>
                    <a:stretch>
                      <a:fillRect/>
                    </a:stretch>
                  </pic:blipFill>
                  <pic:spPr>
                    <a:xfrm>
                      <a:off x="0" y="0"/>
                      <a:ext cx="4019550" cy="5543550"/>
                    </a:xfrm>
                    <a:prstGeom prst="rect">
                      <a:avLst/>
                    </a:prstGeom>
                  </pic:spPr>
                </pic:pic>
              </a:graphicData>
            </a:graphic>
          </wp:inline>
        </w:drawing>
      </w:r>
      <w:r>
        <w:t xml:space="preserve"> </w:t>
      </w:r>
      <w:r>
        <w:drawing>
          <wp:inline distT="0" distB="0" distL="0" distR="0">
            <wp:extent cx="3805555" cy="5537835"/>
            <wp:effectExtent l="0" t="0" r="4445" b="5715"/>
            <wp:docPr id="516237656"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37656" name="图片 1" descr="表格&#10;&#10;描述已自动生成"/>
                    <pic:cNvPicPr>
                      <a:picLocks noChangeAspect="1"/>
                    </pic:cNvPicPr>
                  </pic:nvPicPr>
                  <pic:blipFill>
                    <a:blip r:embed="rId276"/>
                    <a:stretch>
                      <a:fillRect/>
                    </a:stretch>
                  </pic:blipFill>
                  <pic:spPr>
                    <a:xfrm>
                      <a:off x="0" y="0"/>
                      <a:ext cx="3805555" cy="553783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4012565" cy="5543550"/>
            <wp:effectExtent l="0" t="0" r="6985" b="0"/>
            <wp:docPr id="10060633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6334" name="图片 1" descr="表格&#10;&#10;描述已自动生成"/>
                    <pic:cNvPicPr>
                      <a:picLocks noChangeAspect="1"/>
                    </pic:cNvPicPr>
                  </pic:nvPicPr>
                  <pic:blipFill>
                    <a:blip r:embed="rId277"/>
                    <a:stretch>
                      <a:fillRect/>
                    </a:stretch>
                  </pic:blipFill>
                  <pic:spPr>
                    <a:xfrm>
                      <a:off x="0" y="0"/>
                      <a:ext cx="4012565" cy="5543550"/>
                    </a:xfrm>
                    <a:prstGeom prst="rect">
                      <a:avLst/>
                    </a:prstGeom>
                  </pic:spPr>
                </pic:pic>
              </a:graphicData>
            </a:graphic>
          </wp:inline>
        </w:drawing>
      </w:r>
      <w:r>
        <w:t xml:space="preserve"> </w:t>
      </w:r>
      <w:r>
        <w:drawing>
          <wp:inline distT="0" distB="0" distL="0" distR="0">
            <wp:extent cx="3805555" cy="5537835"/>
            <wp:effectExtent l="0" t="0" r="4445" b="5715"/>
            <wp:docPr id="1143351287"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51287" name="图片 1" descr="表格&#10;&#10;描述已自动生成"/>
                    <pic:cNvPicPr>
                      <a:picLocks noChangeAspect="1"/>
                    </pic:cNvPicPr>
                  </pic:nvPicPr>
                  <pic:blipFill>
                    <a:blip r:embed="rId278"/>
                    <a:stretch>
                      <a:fillRect/>
                    </a:stretch>
                  </pic:blipFill>
                  <pic:spPr>
                    <a:xfrm>
                      <a:off x="0" y="0"/>
                      <a:ext cx="3805555" cy="553783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sectPr>
          <w:pgSz w:w="16838" w:h="11906" w:orient="landscape"/>
          <w:pgMar w:top="1588" w:right="1701" w:bottom="1588" w:left="1701" w:header="851" w:footer="1134" w:gutter="0"/>
          <w:pgNumType w:start="1"/>
          <w:cols w:space="720" w:num="1"/>
          <w:docGrid w:type="lines" w:linePitch="312" w:charSpace="0"/>
        </w:sect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2915" cy="6911975"/>
            <wp:effectExtent l="0" t="0" r="635" b="3175"/>
            <wp:docPr id="1140674052" name="图片 1"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74052" name="图片 1" descr="手机屏幕的截图&#10;&#10;描述已自动生成"/>
                    <pic:cNvPicPr>
                      <a:picLocks noChangeAspect="1"/>
                    </pic:cNvPicPr>
                  </pic:nvPicPr>
                  <pic:blipFill>
                    <a:blip r:embed="rId279"/>
                    <a:stretch>
                      <a:fillRect/>
                    </a:stretch>
                  </pic:blipFill>
                  <pic:spPr>
                    <a:xfrm>
                      <a:off x="0" y="0"/>
                      <a:ext cx="5542915" cy="691197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sectPr>
          <w:pgSz w:w="11906" w:h="16838"/>
          <w:pgMar w:top="1701" w:right="1588" w:bottom="1701" w:left="1588" w:header="851" w:footer="1134" w:gutter="0"/>
          <w:pgNumType w:start="1"/>
          <w:cols w:space="720" w:num="1"/>
          <w:docGrid w:type="lines" w:linePitch="312" w:charSpace="0"/>
        </w:sectPr>
      </w:pPr>
    </w:p>
    <w:p>
      <w:pPr>
        <w:spacing w:line="360" w:lineRule="auto"/>
        <w:jc w:val="center"/>
        <w:rPr>
          <w:color w:val="000000" w:themeColor="text1"/>
          <w:sz w:val="24"/>
          <w:szCs w:val="24"/>
          <w14:textFill>
            <w14:solidFill>
              <w14:schemeClr w14:val="tx1"/>
            </w14:solidFill>
          </w14:textFill>
        </w:rPr>
      </w:pPr>
      <w:r>
        <w:drawing>
          <wp:inline distT="0" distB="0" distL="0" distR="0">
            <wp:extent cx="8531225" cy="4897120"/>
            <wp:effectExtent l="0" t="0" r="3175" b="17780"/>
            <wp:docPr id="15787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231" name="图片 1"/>
                    <pic:cNvPicPr>
                      <a:picLocks noChangeAspect="1"/>
                    </pic:cNvPicPr>
                  </pic:nvPicPr>
                  <pic:blipFill>
                    <a:blip r:embed="rId280"/>
                    <a:stretch>
                      <a:fillRect/>
                    </a:stretch>
                  </pic:blipFill>
                  <pic:spPr>
                    <a:xfrm>
                      <a:off x="0" y="0"/>
                      <a:ext cx="8531225" cy="489712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8531225" cy="4853305"/>
            <wp:effectExtent l="0" t="0" r="3175" b="4445"/>
            <wp:docPr id="290189129" name="图片 1"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129" name="图片 1" descr="表格&#10;&#10;中度可信度描述已自动生成"/>
                    <pic:cNvPicPr>
                      <a:picLocks noChangeAspect="1"/>
                    </pic:cNvPicPr>
                  </pic:nvPicPr>
                  <pic:blipFill>
                    <a:blip r:embed="rId281"/>
                    <a:stretch>
                      <a:fillRect/>
                    </a:stretch>
                  </pic:blipFill>
                  <pic:spPr>
                    <a:xfrm>
                      <a:off x="0" y="0"/>
                      <a:ext cx="8531225" cy="485330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8531860" cy="4882515"/>
            <wp:effectExtent l="0" t="0" r="2540" b="13335"/>
            <wp:docPr id="777694820"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94820" name="图片 1" descr="表格&#10;&#10;描述已自动生成"/>
                    <pic:cNvPicPr>
                      <a:picLocks noChangeAspect="1"/>
                    </pic:cNvPicPr>
                  </pic:nvPicPr>
                  <pic:blipFill>
                    <a:blip r:embed="rId282"/>
                    <a:stretch>
                      <a:fillRect/>
                    </a:stretch>
                  </pic:blipFill>
                  <pic:spPr>
                    <a:xfrm>
                      <a:off x="0" y="0"/>
                      <a:ext cx="8531860" cy="488251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8531225" cy="3427095"/>
            <wp:effectExtent l="0" t="0" r="3175" b="1905"/>
            <wp:docPr id="116419449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94491" name="图片 1" descr="表格&#10;&#10;描述已自动生成"/>
                    <pic:cNvPicPr>
                      <a:picLocks noChangeAspect="1"/>
                    </pic:cNvPicPr>
                  </pic:nvPicPr>
                  <pic:blipFill>
                    <a:blip r:embed="rId283"/>
                    <a:stretch>
                      <a:fillRect/>
                    </a:stretch>
                  </pic:blipFill>
                  <pic:spPr>
                    <a:xfrm>
                      <a:off x="0" y="0"/>
                      <a:ext cx="8531225" cy="342709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sectPr>
          <w:pgSz w:w="16838" w:h="11906" w:orient="landscape"/>
          <w:pgMar w:top="1588" w:right="1701" w:bottom="1588" w:left="1701" w:header="851" w:footer="1134" w:gutter="0"/>
          <w:pgNumType w:start="1"/>
          <w:cols w:space="720" w:num="1"/>
          <w:docGrid w:type="lines" w:linePitch="312" w:charSpace="0"/>
        </w:sect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2915" cy="7385685"/>
            <wp:effectExtent l="0" t="0" r="635" b="5715"/>
            <wp:docPr id="469302106" name="图片 1"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02106" name="图片 1" descr="手机屏幕的截图&#10;&#10;描述已自动生成"/>
                    <pic:cNvPicPr>
                      <a:picLocks noChangeAspect="1"/>
                    </pic:cNvPicPr>
                  </pic:nvPicPr>
                  <pic:blipFill>
                    <a:blip r:embed="rId284"/>
                    <a:stretch>
                      <a:fillRect/>
                    </a:stretch>
                  </pic:blipFill>
                  <pic:spPr>
                    <a:xfrm>
                      <a:off x="0" y="0"/>
                      <a:ext cx="5542915" cy="738568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486400" cy="7439025"/>
            <wp:effectExtent l="0" t="0" r="0" b="9525"/>
            <wp:docPr id="189700124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01244" name="图片 1" descr="表格&#10;&#10;描述已自动生成"/>
                    <pic:cNvPicPr>
                      <a:picLocks noChangeAspect="1"/>
                    </pic:cNvPicPr>
                  </pic:nvPicPr>
                  <pic:blipFill>
                    <a:blip r:embed="rId285"/>
                    <a:stretch>
                      <a:fillRect/>
                    </a:stretch>
                  </pic:blipFill>
                  <pic:spPr>
                    <a:xfrm>
                      <a:off x="0" y="0"/>
                      <a:ext cx="5486400" cy="743902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pPr>
      <w:r>
        <w:drawing>
          <wp:inline distT="0" distB="0" distL="0" distR="0">
            <wp:extent cx="5543550" cy="6288405"/>
            <wp:effectExtent l="0" t="0" r="0" b="17145"/>
            <wp:docPr id="96385721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57211" name="图片 1" descr="表格&#10;&#10;描述已自动生成"/>
                    <pic:cNvPicPr>
                      <a:picLocks noChangeAspect="1"/>
                    </pic:cNvPicPr>
                  </pic:nvPicPr>
                  <pic:blipFill>
                    <a:blip r:embed="rId286"/>
                    <a:stretch>
                      <a:fillRect/>
                    </a:stretch>
                  </pic:blipFill>
                  <pic:spPr>
                    <a:xfrm>
                      <a:off x="0" y="0"/>
                      <a:ext cx="5543550" cy="6288405"/>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p>
      <w:pPr>
        <w:spacing w:line="360" w:lineRule="auto"/>
        <w:jc w:val="center"/>
        <w:rPr>
          <w:color w:val="000000" w:themeColor="text1"/>
          <w:sz w:val="24"/>
          <w:szCs w:val="24"/>
          <w14:textFill>
            <w14:solidFill>
              <w14:schemeClr w14:val="tx1"/>
            </w14:solidFill>
          </w14:textFill>
        </w:rPr>
        <w:sectPr>
          <w:pgSz w:w="11906" w:h="16838"/>
          <w:pgMar w:top="1701" w:right="1588" w:bottom="1701" w:left="1588" w:header="851" w:footer="1134" w:gutter="0"/>
          <w:pgNumType w:start="1"/>
          <w:cols w:space="720" w:num="1"/>
          <w:docGrid w:type="lines" w:linePitch="312" w:charSpace="0"/>
        </w:sectPr>
      </w:pPr>
    </w:p>
    <w:p>
      <w:pPr>
        <w:spacing w:line="360" w:lineRule="auto"/>
        <w:jc w:val="center"/>
        <w:rPr>
          <w:color w:val="000000" w:themeColor="text1"/>
          <w:sz w:val="24"/>
          <w:szCs w:val="24"/>
          <w14:textFill>
            <w14:solidFill>
              <w14:schemeClr w14:val="tx1"/>
            </w14:solidFill>
          </w14:textFill>
        </w:rPr>
      </w:pPr>
      <w:r>
        <w:drawing>
          <wp:inline distT="0" distB="0" distL="0" distR="0">
            <wp:extent cx="5079365" cy="7791450"/>
            <wp:effectExtent l="0" t="0" r="0" b="6985"/>
            <wp:docPr id="1469313750" name="图片 1" descr="电脑屏幕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3750" name="图片 1" descr="电脑屏幕的照片&#10;&#10;描述已自动生成"/>
                    <pic:cNvPicPr>
                      <a:picLocks noChangeAspect="1"/>
                    </pic:cNvPicPr>
                  </pic:nvPicPr>
                  <pic:blipFill>
                    <a:blip r:embed="rId287"/>
                    <a:stretch>
                      <a:fillRect/>
                    </a:stretch>
                  </pic:blipFill>
                  <pic:spPr>
                    <a:xfrm rot="5400000">
                      <a:off x="0" y="0"/>
                      <a:ext cx="5079365" cy="7791450"/>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5186680" cy="8291195"/>
            <wp:effectExtent l="0" t="0" r="14605" b="13970"/>
            <wp:docPr id="305983507" name="图片 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83507" name="图片 1" descr="图片包含 表格&#10;&#10;描述已自动生成"/>
                    <pic:cNvPicPr>
                      <a:picLocks noChangeAspect="1"/>
                    </pic:cNvPicPr>
                  </pic:nvPicPr>
                  <pic:blipFill>
                    <a:blip r:embed="rId288"/>
                    <a:stretch>
                      <a:fillRect/>
                    </a:stretch>
                  </pic:blipFill>
                  <pic:spPr>
                    <a:xfrm rot="5400000">
                      <a:off x="0" y="0"/>
                      <a:ext cx="5186680" cy="8307838"/>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r>
        <w:drawing>
          <wp:inline distT="0" distB="0" distL="0" distR="0">
            <wp:extent cx="2461895" cy="8333740"/>
            <wp:effectExtent l="0" t="0" r="10160" b="14605"/>
            <wp:docPr id="23906945" name="图片 1"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6945" name="图片 1" descr="手机屏幕的截图&#10;&#10;中度可信度描述已自动生成"/>
                    <pic:cNvPicPr>
                      <a:picLocks noChangeAspect="1"/>
                    </pic:cNvPicPr>
                  </pic:nvPicPr>
                  <pic:blipFill>
                    <a:blip r:embed="rId289"/>
                    <a:stretch>
                      <a:fillRect/>
                    </a:stretch>
                  </pic:blipFill>
                  <pic:spPr>
                    <a:xfrm rot="5400000">
                      <a:off x="0" y="0"/>
                      <a:ext cx="2461895" cy="8347737"/>
                    </a:xfrm>
                    <a:prstGeom prst="rect">
                      <a:avLst/>
                    </a:prstGeom>
                  </pic:spPr>
                </pic:pic>
              </a:graphicData>
            </a:graphic>
          </wp:inline>
        </w:drawing>
      </w:r>
    </w:p>
    <w:p>
      <w:pPr>
        <w:spacing w:line="360" w:lineRule="auto"/>
        <w:jc w:val="center"/>
        <w:rPr>
          <w:color w:val="000000" w:themeColor="text1"/>
          <w:sz w:val="24"/>
          <w:szCs w:val="24"/>
          <w14:textFill>
            <w14:solidFill>
              <w14:schemeClr w14:val="tx1"/>
            </w14:solidFill>
          </w14:textFill>
        </w:rPr>
      </w:pPr>
    </w:p>
    <w:sectPr>
      <w:pgSz w:w="16838" w:h="11906" w:orient="landscape"/>
      <w:pgMar w:top="1588" w:right="1701" w:bottom="1588" w:left="1701" w:header="851" w:footer="1134"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方正舒体">
    <w:panose1 w:val="02010601030101010101"/>
    <w:charset w:val="86"/>
    <w:family w:val="auto"/>
    <w:pitch w:val="default"/>
    <w:sig w:usb0="00000003"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体">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TimesNewRomanPSMT">
    <w:altName w:val="等线"/>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华文行楷">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Century">
    <w:panose1 w:val="02040604050505020304"/>
    <w:charset w:val="00"/>
    <w:family w:val="roman"/>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MS Mincho">
    <w:panose1 w:val="02020609040205080304"/>
    <w:charset w:val="80"/>
    <w:family w:val="modern"/>
    <w:pitch w:val="default"/>
    <w:sig w:usb0="A00002BF" w:usb1="68C7FCFB" w:usb2="00000010" w:usb3="00000000" w:csb0="4002009F" w:csb1="DFD70000"/>
  </w:font>
  <w:font w:name="IINFIO+TimesNewRoman">
    <w:altName w:val="宋体"/>
    <w:panose1 w:val="00000000000000000000"/>
    <w:charset w:val="86"/>
    <w:family w:val="roman"/>
    <w:pitch w:val="default"/>
    <w:sig w:usb0="00000000" w:usb1="00000000" w:usb2="00000010" w:usb3="00000000" w:csb0="00040000" w:csb1="00000000"/>
  </w:font>
  <w:font w:name="方正宋三简体">
    <w:altName w:val="黑体"/>
    <w:panose1 w:val="00000000000000000000"/>
    <w:charset w:val="86"/>
    <w:family w:val="script"/>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 w:name="PMingLiU">
    <w:altName w:val="Microsoft JhengHei UI"/>
    <w:panose1 w:val="02010601000101010101"/>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sz w:val="24"/>
        <w:szCs w:val="24"/>
      </w:rPr>
    </w:pPr>
  </w:p>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7"/>
      </w:rPr>
    </w:pPr>
    <w:r>
      <w:fldChar w:fldCharType="begin"/>
    </w:r>
    <w:r>
      <w:rPr>
        <w:rStyle w:val="57"/>
      </w:rPr>
      <w:instrText xml:space="preserve">PAGE  </w:instrText>
    </w:r>
    <w:r>
      <w:fldChar w:fldCharType="end"/>
    </w:r>
  </w:p>
  <w:p>
    <w:pPr>
      <w:pStyle w:val="3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7"/>
      </w:rPr>
    </w:pPr>
    <w:r>
      <w:fldChar w:fldCharType="begin"/>
    </w:r>
    <w:r>
      <w:rPr>
        <w:rStyle w:val="57"/>
      </w:rPr>
      <w:instrText xml:space="preserve">PAGE  </w:instrText>
    </w:r>
    <w:r>
      <w:fldChar w:fldCharType="end"/>
    </w:r>
  </w:p>
  <w:p>
    <w:pPr>
      <w:pStyle w:val="3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sz w:val="24"/>
        <w:szCs w:val="24"/>
      </w:rPr>
    </w:pPr>
    <w:r>
      <w:rPr>
        <w:sz w:val="24"/>
      </w:rPr>
      <mc:AlternateContent>
        <mc:Choice Requires="wps">
          <w:drawing>
            <wp:anchor distT="0" distB="0" distL="114300" distR="114300" simplePos="0" relativeHeight="251666432" behindDoc="0" locked="0" layoutInCell="1" allowOverlap="1">
              <wp:simplePos x="0" y="0"/>
              <wp:positionH relativeFrom="margin">
                <wp:posOffset>2696845</wp:posOffset>
              </wp:positionH>
              <wp:positionV relativeFrom="paragraph">
                <wp:posOffset>4445</wp:posOffset>
              </wp:positionV>
              <wp:extent cx="323850" cy="200025"/>
              <wp:effectExtent l="0" t="0" r="0" b="9525"/>
              <wp:wrapNone/>
              <wp:docPr id="44" name="文本框 44"/>
              <wp:cNvGraphicFramePr/>
              <a:graphic xmlns:a="http://schemas.openxmlformats.org/drawingml/2006/main">
                <a:graphicData uri="http://schemas.microsoft.com/office/word/2010/wordprocessingShape">
                  <wps:wsp>
                    <wps:cNvSpPr txBox="1"/>
                    <wps:spPr>
                      <a:xfrm>
                        <a:off x="0" y="0"/>
                        <a:ext cx="323850" cy="200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rPr>
                              <w:rFonts w:hint="eastAsia"/>
                              <w:lang w:val="en-US"/>
                            </w:rPr>
                            <w:t>6-</w:t>
                          </w: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2.35pt;margin-top:0.35pt;height:15.75pt;width:25.5pt;mso-position-horizontal-relative:margin;z-index:251666432;mso-width-relative:page;mso-height-relative:page;" filled="f" stroked="f" coordsize="21600,21600" o:gfxdata="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y/A6dYAAAAHAQAADwAAAAAAAAABACAAAAAiAAAAZHJzL2Rvd25yZXYueG1sUEsB&#10;AhQAFAAAAAgAh07iQMhW0okwAgAAVwQAAA4AAAAAAAAAAQAgAAAAJQEAAGRycy9lMm9Eb2MueG1s&#10;UEsFBgAAAAAGAAYAWQEAAMcFAAAAAA==&#10;">
              <v:fill on="f" focussize="0,0"/>
              <v:stroke on="f" weight="0.5pt"/>
              <v:imagedata o:title=""/>
              <o:lock v:ext="edit" aspectratio="f"/>
              <v:textbox inset="0mm,0mm,0mm,0mm">
                <w:txbxContent>
                  <w:p>
                    <w:pPr>
                      <w:pStyle w:val="30"/>
                    </w:pPr>
                    <w:r>
                      <w:rPr>
                        <w:rFonts w:hint="eastAsia"/>
                        <w:lang w:val="en-US"/>
                      </w:rPr>
                      <w:t>6-</w:t>
                    </w: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sz w:val="24"/>
      </w:rPr>
    </w:pPr>
    <w:r>
      <w:rPr>
        <w:sz w:val="24"/>
      </w:rPr>
      <mc:AlternateContent>
        <mc:Choice Requires="wps">
          <w:drawing>
            <wp:anchor distT="0" distB="0" distL="114300" distR="114300" simplePos="0" relativeHeight="251667456" behindDoc="0" locked="0" layoutInCell="1" allowOverlap="1">
              <wp:simplePos x="0" y="0"/>
              <wp:positionH relativeFrom="margin">
                <wp:posOffset>2563495</wp:posOffset>
              </wp:positionH>
              <wp:positionV relativeFrom="paragraph">
                <wp:posOffset>1905</wp:posOffset>
              </wp:positionV>
              <wp:extent cx="371475" cy="171450"/>
              <wp:effectExtent l="0" t="0" r="9525" b="0"/>
              <wp:wrapNone/>
              <wp:docPr id="46" name="文本框 46"/>
              <wp:cNvGraphicFramePr/>
              <a:graphic xmlns:a="http://schemas.openxmlformats.org/drawingml/2006/main">
                <a:graphicData uri="http://schemas.microsoft.com/office/word/2010/wordprocessingShape">
                  <wps:wsp>
                    <wps:cNvSpPr txBox="1"/>
                    <wps:spPr>
                      <a:xfrm>
                        <a:off x="0" y="0"/>
                        <a:ext cx="371475" cy="171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rPr>
                              <w:rFonts w:hint="eastAsia"/>
                              <w:lang w:val="en-US"/>
                            </w:rPr>
                            <w:t>7-</w:t>
                          </w: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1.85pt;margin-top:0.15pt;height:13.5pt;width:29.25pt;mso-position-horizontal-relative:margin;z-index:251667456;mso-width-relative:page;mso-height-relative:page;" filled="f" stroked="f" coordsize="21600,21600" o:gfxdata="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LuA1gAAAAcBAAAPAAAAAAAAAAEAIAAAACIAAABkcnMvZG93bnJldi54bWxQ&#10;SwECFAAUAAAACACHTuJA96T0YjICAABXBAAADgAAAAAAAAABACAAAAAlAQAAZHJzL2Uyb0RvYy54&#10;bWxQSwUGAAAAAAYABgBZAQAAyQUAAAAA&#10;">
              <v:fill on="f" focussize="0,0"/>
              <v:stroke on="f" weight="0.5pt"/>
              <v:imagedata o:title=""/>
              <o:lock v:ext="edit" aspectratio="f"/>
              <v:textbox inset="0mm,0mm,0mm,0mm">
                <w:txbxContent>
                  <w:p>
                    <w:pPr>
                      <w:pStyle w:val="30"/>
                    </w:pPr>
                    <w:r>
                      <w:rPr>
                        <w:rFonts w:hint="eastAsia"/>
                        <w:lang w:val="en-US"/>
                      </w:rPr>
                      <w:t>7-</w:t>
                    </w:r>
                    <w:r>
                      <w:fldChar w:fldCharType="begin"/>
                    </w:r>
                    <w:r>
                      <w:instrText xml:space="preserve"> PAGE  \* MERGEFORMAT </w:instrText>
                    </w:r>
                    <w:r>
                      <w:fldChar w:fldCharType="separate"/>
                    </w:r>
                    <w:r>
                      <w:t>18</w:t>
                    </w:r>
                    <w:r>
                      <w:fldChar w:fldCharType="end"/>
                    </w:r>
                  </w:p>
                </w:txbxContent>
              </v:textbox>
            </v:shape>
          </w:pict>
        </mc:Fallback>
      </mc:AlternateContent>
    </w:r>
  </w:p>
  <w:p>
    <w:pPr>
      <w:pStyle w:val="19"/>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sz w:val="24"/>
      </w:rPr>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rPr>
                              <w:rFonts w:hint="eastAsia"/>
                              <w:lang w:val="en-US"/>
                            </w:rPr>
                            <w:t>8-</w:t>
                          </w: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30"/>
                    </w:pPr>
                    <w:r>
                      <w:rPr>
                        <w:rFonts w:hint="eastAsia"/>
                        <w:lang w:val="en-US"/>
                      </w:rPr>
                      <w:t>8-</w:t>
                    </w:r>
                    <w:r>
                      <w:fldChar w:fldCharType="begin"/>
                    </w:r>
                    <w:r>
                      <w:instrText xml:space="preserve"> PAGE  \* MERGEFORMAT </w:instrText>
                    </w:r>
                    <w:r>
                      <w:fldChar w:fldCharType="separate"/>
                    </w:r>
                    <w:r>
                      <w:t>31</w:t>
                    </w:r>
                    <w:r>
                      <w:fldChar w:fldCharType="end"/>
                    </w:r>
                  </w:p>
                </w:txbxContent>
              </v:textbox>
            </v:shape>
          </w:pict>
        </mc:Fallback>
      </mc:AlternateContent>
    </w:r>
  </w:p>
  <w:p>
    <w:pPr>
      <w:pStyle w:val="19"/>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sz w:val="24"/>
      </w:rPr>
    </w:pPr>
    <w:r>
      <w:rPr>
        <w:sz w:val="24"/>
      </w:rPr>
      <mc:AlternateContent>
        <mc:Choice Requires="wps">
          <w:drawing>
            <wp:anchor distT="0" distB="0" distL="114300" distR="114300" simplePos="0" relativeHeight="251669504" behindDoc="0" locked="0" layoutInCell="1" allowOverlap="1">
              <wp:simplePos x="0" y="0"/>
              <wp:positionH relativeFrom="margin">
                <wp:posOffset>2696210</wp:posOffset>
              </wp:positionH>
              <wp:positionV relativeFrom="paragraph">
                <wp:posOffset>3175</wp:posOffset>
              </wp:positionV>
              <wp:extent cx="219075" cy="1828800"/>
              <wp:effectExtent l="0" t="0" r="9525" b="14605"/>
              <wp:wrapNone/>
              <wp:docPr id="51" name="文本框 51"/>
              <wp:cNvGraphicFramePr/>
              <a:graphic xmlns:a="http://schemas.openxmlformats.org/drawingml/2006/main">
                <a:graphicData uri="http://schemas.microsoft.com/office/word/2010/wordprocessingShape">
                  <wps:wsp>
                    <wps:cNvSpPr txBox="1"/>
                    <wps:spPr>
                      <a:xfrm>
                        <a:off x="0" y="0"/>
                        <a:ext cx="21907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rPr>
                              <w:rFonts w:hint="eastAsia"/>
                              <w:lang w:val="en-US"/>
                            </w:rPr>
                            <w:t>9-</w:t>
                          </w: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2.3pt;margin-top:0.25pt;height:144pt;width:17.25pt;mso-position-horizontal-relative:margin;z-index:251669504;mso-width-relative:page;mso-height-relative:page;" filled="f" stroked="f" coordsize="21600,21600" o:gfxdata="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Uj4kbYAAAACAEAAA8AAAAAAAAAAQAgAAAAIgAAAGRycy9kb3ducmV2&#10;LnhtbFBLAQIUABQAAAAIAIdO4kCiJA1eNQIAAFgEAAAOAAAAAAAAAAEAIAAAACcBAABkcnMvZTJv&#10;RG9jLnhtbFBLBQYAAAAABgAGAFkBAADOBQAAAAA=&#10;">
              <v:fill on="f" focussize="0,0"/>
              <v:stroke on="f" weight="0.5pt"/>
              <v:imagedata o:title=""/>
              <o:lock v:ext="edit" aspectratio="f"/>
              <v:textbox inset="0mm,0mm,0mm,0mm" style="mso-fit-shape-to-text:t;">
                <w:txbxContent>
                  <w:p>
                    <w:pPr>
                      <w:pStyle w:val="30"/>
                    </w:pPr>
                    <w:r>
                      <w:rPr>
                        <w:rFonts w:hint="eastAsia"/>
                        <w:lang w:val="en-US"/>
                      </w:rPr>
                      <w:t>9-</w:t>
                    </w:r>
                    <w:r>
                      <w:fldChar w:fldCharType="begin"/>
                    </w:r>
                    <w:r>
                      <w:instrText xml:space="preserve"> PAGE  \* MERGEFORMAT </w:instrText>
                    </w:r>
                    <w:r>
                      <w:fldChar w:fldCharType="separate"/>
                    </w:r>
                    <w:r>
                      <w:t>8</w:t>
                    </w:r>
                    <w:r>
                      <w:fldChar w:fldCharType="end"/>
                    </w:r>
                  </w:p>
                </w:txbxContent>
              </v:textbox>
            </v:shape>
          </w:pict>
        </mc:Fallback>
      </mc:AlternateContent>
    </w:r>
  </w:p>
  <w:p>
    <w:pPr>
      <w:pStyle w:val="19"/>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sz w:val="24"/>
      </w:rPr>
    </w:pPr>
    <w:r>
      <w:rPr>
        <w:sz w:val="24"/>
      </w:rPr>
      <mc:AlternateContent>
        <mc:Choice Requires="wps">
          <w:drawing>
            <wp:anchor distT="0" distB="0" distL="114300" distR="114300" simplePos="0" relativeHeight="251670528" behindDoc="0" locked="0" layoutInCell="1" allowOverlap="1">
              <wp:simplePos x="0" y="0"/>
              <wp:positionH relativeFrom="margin">
                <wp:posOffset>2664460</wp:posOffset>
              </wp:positionH>
              <wp:positionV relativeFrom="paragraph">
                <wp:posOffset>-635</wp:posOffset>
              </wp:positionV>
              <wp:extent cx="441325" cy="189230"/>
              <wp:effectExtent l="0" t="0" r="0" b="1905"/>
              <wp:wrapNone/>
              <wp:docPr id="53" name="文本框 53"/>
              <wp:cNvGraphicFramePr/>
              <a:graphic xmlns:a="http://schemas.openxmlformats.org/drawingml/2006/main">
                <a:graphicData uri="http://schemas.microsoft.com/office/word/2010/wordprocessingShape">
                  <wps:wsp>
                    <wps:cNvSpPr txBox="1"/>
                    <wps:spPr>
                      <a:xfrm>
                        <a:off x="0" y="0"/>
                        <a:ext cx="441434" cy="1891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rPr>
                              <w:rFonts w:hint="eastAsia"/>
                              <w:lang w:val="en-US"/>
                            </w:rPr>
                            <w:t>10-</w:t>
                          </w: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9.8pt;margin-top:-0.05pt;height:14.9pt;width:34.75pt;mso-position-horizontal-relative:margin;z-index:251670528;mso-width-relative:page;mso-height-relative:page;" filled="f" stroked="f" coordsize="21600,21600" o:gfxdata="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B9C/XAAAACAEAAA8AAAAAAAAAAQAgAAAAIgAAAGRycy9kb3ducmV2Lnht&#10;bFBLAQIUABQAAAAIAIdO4kB79XwgMwIAAFcEAAAOAAAAAAAAAAEAIAAAACYBAABkcnMvZTJvRG9j&#10;LnhtbFBLBQYAAAAABgAGAFkBAADLBQAAAAA=&#10;">
              <v:fill on="f" focussize="0,0"/>
              <v:stroke on="f" weight="0.5pt"/>
              <v:imagedata o:title=""/>
              <o:lock v:ext="edit" aspectratio="f"/>
              <v:textbox inset="0mm,0mm,0mm,0mm">
                <w:txbxContent>
                  <w:p>
                    <w:pPr>
                      <w:pStyle w:val="30"/>
                    </w:pPr>
                    <w:r>
                      <w:rPr>
                        <w:rFonts w:hint="eastAsia"/>
                        <w:lang w:val="en-US"/>
                      </w:rPr>
                      <w:t>10-</w:t>
                    </w:r>
                    <w:r>
                      <w:fldChar w:fldCharType="begin"/>
                    </w:r>
                    <w:r>
                      <w:instrText xml:space="preserve"> PAGE  \* MERGEFORMAT </w:instrText>
                    </w:r>
                    <w:r>
                      <w:fldChar w:fldCharType="separate"/>
                    </w:r>
                    <w:r>
                      <w:t>10</w:t>
                    </w:r>
                    <w:r>
                      <w:fldChar w:fldCharType="end"/>
                    </w:r>
                  </w:p>
                </w:txbxContent>
              </v:textbox>
            </v:shape>
          </w:pict>
        </mc:Fallback>
      </mc:AlternateContent>
    </w:r>
  </w:p>
  <w:p>
    <w:pPr>
      <w:pStyle w:val="19"/>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rPr>
                              <w:rFonts w:hint="eastAsia"/>
                              <w:lang w:val="en-US"/>
                            </w:rPr>
                            <w:t>1-</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30"/>
                    </w:pPr>
                    <w:r>
                      <w:rPr>
                        <w:rFonts w:hint="eastAsia"/>
                        <w:lang w:val="en-US"/>
                      </w:rPr>
                      <w:t>1-</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posOffset>2696210</wp:posOffset>
              </wp:positionH>
              <wp:positionV relativeFrom="paragraph">
                <wp:posOffset>-1905</wp:posOffset>
              </wp:positionV>
              <wp:extent cx="410210" cy="252095"/>
              <wp:effectExtent l="0" t="0" r="9525" b="14605"/>
              <wp:wrapNone/>
              <wp:docPr id="27" name="文本框 27"/>
              <wp:cNvGraphicFramePr/>
              <a:graphic xmlns:a="http://schemas.openxmlformats.org/drawingml/2006/main">
                <a:graphicData uri="http://schemas.microsoft.com/office/word/2010/wordprocessingShape">
                  <wps:wsp>
                    <wps:cNvSpPr txBox="1"/>
                    <wps:spPr>
                      <a:xfrm>
                        <a:off x="0" y="0"/>
                        <a:ext cx="409903" cy="2522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rPr>
                              <w:rFonts w:hint="eastAsia"/>
                              <w:lang w:val="en-US"/>
                            </w:rPr>
                            <w:t>2-</w:t>
                          </w: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2.3pt;margin-top:-0.15pt;height:19.85pt;width:32.3pt;mso-position-horizontal-relative:margin;z-index:251662336;mso-width-relative:page;mso-height-relative:page;" filled="f" stroked="f" coordsize="21600,21600" o:gfxdata="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SQPZtgAAAAIAQAADwAAAAAAAAABACAAAAAiAAAAZHJzL2Rvd25yZXYu&#10;eG1sUEsBAhQAFAAAAAgAh07iQLDFqwc0AgAAVwQAAA4AAAAAAAAAAQAgAAAAJwEAAGRycy9lMm9E&#10;b2MueG1sUEsFBgAAAAAGAAYAWQEAAM0FAAAAAA==&#10;">
              <v:fill on="f" focussize="0,0"/>
              <v:stroke on="f" weight="0.5pt"/>
              <v:imagedata o:title=""/>
              <o:lock v:ext="edit" aspectratio="f"/>
              <v:textbox inset="0mm,0mm,0mm,0mm">
                <w:txbxContent>
                  <w:p>
                    <w:pPr>
                      <w:pStyle w:val="30"/>
                    </w:pPr>
                    <w:r>
                      <w:rPr>
                        <w:rFonts w:hint="eastAsia"/>
                        <w:lang w:val="en-US"/>
                      </w:rPr>
                      <w:t>2-</w:t>
                    </w: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p>
  <w:p>
    <w:pPr>
      <w:pStyle w:val="30"/>
    </w:pPr>
    <w:r>
      <mc:AlternateContent>
        <mc:Choice Requires="wps">
          <w:drawing>
            <wp:anchor distT="0" distB="0" distL="114300" distR="114300" simplePos="0" relativeHeight="251663360" behindDoc="0" locked="0" layoutInCell="1" allowOverlap="1">
              <wp:simplePos x="0" y="0"/>
              <wp:positionH relativeFrom="margin">
                <wp:posOffset>2712085</wp:posOffset>
              </wp:positionH>
              <wp:positionV relativeFrom="paragraph">
                <wp:posOffset>-114300</wp:posOffset>
              </wp:positionV>
              <wp:extent cx="294005" cy="167005"/>
              <wp:effectExtent l="0" t="0" r="10795" b="5080"/>
              <wp:wrapNone/>
              <wp:docPr id="32" name="文本框 32"/>
              <wp:cNvGraphicFramePr/>
              <a:graphic xmlns:a="http://schemas.openxmlformats.org/drawingml/2006/main">
                <a:graphicData uri="http://schemas.microsoft.com/office/word/2010/wordprocessingShape">
                  <wps:wsp>
                    <wps:cNvSpPr txBox="1"/>
                    <wps:spPr>
                      <a:xfrm>
                        <a:off x="0" y="0"/>
                        <a:ext cx="294198" cy="1669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rPr>
                              <w:rFonts w:hint="eastAsia"/>
                              <w:lang w:val="en-US"/>
                            </w:rPr>
                            <w:t>3-</w:t>
                          </w: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3.55pt;margin-top:-9pt;height:13.15pt;width:23.15pt;mso-position-horizontal-relative:margin;z-index:251663360;mso-width-relative:page;mso-height-relative:page;" filled="f" stroked="f" coordsize="21600,21600" o:gfxdata="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BbWPp2AAAAAkBAAAPAAAAAAAAAAEAIAAAACIAAABkcnMvZG93bnJldi54&#10;bWxQSwECFAAUAAAACACHTuJAffkltTMCAABXBAAADgAAAAAAAAABACAAAAAnAQAAZHJzL2Uyb0Rv&#10;Yy54bWxQSwUGAAAAAAYABgBZAQAAzAUAAAAA&#10;">
              <v:fill on="f" focussize="0,0"/>
              <v:stroke on="f" weight="0.5pt"/>
              <v:imagedata o:title=""/>
              <o:lock v:ext="edit" aspectratio="f"/>
              <v:textbox inset="0mm,0mm,0mm,0mm">
                <w:txbxContent>
                  <w:p>
                    <w:pPr>
                      <w:pStyle w:val="30"/>
                    </w:pPr>
                    <w:r>
                      <w:rPr>
                        <w:rFonts w:hint="eastAsia"/>
                        <w:lang w:val="en-US"/>
                      </w:rPr>
                      <w:t>3-</w:t>
                    </w: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sz w:val="24"/>
        <w:szCs w:val="24"/>
      </w:rPr>
    </w:pPr>
    <w:r>
      <w:rPr>
        <w:sz w:val="24"/>
      </w:rPr>
      <mc:AlternateContent>
        <mc:Choice Requires="wps">
          <w:drawing>
            <wp:anchor distT="0" distB="0" distL="114300" distR="114300" simplePos="0" relativeHeight="251664384" behindDoc="0" locked="0" layoutInCell="1" allowOverlap="1">
              <wp:simplePos x="0" y="0"/>
              <wp:positionH relativeFrom="margin">
                <wp:posOffset>2696845</wp:posOffset>
              </wp:positionH>
              <wp:positionV relativeFrom="paragraph">
                <wp:posOffset>4445</wp:posOffset>
              </wp:positionV>
              <wp:extent cx="304800" cy="180975"/>
              <wp:effectExtent l="0" t="0" r="0" b="9525"/>
              <wp:wrapNone/>
              <wp:docPr id="38" name="文本框 38"/>
              <wp:cNvGraphicFramePr/>
              <a:graphic xmlns:a="http://schemas.openxmlformats.org/drawingml/2006/main">
                <a:graphicData uri="http://schemas.microsoft.com/office/word/2010/wordprocessingShape">
                  <wps:wsp>
                    <wps:cNvSpPr txBox="1"/>
                    <wps:spPr>
                      <a:xfrm>
                        <a:off x="0" y="0"/>
                        <a:ext cx="304800" cy="180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rPr>
                              <w:rFonts w:hint="eastAsia"/>
                              <w:lang w:val="en-US"/>
                            </w:rPr>
                            <w:t>4-</w:t>
                          </w: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2.35pt;margin-top:0.35pt;height:14.25pt;width:24pt;mso-position-horizontal-relative:margin;z-index:251664384;mso-width-relative:page;mso-height-relative:page;" filled="f" stroked="f" coordsize="21600,21600" o:gfxdata="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SxGFA1gAAAAcBAAAPAAAAAAAAAAEAIAAAACIAAABkcnMvZG93bnJldi54bWxQ&#10;SwECFAAUAAAACACHTuJAjP0dwzICAABXBAAADgAAAAAAAAABACAAAAAlAQAAZHJzL2Uyb0RvYy54&#10;bWxQSwUGAAAAAAYABgBZAQAAyQUAAAAA&#10;">
              <v:fill on="f" focussize="0,0"/>
              <v:stroke on="f" weight="0.5pt"/>
              <v:imagedata o:title=""/>
              <o:lock v:ext="edit" aspectratio="f"/>
              <v:textbox inset="0mm,0mm,0mm,0mm">
                <w:txbxContent>
                  <w:p>
                    <w:pPr>
                      <w:pStyle w:val="30"/>
                    </w:pPr>
                    <w:r>
                      <w:rPr>
                        <w:rFonts w:hint="eastAsia"/>
                        <w:lang w:val="en-US"/>
                      </w:rPr>
                      <w:t>4-</w:t>
                    </w: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posOffset>2668270</wp:posOffset>
              </wp:positionH>
              <wp:positionV relativeFrom="paragraph">
                <wp:posOffset>3175</wp:posOffset>
              </wp:positionV>
              <wp:extent cx="390525" cy="180975"/>
              <wp:effectExtent l="0" t="0" r="9525" b="9525"/>
              <wp:wrapNone/>
              <wp:docPr id="41" name="文本框 41"/>
              <wp:cNvGraphicFramePr/>
              <a:graphic xmlns:a="http://schemas.openxmlformats.org/drawingml/2006/main">
                <a:graphicData uri="http://schemas.microsoft.com/office/word/2010/wordprocessingShape">
                  <wps:wsp>
                    <wps:cNvSpPr txBox="1"/>
                    <wps:spPr>
                      <a:xfrm>
                        <a:off x="0" y="0"/>
                        <a:ext cx="390525" cy="180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rPr>
                              <w:rFonts w:hint="eastAsia"/>
                              <w:lang w:val="en-US"/>
                            </w:rPr>
                            <w:t>5-</w:t>
                          </w: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0.1pt;margin-top:0.25pt;height:14.25pt;width:30.75pt;mso-position-horizontal-relative:margin;z-index:251665408;mso-width-relative:page;mso-height-relative:page;" filled="f" stroked="f" coordsize="21600,21600" o:gfxdata="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OZTFNYAAAAHAQAADwAAAAAAAAABACAAAAAiAAAAZHJzL2Rvd25yZXYueG1s&#10;UEsBAhQAFAAAAAgAh07iQB/tssYzAgAAVwQAAA4AAAAAAAAAAQAgAAAAJQEAAGRycy9lMm9Eb2Mu&#10;eG1sUEsFBgAAAAAGAAYAWQEAAMoFAAAAAA==&#10;">
              <v:fill on="f" focussize="0,0"/>
              <v:stroke on="f" weight="0.5pt"/>
              <v:imagedata o:title=""/>
              <o:lock v:ext="edit" aspectratio="f"/>
              <v:textbox inset="0mm,0mm,0mm,0mm">
                <w:txbxContent>
                  <w:p>
                    <w:pPr>
                      <w:pStyle w:val="30"/>
                    </w:pPr>
                    <w:r>
                      <w:rPr>
                        <w:rFonts w:hint="eastAsia"/>
                        <w:lang w:val="en-US"/>
                      </w:rPr>
                      <w:t>5-</w:t>
                    </w:r>
                    <w:r>
                      <w:fldChar w:fldCharType="begin"/>
                    </w:r>
                    <w:r>
                      <w:instrText xml:space="preserve"> PAGE  \* MERGEFORMAT </w:instrText>
                    </w:r>
                    <w:r>
                      <w:fldChar w:fldCharType="separate"/>
                    </w:r>
                    <w:r>
                      <w:t>45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rFonts w:hint="eastAsia"/>
        <w:spacing w:val="-2"/>
        <w:szCs w:val="21"/>
      </w:rPr>
      <w:t>河南羽佳金门实业</w:t>
    </w:r>
    <w:r>
      <w:rPr>
        <w:spacing w:val="-2"/>
        <w:szCs w:val="21"/>
      </w:rPr>
      <w:t>有限公司</w:t>
    </w:r>
    <w:r>
      <w:rPr>
        <w:rFonts w:hint="eastAsia"/>
        <w:spacing w:val="-2"/>
        <w:szCs w:val="21"/>
      </w:rPr>
      <w:t>预制菜创新孵化园建设</w:t>
    </w:r>
    <w:r>
      <w:rPr>
        <w:spacing w:val="-2"/>
        <w:szCs w:val="21"/>
      </w:rPr>
      <w:t>项目</w:t>
    </w:r>
  </w:p>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rFonts w:hint="eastAsia"/>
        <w:spacing w:val="-2"/>
        <w:szCs w:val="21"/>
      </w:rPr>
      <w:t>河南羽佳金门实业</w:t>
    </w:r>
    <w:r>
      <w:rPr>
        <w:spacing w:val="-2"/>
        <w:szCs w:val="21"/>
      </w:rPr>
      <w:t>有限公司</w:t>
    </w:r>
    <w:r>
      <w:rPr>
        <w:rFonts w:hint="eastAsia"/>
        <w:spacing w:val="-2"/>
        <w:szCs w:val="21"/>
      </w:rPr>
      <w:t>预制菜创新孵化园建设</w:t>
    </w:r>
    <w:r>
      <w:rPr>
        <w:spacing w:val="-2"/>
        <w:szCs w:val="21"/>
      </w:rPr>
      <w:t>项目</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4" w:space="1"/>
      </w:pBdr>
    </w:pPr>
    <w:r>
      <w:rPr>
        <w:rFonts w:hint="eastAsia"/>
        <w:spacing w:val="-2"/>
        <w:szCs w:val="21"/>
      </w:rPr>
      <w:t>河南羽佳金属实业有限公司预制菜创新孵化园建设</w:t>
    </w:r>
    <w:r>
      <w:rPr>
        <w:spacing w:val="-2"/>
        <w:szCs w:val="21"/>
      </w:rPr>
      <w:t>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lang w:val="en-US"/>
      </w:rPr>
    </w:pPr>
    <w:bookmarkStart w:id="275" w:name="_Hlk107941118"/>
    <w:r>
      <w:rPr>
        <w:spacing w:val="-2"/>
        <w:szCs w:val="21"/>
        <w:lang w:val="en-US"/>
      </w:rPr>
      <w:t>河南羽佳金门实业有限公司预制菜</w:t>
    </w:r>
    <w:r>
      <w:rPr>
        <w:rFonts w:hint="eastAsia"/>
        <w:spacing w:val="-2"/>
        <w:szCs w:val="21"/>
        <w:lang w:val="en-US"/>
      </w:rPr>
      <w:t>创新孵化园建设</w:t>
    </w:r>
    <w:r>
      <w:rPr>
        <w:spacing w:val="-2"/>
        <w:szCs w:val="21"/>
        <w:lang w:val="en-US"/>
      </w:rPr>
      <w:t>项目</w:t>
    </w:r>
    <w:bookmarkEnd w:id="275"/>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rFonts w:hint="eastAsia"/>
        <w:spacing w:val="-2"/>
        <w:szCs w:val="21"/>
      </w:rPr>
      <w:t>河南羽佳金门实业</w:t>
    </w:r>
    <w:r>
      <w:rPr>
        <w:spacing w:val="-2"/>
        <w:szCs w:val="21"/>
      </w:rPr>
      <w:t>有限公司</w:t>
    </w:r>
    <w:r>
      <w:rPr>
        <w:rFonts w:hint="eastAsia"/>
        <w:spacing w:val="-2"/>
        <w:szCs w:val="21"/>
      </w:rPr>
      <w:t>预制菜创新孵化园建设</w:t>
    </w:r>
    <w:r>
      <w:rPr>
        <w:spacing w:val="-2"/>
        <w:szCs w:val="21"/>
      </w:rPr>
      <w:t>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rFonts w:hint="eastAsia"/>
        <w:spacing w:val="-2"/>
        <w:szCs w:val="21"/>
      </w:rPr>
      <w:t>河南羽佳金门实业</w:t>
    </w:r>
    <w:r>
      <w:rPr>
        <w:spacing w:val="-2"/>
        <w:szCs w:val="21"/>
      </w:rPr>
      <w:t>有限公司</w:t>
    </w:r>
    <w:r>
      <w:rPr>
        <w:rFonts w:hint="eastAsia"/>
        <w:spacing w:val="-2"/>
        <w:szCs w:val="21"/>
      </w:rPr>
      <w:t>预制菜创新孵化园建设</w:t>
    </w:r>
    <w:r>
      <w:rPr>
        <w:spacing w:val="-2"/>
        <w:szCs w:val="21"/>
      </w:rPr>
      <w:t>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rFonts w:hint="eastAsia"/>
        <w:spacing w:val="-2"/>
        <w:szCs w:val="21"/>
      </w:rPr>
      <w:t>河南羽佳金门实业</w:t>
    </w:r>
    <w:r>
      <w:rPr>
        <w:spacing w:val="-2"/>
        <w:szCs w:val="21"/>
      </w:rPr>
      <w:t>有限公司</w:t>
    </w:r>
    <w:r>
      <w:rPr>
        <w:rFonts w:hint="eastAsia"/>
        <w:spacing w:val="-2"/>
        <w:szCs w:val="21"/>
      </w:rPr>
      <w:t>预制菜创新孵化园建设</w:t>
    </w:r>
    <w:r>
      <w:rPr>
        <w:spacing w:val="-2"/>
        <w:szCs w:val="21"/>
      </w:rPr>
      <w:t>项目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rFonts w:hint="eastAsia"/>
        <w:spacing w:val="-2"/>
        <w:szCs w:val="21"/>
      </w:rPr>
      <w:t>河南羽佳金门实业</w:t>
    </w:r>
    <w:r>
      <w:rPr>
        <w:spacing w:val="-2"/>
        <w:szCs w:val="21"/>
      </w:rPr>
      <w:t>有限公司</w:t>
    </w:r>
    <w:r>
      <w:rPr>
        <w:rFonts w:hint="eastAsia"/>
        <w:spacing w:val="-2"/>
        <w:szCs w:val="21"/>
      </w:rPr>
      <w:t>预制菜创新孵化园建设</w:t>
    </w:r>
    <w:r>
      <w:rPr>
        <w:spacing w:val="-2"/>
        <w:szCs w:val="21"/>
      </w:rPr>
      <w:t>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63DD9D"/>
    <w:multiLevelType w:val="singleLevel"/>
    <w:tmpl w:val="CB63DD9D"/>
    <w:lvl w:ilvl="0" w:tentative="0">
      <w:start w:val="2"/>
      <w:numFmt w:val="decimal"/>
      <w:pStyle w:val="794"/>
      <w:suff w:val="nothing"/>
      <w:lvlText w:val="（%1）"/>
      <w:lvlJc w:val="left"/>
    </w:lvl>
  </w:abstractNum>
  <w:abstractNum w:abstractNumId="1">
    <w:nsid w:val="FFFFFF83"/>
    <w:multiLevelType w:val="singleLevel"/>
    <w:tmpl w:val="FFFFFF83"/>
    <w:lvl w:ilvl="0" w:tentative="0">
      <w:start w:val="1"/>
      <w:numFmt w:val="bullet"/>
      <w:pStyle w:val="22"/>
      <w:lvlText w:val=""/>
      <w:lvlJc w:val="left"/>
      <w:pPr>
        <w:tabs>
          <w:tab w:val="left" w:pos="780"/>
        </w:tabs>
        <w:ind w:left="780" w:leftChars="200" w:hanging="360" w:hangingChars="200"/>
      </w:pPr>
      <w:rPr>
        <w:rFonts w:hint="default" w:ascii="Wingdings" w:hAnsi="Wingdings"/>
      </w:rPr>
    </w:lvl>
  </w:abstractNum>
  <w:abstractNum w:abstractNumId="2">
    <w:nsid w:val="11C56218"/>
    <w:multiLevelType w:val="multilevel"/>
    <w:tmpl w:val="11C56218"/>
    <w:lvl w:ilvl="0" w:tentative="0">
      <w:start w:val="1"/>
      <w:numFmt w:val="bullet"/>
      <w:pStyle w:val="15"/>
      <w:lvlText w:val=""/>
      <w:lvlJc w:val="left"/>
      <w:pPr>
        <w:tabs>
          <w:tab w:val="left" w:pos="874"/>
        </w:tabs>
        <w:ind w:left="874" w:hanging="420"/>
      </w:pPr>
      <w:rPr>
        <w:rFonts w:hint="default" w:ascii="Wingdings" w:hAnsi="Wingdings"/>
      </w:rPr>
    </w:lvl>
    <w:lvl w:ilvl="1" w:tentative="0">
      <w:start w:val="1"/>
      <w:numFmt w:val="bullet"/>
      <w:lvlText w:val=""/>
      <w:lvlJc w:val="left"/>
      <w:pPr>
        <w:tabs>
          <w:tab w:val="left" w:pos="1294"/>
        </w:tabs>
        <w:ind w:left="1294" w:hanging="420"/>
      </w:pPr>
      <w:rPr>
        <w:rFonts w:hint="default" w:ascii="Wingdings" w:hAnsi="Wingdings"/>
      </w:rPr>
    </w:lvl>
    <w:lvl w:ilvl="2" w:tentative="0">
      <w:start w:val="1"/>
      <w:numFmt w:val="bullet"/>
      <w:lvlText w:val=""/>
      <w:lvlJc w:val="left"/>
      <w:pPr>
        <w:tabs>
          <w:tab w:val="left" w:pos="1714"/>
        </w:tabs>
        <w:ind w:left="1714" w:hanging="420"/>
      </w:pPr>
      <w:rPr>
        <w:rFonts w:hint="default" w:ascii="Wingdings" w:hAnsi="Wingdings"/>
      </w:rPr>
    </w:lvl>
    <w:lvl w:ilvl="3" w:tentative="0">
      <w:start w:val="1"/>
      <w:numFmt w:val="bullet"/>
      <w:lvlText w:val=""/>
      <w:lvlJc w:val="left"/>
      <w:pPr>
        <w:tabs>
          <w:tab w:val="left" w:pos="2134"/>
        </w:tabs>
        <w:ind w:left="2134" w:hanging="420"/>
      </w:pPr>
      <w:rPr>
        <w:rFonts w:hint="default" w:ascii="Wingdings" w:hAnsi="Wingdings"/>
      </w:rPr>
    </w:lvl>
    <w:lvl w:ilvl="4" w:tentative="0">
      <w:start w:val="1"/>
      <w:numFmt w:val="bullet"/>
      <w:lvlText w:val=""/>
      <w:lvlJc w:val="left"/>
      <w:pPr>
        <w:tabs>
          <w:tab w:val="left" w:pos="2554"/>
        </w:tabs>
        <w:ind w:left="2554" w:hanging="420"/>
      </w:pPr>
      <w:rPr>
        <w:rFonts w:hint="default" w:ascii="Wingdings" w:hAnsi="Wingdings"/>
      </w:rPr>
    </w:lvl>
    <w:lvl w:ilvl="5" w:tentative="0">
      <w:start w:val="1"/>
      <w:numFmt w:val="bullet"/>
      <w:lvlText w:val=""/>
      <w:lvlJc w:val="left"/>
      <w:pPr>
        <w:tabs>
          <w:tab w:val="left" w:pos="2974"/>
        </w:tabs>
        <w:ind w:left="2974" w:hanging="420"/>
      </w:pPr>
      <w:rPr>
        <w:rFonts w:hint="default" w:ascii="Wingdings" w:hAnsi="Wingdings"/>
      </w:rPr>
    </w:lvl>
    <w:lvl w:ilvl="6" w:tentative="0">
      <w:start w:val="1"/>
      <w:numFmt w:val="bullet"/>
      <w:lvlText w:val=""/>
      <w:lvlJc w:val="left"/>
      <w:pPr>
        <w:tabs>
          <w:tab w:val="left" w:pos="3394"/>
        </w:tabs>
        <w:ind w:left="3394" w:hanging="420"/>
      </w:pPr>
      <w:rPr>
        <w:rFonts w:hint="default" w:ascii="Wingdings" w:hAnsi="Wingdings"/>
      </w:rPr>
    </w:lvl>
    <w:lvl w:ilvl="7" w:tentative="0">
      <w:start w:val="1"/>
      <w:numFmt w:val="bullet"/>
      <w:lvlText w:val=""/>
      <w:lvlJc w:val="left"/>
      <w:pPr>
        <w:tabs>
          <w:tab w:val="left" w:pos="3814"/>
        </w:tabs>
        <w:ind w:left="3814" w:hanging="420"/>
      </w:pPr>
      <w:rPr>
        <w:rFonts w:hint="default" w:ascii="Wingdings" w:hAnsi="Wingdings"/>
      </w:rPr>
    </w:lvl>
    <w:lvl w:ilvl="8" w:tentative="0">
      <w:start w:val="1"/>
      <w:numFmt w:val="bullet"/>
      <w:lvlText w:val=""/>
      <w:lvlJc w:val="left"/>
      <w:pPr>
        <w:tabs>
          <w:tab w:val="left" w:pos="4234"/>
        </w:tabs>
        <w:ind w:left="4234" w:hanging="420"/>
      </w:pPr>
      <w:rPr>
        <w:rFonts w:hint="default" w:ascii="Wingdings" w:hAnsi="Wingdings"/>
      </w:rPr>
    </w:lvl>
  </w:abstractNum>
  <w:abstractNum w:abstractNumId="3">
    <w:nsid w:val="247734A1"/>
    <w:multiLevelType w:val="multilevel"/>
    <w:tmpl w:val="247734A1"/>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4BD01F5"/>
    <w:multiLevelType w:val="multilevel"/>
    <w:tmpl w:val="34BD01F5"/>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496449D3"/>
    <w:multiLevelType w:val="multilevel"/>
    <w:tmpl w:val="496449D3"/>
    <w:lvl w:ilvl="0" w:tentative="0">
      <w:start w:val="1"/>
      <w:numFmt w:val="decimalEnclosedCircle"/>
      <w:lvlText w:val="%1"/>
      <w:lvlJc w:val="left"/>
      <w:pPr>
        <w:ind w:left="839" w:hanging="360"/>
      </w:pPr>
      <w:rPr>
        <w:rFonts w:hint="default"/>
      </w:rPr>
    </w:lvl>
    <w:lvl w:ilvl="1" w:tentative="0">
      <w:start w:val="1"/>
      <w:numFmt w:val="lowerLetter"/>
      <w:lvlText w:val="%2)"/>
      <w:lvlJc w:val="left"/>
      <w:pPr>
        <w:ind w:left="1319" w:hanging="420"/>
      </w:pPr>
    </w:lvl>
    <w:lvl w:ilvl="2" w:tentative="0">
      <w:start w:val="1"/>
      <w:numFmt w:val="lowerRoman"/>
      <w:lvlText w:val="%3."/>
      <w:lvlJc w:val="right"/>
      <w:pPr>
        <w:ind w:left="1739" w:hanging="420"/>
      </w:pPr>
    </w:lvl>
    <w:lvl w:ilvl="3" w:tentative="0">
      <w:start w:val="1"/>
      <w:numFmt w:val="decimal"/>
      <w:lvlText w:val="%4."/>
      <w:lvlJc w:val="left"/>
      <w:pPr>
        <w:ind w:left="2159" w:hanging="420"/>
      </w:pPr>
    </w:lvl>
    <w:lvl w:ilvl="4" w:tentative="0">
      <w:start w:val="1"/>
      <w:numFmt w:val="lowerLetter"/>
      <w:lvlText w:val="%5)"/>
      <w:lvlJc w:val="left"/>
      <w:pPr>
        <w:ind w:left="2579" w:hanging="420"/>
      </w:pPr>
    </w:lvl>
    <w:lvl w:ilvl="5" w:tentative="0">
      <w:start w:val="1"/>
      <w:numFmt w:val="lowerRoman"/>
      <w:lvlText w:val="%6."/>
      <w:lvlJc w:val="right"/>
      <w:pPr>
        <w:ind w:left="2999" w:hanging="420"/>
      </w:pPr>
    </w:lvl>
    <w:lvl w:ilvl="6" w:tentative="0">
      <w:start w:val="1"/>
      <w:numFmt w:val="decimal"/>
      <w:lvlText w:val="%7."/>
      <w:lvlJc w:val="left"/>
      <w:pPr>
        <w:ind w:left="3419" w:hanging="420"/>
      </w:pPr>
    </w:lvl>
    <w:lvl w:ilvl="7" w:tentative="0">
      <w:start w:val="1"/>
      <w:numFmt w:val="lowerLetter"/>
      <w:lvlText w:val="%8)"/>
      <w:lvlJc w:val="left"/>
      <w:pPr>
        <w:ind w:left="3839" w:hanging="420"/>
      </w:pPr>
    </w:lvl>
    <w:lvl w:ilvl="8" w:tentative="0">
      <w:start w:val="1"/>
      <w:numFmt w:val="lowerRoman"/>
      <w:lvlText w:val="%9."/>
      <w:lvlJc w:val="right"/>
      <w:pPr>
        <w:ind w:left="4259" w:hanging="420"/>
      </w:pPr>
    </w:lvl>
  </w:abstractNum>
  <w:abstractNum w:abstractNumId="6">
    <w:nsid w:val="558D4529"/>
    <w:multiLevelType w:val="multilevel"/>
    <w:tmpl w:val="558D4529"/>
    <w:lvl w:ilvl="0" w:tentative="0">
      <w:start w:val="1"/>
      <w:numFmt w:val="decimal"/>
      <w:pStyle w:val="548"/>
      <w:lvlText w:val="(%1)"/>
      <w:lvlJc w:val="left"/>
      <w:pPr>
        <w:tabs>
          <w:tab w:val="left" w:pos="960"/>
        </w:tabs>
        <w:ind w:left="96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64BE1E36"/>
    <w:multiLevelType w:val="multilevel"/>
    <w:tmpl w:val="64BE1E36"/>
    <w:lvl w:ilvl="0" w:tentative="0">
      <w:start w:val="1"/>
      <w:numFmt w:val="decimalEnclosedCircle"/>
      <w:pStyle w:val="410"/>
      <w:lvlText w:val="%1"/>
      <w:lvlJc w:val="left"/>
      <w:pPr>
        <w:tabs>
          <w:tab w:val="left" w:pos="360"/>
        </w:tabs>
        <w:ind w:left="360" w:hanging="360"/>
      </w:pPr>
      <w:rPr>
        <w:rFonts w:hint="default"/>
      </w:rPr>
    </w:lvl>
    <w:lvl w:ilvl="1" w:tentative="0">
      <w:start w:val="1"/>
      <w:numFmt w:val="lowerLetter"/>
      <w:pStyle w:val="467"/>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1"/>
  </w:num>
  <w:num w:numId="3">
    <w:abstractNumId w:val="7"/>
  </w:num>
  <w:num w:numId="4">
    <w:abstractNumId w:val="6"/>
  </w:num>
  <w:num w:numId="5">
    <w:abstractNumId w:val="0"/>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xNjYxMWRhYTdkNmE1MjNjNWY2ZjdjMjBhZDczMzUifQ=="/>
  </w:docVars>
  <w:rsids>
    <w:rsidRoot w:val="00925E29"/>
    <w:rsid w:val="00000282"/>
    <w:rsid w:val="00001122"/>
    <w:rsid w:val="00001839"/>
    <w:rsid w:val="00001980"/>
    <w:rsid w:val="00001F3A"/>
    <w:rsid w:val="00002645"/>
    <w:rsid w:val="00002E2A"/>
    <w:rsid w:val="00003309"/>
    <w:rsid w:val="000038DB"/>
    <w:rsid w:val="00004447"/>
    <w:rsid w:val="0000472F"/>
    <w:rsid w:val="000056EF"/>
    <w:rsid w:val="00005D6B"/>
    <w:rsid w:val="000064D3"/>
    <w:rsid w:val="00010AFC"/>
    <w:rsid w:val="00011DFE"/>
    <w:rsid w:val="0001254F"/>
    <w:rsid w:val="00012609"/>
    <w:rsid w:val="00012B4D"/>
    <w:rsid w:val="00013464"/>
    <w:rsid w:val="00014977"/>
    <w:rsid w:val="00014B20"/>
    <w:rsid w:val="00015694"/>
    <w:rsid w:val="0001571E"/>
    <w:rsid w:val="000157CF"/>
    <w:rsid w:val="00015EE8"/>
    <w:rsid w:val="0001605E"/>
    <w:rsid w:val="000169CD"/>
    <w:rsid w:val="00017F88"/>
    <w:rsid w:val="000204C1"/>
    <w:rsid w:val="00020589"/>
    <w:rsid w:val="000206C0"/>
    <w:rsid w:val="00021193"/>
    <w:rsid w:val="00021908"/>
    <w:rsid w:val="00021DFF"/>
    <w:rsid w:val="00022267"/>
    <w:rsid w:val="000222BF"/>
    <w:rsid w:val="00022659"/>
    <w:rsid w:val="0002284C"/>
    <w:rsid w:val="0002318A"/>
    <w:rsid w:val="0002390E"/>
    <w:rsid w:val="000257B0"/>
    <w:rsid w:val="00026316"/>
    <w:rsid w:val="00026353"/>
    <w:rsid w:val="00026CE7"/>
    <w:rsid w:val="0002729E"/>
    <w:rsid w:val="000306DC"/>
    <w:rsid w:val="00030A94"/>
    <w:rsid w:val="000314F4"/>
    <w:rsid w:val="00032B66"/>
    <w:rsid w:val="00033870"/>
    <w:rsid w:val="00034182"/>
    <w:rsid w:val="00034E61"/>
    <w:rsid w:val="000353B1"/>
    <w:rsid w:val="000367CD"/>
    <w:rsid w:val="00036F41"/>
    <w:rsid w:val="000376CB"/>
    <w:rsid w:val="00040735"/>
    <w:rsid w:val="000411B0"/>
    <w:rsid w:val="0004127F"/>
    <w:rsid w:val="00041365"/>
    <w:rsid w:val="000421B5"/>
    <w:rsid w:val="00042A97"/>
    <w:rsid w:val="00042FEF"/>
    <w:rsid w:val="00043C47"/>
    <w:rsid w:val="000441D3"/>
    <w:rsid w:val="000442A7"/>
    <w:rsid w:val="000444A5"/>
    <w:rsid w:val="00044D58"/>
    <w:rsid w:val="0004554A"/>
    <w:rsid w:val="000459A7"/>
    <w:rsid w:val="00045A11"/>
    <w:rsid w:val="00046908"/>
    <w:rsid w:val="00046D71"/>
    <w:rsid w:val="000474BB"/>
    <w:rsid w:val="00047A28"/>
    <w:rsid w:val="00047A42"/>
    <w:rsid w:val="000508CD"/>
    <w:rsid w:val="000516E4"/>
    <w:rsid w:val="00052A7F"/>
    <w:rsid w:val="0005344D"/>
    <w:rsid w:val="000535B6"/>
    <w:rsid w:val="00053735"/>
    <w:rsid w:val="00053B90"/>
    <w:rsid w:val="00053BF7"/>
    <w:rsid w:val="000545D1"/>
    <w:rsid w:val="00054C57"/>
    <w:rsid w:val="0005500B"/>
    <w:rsid w:val="00055392"/>
    <w:rsid w:val="00057366"/>
    <w:rsid w:val="000600EA"/>
    <w:rsid w:val="0006057B"/>
    <w:rsid w:val="000616E5"/>
    <w:rsid w:val="0006265E"/>
    <w:rsid w:val="000637D1"/>
    <w:rsid w:val="00063F44"/>
    <w:rsid w:val="00064035"/>
    <w:rsid w:val="000645AF"/>
    <w:rsid w:val="00064AC8"/>
    <w:rsid w:val="00066414"/>
    <w:rsid w:val="00066EEB"/>
    <w:rsid w:val="0006715A"/>
    <w:rsid w:val="000674D5"/>
    <w:rsid w:val="000675ED"/>
    <w:rsid w:val="00067AA6"/>
    <w:rsid w:val="000707CF"/>
    <w:rsid w:val="0007176D"/>
    <w:rsid w:val="00071879"/>
    <w:rsid w:val="00071AE7"/>
    <w:rsid w:val="000726AB"/>
    <w:rsid w:val="00072A29"/>
    <w:rsid w:val="00072CB0"/>
    <w:rsid w:val="00073881"/>
    <w:rsid w:val="0007571C"/>
    <w:rsid w:val="000765A8"/>
    <w:rsid w:val="00077D3B"/>
    <w:rsid w:val="00081814"/>
    <w:rsid w:val="00081D25"/>
    <w:rsid w:val="00081D46"/>
    <w:rsid w:val="00081D88"/>
    <w:rsid w:val="000821BD"/>
    <w:rsid w:val="0008255C"/>
    <w:rsid w:val="00082A51"/>
    <w:rsid w:val="00082E43"/>
    <w:rsid w:val="000838C1"/>
    <w:rsid w:val="0008445B"/>
    <w:rsid w:val="00086BFC"/>
    <w:rsid w:val="00086E57"/>
    <w:rsid w:val="000878E3"/>
    <w:rsid w:val="00087ABE"/>
    <w:rsid w:val="00090B2F"/>
    <w:rsid w:val="000969D1"/>
    <w:rsid w:val="00096BB9"/>
    <w:rsid w:val="00097887"/>
    <w:rsid w:val="00097D9F"/>
    <w:rsid w:val="000A045F"/>
    <w:rsid w:val="000A1211"/>
    <w:rsid w:val="000A375A"/>
    <w:rsid w:val="000A3CA9"/>
    <w:rsid w:val="000A3EAF"/>
    <w:rsid w:val="000A4219"/>
    <w:rsid w:val="000A50DD"/>
    <w:rsid w:val="000A5D4D"/>
    <w:rsid w:val="000A6FC3"/>
    <w:rsid w:val="000A767F"/>
    <w:rsid w:val="000B10D2"/>
    <w:rsid w:val="000B1BDC"/>
    <w:rsid w:val="000B2056"/>
    <w:rsid w:val="000B2318"/>
    <w:rsid w:val="000B3492"/>
    <w:rsid w:val="000B361C"/>
    <w:rsid w:val="000B3A0F"/>
    <w:rsid w:val="000B3EC8"/>
    <w:rsid w:val="000B3FB5"/>
    <w:rsid w:val="000B5F2F"/>
    <w:rsid w:val="000B632C"/>
    <w:rsid w:val="000B66C9"/>
    <w:rsid w:val="000B6A78"/>
    <w:rsid w:val="000B7274"/>
    <w:rsid w:val="000B74A6"/>
    <w:rsid w:val="000B74D6"/>
    <w:rsid w:val="000B7D93"/>
    <w:rsid w:val="000B7F96"/>
    <w:rsid w:val="000C01F3"/>
    <w:rsid w:val="000C205F"/>
    <w:rsid w:val="000C23EE"/>
    <w:rsid w:val="000C2647"/>
    <w:rsid w:val="000C2A8F"/>
    <w:rsid w:val="000C3096"/>
    <w:rsid w:val="000C379D"/>
    <w:rsid w:val="000C3C86"/>
    <w:rsid w:val="000C3EF3"/>
    <w:rsid w:val="000C46CC"/>
    <w:rsid w:val="000C4831"/>
    <w:rsid w:val="000C6316"/>
    <w:rsid w:val="000C67A7"/>
    <w:rsid w:val="000C6B0F"/>
    <w:rsid w:val="000C6CA4"/>
    <w:rsid w:val="000C6F96"/>
    <w:rsid w:val="000C7314"/>
    <w:rsid w:val="000C7691"/>
    <w:rsid w:val="000D009F"/>
    <w:rsid w:val="000D1C06"/>
    <w:rsid w:val="000D1C86"/>
    <w:rsid w:val="000D266A"/>
    <w:rsid w:val="000D344F"/>
    <w:rsid w:val="000D388B"/>
    <w:rsid w:val="000D41F7"/>
    <w:rsid w:val="000D44AC"/>
    <w:rsid w:val="000D502F"/>
    <w:rsid w:val="000D569E"/>
    <w:rsid w:val="000D61BB"/>
    <w:rsid w:val="000D627D"/>
    <w:rsid w:val="000D6500"/>
    <w:rsid w:val="000D66E0"/>
    <w:rsid w:val="000D698E"/>
    <w:rsid w:val="000D7546"/>
    <w:rsid w:val="000D7E92"/>
    <w:rsid w:val="000E03F8"/>
    <w:rsid w:val="000E048B"/>
    <w:rsid w:val="000E04A3"/>
    <w:rsid w:val="000E16A8"/>
    <w:rsid w:val="000E1B0B"/>
    <w:rsid w:val="000E21C6"/>
    <w:rsid w:val="000E21C7"/>
    <w:rsid w:val="000E2F39"/>
    <w:rsid w:val="000E3958"/>
    <w:rsid w:val="000E3B7E"/>
    <w:rsid w:val="000E5848"/>
    <w:rsid w:val="000E5DB7"/>
    <w:rsid w:val="000E6053"/>
    <w:rsid w:val="000E6174"/>
    <w:rsid w:val="000E63EB"/>
    <w:rsid w:val="000E6C0B"/>
    <w:rsid w:val="000E6F72"/>
    <w:rsid w:val="000E78B9"/>
    <w:rsid w:val="000E7C3F"/>
    <w:rsid w:val="000F00D8"/>
    <w:rsid w:val="000F04E7"/>
    <w:rsid w:val="000F0870"/>
    <w:rsid w:val="000F0B6E"/>
    <w:rsid w:val="000F20D6"/>
    <w:rsid w:val="000F212D"/>
    <w:rsid w:val="000F2749"/>
    <w:rsid w:val="000F3834"/>
    <w:rsid w:val="000F44FD"/>
    <w:rsid w:val="000F4A78"/>
    <w:rsid w:val="000F5752"/>
    <w:rsid w:val="000F61D3"/>
    <w:rsid w:val="00100032"/>
    <w:rsid w:val="001002CB"/>
    <w:rsid w:val="00101DCB"/>
    <w:rsid w:val="00102A2F"/>
    <w:rsid w:val="001038FB"/>
    <w:rsid w:val="00104444"/>
    <w:rsid w:val="00104588"/>
    <w:rsid w:val="00105104"/>
    <w:rsid w:val="001061B7"/>
    <w:rsid w:val="00106338"/>
    <w:rsid w:val="00106942"/>
    <w:rsid w:val="0010770E"/>
    <w:rsid w:val="00107BBF"/>
    <w:rsid w:val="00107CDC"/>
    <w:rsid w:val="00107E3C"/>
    <w:rsid w:val="00110A9C"/>
    <w:rsid w:val="00110C39"/>
    <w:rsid w:val="00110CB8"/>
    <w:rsid w:val="0011128F"/>
    <w:rsid w:val="001115CE"/>
    <w:rsid w:val="0011197C"/>
    <w:rsid w:val="00111D35"/>
    <w:rsid w:val="00111FAA"/>
    <w:rsid w:val="001125E8"/>
    <w:rsid w:val="00112664"/>
    <w:rsid w:val="00112739"/>
    <w:rsid w:val="001128BA"/>
    <w:rsid w:val="0011375B"/>
    <w:rsid w:val="00113860"/>
    <w:rsid w:val="0011392A"/>
    <w:rsid w:val="00113DB7"/>
    <w:rsid w:val="00114217"/>
    <w:rsid w:val="00115763"/>
    <w:rsid w:val="001161BD"/>
    <w:rsid w:val="00116AD7"/>
    <w:rsid w:val="00120B20"/>
    <w:rsid w:val="00120FE8"/>
    <w:rsid w:val="00121356"/>
    <w:rsid w:val="001213CA"/>
    <w:rsid w:val="0012199E"/>
    <w:rsid w:val="00121D41"/>
    <w:rsid w:val="00121EA9"/>
    <w:rsid w:val="00122234"/>
    <w:rsid w:val="00123459"/>
    <w:rsid w:val="00126455"/>
    <w:rsid w:val="00126914"/>
    <w:rsid w:val="00127011"/>
    <w:rsid w:val="001272DF"/>
    <w:rsid w:val="00130429"/>
    <w:rsid w:val="0013196A"/>
    <w:rsid w:val="00132758"/>
    <w:rsid w:val="00133B6B"/>
    <w:rsid w:val="00134FF9"/>
    <w:rsid w:val="00135E9A"/>
    <w:rsid w:val="00136282"/>
    <w:rsid w:val="001376AF"/>
    <w:rsid w:val="00137D7D"/>
    <w:rsid w:val="00137F74"/>
    <w:rsid w:val="00140A52"/>
    <w:rsid w:val="00141976"/>
    <w:rsid w:val="00141BFF"/>
    <w:rsid w:val="00141FBC"/>
    <w:rsid w:val="00142285"/>
    <w:rsid w:val="001425B3"/>
    <w:rsid w:val="0014273A"/>
    <w:rsid w:val="00142AEB"/>
    <w:rsid w:val="00143310"/>
    <w:rsid w:val="00144F59"/>
    <w:rsid w:val="00145390"/>
    <w:rsid w:val="001469EA"/>
    <w:rsid w:val="00146BBF"/>
    <w:rsid w:val="00146C22"/>
    <w:rsid w:val="0015125C"/>
    <w:rsid w:val="00151403"/>
    <w:rsid w:val="001517A9"/>
    <w:rsid w:val="001519E8"/>
    <w:rsid w:val="00151C41"/>
    <w:rsid w:val="00151CCF"/>
    <w:rsid w:val="00152086"/>
    <w:rsid w:val="00152BE7"/>
    <w:rsid w:val="00152CEE"/>
    <w:rsid w:val="00152EAA"/>
    <w:rsid w:val="001539E7"/>
    <w:rsid w:val="00154331"/>
    <w:rsid w:val="0015440A"/>
    <w:rsid w:val="00154485"/>
    <w:rsid w:val="00155A08"/>
    <w:rsid w:val="0015718A"/>
    <w:rsid w:val="001578C6"/>
    <w:rsid w:val="001615C1"/>
    <w:rsid w:val="00161B18"/>
    <w:rsid w:val="00162348"/>
    <w:rsid w:val="00162DF5"/>
    <w:rsid w:val="00163095"/>
    <w:rsid w:val="00163523"/>
    <w:rsid w:val="001635D4"/>
    <w:rsid w:val="001640EC"/>
    <w:rsid w:val="00164525"/>
    <w:rsid w:val="00164A71"/>
    <w:rsid w:val="00165306"/>
    <w:rsid w:val="001659B6"/>
    <w:rsid w:val="00165AA5"/>
    <w:rsid w:val="001662FF"/>
    <w:rsid w:val="0016676B"/>
    <w:rsid w:val="00166F3D"/>
    <w:rsid w:val="00166FF4"/>
    <w:rsid w:val="0016748D"/>
    <w:rsid w:val="00167593"/>
    <w:rsid w:val="00167598"/>
    <w:rsid w:val="00170239"/>
    <w:rsid w:val="00170890"/>
    <w:rsid w:val="00172050"/>
    <w:rsid w:val="00172444"/>
    <w:rsid w:val="00172C9D"/>
    <w:rsid w:val="00172D69"/>
    <w:rsid w:val="00173420"/>
    <w:rsid w:val="00173AFC"/>
    <w:rsid w:val="00174107"/>
    <w:rsid w:val="00174168"/>
    <w:rsid w:val="00174641"/>
    <w:rsid w:val="00174914"/>
    <w:rsid w:val="0017585C"/>
    <w:rsid w:val="00175FB9"/>
    <w:rsid w:val="001762A4"/>
    <w:rsid w:val="0017645E"/>
    <w:rsid w:val="001764C1"/>
    <w:rsid w:val="0017660C"/>
    <w:rsid w:val="001767C8"/>
    <w:rsid w:val="00176EF2"/>
    <w:rsid w:val="00177151"/>
    <w:rsid w:val="001778E2"/>
    <w:rsid w:val="00177F83"/>
    <w:rsid w:val="00177FA0"/>
    <w:rsid w:val="0018100D"/>
    <w:rsid w:val="00181184"/>
    <w:rsid w:val="00181401"/>
    <w:rsid w:val="00181A7A"/>
    <w:rsid w:val="00181FE0"/>
    <w:rsid w:val="001823AF"/>
    <w:rsid w:val="00183244"/>
    <w:rsid w:val="00184B34"/>
    <w:rsid w:val="001851CD"/>
    <w:rsid w:val="0018624C"/>
    <w:rsid w:val="00186606"/>
    <w:rsid w:val="00186634"/>
    <w:rsid w:val="0018667D"/>
    <w:rsid w:val="00186DFF"/>
    <w:rsid w:val="00187BA1"/>
    <w:rsid w:val="00190E62"/>
    <w:rsid w:val="00193175"/>
    <w:rsid w:val="0019469C"/>
    <w:rsid w:val="00194F0D"/>
    <w:rsid w:val="001958D6"/>
    <w:rsid w:val="00195BB5"/>
    <w:rsid w:val="00196687"/>
    <w:rsid w:val="00197497"/>
    <w:rsid w:val="001A075C"/>
    <w:rsid w:val="001A1259"/>
    <w:rsid w:val="001A1D2D"/>
    <w:rsid w:val="001A2161"/>
    <w:rsid w:val="001A22F7"/>
    <w:rsid w:val="001A2B66"/>
    <w:rsid w:val="001A2C2B"/>
    <w:rsid w:val="001A2C9D"/>
    <w:rsid w:val="001A41FA"/>
    <w:rsid w:val="001A4982"/>
    <w:rsid w:val="001A517B"/>
    <w:rsid w:val="001A51E0"/>
    <w:rsid w:val="001A5735"/>
    <w:rsid w:val="001A5C71"/>
    <w:rsid w:val="001A63A7"/>
    <w:rsid w:val="001A6F8E"/>
    <w:rsid w:val="001A70B4"/>
    <w:rsid w:val="001A7761"/>
    <w:rsid w:val="001B0518"/>
    <w:rsid w:val="001B08C5"/>
    <w:rsid w:val="001B093F"/>
    <w:rsid w:val="001B0B37"/>
    <w:rsid w:val="001B0C85"/>
    <w:rsid w:val="001B1115"/>
    <w:rsid w:val="001B2765"/>
    <w:rsid w:val="001B2CD0"/>
    <w:rsid w:val="001B48F7"/>
    <w:rsid w:val="001B5866"/>
    <w:rsid w:val="001B6E70"/>
    <w:rsid w:val="001B73EE"/>
    <w:rsid w:val="001B7C92"/>
    <w:rsid w:val="001C0BC7"/>
    <w:rsid w:val="001C0C35"/>
    <w:rsid w:val="001C1CB3"/>
    <w:rsid w:val="001C1FC4"/>
    <w:rsid w:val="001C291A"/>
    <w:rsid w:val="001C2ADE"/>
    <w:rsid w:val="001C2B6B"/>
    <w:rsid w:val="001C3057"/>
    <w:rsid w:val="001C383F"/>
    <w:rsid w:val="001C4226"/>
    <w:rsid w:val="001C5658"/>
    <w:rsid w:val="001C69DB"/>
    <w:rsid w:val="001C700D"/>
    <w:rsid w:val="001D1695"/>
    <w:rsid w:val="001D197B"/>
    <w:rsid w:val="001D1FCF"/>
    <w:rsid w:val="001D3565"/>
    <w:rsid w:val="001D424D"/>
    <w:rsid w:val="001D45CB"/>
    <w:rsid w:val="001D4A57"/>
    <w:rsid w:val="001D50E8"/>
    <w:rsid w:val="001D5A73"/>
    <w:rsid w:val="001D6D22"/>
    <w:rsid w:val="001D7465"/>
    <w:rsid w:val="001D7649"/>
    <w:rsid w:val="001E149E"/>
    <w:rsid w:val="001E2210"/>
    <w:rsid w:val="001E2531"/>
    <w:rsid w:val="001E2B89"/>
    <w:rsid w:val="001E31C5"/>
    <w:rsid w:val="001E3870"/>
    <w:rsid w:val="001E5773"/>
    <w:rsid w:val="001E5C56"/>
    <w:rsid w:val="001E6588"/>
    <w:rsid w:val="001F058B"/>
    <w:rsid w:val="001F14A1"/>
    <w:rsid w:val="001F19F2"/>
    <w:rsid w:val="001F252E"/>
    <w:rsid w:val="001F2578"/>
    <w:rsid w:val="001F2D27"/>
    <w:rsid w:val="001F3041"/>
    <w:rsid w:val="001F3F08"/>
    <w:rsid w:val="001F40CE"/>
    <w:rsid w:val="001F443F"/>
    <w:rsid w:val="001F4DD0"/>
    <w:rsid w:val="001F5041"/>
    <w:rsid w:val="001F53EC"/>
    <w:rsid w:val="001F5850"/>
    <w:rsid w:val="001F5C62"/>
    <w:rsid w:val="001F698D"/>
    <w:rsid w:val="001F6FF4"/>
    <w:rsid w:val="0020071A"/>
    <w:rsid w:val="002010B3"/>
    <w:rsid w:val="00201C8C"/>
    <w:rsid w:val="00201CBF"/>
    <w:rsid w:val="0020319E"/>
    <w:rsid w:val="0020348D"/>
    <w:rsid w:val="00203CB7"/>
    <w:rsid w:val="00203DD4"/>
    <w:rsid w:val="00203FDB"/>
    <w:rsid w:val="0020418D"/>
    <w:rsid w:val="00204EB2"/>
    <w:rsid w:val="00204EFC"/>
    <w:rsid w:val="00204F54"/>
    <w:rsid w:val="00205026"/>
    <w:rsid w:val="00205D8D"/>
    <w:rsid w:val="00205F43"/>
    <w:rsid w:val="002068B2"/>
    <w:rsid w:val="00207026"/>
    <w:rsid w:val="002077D8"/>
    <w:rsid w:val="002103EC"/>
    <w:rsid w:val="00211943"/>
    <w:rsid w:val="002120A5"/>
    <w:rsid w:val="002124F9"/>
    <w:rsid w:val="00212FE7"/>
    <w:rsid w:val="002140BC"/>
    <w:rsid w:val="0021472C"/>
    <w:rsid w:val="0021502D"/>
    <w:rsid w:val="00215632"/>
    <w:rsid w:val="00215E31"/>
    <w:rsid w:val="0021616C"/>
    <w:rsid w:val="0021661E"/>
    <w:rsid w:val="00216B0F"/>
    <w:rsid w:val="002173CF"/>
    <w:rsid w:val="00217422"/>
    <w:rsid w:val="00217CDB"/>
    <w:rsid w:val="0022001E"/>
    <w:rsid w:val="002203C9"/>
    <w:rsid w:val="00221414"/>
    <w:rsid w:val="0022181B"/>
    <w:rsid w:val="00221CAB"/>
    <w:rsid w:val="002222C7"/>
    <w:rsid w:val="0022283A"/>
    <w:rsid w:val="00222CB3"/>
    <w:rsid w:val="00224199"/>
    <w:rsid w:val="002246D0"/>
    <w:rsid w:val="0022475A"/>
    <w:rsid w:val="00224B6C"/>
    <w:rsid w:val="00225233"/>
    <w:rsid w:val="00225AC1"/>
    <w:rsid w:val="0022614A"/>
    <w:rsid w:val="00226CFF"/>
    <w:rsid w:val="002279C7"/>
    <w:rsid w:val="002301CB"/>
    <w:rsid w:val="002309B9"/>
    <w:rsid w:val="00230E2B"/>
    <w:rsid w:val="00231984"/>
    <w:rsid w:val="00231F44"/>
    <w:rsid w:val="002322FB"/>
    <w:rsid w:val="0023247C"/>
    <w:rsid w:val="00233E4E"/>
    <w:rsid w:val="0023438F"/>
    <w:rsid w:val="00234C61"/>
    <w:rsid w:val="002351CC"/>
    <w:rsid w:val="002359A2"/>
    <w:rsid w:val="00235B9E"/>
    <w:rsid w:val="00235D01"/>
    <w:rsid w:val="0023665C"/>
    <w:rsid w:val="002367AC"/>
    <w:rsid w:val="00236ABE"/>
    <w:rsid w:val="0023707B"/>
    <w:rsid w:val="002400E6"/>
    <w:rsid w:val="0024016A"/>
    <w:rsid w:val="002405EF"/>
    <w:rsid w:val="002414EF"/>
    <w:rsid w:val="00241D49"/>
    <w:rsid w:val="00243A97"/>
    <w:rsid w:val="00243FC6"/>
    <w:rsid w:val="00244005"/>
    <w:rsid w:val="00244311"/>
    <w:rsid w:val="0024457E"/>
    <w:rsid w:val="0024483D"/>
    <w:rsid w:val="00246093"/>
    <w:rsid w:val="002469A1"/>
    <w:rsid w:val="0024772C"/>
    <w:rsid w:val="00250137"/>
    <w:rsid w:val="00250585"/>
    <w:rsid w:val="00250E71"/>
    <w:rsid w:val="00252EBC"/>
    <w:rsid w:val="00253377"/>
    <w:rsid w:val="002538D6"/>
    <w:rsid w:val="00254584"/>
    <w:rsid w:val="00255702"/>
    <w:rsid w:val="002576C7"/>
    <w:rsid w:val="00257975"/>
    <w:rsid w:val="00257B16"/>
    <w:rsid w:val="00257DDB"/>
    <w:rsid w:val="002615EB"/>
    <w:rsid w:val="00261C00"/>
    <w:rsid w:val="00262EC6"/>
    <w:rsid w:val="002643AD"/>
    <w:rsid w:val="00264BAE"/>
    <w:rsid w:val="00264CCD"/>
    <w:rsid w:val="00265275"/>
    <w:rsid w:val="00265806"/>
    <w:rsid w:val="00265BBA"/>
    <w:rsid w:val="00266842"/>
    <w:rsid w:val="0026702C"/>
    <w:rsid w:val="00267497"/>
    <w:rsid w:val="0026771D"/>
    <w:rsid w:val="002704F6"/>
    <w:rsid w:val="0027083A"/>
    <w:rsid w:val="002708B9"/>
    <w:rsid w:val="00270FAA"/>
    <w:rsid w:val="002718F6"/>
    <w:rsid w:val="00272502"/>
    <w:rsid w:val="0027266A"/>
    <w:rsid w:val="00272F64"/>
    <w:rsid w:val="00274909"/>
    <w:rsid w:val="0027513C"/>
    <w:rsid w:val="00276AE0"/>
    <w:rsid w:val="00276F84"/>
    <w:rsid w:val="002777D3"/>
    <w:rsid w:val="00281900"/>
    <w:rsid w:val="00281E80"/>
    <w:rsid w:val="0028256F"/>
    <w:rsid w:val="00282D86"/>
    <w:rsid w:val="00283951"/>
    <w:rsid w:val="002843CE"/>
    <w:rsid w:val="002843D3"/>
    <w:rsid w:val="0028447E"/>
    <w:rsid w:val="0028506B"/>
    <w:rsid w:val="00285320"/>
    <w:rsid w:val="00285579"/>
    <w:rsid w:val="00285E94"/>
    <w:rsid w:val="0028607A"/>
    <w:rsid w:val="00287DBF"/>
    <w:rsid w:val="00290B5D"/>
    <w:rsid w:val="00290BB8"/>
    <w:rsid w:val="00290CBA"/>
    <w:rsid w:val="00290CD1"/>
    <w:rsid w:val="002910AE"/>
    <w:rsid w:val="002918C8"/>
    <w:rsid w:val="00292457"/>
    <w:rsid w:val="002925D7"/>
    <w:rsid w:val="002932DF"/>
    <w:rsid w:val="00293334"/>
    <w:rsid w:val="002934B3"/>
    <w:rsid w:val="0029405E"/>
    <w:rsid w:val="00294500"/>
    <w:rsid w:val="00294BA0"/>
    <w:rsid w:val="00294FAF"/>
    <w:rsid w:val="0029591E"/>
    <w:rsid w:val="002959CF"/>
    <w:rsid w:val="002973AF"/>
    <w:rsid w:val="002973D8"/>
    <w:rsid w:val="00297892"/>
    <w:rsid w:val="002A110F"/>
    <w:rsid w:val="002A2029"/>
    <w:rsid w:val="002A2674"/>
    <w:rsid w:val="002A2B57"/>
    <w:rsid w:val="002A2C9C"/>
    <w:rsid w:val="002A315A"/>
    <w:rsid w:val="002A3C2A"/>
    <w:rsid w:val="002A5045"/>
    <w:rsid w:val="002A604F"/>
    <w:rsid w:val="002A644B"/>
    <w:rsid w:val="002A6A9F"/>
    <w:rsid w:val="002A7D5E"/>
    <w:rsid w:val="002B047C"/>
    <w:rsid w:val="002B04F9"/>
    <w:rsid w:val="002B0582"/>
    <w:rsid w:val="002B1C5C"/>
    <w:rsid w:val="002B1CB5"/>
    <w:rsid w:val="002B269A"/>
    <w:rsid w:val="002B32B1"/>
    <w:rsid w:val="002B3F18"/>
    <w:rsid w:val="002B4117"/>
    <w:rsid w:val="002B5EC3"/>
    <w:rsid w:val="002B642A"/>
    <w:rsid w:val="002B66A2"/>
    <w:rsid w:val="002B6881"/>
    <w:rsid w:val="002B68C0"/>
    <w:rsid w:val="002B755C"/>
    <w:rsid w:val="002B7D7C"/>
    <w:rsid w:val="002B7FB0"/>
    <w:rsid w:val="002C034F"/>
    <w:rsid w:val="002C07FA"/>
    <w:rsid w:val="002C088B"/>
    <w:rsid w:val="002C15D3"/>
    <w:rsid w:val="002C254F"/>
    <w:rsid w:val="002C2752"/>
    <w:rsid w:val="002C27FE"/>
    <w:rsid w:val="002C3548"/>
    <w:rsid w:val="002C3C6E"/>
    <w:rsid w:val="002C46B5"/>
    <w:rsid w:val="002C499E"/>
    <w:rsid w:val="002C592B"/>
    <w:rsid w:val="002C5A5D"/>
    <w:rsid w:val="002C5B53"/>
    <w:rsid w:val="002D0046"/>
    <w:rsid w:val="002D03F2"/>
    <w:rsid w:val="002D12B5"/>
    <w:rsid w:val="002D1A35"/>
    <w:rsid w:val="002D38FB"/>
    <w:rsid w:val="002D3A2D"/>
    <w:rsid w:val="002D40CF"/>
    <w:rsid w:val="002D465A"/>
    <w:rsid w:val="002D4939"/>
    <w:rsid w:val="002D5657"/>
    <w:rsid w:val="002D59D9"/>
    <w:rsid w:val="002D5CCF"/>
    <w:rsid w:val="002D61DC"/>
    <w:rsid w:val="002D700C"/>
    <w:rsid w:val="002D725E"/>
    <w:rsid w:val="002D79E4"/>
    <w:rsid w:val="002E0040"/>
    <w:rsid w:val="002E0B88"/>
    <w:rsid w:val="002E0F5F"/>
    <w:rsid w:val="002E1DBC"/>
    <w:rsid w:val="002E2396"/>
    <w:rsid w:val="002E3370"/>
    <w:rsid w:val="002E357A"/>
    <w:rsid w:val="002E483A"/>
    <w:rsid w:val="002E4EBD"/>
    <w:rsid w:val="002E6031"/>
    <w:rsid w:val="002E6AB9"/>
    <w:rsid w:val="002F012D"/>
    <w:rsid w:val="002F0555"/>
    <w:rsid w:val="002F0E1B"/>
    <w:rsid w:val="002F1325"/>
    <w:rsid w:val="002F2093"/>
    <w:rsid w:val="002F2E57"/>
    <w:rsid w:val="002F45C5"/>
    <w:rsid w:val="002F47DD"/>
    <w:rsid w:val="002F4860"/>
    <w:rsid w:val="002F61B0"/>
    <w:rsid w:val="002F6619"/>
    <w:rsid w:val="002F6A12"/>
    <w:rsid w:val="002F70F9"/>
    <w:rsid w:val="002F733D"/>
    <w:rsid w:val="00300BF0"/>
    <w:rsid w:val="003011AD"/>
    <w:rsid w:val="0030122F"/>
    <w:rsid w:val="0030135B"/>
    <w:rsid w:val="003029F9"/>
    <w:rsid w:val="00303D75"/>
    <w:rsid w:val="00304ABA"/>
    <w:rsid w:val="00305C1E"/>
    <w:rsid w:val="00306ECB"/>
    <w:rsid w:val="003072C4"/>
    <w:rsid w:val="003073E8"/>
    <w:rsid w:val="003108E5"/>
    <w:rsid w:val="00310913"/>
    <w:rsid w:val="00311927"/>
    <w:rsid w:val="003119D8"/>
    <w:rsid w:val="00311B95"/>
    <w:rsid w:val="0031284B"/>
    <w:rsid w:val="00312AD8"/>
    <w:rsid w:val="00313997"/>
    <w:rsid w:val="00313E37"/>
    <w:rsid w:val="0031461A"/>
    <w:rsid w:val="00315317"/>
    <w:rsid w:val="00315B3C"/>
    <w:rsid w:val="00316709"/>
    <w:rsid w:val="00317828"/>
    <w:rsid w:val="00317DAD"/>
    <w:rsid w:val="003207AA"/>
    <w:rsid w:val="003212CB"/>
    <w:rsid w:val="003216EB"/>
    <w:rsid w:val="00321A88"/>
    <w:rsid w:val="0032250E"/>
    <w:rsid w:val="0032388B"/>
    <w:rsid w:val="0032412F"/>
    <w:rsid w:val="0032439D"/>
    <w:rsid w:val="003247A4"/>
    <w:rsid w:val="00324BF7"/>
    <w:rsid w:val="00324D82"/>
    <w:rsid w:val="00324D9A"/>
    <w:rsid w:val="0032595D"/>
    <w:rsid w:val="00325DE5"/>
    <w:rsid w:val="00326302"/>
    <w:rsid w:val="003269F8"/>
    <w:rsid w:val="00330278"/>
    <w:rsid w:val="00332781"/>
    <w:rsid w:val="00332D56"/>
    <w:rsid w:val="00333156"/>
    <w:rsid w:val="00334C99"/>
    <w:rsid w:val="00334E78"/>
    <w:rsid w:val="003357EC"/>
    <w:rsid w:val="00335EE1"/>
    <w:rsid w:val="00336267"/>
    <w:rsid w:val="003362D2"/>
    <w:rsid w:val="00336D8D"/>
    <w:rsid w:val="00340444"/>
    <w:rsid w:val="003405BF"/>
    <w:rsid w:val="00340A8E"/>
    <w:rsid w:val="00341806"/>
    <w:rsid w:val="00342045"/>
    <w:rsid w:val="00342189"/>
    <w:rsid w:val="003421C1"/>
    <w:rsid w:val="0034246B"/>
    <w:rsid w:val="00342669"/>
    <w:rsid w:val="003429ED"/>
    <w:rsid w:val="00342DC0"/>
    <w:rsid w:val="0034330D"/>
    <w:rsid w:val="00344241"/>
    <w:rsid w:val="0034453F"/>
    <w:rsid w:val="003445EF"/>
    <w:rsid w:val="00345278"/>
    <w:rsid w:val="00345F5E"/>
    <w:rsid w:val="00346C40"/>
    <w:rsid w:val="00346C57"/>
    <w:rsid w:val="00346E72"/>
    <w:rsid w:val="00347CBC"/>
    <w:rsid w:val="00350C63"/>
    <w:rsid w:val="00350CD7"/>
    <w:rsid w:val="00350F81"/>
    <w:rsid w:val="00351781"/>
    <w:rsid w:val="00351A14"/>
    <w:rsid w:val="00352531"/>
    <w:rsid w:val="00352963"/>
    <w:rsid w:val="00353931"/>
    <w:rsid w:val="00353BC2"/>
    <w:rsid w:val="00353E56"/>
    <w:rsid w:val="003546EF"/>
    <w:rsid w:val="003557E2"/>
    <w:rsid w:val="0035591F"/>
    <w:rsid w:val="0035620B"/>
    <w:rsid w:val="0035645C"/>
    <w:rsid w:val="003565F2"/>
    <w:rsid w:val="00357249"/>
    <w:rsid w:val="00360163"/>
    <w:rsid w:val="003619FC"/>
    <w:rsid w:val="00363361"/>
    <w:rsid w:val="00364EAA"/>
    <w:rsid w:val="00365948"/>
    <w:rsid w:val="00365B13"/>
    <w:rsid w:val="00365DF4"/>
    <w:rsid w:val="003668D8"/>
    <w:rsid w:val="0036696A"/>
    <w:rsid w:val="0036719B"/>
    <w:rsid w:val="003672F1"/>
    <w:rsid w:val="003679D5"/>
    <w:rsid w:val="00367BD7"/>
    <w:rsid w:val="0037039B"/>
    <w:rsid w:val="00370956"/>
    <w:rsid w:val="00371B7C"/>
    <w:rsid w:val="00372392"/>
    <w:rsid w:val="00372BEE"/>
    <w:rsid w:val="003730BE"/>
    <w:rsid w:val="00373553"/>
    <w:rsid w:val="0037377B"/>
    <w:rsid w:val="003739BA"/>
    <w:rsid w:val="00373AA6"/>
    <w:rsid w:val="00373C68"/>
    <w:rsid w:val="00373EA1"/>
    <w:rsid w:val="003742B6"/>
    <w:rsid w:val="00374879"/>
    <w:rsid w:val="00374FB5"/>
    <w:rsid w:val="0037583F"/>
    <w:rsid w:val="00375D79"/>
    <w:rsid w:val="00376021"/>
    <w:rsid w:val="0037667E"/>
    <w:rsid w:val="00377C6B"/>
    <w:rsid w:val="00377F02"/>
    <w:rsid w:val="003816F3"/>
    <w:rsid w:val="00381BB1"/>
    <w:rsid w:val="00381EA0"/>
    <w:rsid w:val="0038230C"/>
    <w:rsid w:val="0038391F"/>
    <w:rsid w:val="00384C5B"/>
    <w:rsid w:val="0038571F"/>
    <w:rsid w:val="003860B4"/>
    <w:rsid w:val="003868A1"/>
    <w:rsid w:val="003869A4"/>
    <w:rsid w:val="00386EB7"/>
    <w:rsid w:val="00387729"/>
    <w:rsid w:val="00387AF0"/>
    <w:rsid w:val="003904C0"/>
    <w:rsid w:val="003913FD"/>
    <w:rsid w:val="003919D6"/>
    <w:rsid w:val="00392325"/>
    <w:rsid w:val="00392955"/>
    <w:rsid w:val="00392E59"/>
    <w:rsid w:val="00393544"/>
    <w:rsid w:val="0039377C"/>
    <w:rsid w:val="0039512A"/>
    <w:rsid w:val="00395508"/>
    <w:rsid w:val="0039620C"/>
    <w:rsid w:val="003A04F5"/>
    <w:rsid w:val="003A0692"/>
    <w:rsid w:val="003A0AEA"/>
    <w:rsid w:val="003A123D"/>
    <w:rsid w:val="003A13C0"/>
    <w:rsid w:val="003A1D70"/>
    <w:rsid w:val="003A247D"/>
    <w:rsid w:val="003A2621"/>
    <w:rsid w:val="003A3E7F"/>
    <w:rsid w:val="003A424A"/>
    <w:rsid w:val="003A54FF"/>
    <w:rsid w:val="003A5B6D"/>
    <w:rsid w:val="003A60AE"/>
    <w:rsid w:val="003A62D5"/>
    <w:rsid w:val="003A6BAC"/>
    <w:rsid w:val="003A7155"/>
    <w:rsid w:val="003B025E"/>
    <w:rsid w:val="003B167E"/>
    <w:rsid w:val="003B181E"/>
    <w:rsid w:val="003B19FF"/>
    <w:rsid w:val="003B25DE"/>
    <w:rsid w:val="003B2A59"/>
    <w:rsid w:val="003B2B3F"/>
    <w:rsid w:val="003B31F3"/>
    <w:rsid w:val="003B4254"/>
    <w:rsid w:val="003B4C69"/>
    <w:rsid w:val="003B4DB9"/>
    <w:rsid w:val="003B4F23"/>
    <w:rsid w:val="003B5592"/>
    <w:rsid w:val="003B585C"/>
    <w:rsid w:val="003B7583"/>
    <w:rsid w:val="003C0096"/>
    <w:rsid w:val="003C0C62"/>
    <w:rsid w:val="003C0F42"/>
    <w:rsid w:val="003C1352"/>
    <w:rsid w:val="003C16FA"/>
    <w:rsid w:val="003C17F4"/>
    <w:rsid w:val="003C1933"/>
    <w:rsid w:val="003C1E7B"/>
    <w:rsid w:val="003C2153"/>
    <w:rsid w:val="003C316C"/>
    <w:rsid w:val="003C3704"/>
    <w:rsid w:val="003C38C4"/>
    <w:rsid w:val="003C3B7F"/>
    <w:rsid w:val="003C3B8A"/>
    <w:rsid w:val="003C4273"/>
    <w:rsid w:val="003C4588"/>
    <w:rsid w:val="003C4746"/>
    <w:rsid w:val="003C4946"/>
    <w:rsid w:val="003C4AD2"/>
    <w:rsid w:val="003C4EE8"/>
    <w:rsid w:val="003C50F7"/>
    <w:rsid w:val="003C569E"/>
    <w:rsid w:val="003C60F3"/>
    <w:rsid w:val="003C6D46"/>
    <w:rsid w:val="003D0AD0"/>
    <w:rsid w:val="003D0F32"/>
    <w:rsid w:val="003D16FD"/>
    <w:rsid w:val="003D179D"/>
    <w:rsid w:val="003D1B36"/>
    <w:rsid w:val="003D2230"/>
    <w:rsid w:val="003D24BB"/>
    <w:rsid w:val="003D3A3A"/>
    <w:rsid w:val="003D4426"/>
    <w:rsid w:val="003D44E1"/>
    <w:rsid w:val="003D4E69"/>
    <w:rsid w:val="003D5D91"/>
    <w:rsid w:val="003D6CA2"/>
    <w:rsid w:val="003D6E2D"/>
    <w:rsid w:val="003D7188"/>
    <w:rsid w:val="003D747F"/>
    <w:rsid w:val="003D7A6D"/>
    <w:rsid w:val="003D7AB0"/>
    <w:rsid w:val="003D7BE3"/>
    <w:rsid w:val="003E0B8E"/>
    <w:rsid w:val="003E10F7"/>
    <w:rsid w:val="003E4588"/>
    <w:rsid w:val="003E517E"/>
    <w:rsid w:val="003E5200"/>
    <w:rsid w:val="003E546D"/>
    <w:rsid w:val="003E5D01"/>
    <w:rsid w:val="003E74B2"/>
    <w:rsid w:val="003E75F8"/>
    <w:rsid w:val="003E7648"/>
    <w:rsid w:val="003F0DCA"/>
    <w:rsid w:val="003F0DFB"/>
    <w:rsid w:val="003F1AA0"/>
    <w:rsid w:val="003F299A"/>
    <w:rsid w:val="003F2D5A"/>
    <w:rsid w:val="003F2D93"/>
    <w:rsid w:val="003F3249"/>
    <w:rsid w:val="003F3D88"/>
    <w:rsid w:val="003F4193"/>
    <w:rsid w:val="003F4754"/>
    <w:rsid w:val="003F47EC"/>
    <w:rsid w:val="003F688A"/>
    <w:rsid w:val="003F6A45"/>
    <w:rsid w:val="003F74AA"/>
    <w:rsid w:val="003F7D9D"/>
    <w:rsid w:val="003F7DC0"/>
    <w:rsid w:val="00400AEF"/>
    <w:rsid w:val="00401D36"/>
    <w:rsid w:val="00401D3E"/>
    <w:rsid w:val="00401F33"/>
    <w:rsid w:val="00402CD2"/>
    <w:rsid w:val="00403CAB"/>
    <w:rsid w:val="004042C3"/>
    <w:rsid w:val="0040478D"/>
    <w:rsid w:val="00405622"/>
    <w:rsid w:val="004061ED"/>
    <w:rsid w:val="004066AE"/>
    <w:rsid w:val="0040774E"/>
    <w:rsid w:val="00407B8A"/>
    <w:rsid w:val="00407EB1"/>
    <w:rsid w:val="004101A8"/>
    <w:rsid w:val="00410BF8"/>
    <w:rsid w:val="004115FB"/>
    <w:rsid w:val="004117BB"/>
    <w:rsid w:val="00412241"/>
    <w:rsid w:val="004123D5"/>
    <w:rsid w:val="00412CF5"/>
    <w:rsid w:val="004135CA"/>
    <w:rsid w:val="00414036"/>
    <w:rsid w:val="00414622"/>
    <w:rsid w:val="00416AA0"/>
    <w:rsid w:val="00416EB1"/>
    <w:rsid w:val="0041703D"/>
    <w:rsid w:val="00417EDD"/>
    <w:rsid w:val="00420B24"/>
    <w:rsid w:val="004214FE"/>
    <w:rsid w:val="00421B65"/>
    <w:rsid w:val="004221B1"/>
    <w:rsid w:val="0042271A"/>
    <w:rsid w:val="00422736"/>
    <w:rsid w:val="00423237"/>
    <w:rsid w:val="0042355E"/>
    <w:rsid w:val="0042385B"/>
    <w:rsid w:val="0042414C"/>
    <w:rsid w:val="004244D5"/>
    <w:rsid w:val="004254A7"/>
    <w:rsid w:val="0042575A"/>
    <w:rsid w:val="00425A88"/>
    <w:rsid w:val="00427DFE"/>
    <w:rsid w:val="00430034"/>
    <w:rsid w:val="00430F0C"/>
    <w:rsid w:val="00431260"/>
    <w:rsid w:val="004312A9"/>
    <w:rsid w:val="00431ED4"/>
    <w:rsid w:val="00432498"/>
    <w:rsid w:val="00432F3B"/>
    <w:rsid w:val="00433BED"/>
    <w:rsid w:val="00434B66"/>
    <w:rsid w:val="00435769"/>
    <w:rsid w:val="00435840"/>
    <w:rsid w:val="00435A39"/>
    <w:rsid w:val="00436461"/>
    <w:rsid w:val="00437DF9"/>
    <w:rsid w:val="004406D7"/>
    <w:rsid w:val="004413FF"/>
    <w:rsid w:val="00441610"/>
    <w:rsid w:val="004421B5"/>
    <w:rsid w:val="00442235"/>
    <w:rsid w:val="0044255D"/>
    <w:rsid w:val="00443C8C"/>
    <w:rsid w:val="0044407F"/>
    <w:rsid w:val="004443A7"/>
    <w:rsid w:val="00444442"/>
    <w:rsid w:val="0044504E"/>
    <w:rsid w:val="004466B9"/>
    <w:rsid w:val="004467EC"/>
    <w:rsid w:val="00447C22"/>
    <w:rsid w:val="00447F0A"/>
    <w:rsid w:val="00450627"/>
    <w:rsid w:val="00450B98"/>
    <w:rsid w:val="00451321"/>
    <w:rsid w:val="0045460A"/>
    <w:rsid w:val="00454C75"/>
    <w:rsid w:val="00454F79"/>
    <w:rsid w:val="004551D4"/>
    <w:rsid w:val="0045612F"/>
    <w:rsid w:val="004566B8"/>
    <w:rsid w:val="004569B4"/>
    <w:rsid w:val="00461EEF"/>
    <w:rsid w:val="004631A0"/>
    <w:rsid w:val="00463975"/>
    <w:rsid w:val="00463D2C"/>
    <w:rsid w:val="00464804"/>
    <w:rsid w:val="004651CD"/>
    <w:rsid w:val="00465251"/>
    <w:rsid w:val="00465834"/>
    <w:rsid w:val="00465A75"/>
    <w:rsid w:val="00465DC5"/>
    <w:rsid w:val="0046610D"/>
    <w:rsid w:val="0046652E"/>
    <w:rsid w:val="00466635"/>
    <w:rsid w:val="004719C5"/>
    <w:rsid w:val="00471B46"/>
    <w:rsid w:val="0047205A"/>
    <w:rsid w:val="004725AB"/>
    <w:rsid w:val="00472B51"/>
    <w:rsid w:val="00472CDB"/>
    <w:rsid w:val="004731D8"/>
    <w:rsid w:val="004732E7"/>
    <w:rsid w:val="00473CCA"/>
    <w:rsid w:val="0047470B"/>
    <w:rsid w:val="00475847"/>
    <w:rsid w:val="00476016"/>
    <w:rsid w:val="00476C8A"/>
    <w:rsid w:val="0047747B"/>
    <w:rsid w:val="00481BE5"/>
    <w:rsid w:val="00481CB8"/>
    <w:rsid w:val="00481CDA"/>
    <w:rsid w:val="00482387"/>
    <w:rsid w:val="004838C0"/>
    <w:rsid w:val="0048396C"/>
    <w:rsid w:val="00483D34"/>
    <w:rsid w:val="00483D3D"/>
    <w:rsid w:val="00483E8F"/>
    <w:rsid w:val="004857B1"/>
    <w:rsid w:val="004857BF"/>
    <w:rsid w:val="004867E5"/>
    <w:rsid w:val="004877DD"/>
    <w:rsid w:val="0049049C"/>
    <w:rsid w:val="00490CEC"/>
    <w:rsid w:val="00491CB0"/>
    <w:rsid w:val="004922DE"/>
    <w:rsid w:val="0049265F"/>
    <w:rsid w:val="00492CA0"/>
    <w:rsid w:val="00493EDA"/>
    <w:rsid w:val="00496108"/>
    <w:rsid w:val="004961B6"/>
    <w:rsid w:val="00496976"/>
    <w:rsid w:val="00496D3E"/>
    <w:rsid w:val="00497358"/>
    <w:rsid w:val="004A084A"/>
    <w:rsid w:val="004A0ED5"/>
    <w:rsid w:val="004A2069"/>
    <w:rsid w:val="004A2617"/>
    <w:rsid w:val="004A2DF4"/>
    <w:rsid w:val="004A2F94"/>
    <w:rsid w:val="004A3D73"/>
    <w:rsid w:val="004A49A9"/>
    <w:rsid w:val="004A64F5"/>
    <w:rsid w:val="004A6BD9"/>
    <w:rsid w:val="004A6F00"/>
    <w:rsid w:val="004A7662"/>
    <w:rsid w:val="004A79A1"/>
    <w:rsid w:val="004B0305"/>
    <w:rsid w:val="004B0AAC"/>
    <w:rsid w:val="004B0F01"/>
    <w:rsid w:val="004B1900"/>
    <w:rsid w:val="004B1AA2"/>
    <w:rsid w:val="004B2651"/>
    <w:rsid w:val="004B292B"/>
    <w:rsid w:val="004B33AC"/>
    <w:rsid w:val="004B3BA5"/>
    <w:rsid w:val="004B3DB0"/>
    <w:rsid w:val="004B5136"/>
    <w:rsid w:val="004B67C2"/>
    <w:rsid w:val="004B6BFD"/>
    <w:rsid w:val="004B7B95"/>
    <w:rsid w:val="004C0208"/>
    <w:rsid w:val="004C105C"/>
    <w:rsid w:val="004C14F5"/>
    <w:rsid w:val="004C1AFE"/>
    <w:rsid w:val="004C1E3A"/>
    <w:rsid w:val="004C262C"/>
    <w:rsid w:val="004C33C6"/>
    <w:rsid w:val="004C3D88"/>
    <w:rsid w:val="004C4901"/>
    <w:rsid w:val="004C514B"/>
    <w:rsid w:val="004C5287"/>
    <w:rsid w:val="004C5796"/>
    <w:rsid w:val="004C62BB"/>
    <w:rsid w:val="004C6308"/>
    <w:rsid w:val="004C66EE"/>
    <w:rsid w:val="004C6D14"/>
    <w:rsid w:val="004C6E1D"/>
    <w:rsid w:val="004C70A7"/>
    <w:rsid w:val="004C76D5"/>
    <w:rsid w:val="004C77C4"/>
    <w:rsid w:val="004C7BDB"/>
    <w:rsid w:val="004D0B60"/>
    <w:rsid w:val="004D0EA9"/>
    <w:rsid w:val="004D0EC7"/>
    <w:rsid w:val="004D25BC"/>
    <w:rsid w:val="004D288B"/>
    <w:rsid w:val="004D3627"/>
    <w:rsid w:val="004D3F25"/>
    <w:rsid w:val="004D5CFC"/>
    <w:rsid w:val="004E0C97"/>
    <w:rsid w:val="004E33A2"/>
    <w:rsid w:val="004E41F3"/>
    <w:rsid w:val="004E4566"/>
    <w:rsid w:val="004E5868"/>
    <w:rsid w:val="004E5A2C"/>
    <w:rsid w:val="004E61A0"/>
    <w:rsid w:val="004E62F4"/>
    <w:rsid w:val="004E65B1"/>
    <w:rsid w:val="004E6A68"/>
    <w:rsid w:val="004E6CE3"/>
    <w:rsid w:val="004E7475"/>
    <w:rsid w:val="004E76ED"/>
    <w:rsid w:val="004E790B"/>
    <w:rsid w:val="004E796F"/>
    <w:rsid w:val="004F010E"/>
    <w:rsid w:val="004F02AE"/>
    <w:rsid w:val="004F1007"/>
    <w:rsid w:val="004F173D"/>
    <w:rsid w:val="004F1D55"/>
    <w:rsid w:val="004F29DB"/>
    <w:rsid w:val="004F2ACE"/>
    <w:rsid w:val="004F2E37"/>
    <w:rsid w:val="004F38AD"/>
    <w:rsid w:val="004F4C1D"/>
    <w:rsid w:val="004F4EE6"/>
    <w:rsid w:val="004F5BB3"/>
    <w:rsid w:val="004F6DAE"/>
    <w:rsid w:val="004F780A"/>
    <w:rsid w:val="005002D5"/>
    <w:rsid w:val="00500B2B"/>
    <w:rsid w:val="00501CB5"/>
    <w:rsid w:val="005020E8"/>
    <w:rsid w:val="005022A0"/>
    <w:rsid w:val="00502F5A"/>
    <w:rsid w:val="005030A0"/>
    <w:rsid w:val="005039C5"/>
    <w:rsid w:val="0050590A"/>
    <w:rsid w:val="00505E5B"/>
    <w:rsid w:val="0050612B"/>
    <w:rsid w:val="005061DA"/>
    <w:rsid w:val="005062D3"/>
    <w:rsid w:val="00506810"/>
    <w:rsid w:val="005079A1"/>
    <w:rsid w:val="00510295"/>
    <w:rsid w:val="00511263"/>
    <w:rsid w:val="005115BC"/>
    <w:rsid w:val="00512385"/>
    <w:rsid w:val="005128AD"/>
    <w:rsid w:val="00512F94"/>
    <w:rsid w:val="0051341A"/>
    <w:rsid w:val="00513B0B"/>
    <w:rsid w:val="00513C43"/>
    <w:rsid w:val="00515125"/>
    <w:rsid w:val="005155EC"/>
    <w:rsid w:val="005156B6"/>
    <w:rsid w:val="00515A70"/>
    <w:rsid w:val="005167ED"/>
    <w:rsid w:val="00516F13"/>
    <w:rsid w:val="005174B5"/>
    <w:rsid w:val="00520727"/>
    <w:rsid w:val="00520793"/>
    <w:rsid w:val="00520CCB"/>
    <w:rsid w:val="00521D04"/>
    <w:rsid w:val="00521DD0"/>
    <w:rsid w:val="0052216D"/>
    <w:rsid w:val="005222E4"/>
    <w:rsid w:val="005229F9"/>
    <w:rsid w:val="00522C8F"/>
    <w:rsid w:val="005243FB"/>
    <w:rsid w:val="00524A10"/>
    <w:rsid w:val="00524ADE"/>
    <w:rsid w:val="00525805"/>
    <w:rsid w:val="00525BBE"/>
    <w:rsid w:val="00525D22"/>
    <w:rsid w:val="00526120"/>
    <w:rsid w:val="005266C6"/>
    <w:rsid w:val="00526944"/>
    <w:rsid w:val="00527E80"/>
    <w:rsid w:val="00531726"/>
    <w:rsid w:val="00531AF6"/>
    <w:rsid w:val="00531F36"/>
    <w:rsid w:val="0053204B"/>
    <w:rsid w:val="00532468"/>
    <w:rsid w:val="00532FEE"/>
    <w:rsid w:val="00534313"/>
    <w:rsid w:val="005349BF"/>
    <w:rsid w:val="0053594D"/>
    <w:rsid w:val="0054043E"/>
    <w:rsid w:val="005404B2"/>
    <w:rsid w:val="00540929"/>
    <w:rsid w:val="00540981"/>
    <w:rsid w:val="00541185"/>
    <w:rsid w:val="00541674"/>
    <w:rsid w:val="00542679"/>
    <w:rsid w:val="00543674"/>
    <w:rsid w:val="00544370"/>
    <w:rsid w:val="00544A94"/>
    <w:rsid w:val="0054551F"/>
    <w:rsid w:val="00547040"/>
    <w:rsid w:val="00547403"/>
    <w:rsid w:val="0055067D"/>
    <w:rsid w:val="00550B63"/>
    <w:rsid w:val="00550E39"/>
    <w:rsid w:val="00550ECF"/>
    <w:rsid w:val="005519A3"/>
    <w:rsid w:val="0055231C"/>
    <w:rsid w:val="00552BAD"/>
    <w:rsid w:val="00552FF0"/>
    <w:rsid w:val="00553176"/>
    <w:rsid w:val="005531E0"/>
    <w:rsid w:val="00554E88"/>
    <w:rsid w:val="00555057"/>
    <w:rsid w:val="00555487"/>
    <w:rsid w:val="00556046"/>
    <w:rsid w:val="005560B0"/>
    <w:rsid w:val="00556F4D"/>
    <w:rsid w:val="00556FC1"/>
    <w:rsid w:val="0055765B"/>
    <w:rsid w:val="00557674"/>
    <w:rsid w:val="00557A60"/>
    <w:rsid w:val="00560024"/>
    <w:rsid w:val="005625EC"/>
    <w:rsid w:val="00562E6E"/>
    <w:rsid w:val="005630A4"/>
    <w:rsid w:val="0056376D"/>
    <w:rsid w:val="00563DED"/>
    <w:rsid w:val="0056415A"/>
    <w:rsid w:val="005642A1"/>
    <w:rsid w:val="00565311"/>
    <w:rsid w:val="005669E2"/>
    <w:rsid w:val="00567295"/>
    <w:rsid w:val="005679E0"/>
    <w:rsid w:val="00567FCC"/>
    <w:rsid w:val="00572590"/>
    <w:rsid w:val="00572FF7"/>
    <w:rsid w:val="0057332B"/>
    <w:rsid w:val="00573643"/>
    <w:rsid w:val="00573A93"/>
    <w:rsid w:val="00573B66"/>
    <w:rsid w:val="00574176"/>
    <w:rsid w:val="00574451"/>
    <w:rsid w:val="005745B1"/>
    <w:rsid w:val="00574968"/>
    <w:rsid w:val="00574F34"/>
    <w:rsid w:val="005766A2"/>
    <w:rsid w:val="00576D6E"/>
    <w:rsid w:val="00580DD5"/>
    <w:rsid w:val="0058137A"/>
    <w:rsid w:val="0058226A"/>
    <w:rsid w:val="005824DF"/>
    <w:rsid w:val="005828CE"/>
    <w:rsid w:val="00582DCE"/>
    <w:rsid w:val="00582E65"/>
    <w:rsid w:val="00584982"/>
    <w:rsid w:val="00584FEE"/>
    <w:rsid w:val="00585227"/>
    <w:rsid w:val="0058629D"/>
    <w:rsid w:val="00586A93"/>
    <w:rsid w:val="00586E71"/>
    <w:rsid w:val="00586E89"/>
    <w:rsid w:val="005872A2"/>
    <w:rsid w:val="0059062B"/>
    <w:rsid w:val="00590B94"/>
    <w:rsid w:val="00590E0F"/>
    <w:rsid w:val="00590E54"/>
    <w:rsid w:val="00590E90"/>
    <w:rsid w:val="00591BD5"/>
    <w:rsid w:val="0059342E"/>
    <w:rsid w:val="0059502E"/>
    <w:rsid w:val="005950D6"/>
    <w:rsid w:val="00595349"/>
    <w:rsid w:val="0059560C"/>
    <w:rsid w:val="00595A7B"/>
    <w:rsid w:val="005960B2"/>
    <w:rsid w:val="0059652C"/>
    <w:rsid w:val="00597546"/>
    <w:rsid w:val="005A018A"/>
    <w:rsid w:val="005A0583"/>
    <w:rsid w:val="005A1413"/>
    <w:rsid w:val="005A17F9"/>
    <w:rsid w:val="005A2606"/>
    <w:rsid w:val="005A2E4A"/>
    <w:rsid w:val="005A428E"/>
    <w:rsid w:val="005A430D"/>
    <w:rsid w:val="005A5265"/>
    <w:rsid w:val="005A5931"/>
    <w:rsid w:val="005A5CDA"/>
    <w:rsid w:val="005A5EDB"/>
    <w:rsid w:val="005A6E2D"/>
    <w:rsid w:val="005A74EA"/>
    <w:rsid w:val="005A7DF5"/>
    <w:rsid w:val="005A7F98"/>
    <w:rsid w:val="005B018E"/>
    <w:rsid w:val="005B23A4"/>
    <w:rsid w:val="005B3C90"/>
    <w:rsid w:val="005B3EAF"/>
    <w:rsid w:val="005B44E6"/>
    <w:rsid w:val="005B4D2E"/>
    <w:rsid w:val="005B50EE"/>
    <w:rsid w:val="005B53AD"/>
    <w:rsid w:val="005B5A36"/>
    <w:rsid w:val="005B614B"/>
    <w:rsid w:val="005B6419"/>
    <w:rsid w:val="005B6F85"/>
    <w:rsid w:val="005B72AC"/>
    <w:rsid w:val="005B75D2"/>
    <w:rsid w:val="005B7729"/>
    <w:rsid w:val="005B7B1C"/>
    <w:rsid w:val="005C11AF"/>
    <w:rsid w:val="005C1EDE"/>
    <w:rsid w:val="005C26DA"/>
    <w:rsid w:val="005C2B6D"/>
    <w:rsid w:val="005C2BBF"/>
    <w:rsid w:val="005C2F92"/>
    <w:rsid w:val="005C3020"/>
    <w:rsid w:val="005C3080"/>
    <w:rsid w:val="005C3AAB"/>
    <w:rsid w:val="005C3D19"/>
    <w:rsid w:val="005C3EDF"/>
    <w:rsid w:val="005C5323"/>
    <w:rsid w:val="005C579A"/>
    <w:rsid w:val="005C5FD5"/>
    <w:rsid w:val="005C6AAE"/>
    <w:rsid w:val="005C6B55"/>
    <w:rsid w:val="005D06AD"/>
    <w:rsid w:val="005D09EC"/>
    <w:rsid w:val="005D2301"/>
    <w:rsid w:val="005D231C"/>
    <w:rsid w:val="005D3A2B"/>
    <w:rsid w:val="005D5FE4"/>
    <w:rsid w:val="005D666A"/>
    <w:rsid w:val="005D6715"/>
    <w:rsid w:val="005D7BCF"/>
    <w:rsid w:val="005D7CBF"/>
    <w:rsid w:val="005D7FB9"/>
    <w:rsid w:val="005E0025"/>
    <w:rsid w:val="005E0DA6"/>
    <w:rsid w:val="005E0FDE"/>
    <w:rsid w:val="005E1632"/>
    <w:rsid w:val="005E1C72"/>
    <w:rsid w:val="005E309D"/>
    <w:rsid w:val="005E4ADB"/>
    <w:rsid w:val="005E5780"/>
    <w:rsid w:val="005E57B2"/>
    <w:rsid w:val="005E5E7B"/>
    <w:rsid w:val="005E60EC"/>
    <w:rsid w:val="005E6665"/>
    <w:rsid w:val="005E6A1D"/>
    <w:rsid w:val="005E70BC"/>
    <w:rsid w:val="005E7379"/>
    <w:rsid w:val="005F1243"/>
    <w:rsid w:val="005F1C8F"/>
    <w:rsid w:val="005F2194"/>
    <w:rsid w:val="005F2213"/>
    <w:rsid w:val="005F23F3"/>
    <w:rsid w:val="005F360E"/>
    <w:rsid w:val="005F3CCF"/>
    <w:rsid w:val="005F3DE1"/>
    <w:rsid w:val="005F4690"/>
    <w:rsid w:val="005F4A5E"/>
    <w:rsid w:val="005F519F"/>
    <w:rsid w:val="005F545C"/>
    <w:rsid w:val="005F5797"/>
    <w:rsid w:val="005F5F6B"/>
    <w:rsid w:val="005F5FA4"/>
    <w:rsid w:val="005F619E"/>
    <w:rsid w:val="006000A2"/>
    <w:rsid w:val="006004AC"/>
    <w:rsid w:val="00600DF7"/>
    <w:rsid w:val="006017C9"/>
    <w:rsid w:val="00601C43"/>
    <w:rsid w:val="0060360D"/>
    <w:rsid w:val="00603A0B"/>
    <w:rsid w:val="00603FCE"/>
    <w:rsid w:val="006042F3"/>
    <w:rsid w:val="006045AA"/>
    <w:rsid w:val="0060464C"/>
    <w:rsid w:val="0060518C"/>
    <w:rsid w:val="00605D45"/>
    <w:rsid w:val="00605E02"/>
    <w:rsid w:val="006061EC"/>
    <w:rsid w:val="00606FC4"/>
    <w:rsid w:val="00607B10"/>
    <w:rsid w:val="00610CAD"/>
    <w:rsid w:val="00611397"/>
    <w:rsid w:val="00612566"/>
    <w:rsid w:val="00612C8B"/>
    <w:rsid w:val="00612FAD"/>
    <w:rsid w:val="00613302"/>
    <w:rsid w:val="00613486"/>
    <w:rsid w:val="00613A01"/>
    <w:rsid w:val="0061484F"/>
    <w:rsid w:val="0061509D"/>
    <w:rsid w:val="0061521D"/>
    <w:rsid w:val="006154D5"/>
    <w:rsid w:val="006163D5"/>
    <w:rsid w:val="006163FC"/>
    <w:rsid w:val="006166BF"/>
    <w:rsid w:val="00616B2D"/>
    <w:rsid w:val="00616E2F"/>
    <w:rsid w:val="00616E61"/>
    <w:rsid w:val="00617291"/>
    <w:rsid w:val="006178AB"/>
    <w:rsid w:val="00621214"/>
    <w:rsid w:val="006213AE"/>
    <w:rsid w:val="00621499"/>
    <w:rsid w:val="006228C2"/>
    <w:rsid w:val="00622D6A"/>
    <w:rsid w:val="00623651"/>
    <w:rsid w:val="00623DC7"/>
    <w:rsid w:val="00624120"/>
    <w:rsid w:val="00624749"/>
    <w:rsid w:val="00624E9D"/>
    <w:rsid w:val="006252B8"/>
    <w:rsid w:val="006257E1"/>
    <w:rsid w:val="006258C1"/>
    <w:rsid w:val="00625D0B"/>
    <w:rsid w:val="006268D6"/>
    <w:rsid w:val="00626E38"/>
    <w:rsid w:val="00630185"/>
    <w:rsid w:val="00630739"/>
    <w:rsid w:val="00630794"/>
    <w:rsid w:val="00632250"/>
    <w:rsid w:val="00633E46"/>
    <w:rsid w:val="00634098"/>
    <w:rsid w:val="0063453A"/>
    <w:rsid w:val="00634EFD"/>
    <w:rsid w:val="00635D2C"/>
    <w:rsid w:val="00636389"/>
    <w:rsid w:val="006366FA"/>
    <w:rsid w:val="0063670E"/>
    <w:rsid w:val="00636F7F"/>
    <w:rsid w:val="006374A3"/>
    <w:rsid w:val="006376E1"/>
    <w:rsid w:val="00637833"/>
    <w:rsid w:val="00637D77"/>
    <w:rsid w:val="006407B7"/>
    <w:rsid w:val="0064092B"/>
    <w:rsid w:val="00641087"/>
    <w:rsid w:val="00641520"/>
    <w:rsid w:val="006425A6"/>
    <w:rsid w:val="0064295F"/>
    <w:rsid w:val="00642D50"/>
    <w:rsid w:val="0064344F"/>
    <w:rsid w:val="006436B6"/>
    <w:rsid w:val="00644E32"/>
    <w:rsid w:val="00644F56"/>
    <w:rsid w:val="006452A0"/>
    <w:rsid w:val="00645CA4"/>
    <w:rsid w:val="006469A0"/>
    <w:rsid w:val="006477EF"/>
    <w:rsid w:val="006500FD"/>
    <w:rsid w:val="00650298"/>
    <w:rsid w:val="0065083C"/>
    <w:rsid w:val="00650D9F"/>
    <w:rsid w:val="0065190E"/>
    <w:rsid w:val="00651AD0"/>
    <w:rsid w:val="00651CB0"/>
    <w:rsid w:val="00651EEC"/>
    <w:rsid w:val="0065259F"/>
    <w:rsid w:val="00652756"/>
    <w:rsid w:val="00652E08"/>
    <w:rsid w:val="00652F30"/>
    <w:rsid w:val="00653252"/>
    <w:rsid w:val="0065347A"/>
    <w:rsid w:val="00653AD2"/>
    <w:rsid w:val="0065423D"/>
    <w:rsid w:val="00654908"/>
    <w:rsid w:val="00655569"/>
    <w:rsid w:val="00655656"/>
    <w:rsid w:val="00656899"/>
    <w:rsid w:val="00657024"/>
    <w:rsid w:val="00657197"/>
    <w:rsid w:val="006572B6"/>
    <w:rsid w:val="00657DD2"/>
    <w:rsid w:val="00660C9C"/>
    <w:rsid w:val="00660CEB"/>
    <w:rsid w:val="0066106B"/>
    <w:rsid w:val="006621D3"/>
    <w:rsid w:val="006623B1"/>
    <w:rsid w:val="00662ADF"/>
    <w:rsid w:val="006630D4"/>
    <w:rsid w:val="00663497"/>
    <w:rsid w:val="00663AF1"/>
    <w:rsid w:val="006646F4"/>
    <w:rsid w:val="006648EB"/>
    <w:rsid w:val="00665014"/>
    <w:rsid w:val="00665FF3"/>
    <w:rsid w:val="00666827"/>
    <w:rsid w:val="00666A40"/>
    <w:rsid w:val="00666C48"/>
    <w:rsid w:val="006674FF"/>
    <w:rsid w:val="006675D4"/>
    <w:rsid w:val="00670744"/>
    <w:rsid w:val="0067142A"/>
    <w:rsid w:val="0067186C"/>
    <w:rsid w:val="00671954"/>
    <w:rsid w:val="006719B2"/>
    <w:rsid w:val="00672159"/>
    <w:rsid w:val="006728EF"/>
    <w:rsid w:val="00672960"/>
    <w:rsid w:val="0067300A"/>
    <w:rsid w:val="00674AD3"/>
    <w:rsid w:val="006759AB"/>
    <w:rsid w:val="0067783C"/>
    <w:rsid w:val="00677CB8"/>
    <w:rsid w:val="00680CE7"/>
    <w:rsid w:val="00680DA2"/>
    <w:rsid w:val="00680DC9"/>
    <w:rsid w:val="006811D5"/>
    <w:rsid w:val="006817BC"/>
    <w:rsid w:val="00681F67"/>
    <w:rsid w:val="00681F9F"/>
    <w:rsid w:val="00682070"/>
    <w:rsid w:val="00682206"/>
    <w:rsid w:val="006823FE"/>
    <w:rsid w:val="00684698"/>
    <w:rsid w:val="006846B4"/>
    <w:rsid w:val="00685ABC"/>
    <w:rsid w:val="00685B68"/>
    <w:rsid w:val="0068682A"/>
    <w:rsid w:val="00687C78"/>
    <w:rsid w:val="00690935"/>
    <w:rsid w:val="006912B4"/>
    <w:rsid w:val="006917E2"/>
    <w:rsid w:val="00691ACE"/>
    <w:rsid w:val="00691C9B"/>
    <w:rsid w:val="00692B9C"/>
    <w:rsid w:val="0069317A"/>
    <w:rsid w:val="00693AD8"/>
    <w:rsid w:val="00693EF1"/>
    <w:rsid w:val="00694B78"/>
    <w:rsid w:val="00694F99"/>
    <w:rsid w:val="00695122"/>
    <w:rsid w:val="00695501"/>
    <w:rsid w:val="00696148"/>
    <w:rsid w:val="00697925"/>
    <w:rsid w:val="006A0C4A"/>
    <w:rsid w:val="006A11E5"/>
    <w:rsid w:val="006A1998"/>
    <w:rsid w:val="006A34DC"/>
    <w:rsid w:val="006A36E7"/>
    <w:rsid w:val="006A3811"/>
    <w:rsid w:val="006A3B74"/>
    <w:rsid w:val="006A3EC3"/>
    <w:rsid w:val="006A4F2A"/>
    <w:rsid w:val="006A5303"/>
    <w:rsid w:val="006A569B"/>
    <w:rsid w:val="006A5FE7"/>
    <w:rsid w:val="006A6BC4"/>
    <w:rsid w:val="006A6DC6"/>
    <w:rsid w:val="006B01DB"/>
    <w:rsid w:val="006B0311"/>
    <w:rsid w:val="006B0996"/>
    <w:rsid w:val="006B12E9"/>
    <w:rsid w:val="006B13EA"/>
    <w:rsid w:val="006B1713"/>
    <w:rsid w:val="006B21AE"/>
    <w:rsid w:val="006B26B5"/>
    <w:rsid w:val="006B30B8"/>
    <w:rsid w:val="006B3632"/>
    <w:rsid w:val="006B3713"/>
    <w:rsid w:val="006B38B5"/>
    <w:rsid w:val="006B4D59"/>
    <w:rsid w:val="006B5131"/>
    <w:rsid w:val="006B645F"/>
    <w:rsid w:val="006B6D43"/>
    <w:rsid w:val="006B765A"/>
    <w:rsid w:val="006B79D8"/>
    <w:rsid w:val="006C072E"/>
    <w:rsid w:val="006C0C64"/>
    <w:rsid w:val="006C1D05"/>
    <w:rsid w:val="006C2108"/>
    <w:rsid w:val="006C278C"/>
    <w:rsid w:val="006C2B12"/>
    <w:rsid w:val="006C2CD9"/>
    <w:rsid w:val="006C4482"/>
    <w:rsid w:val="006C510B"/>
    <w:rsid w:val="006C5172"/>
    <w:rsid w:val="006C616E"/>
    <w:rsid w:val="006C64D3"/>
    <w:rsid w:val="006C78B1"/>
    <w:rsid w:val="006D0275"/>
    <w:rsid w:val="006D050D"/>
    <w:rsid w:val="006D1850"/>
    <w:rsid w:val="006D1A50"/>
    <w:rsid w:val="006D1EA6"/>
    <w:rsid w:val="006D1F19"/>
    <w:rsid w:val="006D1FC7"/>
    <w:rsid w:val="006D2FB6"/>
    <w:rsid w:val="006D34DA"/>
    <w:rsid w:val="006D3A77"/>
    <w:rsid w:val="006D3F2F"/>
    <w:rsid w:val="006D42BC"/>
    <w:rsid w:val="006D471E"/>
    <w:rsid w:val="006D4C68"/>
    <w:rsid w:val="006D5038"/>
    <w:rsid w:val="006D58BE"/>
    <w:rsid w:val="006D6760"/>
    <w:rsid w:val="006D6BEE"/>
    <w:rsid w:val="006D72E0"/>
    <w:rsid w:val="006D734D"/>
    <w:rsid w:val="006D76BD"/>
    <w:rsid w:val="006D7D97"/>
    <w:rsid w:val="006E0509"/>
    <w:rsid w:val="006E1697"/>
    <w:rsid w:val="006E27CC"/>
    <w:rsid w:val="006E2951"/>
    <w:rsid w:val="006E362D"/>
    <w:rsid w:val="006E4709"/>
    <w:rsid w:val="006E4DF9"/>
    <w:rsid w:val="006E69DD"/>
    <w:rsid w:val="006E69EC"/>
    <w:rsid w:val="006E6D16"/>
    <w:rsid w:val="006E6E58"/>
    <w:rsid w:val="006F08DB"/>
    <w:rsid w:val="006F0BFE"/>
    <w:rsid w:val="006F18A4"/>
    <w:rsid w:val="006F1B6C"/>
    <w:rsid w:val="006F23FE"/>
    <w:rsid w:val="006F24AE"/>
    <w:rsid w:val="006F2544"/>
    <w:rsid w:val="006F382F"/>
    <w:rsid w:val="006F3A38"/>
    <w:rsid w:val="006F3A5E"/>
    <w:rsid w:val="006F3EA5"/>
    <w:rsid w:val="006F4C41"/>
    <w:rsid w:val="006F573A"/>
    <w:rsid w:val="006F7FE7"/>
    <w:rsid w:val="0070046E"/>
    <w:rsid w:val="0070104A"/>
    <w:rsid w:val="00701540"/>
    <w:rsid w:val="00701739"/>
    <w:rsid w:val="00701AD7"/>
    <w:rsid w:val="007022A1"/>
    <w:rsid w:val="007024D9"/>
    <w:rsid w:val="007035B1"/>
    <w:rsid w:val="00703B8E"/>
    <w:rsid w:val="00703FB6"/>
    <w:rsid w:val="0070410D"/>
    <w:rsid w:val="00704E40"/>
    <w:rsid w:val="00705C2A"/>
    <w:rsid w:val="00705CB4"/>
    <w:rsid w:val="007068B9"/>
    <w:rsid w:val="00706A9E"/>
    <w:rsid w:val="00707CE5"/>
    <w:rsid w:val="00710312"/>
    <w:rsid w:val="00710712"/>
    <w:rsid w:val="00710F5C"/>
    <w:rsid w:val="00711DE6"/>
    <w:rsid w:val="007120A0"/>
    <w:rsid w:val="0071284B"/>
    <w:rsid w:val="0071374A"/>
    <w:rsid w:val="00713A46"/>
    <w:rsid w:val="007142E8"/>
    <w:rsid w:val="007151FC"/>
    <w:rsid w:val="007152FA"/>
    <w:rsid w:val="007155A6"/>
    <w:rsid w:val="00715AE9"/>
    <w:rsid w:val="00715E2B"/>
    <w:rsid w:val="007164C8"/>
    <w:rsid w:val="007164D7"/>
    <w:rsid w:val="00716D58"/>
    <w:rsid w:val="00716F2E"/>
    <w:rsid w:val="0072020A"/>
    <w:rsid w:val="00721080"/>
    <w:rsid w:val="0072142C"/>
    <w:rsid w:val="007214E7"/>
    <w:rsid w:val="00721B78"/>
    <w:rsid w:val="0072292B"/>
    <w:rsid w:val="0072341C"/>
    <w:rsid w:val="007244B3"/>
    <w:rsid w:val="00724A18"/>
    <w:rsid w:val="00725442"/>
    <w:rsid w:val="0072548B"/>
    <w:rsid w:val="00725541"/>
    <w:rsid w:val="00726552"/>
    <w:rsid w:val="00726ED0"/>
    <w:rsid w:val="007276DB"/>
    <w:rsid w:val="007278F1"/>
    <w:rsid w:val="00727EEC"/>
    <w:rsid w:val="007306C6"/>
    <w:rsid w:val="007317D0"/>
    <w:rsid w:val="007318E2"/>
    <w:rsid w:val="00731EA8"/>
    <w:rsid w:val="007320E4"/>
    <w:rsid w:val="007322D1"/>
    <w:rsid w:val="007325B5"/>
    <w:rsid w:val="00732C0C"/>
    <w:rsid w:val="00733978"/>
    <w:rsid w:val="007341DB"/>
    <w:rsid w:val="007345C0"/>
    <w:rsid w:val="007345DF"/>
    <w:rsid w:val="00734A4B"/>
    <w:rsid w:val="00734B7E"/>
    <w:rsid w:val="0073510B"/>
    <w:rsid w:val="00736977"/>
    <w:rsid w:val="00736E61"/>
    <w:rsid w:val="007379D5"/>
    <w:rsid w:val="00737D02"/>
    <w:rsid w:val="007404FF"/>
    <w:rsid w:val="00740791"/>
    <w:rsid w:val="0074085A"/>
    <w:rsid w:val="00740FB9"/>
    <w:rsid w:val="00741E5E"/>
    <w:rsid w:val="007456EA"/>
    <w:rsid w:val="00745B72"/>
    <w:rsid w:val="00745CB1"/>
    <w:rsid w:val="00745F2A"/>
    <w:rsid w:val="00745F83"/>
    <w:rsid w:val="007462BC"/>
    <w:rsid w:val="00747485"/>
    <w:rsid w:val="00747AFE"/>
    <w:rsid w:val="00750ABD"/>
    <w:rsid w:val="007516EC"/>
    <w:rsid w:val="00751EB0"/>
    <w:rsid w:val="00752493"/>
    <w:rsid w:val="00752B59"/>
    <w:rsid w:val="00753924"/>
    <w:rsid w:val="00753E80"/>
    <w:rsid w:val="007548BE"/>
    <w:rsid w:val="007553A0"/>
    <w:rsid w:val="00755D1D"/>
    <w:rsid w:val="00755DCC"/>
    <w:rsid w:val="00756449"/>
    <w:rsid w:val="0075663C"/>
    <w:rsid w:val="00756CEA"/>
    <w:rsid w:val="00756E24"/>
    <w:rsid w:val="007572C9"/>
    <w:rsid w:val="0075744E"/>
    <w:rsid w:val="00757C05"/>
    <w:rsid w:val="007600B2"/>
    <w:rsid w:val="0076098C"/>
    <w:rsid w:val="00761A31"/>
    <w:rsid w:val="00761EDD"/>
    <w:rsid w:val="007631FC"/>
    <w:rsid w:val="007635B9"/>
    <w:rsid w:val="00763CF9"/>
    <w:rsid w:val="007641CA"/>
    <w:rsid w:val="00764A99"/>
    <w:rsid w:val="007656BB"/>
    <w:rsid w:val="007656DD"/>
    <w:rsid w:val="00765B7C"/>
    <w:rsid w:val="007663DF"/>
    <w:rsid w:val="00767D74"/>
    <w:rsid w:val="0077119E"/>
    <w:rsid w:val="007717AA"/>
    <w:rsid w:val="007720E1"/>
    <w:rsid w:val="0077227D"/>
    <w:rsid w:val="00773D7A"/>
    <w:rsid w:val="0077466F"/>
    <w:rsid w:val="00774EF1"/>
    <w:rsid w:val="00775394"/>
    <w:rsid w:val="00776D2D"/>
    <w:rsid w:val="00776EB3"/>
    <w:rsid w:val="007775FC"/>
    <w:rsid w:val="007777A4"/>
    <w:rsid w:val="00777DB9"/>
    <w:rsid w:val="00780CD3"/>
    <w:rsid w:val="00780D55"/>
    <w:rsid w:val="00780EDE"/>
    <w:rsid w:val="00781196"/>
    <w:rsid w:val="00781449"/>
    <w:rsid w:val="00781D93"/>
    <w:rsid w:val="00783223"/>
    <w:rsid w:val="00783F54"/>
    <w:rsid w:val="007857A5"/>
    <w:rsid w:val="007857DC"/>
    <w:rsid w:val="0078590C"/>
    <w:rsid w:val="00785FDF"/>
    <w:rsid w:val="00787074"/>
    <w:rsid w:val="0078797F"/>
    <w:rsid w:val="007879FC"/>
    <w:rsid w:val="007909AE"/>
    <w:rsid w:val="00790B89"/>
    <w:rsid w:val="00791DB4"/>
    <w:rsid w:val="007920C7"/>
    <w:rsid w:val="0079233B"/>
    <w:rsid w:val="00792932"/>
    <w:rsid w:val="00792A9C"/>
    <w:rsid w:val="00792F79"/>
    <w:rsid w:val="007936A2"/>
    <w:rsid w:val="00793D8C"/>
    <w:rsid w:val="007942CB"/>
    <w:rsid w:val="0079455E"/>
    <w:rsid w:val="00794B61"/>
    <w:rsid w:val="007954C2"/>
    <w:rsid w:val="00795504"/>
    <w:rsid w:val="0079630E"/>
    <w:rsid w:val="007A0082"/>
    <w:rsid w:val="007A04BF"/>
    <w:rsid w:val="007A0E3A"/>
    <w:rsid w:val="007A11AC"/>
    <w:rsid w:val="007A13B6"/>
    <w:rsid w:val="007A17E5"/>
    <w:rsid w:val="007A28AB"/>
    <w:rsid w:val="007A36D7"/>
    <w:rsid w:val="007A4036"/>
    <w:rsid w:val="007A47D2"/>
    <w:rsid w:val="007A5465"/>
    <w:rsid w:val="007A5AE9"/>
    <w:rsid w:val="007A6DB2"/>
    <w:rsid w:val="007A6EC2"/>
    <w:rsid w:val="007A7D61"/>
    <w:rsid w:val="007B0544"/>
    <w:rsid w:val="007B05EA"/>
    <w:rsid w:val="007B0ADA"/>
    <w:rsid w:val="007B10E7"/>
    <w:rsid w:val="007B2C09"/>
    <w:rsid w:val="007B373E"/>
    <w:rsid w:val="007B407F"/>
    <w:rsid w:val="007B42F4"/>
    <w:rsid w:val="007B5302"/>
    <w:rsid w:val="007B5C24"/>
    <w:rsid w:val="007B5FCC"/>
    <w:rsid w:val="007B6839"/>
    <w:rsid w:val="007B7ADD"/>
    <w:rsid w:val="007B7E61"/>
    <w:rsid w:val="007C0490"/>
    <w:rsid w:val="007C0F7C"/>
    <w:rsid w:val="007C18BE"/>
    <w:rsid w:val="007C18D2"/>
    <w:rsid w:val="007C1BC2"/>
    <w:rsid w:val="007C1DBD"/>
    <w:rsid w:val="007C2940"/>
    <w:rsid w:val="007C38AA"/>
    <w:rsid w:val="007C3A59"/>
    <w:rsid w:val="007C4BA1"/>
    <w:rsid w:val="007C5362"/>
    <w:rsid w:val="007C5C24"/>
    <w:rsid w:val="007C6284"/>
    <w:rsid w:val="007C6388"/>
    <w:rsid w:val="007C65A3"/>
    <w:rsid w:val="007C67DB"/>
    <w:rsid w:val="007C6AA1"/>
    <w:rsid w:val="007C6EB4"/>
    <w:rsid w:val="007C7C77"/>
    <w:rsid w:val="007D0D0A"/>
    <w:rsid w:val="007D12DD"/>
    <w:rsid w:val="007D16C1"/>
    <w:rsid w:val="007D1ECC"/>
    <w:rsid w:val="007D2730"/>
    <w:rsid w:val="007D2EF3"/>
    <w:rsid w:val="007D2F63"/>
    <w:rsid w:val="007D31AD"/>
    <w:rsid w:val="007D360D"/>
    <w:rsid w:val="007D3D88"/>
    <w:rsid w:val="007D409E"/>
    <w:rsid w:val="007D4854"/>
    <w:rsid w:val="007D4A82"/>
    <w:rsid w:val="007D4B92"/>
    <w:rsid w:val="007D5315"/>
    <w:rsid w:val="007D66C1"/>
    <w:rsid w:val="007D6814"/>
    <w:rsid w:val="007D7102"/>
    <w:rsid w:val="007D72D3"/>
    <w:rsid w:val="007E09B2"/>
    <w:rsid w:val="007E0F22"/>
    <w:rsid w:val="007E1B38"/>
    <w:rsid w:val="007E3787"/>
    <w:rsid w:val="007E3859"/>
    <w:rsid w:val="007E3D25"/>
    <w:rsid w:val="007E3ED6"/>
    <w:rsid w:val="007E481E"/>
    <w:rsid w:val="007E4DA6"/>
    <w:rsid w:val="007E5034"/>
    <w:rsid w:val="007E62BA"/>
    <w:rsid w:val="007E7964"/>
    <w:rsid w:val="007E7E58"/>
    <w:rsid w:val="007F227F"/>
    <w:rsid w:val="007F278B"/>
    <w:rsid w:val="007F2BA6"/>
    <w:rsid w:val="007F30CE"/>
    <w:rsid w:val="007F48E3"/>
    <w:rsid w:val="007F4A35"/>
    <w:rsid w:val="007F5E78"/>
    <w:rsid w:val="007F6020"/>
    <w:rsid w:val="007F67DE"/>
    <w:rsid w:val="007F7078"/>
    <w:rsid w:val="007F7C5B"/>
    <w:rsid w:val="0080044D"/>
    <w:rsid w:val="0080066C"/>
    <w:rsid w:val="0080072C"/>
    <w:rsid w:val="0080073A"/>
    <w:rsid w:val="00800B2F"/>
    <w:rsid w:val="008011EF"/>
    <w:rsid w:val="00801552"/>
    <w:rsid w:val="00802AA0"/>
    <w:rsid w:val="008034BD"/>
    <w:rsid w:val="00804219"/>
    <w:rsid w:val="0080454F"/>
    <w:rsid w:val="0080457B"/>
    <w:rsid w:val="008061A6"/>
    <w:rsid w:val="0080632E"/>
    <w:rsid w:val="008063F0"/>
    <w:rsid w:val="00806725"/>
    <w:rsid w:val="00807765"/>
    <w:rsid w:val="00810294"/>
    <w:rsid w:val="00810946"/>
    <w:rsid w:val="00810A6F"/>
    <w:rsid w:val="00810E68"/>
    <w:rsid w:val="00811EAD"/>
    <w:rsid w:val="00812130"/>
    <w:rsid w:val="00812EA3"/>
    <w:rsid w:val="008132F7"/>
    <w:rsid w:val="00813868"/>
    <w:rsid w:val="00813920"/>
    <w:rsid w:val="00813A57"/>
    <w:rsid w:val="00814DD8"/>
    <w:rsid w:val="0081508A"/>
    <w:rsid w:val="00815113"/>
    <w:rsid w:val="00815186"/>
    <w:rsid w:val="008159C9"/>
    <w:rsid w:val="00815A0C"/>
    <w:rsid w:val="00815FA2"/>
    <w:rsid w:val="008161BE"/>
    <w:rsid w:val="00816A11"/>
    <w:rsid w:val="00816D95"/>
    <w:rsid w:val="0081720B"/>
    <w:rsid w:val="00817CCC"/>
    <w:rsid w:val="00820300"/>
    <w:rsid w:val="008215B8"/>
    <w:rsid w:val="0082322B"/>
    <w:rsid w:val="008233A0"/>
    <w:rsid w:val="0082386A"/>
    <w:rsid w:val="00823B6C"/>
    <w:rsid w:val="00824527"/>
    <w:rsid w:val="00824691"/>
    <w:rsid w:val="00824832"/>
    <w:rsid w:val="00824FC5"/>
    <w:rsid w:val="0082549F"/>
    <w:rsid w:val="0082565A"/>
    <w:rsid w:val="00825925"/>
    <w:rsid w:val="00826BFE"/>
    <w:rsid w:val="00827888"/>
    <w:rsid w:val="008300B2"/>
    <w:rsid w:val="008302B8"/>
    <w:rsid w:val="00831644"/>
    <w:rsid w:val="0083203B"/>
    <w:rsid w:val="008332DD"/>
    <w:rsid w:val="008363AE"/>
    <w:rsid w:val="00836539"/>
    <w:rsid w:val="00836F7C"/>
    <w:rsid w:val="00840633"/>
    <w:rsid w:val="00840D81"/>
    <w:rsid w:val="0084161E"/>
    <w:rsid w:val="008419B7"/>
    <w:rsid w:val="00843026"/>
    <w:rsid w:val="00843036"/>
    <w:rsid w:val="008431E7"/>
    <w:rsid w:val="008436DD"/>
    <w:rsid w:val="00844343"/>
    <w:rsid w:val="0084451A"/>
    <w:rsid w:val="008449A0"/>
    <w:rsid w:val="00844BF2"/>
    <w:rsid w:val="0084611C"/>
    <w:rsid w:val="00846129"/>
    <w:rsid w:val="00846472"/>
    <w:rsid w:val="00847657"/>
    <w:rsid w:val="008500C6"/>
    <w:rsid w:val="008502A5"/>
    <w:rsid w:val="00850DB7"/>
    <w:rsid w:val="008519A7"/>
    <w:rsid w:val="00851A4A"/>
    <w:rsid w:val="00851F2A"/>
    <w:rsid w:val="00852913"/>
    <w:rsid w:val="00852C5A"/>
    <w:rsid w:val="008531A1"/>
    <w:rsid w:val="00853B99"/>
    <w:rsid w:val="00854A02"/>
    <w:rsid w:val="00854EEF"/>
    <w:rsid w:val="00854FCA"/>
    <w:rsid w:val="0085583E"/>
    <w:rsid w:val="00855B85"/>
    <w:rsid w:val="00855CED"/>
    <w:rsid w:val="00856984"/>
    <w:rsid w:val="00856B80"/>
    <w:rsid w:val="00857416"/>
    <w:rsid w:val="0085766E"/>
    <w:rsid w:val="008602F0"/>
    <w:rsid w:val="00860897"/>
    <w:rsid w:val="00860C17"/>
    <w:rsid w:val="008612A5"/>
    <w:rsid w:val="008625BB"/>
    <w:rsid w:val="00862642"/>
    <w:rsid w:val="00862772"/>
    <w:rsid w:val="00863E76"/>
    <w:rsid w:val="0086413A"/>
    <w:rsid w:val="0086419B"/>
    <w:rsid w:val="008641F2"/>
    <w:rsid w:val="00864534"/>
    <w:rsid w:val="008647AB"/>
    <w:rsid w:val="008648F9"/>
    <w:rsid w:val="008649ED"/>
    <w:rsid w:val="00864AC7"/>
    <w:rsid w:val="00864D0E"/>
    <w:rsid w:val="00864F36"/>
    <w:rsid w:val="00865F86"/>
    <w:rsid w:val="00866112"/>
    <w:rsid w:val="00866610"/>
    <w:rsid w:val="0086795B"/>
    <w:rsid w:val="008709F7"/>
    <w:rsid w:val="008728C8"/>
    <w:rsid w:val="00872984"/>
    <w:rsid w:val="00872AFB"/>
    <w:rsid w:val="008732E4"/>
    <w:rsid w:val="00873E37"/>
    <w:rsid w:val="008740FB"/>
    <w:rsid w:val="00874355"/>
    <w:rsid w:val="008743F6"/>
    <w:rsid w:val="00874550"/>
    <w:rsid w:val="0087485A"/>
    <w:rsid w:val="00874C88"/>
    <w:rsid w:val="00874E77"/>
    <w:rsid w:val="0087548A"/>
    <w:rsid w:val="00876220"/>
    <w:rsid w:val="008772E2"/>
    <w:rsid w:val="0087762C"/>
    <w:rsid w:val="00877C1B"/>
    <w:rsid w:val="00880797"/>
    <w:rsid w:val="00881EAC"/>
    <w:rsid w:val="00883124"/>
    <w:rsid w:val="00883E94"/>
    <w:rsid w:val="0088409B"/>
    <w:rsid w:val="00884116"/>
    <w:rsid w:val="00886827"/>
    <w:rsid w:val="00887132"/>
    <w:rsid w:val="00887991"/>
    <w:rsid w:val="00887E0C"/>
    <w:rsid w:val="0089023F"/>
    <w:rsid w:val="008907F5"/>
    <w:rsid w:val="008914BC"/>
    <w:rsid w:val="00891644"/>
    <w:rsid w:val="00891668"/>
    <w:rsid w:val="008916EE"/>
    <w:rsid w:val="00891FA7"/>
    <w:rsid w:val="00891FE3"/>
    <w:rsid w:val="00892496"/>
    <w:rsid w:val="00892E5C"/>
    <w:rsid w:val="008934F0"/>
    <w:rsid w:val="00893E92"/>
    <w:rsid w:val="008946AD"/>
    <w:rsid w:val="00895A55"/>
    <w:rsid w:val="00895B1B"/>
    <w:rsid w:val="00895EBA"/>
    <w:rsid w:val="008963F2"/>
    <w:rsid w:val="00896E69"/>
    <w:rsid w:val="008A0988"/>
    <w:rsid w:val="008A125F"/>
    <w:rsid w:val="008A1395"/>
    <w:rsid w:val="008A1BFA"/>
    <w:rsid w:val="008A1E7D"/>
    <w:rsid w:val="008A2481"/>
    <w:rsid w:val="008A2CFE"/>
    <w:rsid w:val="008A2FE4"/>
    <w:rsid w:val="008A341B"/>
    <w:rsid w:val="008A3FBC"/>
    <w:rsid w:val="008A3FF3"/>
    <w:rsid w:val="008A4610"/>
    <w:rsid w:val="008A4CEC"/>
    <w:rsid w:val="008A5216"/>
    <w:rsid w:val="008A554C"/>
    <w:rsid w:val="008A599C"/>
    <w:rsid w:val="008A5E01"/>
    <w:rsid w:val="008A608A"/>
    <w:rsid w:val="008A6649"/>
    <w:rsid w:val="008A73C2"/>
    <w:rsid w:val="008A7C94"/>
    <w:rsid w:val="008B0666"/>
    <w:rsid w:val="008B1F25"/>
    <w:rsid w:val="008B2E30"/>
    <w:rsid w:val="008B3C03"/>
    <w:rsid w:val="008B43FA"/>
    <w:rsid w:val="008B4762"/>
    <w:rsid w:val="008B493E"/>
    <w:rsid w:val="008B4DC3"/>
    <w:rsid w:val="008B4E85"/>
    <w:rsid w:val="008B54EC"/>
    <w:rsid w:val="008B5BDD"/>
    <w:rsid w:val="008B6371"/>
    <w:rsid w:val="008C00EE"/>
    <w:rsid w:val="008C0318"/>
    <w:rsid w:val="008C03A8"/>
    <w:rsid w:val="008C070D"/>
    <w:rsid w:val="008C08BA"/>
    <w:rsid w:val="008C1613"/>
    <w:rsid w:val="008C16EC"/>
    <w:rsid w:val="008C1B7C"/>
    <w:rsid w:val="008C1C4A"/>
    <w:rsid w:val="008C277D"/>
    <w:rsid w:val="008C2B4A"/>
    <w:rsid w:val="008C3671"/>
    <w:rsid w:val="008C4637"/>
    <w:rsid w:val="008C4C0B"/>
    <w:rsid w:val="008C520C"/>
    <w:rsid w:val="008C6676"/>
    <w:rsid w:val="008C6F43"/>
    <w:rsid w:val="008C7423"/>
    <w:rsid w:val="008C76F2"/>
    <w:rsid w:val="008D0727"/>
    <w:rsid w:val="008D0AE4"/>
    <w:rsid w:val="008D1333"/>
    <w:rsid w:val="008D24A3"/>
    <w:rsid w:val="008D258D"/>
    <w:rsid w:val="008D2829"/>
    <w:rsid w:val="008D2ABC"/>
    <w:rsid w:val="008D319A"/>
    <w:rsid w:val="008D44C1"/>
    <w:rsid w:val="008D4702"/>
    <w:rsid w:val="008D4797"/>
    <w:rsid w:val="008D4A6E"/>
    <w:rsid w:val="008D4FA9"/>
    <w:rsid w:val="008D62FC"/>
    <w:rsid w:val="008D6358"/>
    <w:rsid w:val="008D66D6"/>
    <w:rsid w:val="008D6844"/>
    <w:rsid w:val="008E027F"/>
    <w:rsid w:val="008E03FC"/>
    <w:rsid w:val="008E04CD"/>
    <w:rsid w:val="008E0BEA"/>
    <w:rsid w:val="008E0FD9"/>
    <w:rsid w:val="008E1333"/>
    <w:rsid w:val="008E2DB2"/>
    <w:rsid w:val="008E2E06"/>
    <w:rsid w:val="008E3DF8"/>
    <w:rsid w:val="008E635E"/>
    <w:rsid w:val="008E6E43"/>
    <w:rsid w:val="008E7157"/>
    <w:rsid w:val="008E7982"/>
    <w:rsid w:val="008E7C33"/>
    <w:rsid w:val="008F0288"/>
    <w:rsid w:val="008F0513"/>
    <w:rsid w:val="008F0606"/>
    <w:rsid w:val="008F08F8"/>
    <w:rsid w:val="008F2155"/>
    <w:rsid w:val="008F21B8"/>
    <w:rsid w:val="008F2C91"/>
    <w:rsid w:val="008F30D5"/>
    <w:rsid w:val="008F31C5"/>
    <w:rsid w:val="008F4C99"/>
    <w:rsid w:val="008F525A"/>
    <w:rsid w:val="008F5E03"/>
    <w:rsid w:val="008F5E49"/>
    <w:rsid w:val="008F7F03"/>
    <w:rsid w:val="008F7F7D"/>
    <w:rsid w:val="0090055E"/>
    <w:rsid w:val="009005E5"/>
    <w:rsid w:val="00900E91"/>
    <w:rsid w:val="00901420"/>
    <w:rsid w:val="0090301D"/>
    <w:rsid w:val="00903EED"/>
    <w:rsid w:val="00904F26"/>
    <w:rsid w:val="00904F2B"/>
    <w:rsid w:val="00905949"/>
    <w:rsid w:val="00906600"/>
    <w:rsid w:val="0090691B"/>
    <w:rsid w:val="00906CB1"/>
    <w:rsid w:val="00907C84"/>
    <w:rsid w:val="0091010C"/>
    <w:rsid w:val="0091057E"/>
    <w:rsid w:val="009105E9"/>
    <w:rsid w:val="0091071B"/>
    <w:rsid w:val="00910F09"/>
    <w:rsid w:val="0091159F"/>
    <w:rsid w:val="00911A69"/>
    <w:rsid w:val="00912A2D"/>
    <w:rsid w:val="0091561E"/>
    <w:rsid w:val="0091576A"/>
    <w:rsid w:val="00915954"/>
    <w:rsid w:val="00915B59"/>
    <w:rsid w:val="00915CA1"/>
    <w:rsid w:val="00916A2F"/>
    <w:rsid w:val="00916C13"/>
    <w:rsid w:val="00917180"/>
    <w:rsid w:val="009171A3"/>
    <w:rsid w:val="00917294"/>
    <w:rsid w:val="0091772E"/>
    <w:rsid w:val="00917872"/>
    <w:rsid w:val="00917D59"/>
    <w:rsid w:val="00920571"/>
    <w:rsid w:val="009205F1"/>
    <w:rsid w:val="00920BB0"/>
    <w:rsid w:val="00921A5C"/>
    <w:rsid w:val="00921CA8"/>
    <w:rsid w:val="00922139"/>
    <w:rsid w:val="00922843"/>
    <w:rsid w:val="00922B4F"/>
    <w:rsid w:val="00922E44"/>
    <w:rsid w:val="0092319F"/>
    <w:rsid w:val="00923290"/>
    <w:rsid w:val="009237E3"/>
    <w:rsid w:val="009241B4"/>
    <w:rsid w:val="0092450A"/>
    <w:rsid w:val="0092501D"/>
    <w:rsid w:val="00925177"/>
    <w:rsid w:val="0092523C"/>
    <w:rsid w:val="00925A32"/>
    <w:rsid w:val="00925B23"/>
    <w:rsid w:val="00925E29"/>
    <w:rsid w:val="00926061"/>
    <w:rsid w:val="00926644"/>
    <w:rsid w:val="009273D4"/>
    <w:rsid w:val="00930084"/>
    <w:rsid w:val="009316A8"/>
    <w:rsid w:val="009318F6"/>
    <w:rsid w:val="0093286A"/>
    <w:rsid w:val="00932F52"/>
    <w:rsid w:val="00933093"/>
    <w:rsid w:val="009336CF"/>
    <w:rsid w:val="0093489A"/>
    <w:rsid w:val="0093698C"/>
    <w:rsid w:val="0093715A"/>
    <w:rsid w:val="0093765D"/>
    <w:rsid w:val="009400FF"/>
    <w:rsid w:val="009405F9"/>
    <w:rsid w:val="00942028"/>
    <w:rsid w:val="0094276D"/>
    <w:rsid w:val="0094365B"/>
    <w:rsid w:val="00943EDB"/>
    <w:rsid w:val="00944251"/>
    <w:rsid w:val="0094492A"/>
    <w:rsid w:val="00944A4A"/>
    <w:rsid w:val="00945365"/>
    <w:rsid w:val="00945CFF"/>
    <w:rsid w:val="00946392"/>
    <w:rsid w:val="00947118"/>
    <w:rsid w:val="00947BCA"/>
    <w:rsid w:val="00947CFA"/>
    <w:rsid w:val="00947EA8"/>
    <w:rsid w:val="0095025F"/>
    <w:rsid w:val="0095189C"/>
    <w:rsid w:val="009518FB"/>
    <w:rsid w:val="00951E46"/>
    <w:rsid w:val="0095238E"/>
    <w:rsid w:val="00952B46"/>
    <w:rsid w:val="0095406A"/>
    <w:rsid w:val="009543B1"/>
    <w:rsid w:val="00954576"/>
    <w:rsid w:val="00954DD0"/>
    <w:rsid w:val="00955622"/>
    <w:rsid w:val="009558C0"/>
    <w:rsid w:val="00955B47"/>
    <w:rsid w:val="0095708E"/>
    <w:rsid w:val="009574DE"/>
    <w:rsid w:val="00957BC8"/>
    <w:rsid w:val="00957D96"/>
    <w:rsid w:val="009602CF"/>
    <w:rsid w:val="009608AE"/>
    <w:rsid w:val="00960D91"/>
    <w:rsid w:val="009617F7"/>
    <w:rsid w:val="009624F8"/>
    <w:rsid w:val="009626F5"/>
    <w:rsid w:val="0096287B"/>
    <w:rsid w:val="00962F4D"/>
    <w:rsid w:val="0096380F"/>
    <w:rsid w:val="00963ADE"/>
    <w:rsid w:val="00966456"/>
    <w:rsid w:val="00966935"/>
    <w:rsid w:val="00967059"/>
    <w:rsid w:val="00967227"/>
    <w:rsid w:val="009674E2"/>
    <w:rsid w:val="00967589"/>
    <w:rsid w:val="00967851"/>
    <w:rsid w:val="009707DD"/>
    <w:rsid w:val="00970BA9"/>
    <w:rsid w:val="009725B5"/>
    <w:rsid w:val="00973D1B"/>
    <w:rsid w:val="0097404B"/>
    <w:rsid w:val="00974CE8"/>
    <w:rsid w:val="00974DFE"/>
    <w:rsid w:val="00974EDD"/>
    <w:rsid w:val="00975512"/>
    <w:rsid w:val="009758CD"/>
    <w:rsid w:val="00976D28"/>
    <w:rsid w:val="009771A5"/>
    <w:rsid w:val="00977236"/>
    <w:rsid w:val="00977A58"/>
    <w:rsid w:val="00977FE6"/>
    <w:rsid w:val="0098084C"/>
    <w:rsid w:val="00980BBA"/>
    <w:rsid w:val="0098115A"/>
    <w:rsid w:val="00983053"/>
    <w:rsid w:val="00983400"/>
    <w:rsid w:val="00983669"/>
    <w:rsid w:val="00984762"/>
    <w:rsid w:val="009847EA"/>
    <w:rsid w:val="00984A3D"/>
    <w:rsid w:val="00984B60"/>
    <w:rsid w:val="00984E41"/>
    <w:rsid w:val="009851F8"/>
    <w:rsid w:val="009860FD"/>
    <w:rsid w:val="00986431"/>
    <w:rsid w:val="0098692C"/>
    <w:rsid w:val="00986D58"/>
    <w:rsid w:val="00986E74"/>
    <w:rsid w:val="00986EEF"/>
    <w:rsid w:val="00986F80"/>
    <w:rsid w:val="00986F86"/>
    <w:rsid w:val="009873FF"/>
    <w:rsid w:val="00987BA8"/>
    <w:rsid w:val="00987EFC"/>
    <w:rsid w:val="00990D60"/>
    <w:rsid w:val="00990E4D"/>
    <w:rsid w:val="00990F9E"/>
    <w:rsid w:val="00991C61"/>
    <w:rsid w:val="00992C8C"/>
    <w:rsid w:val="009931A5"/>
    <w:rsid w:val="00993F39"/>
    <w:rsid w:val="0099403A"/>
    <w:rsid w:val="00994733"/>
    <w:rsid w:val="0099474E"/>
    <w:rsid w:val="0099557C"/>
    <w:rsid w:val="00995F3A"/>
    <w:rsid w:val="00996430"/>
    <w:rsid w:val="009965E8"/>
    <w:rsid w:val="00997B31"/>
    <w:rsid w:val="009A0177"/>
    <w:rsid w:val="009A0689"/>
    <w:rsid w:val="009A1B80"/>
    <w:rsid w:val="009A20D2"/>
    <w:rsid w:val="009A2BAE"/>
    <w:rsid w:val="009A2E9A"/>
    <w:rsid w:val="009A2F16"/>
    <w:rsid w:val="009A31E6"/>
    <w:rsid w:val="009A35C3"/>
    <w:rsid w:val="009A3B72"/>
    <w:rsid w:val="009A4B11"/>
    <w:rsid w:val="009A4BCD"/>
    <w:rsid w:val="009A4C33"/>
    <w:rsid w:val="009A5188"/>
    <w:rsid w:val="009A55CD"/>
    <w:rsid w:val="009A5924"/>
    <w:rsid w:val="009A5ABE"/>
    <w:rsid w:val="009A61A4"/>
    <w:rsid w:val="009B05B9"/>
    <w:rsid w:val="009B0D30"/>
    <w:rsid w:val="009B13CB"/>
    <w:rsid w:val="009B1960"/>
    <w:rsid w:val="009B2984"/>
    <w:rsid w:val="009B2A57"/>
    <w:rsid w:val="009B3579"/>
    <w:rsid w:val="009B43C0"/>
    <w:rsid w:val="009B4657"/>
    <w:rsid w:val="009B50B4"/>
    <w:rsid w:val="009B5EC2"/>
    <w:rsid w:val="009B6544"/>
    <w:rsid w:val="009B709A"/>
    <w:rsid w:val="009C03FA"/>
    <w:rsid w:val="009C1CE8"/>
    <w:rsid w:val="009C25E5"/>
    <w:rsid w:val="009C2CFC"/>
    <w:rsid w:val="009C3AAB"/>
    <w:rsid w:val="009C4139"/>
    <w:rsid w:val="009C47E5"/>
    <w:rsid w:val="009C4EA1"/>
    <w:rsid w:val="009C51BF"/>
    <w:rsid w:val="009C54F8"/>
    <w:rsid w:val="009C587D"/>
    <w:rsid w:val="009C6A65"/>
    <w:rsid w:val="009C6C94"/>
    <w:rsid w:val="009C6D84"/>
    <w:rsid w:val="009C74FA"/>
    <w:rsid w:val="009C7D59"/>
    <w:rsid w:val="009D0022"/>
    <w:rsid w:val="009D0DA4"/>
    <w:rsid w:val="009D18D2"/>
    <w:rsid w:val="009D18EA"/>
    <w:rsid w:val="009D1923"/>
    <w:rsid w:val="009D24EB"/>
    <w:rsid w:val="009D2AE5"/>
    <w:rsid w:val="009D3F21"/>
    <w:rsid w:val="009D4054"/>
    <w:rsid w:val="009D46FD"/>
    <w:rsid w:val="009D4A10"/>
    <w:rsid w:val="009D4BF9"/>
    <w:rsid w:val="009D4C84"/>
    <w:rsid w:val="009D4C97"/>
    <w:rsid w:val="009D5044"/>
    <w:rsid w:val="009D5F70"/>
    <w:rsid w:val="009D5FDA"/>
    <w:rsid w:val="009D67D9"/>
    <w:rsid w:val="009D6B95"/>
    <w:rsid w:val="009D74E8"/>
    <w:rsid w:val="009E0512"/>
    <w:rsid w:val="009E1AB8"/>
    <w:rsid w:val="009E200F"/>
    <w:rsid w:val="009E25D4"/>
    <w:rsid w:val="009E2991"/>
    <w:rsid w:val="009E2FEE"/>
    <w:rsid w:val="009E3249"/>
    <w:rsid w:val="009E34DF"/>
    <w:rsid w:val="009E3918"/>
    <w:rsid w:val="009E49DF"/>
    <w:rsid w:val="009E4F9F"/>
    <w:rsid w:val="009E5641"/>
    <w:rsid w:val="009E5AF3"/>
    <w:rsid w:val="009E5EC3"/>
    <w:rsid w:val="009E6552"/>
    <w:rsid w:val="009E65DD"/>
    <w:rsid w:val="009E6B77"/>
    <w:rsid w:val="009E6D2A"/>
    <w:rsid w:val="009E76F4"/>
    <w:rsid w:val="009E7BBD"/>
    <w:rsid w:val="009F1D17"/>
    <w:rsid w:val="009F21BB"/>
    <w:rsid w:val="009F2259"/>
    <w:rsid w:val="009F313C"/>
    <w:rsid w:val="009F3250"/>
    <w:rsid w:val="009F42A6"/>
    <w:rsid w:val="009F4A65"/>
    <w:rsid w:val="009F4B17"/>
    <w:rsid w:val="009F6221"/>
    <w:rsid w:val="009F698A"/>
    <w:rsid w:val="009F715F"/>
    <w:rsid w:val="00A004FD"/>
    <w:rsid w:val="00A0056C"/>
    <w:rsid w:val="00A014CC"/>
    <w:rsid w:val="00A0193A"/>
    <w:rsid w:val="00A01B6B"/>
    <w:rsid w:val="00A0227B"/>
    <w:rsid w:val="00A02924"/>
    <w:rsid w:val="00A02DB0"/>
    <w:rsid w:val="00A02F50"/>
    <w:rsid w:val="00A02F88"/>
    <w:rsid w:val="00A02FB6"/>
    <w:rsid w:val="00A0372A"/>
    <w:rsid w:val="00A05120"/>
    <w:rsid w:val="00A05148"/>
    <w:rsid w:val="00A05B15"/>
    <w:rsid w:val="00A064D7"/>
    <w:rsid w:val="00A07C2B"/>
    <w:rsid w:val="00A1069A"/>
    <w:rsid w:val="00A1090F"/>
    <w:rsid w:val="00A10AC6"/>
    <w:rsid w:val="00A10C6F"/>
    <w:rsid w:val="00A11095"/>
    <w:rsid w:val="00A12267"/>
    <w:rsid w:val="00A128AF"/>
    <w:rsid w:val="00A13C00"/>
    <w:rsid w:val="00A147AF"/>
    <w:rsid w:val="00A14C96"/>
    <w:rsid w:val="00A14CDC"/>
    <w:rsid w:val="00A14F87"/>
    <w:rsid w:val="00A155EF"/>
    <w:rsid w:val="00A15D4C"/>
    <w:rsid w:val="00A15D8B"/>
    <w:rsid w:val="00A16536"/>
    <w:rsid w:val="00A16660"/>
    <w:rsid w:val="00A20689"/>
    <w:rsid w:val="00A20A2E"/>
    <w:rsid w:val="00A219D5"/>
    <w:rsid w:val="00A22A9F"/>
    <w:rsid w:val="00A22E88"/>
    <w:rsid w:val="00A22F09"/>
    <w:rsid w:val="00A237AB"/>
    <w:rsid w:val="00A23962"/>
    <w:rsid w:val="00A23D6D"/>
    <w:rsid w:val="00A2493A"/>
    <w:rsid w:val="00A24A8B"/>
    <w:rsid w:val="00A254FF"/>
    <w:rsid w:val="00A2558F"/>
    <w:rsid w:val="00A25D38"/>
    <w:rsid w:val="00A2601E"/>
    <w:rsid w:val="00A26614"/>
    <w:rsid w:val="00A27159"/>
    <w:rsid w:val="00A2742A"/>
    <w:rsid w:val="00A30028"/>
    <w:rsid w:val="00A30697"/>
    <w:rsid w:val="00A32F4C"/>
    <w:rsid w:val="00A34E21"/>
    <w:rsid w:val="00A363B2"/>
    <w:rsid w:val="00A36F5A"/>
    <w:rsid w:val="00A37CB3"/>
    <w:rsid w:val="00A37D42"/>
    <w:rsid w:val="00A40847"/>
    <w:rsid w:val="00A40A95"/>
    <w:rsid w:val="00A41438"/>
    <w:rsid w:val="00A425DD"/>
    <w:rsid w:val="00A429A3"/>
    <w:rsid w:val="00A448EA"/>
    <w:rsid w:val="00A44DC1"/>
    <w:rsid w:val="00A44FB1"/>
    <w:rsid w:val="00A450F2"/>
    <w:rsid w:val="00A46840"/>
    <w:rsid w:val="00A46B1B"/>
    <w:rsid w:val="00A46BE5"/>
    <w:rsid w:val="00A46E3B"/>
    <w:rsid w:val="00A474C2"/>
    <w:rsid w:val="00A51E91"/>
    <w:rsid w:val="00A543A7"/>
    <w:rsid w:val="00A562DA"/>
    <w:rsid w:val="00A5648B"/>
    <w:rsid w:val="00A56ED6"/>
    <w:rsid w:val="00A57050"/>
    <w:rsid w:val="00A61044"/>
    <w:rsid w:val="00A61CF8"/>
    <w:rsid w:val="00A629C7"/>
    <w:rsid w:val="00A62F40"/>
    <w:rsid w:val="00A637DF"/>
    <w:rsid w:val="00A641B5"/>
    <w:rsid w:val="00A6432D"/>
    <w:rsid w:val="00A645D4"/>
    <w:rsid w:val="00A648DF"/>
    <w:rsid w:val="00A65F33"/>
    <w:rsid w:val="00A66450"/>
    <w:rsid w:val="00A66BFF"/>
    <w:rsid w:val="00A67B28"/>
    <w:rsid w:val="00A67D4F"/>
    <w:rsid w:val="00A7149A"/>
    <w:rsid w:val="00A716DC"/>
    <w:rsid w:val="00A7218E"/>
    <w:rsid w:val="00A722B4"/>
    <w:rsid w:val="00A738B1"/>
    <w:rsid w:val="00A73AC8"/>
    <w:rsid w:val="00A73C8D"/>
    <w:rsid w:val="00A74391"/>
    <w:rsid w:val="00A7466C"/>
    <w:rsid w:val="00A7472D"/>
    <w:rsid w:val="00A748D2"/>
    <w:rsid w:val="00A75848"/>
    <w:rsid w:val="00A76987"/>
    <w:rsid w:val="00A76D1D"/>
    <w:rsid w:val="00A77092"/>
    <w:rsid w:val="00A773DE"/>
    <w:rsid w:val="00A77D67"/>
    <w:rsid w:val="00A77E88"/>
    <w:rsid w:val="00A80986"/>
    <w:rsid w:val="00A80A5C"/>
    <w:rsid w:val="00A80B72"/>
    <w:rsid w:val="00A80D9B"/>
    <w:rsid w:val="00A81B52"/>
    <w:rsid w:val="00A825B6"/>
    <w:rsid w:val="00A82733"/>
    <w:rsid w:val="00A82CAF"/>
    <w:rsid w:val="00A82FA7"/>
    <w:rsid w:val="00A82FD7"/>
    <w:rsid w:val="00A836E0"/>
    <w:rsid w:val="00A845D8"/>
    <w:rsid w:val="00A8469B"/>
    <w:rsid w:val="00A84781"/>
    <w:rsid w:val="00A84CF9"/>
    <w:rsid w:val="00A85958"/>
    <w:rsid w:val="00A85ADF"/>
    <w:rsid w:val="00A85BF4"/>
    <w:rsid w:val="00A85C7E"/>
    <w:rsid w:val="00A85F4C"/>
    <w:rsid w:val="00A86226"/>
    <w:rsid w:val="00A862FB"/>
    <w:rsid w:val="00A87B53"/>
    <w:rsid w:val="00A90029"/>
    <w:rsid w:val="00A9018F"/>
    <w:rsid w:val="00A9081C"/>
    <w:rsid w:val="00A91324"/>
    <w:rsid w:val="00A915A9"/>
    <w:rsid w:val="00A91B8C"/>
    <w:rsid w:val="00A92404"/>
    <w:rsid w:val="00A926D2"/>
    <w:rsid w:val="00A9378A"/>
    <w:rsid w:val="00A93E33"/>
    <w:rsid w:val="00A948C0"/>
    <w:rsid w:val="00A950A7"/>
    <w:rsid w:val="00A96072"/>
    <w:rsid w:val="00A967F7"/>
    <w:rsid w:val="00AA0D1C"/>
    <w:rsid w:val="00AA0DA4"/>
    <w:rsid w:val="00AA22CE"/>
    <w:rsid w:val="00AA26EC"/>
    <w:rsid w:val="00AA3B7F"/>
    <w:rsid w:val="00AA3CDC"/>
    <w:rsid w:val="00AA50A4"/>
    <w:rsid w:val="00AA522D"/>
    <w:rsid w:val="00AA5CAD"/>
    <w:rsid w:val="00AA682A"/>
    <w:rsid w:val="00AA6E0A"/>
    <w:rsid w:val="00AA7D73"/>
    <w:rsid w:val="00AB0393"/>
    <w:rsid w:val="00AB1351"/>
    <w:rsid w:val="00AB1F8C"/>
    <w:rsid w:val="00AB2589"/>
    <w:rsid w:val="00AB2958"/>
    <w:rsid w:val="00AB31EF"/>
    <w:rsid w:val="00AB393C"/>
    <w:rsid w:val="00AB3F44"/>
    <w:rsid w:val="00AB5294"/>
    <w:rsid w:val="00AB7CF6"/>
    <w:rsid w:val="00AB7D90"/>
    <w:rsid w:val="00AC049B"/>
    <w:rsid w:val="00AC109B"/>
    <w:rsid w:val="00AC11B4"/>
    <w:rsid w:val="00AC33E0"/>
    <w:rsid w:val="00AC40A9"/>
    <w:rsid w:val="00AC4265"/>
    <w:rsid w:val="00AC4ADF"/>
    <w:rsid w:val="00AC5311"/>
    <w:rsid w:val="00AC5A8C"/>
    <w:rsid w:val="00AC5EBA"/>
    <w:rsid w:val="00AC63DB"/>
    <w:rsid w:val="00AC6999"/>
    <w:rsid w:val="00AC6D2B"/>
    <w:rsid w:val="00AC6E64"/>
    <w:rsid w:val="00AC7385"/>
    <w:rsid w:val="00AC747B"/>
    <w:rsid w:val="00AD0175"/>
    <w:rsid w:val="00AD02B6"/>
    <w:rsid w:val="00AD066A"/>
    <w:rsid w:val="00AD1195"/>
    <w:rsid w:val="00AD1959"/>
    <w:rsid w:val="00AD2383"/>
    <w:rsid w:val="00AD2BF2"/>
    <w:rsid w:val="00AD2F98"/>
    <w:rsid w:val="00AD3269"/>
    <w:rsid w:val="00AD3359"/>
    <w:rsid w:val="00AD3E5D"/>
    <w:rsid w:val="00AD52B5"/>
    <w:rsid w:val="00AD5379"/>
    <w:rsid w:val="00AD5807"/>
    <w:rsid w:val="00AD588A"/>
    <w:rsid w:val="00AD627F"/>
    <w:rsid w:val="00AD6430"/>
    <w:rsid w:val="00AD699D"/>
    <w:rsid w:val="00AD6A39"/>
    <w:rsid w:val="00AD6E8A"/>
    <w:rsid w:val="00AD7365"/>
    <w:rsid w:val="00AD77A3"/>
    <w:rsid w:val="00AE01A8"/>
    <w:rsid w:val="00AE0B6E"/>
    <w:rsid w:val="00AE0BB0"/>
    <w:rsid w:val="00AE1A30"/>
    <w:rsid w:val="00AE2797"/>
    <w:rsid w:val="00AE2ADB"/>
    <w:rsid w:val="00AE361D"/>
    <w:rsid w:val="00AE460F"/>
    <w:rsid w:val="00AE5278"/>
    <w:rsid w:val="00AE59DC"/>
    <w:rsid w:val="00AE708E"/>
    <w:rsid w:val="00AF0117"/>
    <w:rsid w:val="00AF0336"/>
    <w:rsid w:val="00AF0E43"/>
    <w:rsid w:val="00AF12D4"/>
    <w:rsid w:val="00AF167A"/>
    <w:rsid w:val="00AF1E09"/>
    <w:rsid w:val="00AF24F6"/>
    <w:rsid w:val="00AF2696"/>
    <w:rsid w:val="00AF2EAA"/>
    <w:rsid w:val="00AF37C5"/>
    <w:rsid w:val="00AF3FB7"/>
    <w:rsid w:val="00AF4620"/>
    <w:rsid w:val="00AF4B8B"/>
    <w:rsid w:val="00AF518A"/>
    <w:rsid w:val="00AF5546"/>
    <w:rsid w:val="00AF561B"/>
    <w:rsid w:val="00AF5650"/>
    <w:rsid w:val="00AF64D7"/>
    <w:rsid w:val="00AF7CD1"/>
    <w:rsid w:val="00AF7D28"/>
    <w:rsid w:val="00B01679"/>
    <w:rsid w:val="00B01D34"/>
    <w:rsid w:val="00B0287B"/>
    <w:rsid w:val="00B03F87"/>
    <w:rsid w:val="00B056CA"/>
    <w:rsid w:val="00B05A5A"/>
    <w:rsid w:val="00B072A6"/>
    <w:rsid w:val="00B07BD4"/>
    <w:rsid w:val="00B100A9"/>
    <w:rsid w:val="00B10936"/>
    <w:rsid w:val="00B10DBA"/>
    <w:rsid w:val="00B11275"/>
    <w:rsid w:val="00B1372D"/>
    <w:rsid w:val="00B13CC0"/>
    <w:rsid w:val="00B14BEB"/>
    <w:rsid w:val="00B14F66"/>
    <w:rsid w:val="00B152AE"/>
    <w:rsid w:val="00B15456"/>
    <w:rsid w:val="00B15A9B"/>
    <w:rsid w:val="00B1621D"/>
    <w:rsid w:val="00B16606"/>
    <w:rsid w:val="00B16646"/>
    <w:rsid w:val="00B16DA1"/>
    <w:rsid w:val="00B16F33"/>
    <w:rsid w:val="00B170F9"/>
    <w:rsid w:val="00B175E7"/>
    <w:rsid w:val="00B17F85"/>
    <w:rsid w:val="00B20ED8"/>
    <w:rsid w:val="00B2157C"/>
    <w:rsid w:val="00B222CB"/>
    <w:rsid w:val="00B22542"/>
    <w:rsid w:val="00B2281D"/>
    <w:rsid w:val="00B22CA6"/>
    <w:rsid w:val="00B22E5C"/>
    <w:rsid w:val="00B23E8E"/>
    <w:rsid w:val="00B23FE6"/>
    <w:rsid w:val="00B24015"/>
    <w:rsid w:val="00B24945"/>
    <w:rsid w:val="00B25882"/>
    <w:rsid w:val="00B258FE"/>
    <w:rsid w:val="00B25D33"/>
    <w:rsid w:val="00B2798F"/>
    <w:rsid w:val="00B31704"/>
    <w:rsid w:val="00B31B6B"/>
    <w:rsid w:val="00B32121"/>
    <w:rsid w:val="00B330DF"/>
    <w:rsid w:val="00B331C2"/>
    <w:rsid w:val="00B336EE"/>
    <w:rsid w:val="00B338BC"/>
    <w:rsid w:val="00B33A97"/>
    <w:rsid w:val="00B34660"/>
    <w:rsid w:val="00B35779"/>
    <w:rsid w:val="00B35872"/>
    <w:rsid w:val="00B35B38"/>
    <w:rsid w:val="00B35CE2"/>
    <w:rsid w:val="00B363BA"/>
    <w:rsid w:val="00B36596"/>
    <w:rsid w:val="00B36C3C"/>
    <w:rsid w:val="00B36CEB"/>
    <w:rsid w:val="00B40535"/>
    <w:rsid w:val="00B40F6A"/>
    <w:rsid w:val="00B415F3"/>
    <w:rsid w:val="00B41633"/>
    <w:rsid w:val="00B419C6"/>
    <w:rsid w:val="00B419CB"/>
    <w:rsid w:val="00B41C7F"/>
    <w:rsid w:val="00B41F44"/>
    <w:rsid w:val="00B42BF0"/>
    <w:rsid w:val="00B42E42"/>
    <w:rsid w:val="00B44A5E"/>
    <w:rsid w:val="00B450A8"/>
    <w:rsid w:val="00B4519D"/>
    <w:rsid w:val="00B45808"/>
    <w:rsid w:val="00B45AC7"/>
    <w:rsid w:val="00B45AD2"/>
    <w:rsid w:val="00B45B70"/>
    <w:rsid w:val="00B464FA"/>
    <w:rsid w:val="00B46E34"/>
    <w:rsid w:val="00B47743"/>
    <w:rsid w:val="00B50306"/>
    <w:rsid w:val="00B5031E"/>
    <w:rsid w:val="00B50BEF"/>
    <w:rsid w:val="00B50BFE"/>
    <w:rsid w:val="00B51849"/>
    <w:rsid w:val="00B51BAC"/>
    <w:rsid w:val="00B5284F"/>
    <w:rsid w:val="00B53A30"/>
    <w:rsid w:val="00B5479A"/>
    <w:rsid w:val="00B54BA8"/>
    <w:rsid w:val="00B54CFA"/>
    <w:rsid w:val="00B54F1B"/>
    <w:rsid w:val="00B55043"/>
    <w:rsid w:val="00B5546A"/>
    <w:rsid w:val="00B56724"/>
    <w:rsid w:val="00B56B1D"/>
    <w:rsid w:val="00B609DE"/>
    <w:rsid w:val="00B60C6B"/>
    <w:rsid w:val="00B61DCE"/>
    <w:rsid w:val="00B6221C"/>
    <w:rsid w:val="00B62469"/>
    <w:rsid w:val="00B6283D"/>
    <w:rsid w:val="00B634B5"/>
    <w:rsid w:val="00B63871"/>
    <w:rsid w:val="00B63D4D"/>
    <w:rsid w:val="00B64615"/>
    <w:rsid w:val="00B64A61"/>
    <w:rsid w:val="00B64B6C"/>
    <w:rsid w:val="00B64BAD"/>
    <w:rsid w:val="00B64F35"/>
    <w:rsid w:val="00B652D3"/>
    <w:rsid w:val="00B65BEB"/>
    <w:rsid w:val="00B66B7E"/>
    <w:rsid w:val="00B66DDC"/>
    <w:rsid w:val="00B676A5"/>
    <w:rsid w:val="00B703CB"/>
    <w:rsid w:val="00B7086A"/>
    <w:rsid w:val="00B71434"/>
    <w:rsid w:val="00B71864"/>
    <w:rsid w:val="00B71C11"/>
    <w:rsid w:val="00B728FF"/>
    <w:rsid w:val="00B7352C"/>
    <w:rsid w:val="00B7595B"/>
    <w:rsid w:val="00B75A17"/>
    <w:rsid w:val="00B75A2C"/>
    <w:rsid w:val="00B75FFF"/>
    <w:rsid w:val="00B769CC"/>
    <w:rsid w:val="00B76ADB"/>
    <w:rsid w:val="00B7708D"/>
    <w:rsid w:val="00B77C3C"/>
    <w:rsid w:val="00B77CD8"/>
    <w:rsid w:val="00B80464"/>
    <w:rsid w:val="00B8052A"/>
    <w:rsid w:val="00B8077C"/>
    <w:rsid w:val="00B80C95"/>
    <w:rsid w:val="00B81C33"/>
    <w:rsid w:val="00B81C4B"/>
    <w:rsid w:val="00B823B8"/>
    <w:rsid w:val="00B82502"/>
    <w:rsid w:val="00B82ADF"/>
    <w:rsid w:val="00B83B1C"/>
    <w:rsid w:val="00B84098"/>
    <w:rsid w:val="00B840DF"/>
    <w:rsid w:val="00B84C01"/>
    <w:rsid w:val="00B8514A"/>
    <w:rsid w:val="00B85489"/>
    <w:rsid w:val="00B86192"/>
    <w:rsid w:val="00B86691"/>
    <w:rsid w:val="00B8696F"/>
    <w:rsid w:val="00B86A52"/>
    <w:rsid w:val="00B86A9E"/>
    <w:rsid w:val="00B876DC"/>
    <w:rsid w:val="00B90A20"/>
    <w:rsid w:val="00B91340"/>
    <w:rsid w:val="00B91397"/>
    <w:rsid w:val="00B91DED"/>
    <w:rsid w:val="00B921F6"/>
    <w:rsid w:val="00B92303"/>
    <w:rsid w:val="00B928F7"/>
    <w:rsid w:val="00B92A5C"/>
    <w:rsid w:val="00B92A77"/>
    <w:rsid w:val="00B93824"/>
    <w:rsid w:val="00B946A8"/>
    <w:rsid w:val="00B94ECC"/>
    <w:rsid w:val="00B95227"/>
    <w:rsid w:val="00B95CEA"/>
    <w:rsid w:val="00B95E83"/>
    <w:rsid w:val="00B96D27"/>
    <w:rsid w:val="00B973AE"/>
    <w:rsid w:val="00B97C8A"/>
    <w:rsid w:val="00BA07C2"/>
    <w:rsid w:val="00BA1CD5"/>
    <w:rsid w:val="00BA2515"/>
    <w:rsid w:val="00BA254B"/>
    <w:rsid w:val="00BA3C0B"/>
    <w:rsid w:val="00BA3ECF"/>
    <w:rsid w:val="00BA4C40"/>
    <w:rsid w:val="00BA5258"/>
    <w:rsid w:val="00BA5423"/>
    <w:rsid w:val="00BA557C"/>
    <w:rsid w:val="00BA72AA"/>
    <w:rsid w:val="00BA75B5"/>
    <w:rsid w:val="00BA7EA4"/>
    <w:rsid w:val="00BA7EE1"/>
    <w:rsid w:val="00BB02FB"/>
    <w:rsid w:val="00BB0F7D"/>
    <w:rsid w:val="00BB28BB"/>
    <w:rsid w:val="00BB3341"/>
    <w:rsid w:val="00BB340C"/>
    <w:rsid w:val="00BB3763"/>
    <w:rsid w:val="00BB453C"/>
    <w:rsid w:val="00BB47A9"/>
    <w:rsid w:val="00BB55C5"/>
    <w:rsid w:val="00BB6574"/>
    <w:rsid w:val="00BB6778"/>
    <w:rsid w:val="00BB6CC7"/>
    <w:rsid w:val="00BB71CC"/>
    <w:rsid w:val="00BB777B"/>
    <w:rsid w:val="00BB7807"/>
    <w:rsid w:val="00BB789D"/>
    <w:rsid w:val="00BB78C4"/>
    <w:rsid w:val="00BB7CBA"/>
    <w:rsid w:val="00BC0CE7"/>
    <w:rsid w:val="00BC0F3E"/>
    <w:rsid w:val="00BC1384"/>
    <w:rsid w:val="00BC29E4"/>
    <w:rsid w:val="00BC301C"/>
    <w:rsid w:val="00BC345D"/>
    <w:rsid w:val="00BC3532"/>
    <w:rsid w:val="00BC39EC"/>
    <w:rsid w:val="00BC4A48"/>
    <w:rsid w:val="00BC4D66"/>
    <w:rsid w:val="00BC50A6"/>
    <w:rsid w:val="00BC5B28"/>
    <w:rsid w:val="00BC5F18"/>
    <w:rsid w:val="00BC7663"/>
    <w:rsid w:val="00BC767E"/>
    <w:rsid w:val="00BC7ACB"/>
    <w:rsid w:val="00BD0638"/>
    <w:rsid w:val="00BD116A"/>
    <w:rsid w:val="00BD12C6"/>
    <w:rsid w:val="00BD2AD7"/>
    <w:rsid w:val="00BD2B70"/>
    <w:rsid w:val="00BD35A1"/>
    <w:rsid w:val="00BD4937"/>
    <w:rsid w:val="00BD5313"/>
    <w:rsid w:val="00BD6721"/>
    <w:rsid w:val="00BD7639"/>
    <w:rsid w:val="00BE04BA"/>
    <w:rsid w:val="00BE08B8"/>
    <w:rsid w:val="00BE1052"/>
    <w:rsid w:val="00BE1CE3"/>
    <w:rsid w:val="00BE236E"/>
    <w:rsid w:val="00BE2695"/>
    <w:rsid w:val="00BE49E8"/>
    <w:rsid w:val="00BE4BC4"/>
    <w:rsid w:val="00BE5C62"/>
    <w:rsid w:val="00BE6145"/>
    <w:rsid w:val="00BE693D"/>
    <w:rsid w:val="00BE786D"/>
    <w:rsid w:val="00BF1436"/>
    <w:rsid w:val="00BF23BF"/>
    <w:rsid w:val="00BF36CE"/>
    <w:rsid w:val="00BF4671"/>
    <w:rsid w:val="00BF4D35"/>
    <w:rsid w:val="00BF537A"/>
    <w:rsid w:val="00BF5E68"/>
    <w:rsid w:val="00BF6171"/>
    <w:rsid w:val="00BF74C9"/>
    <w:rsid w:val="00BF77B1"/>
    <w:rsid w:val="00BF7AB3"/>
    <w:rsid w:val="00BF7C87"/>
    <w:rsid w:val="00BF7D31"/>
    <w:rsid w:val="00C0017E"/>
    <w:rsid w:val="00C00457"/>
    <w:rsid w:val="00C01AC0"/>
    <w:rsid w:val="00C01B9B"/>
    <w:rsid w:val="00C01F6F"/>
    <w:rsid w:val="00C01F97"/>
    <w:rsid w:val="00C02940"/>
    <w:rsid w:val="00C039C8"/>
    <w:rsid w:val="00C04F35"/>
    <w:rsid w:val="00C05083"/>
    <w:rsid w:val="00C053A7"/>
    <w:rsid w:val="00C05F1D"/>
    <w:rsid w:val="00C06436"/>
    <w:rsid w:val="00C06584"/>
    <w:rsid w:val="00C07379"/>
    <w:rsid w:val="00C0787A"/>
    <w:rsid w:val="00C10287"/>
    <w:rsid w:val="00C1068D"/>
    <w:rsid w:val="00C1087A"/>
    <w:rsid w:val="00C1120C"/>
    <w:rsid w:val="00C113D3"/>
    <w:rsid w:val="00C117CF"/>
    <w:rsid w:val="00C11F3B"/>
    <w:rsid w:val="00C12032"/>
    <w:rsid w:val="00C12211"/>
    <w:rsid w:val="00C12566"/>
    <w:rsid w:val="00C12BFE"/>
    <w:rsid w:val="00C13338"/>
    <w:rsid w:val="00C135DC"/>
    <w:rsid w:val="00C14ECC"/>
    <w:rsid w:val="00C150D0"/>
    <w:rsid w:val="00C165AE"/>
    <w:rsid w:val="00C16E2A"/>
    <w:rsid w:val="00C1733C"/>
    <w:rsid w:val="00C17C36"/>
    <w:rsid w:val="00C17DA1"/>
    <w:rsid w:val="00C202BC"/>
    <w:rsid w:val="00C20759"/>
    <w:rsid w:val="00C20F03"/>
    <w:rsid w:val="00C20F14"/>
    <w:rsid w:val="00C20F8D"/>
    <w:rsid w:val="00C2192E"/>
    <w:rsid w:val="00C226D5"/>
    <w:rsid w:val="00C22BCA"/>
    <w:rsid w:val="00C22F9E"/>
    <w:rsid w:val="00C231C2"/>
    <w:rsid w:val="00C23CBB"/>
    <w:rsid w:val="00C23E66"/>
    <w:rsid w:val="00C24369"/>
    <w:rsid w:val="00C248E1"/>
    <w:rsid w:val="00C25AC8"/>
    <w:rsid w:val="00C25DCC"/>
    <w:rsid w:val="00C2623F"/>
    <w:rsid w:val="00C27556"/>
    <w:rsid w:val="00C276FA"/>
    <w:rsid w:val="00C27941"/>
    <w:rsid w:val="00C27ECC"/>
    <w:rsid w:val="00C27FCB"/>
    <w:rsid w:val="00C3009B"/>
    <w:rsid w:val="00C300C2"/>
    <w:rsid w:val="00C30F3B"/>
    <w:rsid w:val="00C310FF"/>
    <w:rsid w:val="00C31D04"/>
    <w:rsid w:val="00C320BB"/>
    <w:rsid w:val="00C331CA"/>
    <w:rsid w:val="00C33EF4"/>
    <w:rsid w:val="00C340A0"/>
    <w:rsid w:val="00C34327"/>
    <w:rsid w:val="00C34840"/>
    <w:rsid w:val="00C35752"/>
    <w:rsid w:val="00C35962"/>
    <w:rsid w:val="00C3629C"/>
    <w:rsid w:val="00C3708E"/>
    <w:rsid w:val="00C37D67"/>
    <w:rsid w:val="00C37D83"/>
    <w:rsid w:val="00C42102"/>
    <w:rsid w:val="00C43008"/>
    <w:rsid w:val="00C44809"/>
    <w:rsid w:val="00C44DEA"/>
    <w:rsid w:val="00C44E0D"/>
    <w:rsid w:val="00C455FE"/>
    <w:rsid w:val="00C4606B"/>
    <w:rsid w:val="00C4671C"/>
    <w:rsid w:val="00C47149"/>
    <w:rsid w:val="00C476F3"/>
    <w:rsid w:val="00C47BB4"/>
    <w:rsid w:val="00C500E3"/>
    <w:rsid w:val="00C50192"/>
    <w:rsid w:val="00C51512"/>
    <w:rsid w:val="00C51F0E"/>
    <w:rsid w:val="00C52AEB"/>
    <w:rsid w:val="00C52B91"/>
    <w:rsid w:val="00C52C26"/>
    <w:rsid w:val="00C54442"/>
    <w:rsid w:val="00C5497E"/>
    <w:rsid w:val="00C54B6F"/>
    <w:rsid w:val="00C55B86"/>
    <w:rsid w:val="00C5643F"/>
    <w:rsid w:val="00C5669E"/>
    <w:rsid w:val="00C575AA"/>
    <w:rsid w:val="00C577AF"/>
    <w:rsid w:val="00C577DA"/>
    <w:rsid w:val="00C57B08"/>
    <w:rsid w:val="00C57C4A"/>
    <w:rsid w:val="00C60A12"/>
    <w:rsid w:val="00C60CA9"/>
    <w:rsid w:val="00C60E4A"/>
    <w:rsid w:val="00C61AF4"/>
    <w:rsid w:val="00C621C5"/>
    <w:rsid w:val="00C62461"/>
    <w:rsid w:val="00C6275D"/>
    <w:rsid w:val="00C62C4C"/>
    <w:rsid w:val="00C63E26"/>
    <w:rsid w:val="00C6463C"/>
    <w:rsid w:val="00C65537"/>
    <w:rsid w:val="00C65854"/>
    <w:rsid w:val="00C66002"/>
    <w:rsid w:val="00C667CD"/>
    <w:rsid w:val="00C676F6"/>
    <w:rsid w:val="00C67ED0"/>
    <w:rsid w:val="00C7073E"/>
    <w:rsid w:val="00C70749"/>
    <w:rsid w:val="00C70B1A"/>
    <w:rsid w:val="00C70CCA"/>
    <w:rsid w:val="00C71088"/>
    <w:rsid w:val="00C72063"/>
    <w:rsid w:val="00C73235"/>
    <w:rsid w:val="00C73718"/>
    <w:rsid w:val="00C7411D"/>
    <w:rsid w:val="00C75B7F"/>
    <w:rsid w:val="00C761E7"/>
    <w:rsid w:val="00C766D0"/>
    <w:rsid w:val="00C767E2"/>
    <w:rsid w:val="00C77611"/>
    <w:rsid w:val="00C777E8"/>
    <w:rsid w:val="00C77C8B"/>
    <w:rsid w:val="00C8025D"/>
    <w:rsid w:val="00C80632"/>
    <w:rsid w:val="00C81195"/>
    <w:rsid w:val="00C82273"/>
    <w:rsid w:val="00C82762"/>
    <w:rsid w:val="00C82E2A"/>
    <w:rsid w:val="00C834D3"/>
    <w:rsid w:val="00C845DF"/>
    <w:rsid w:val="00C8493A"/>
    <w:rsid w:val="00C84B10"/>
    <w:rsid w:val="00C8530C"/>
    <w:rsid w:val="00C85548"/>
    <w:rsid w:val="00C85727"/>
    <w:rsid w:val="00C8681E"/>
    <w:rsid w:val="00C86DC6"/>
    <w:rsid w:val="00C86F24"/>
    <w:rsid w:val="00C87BD4"/>
    <w:rsid w:val="00C87E98"/>
    <w:rsid w:val="00C901A6"/>
    <w:rsid w:val="00C90696"/>
    <w:rsid w:val="00C9173F"/>
    <w:rsid w:val="00C9222E"/>
    <w:rsid w:val="00C9270B"/>
    <w:rsid w:val="00C92A78"/>
    <w:rsid w:val="00C92D91"/>
    <w:rsid w:val="00C92FDB"/>
    <w:rsid w:val="00C937D0"/>
    <w:rsid w:val="00C93BC6"/>
    <w:rsid w:val="00C93E89"/>
    <w:rsid w:val="00C94209"/>
    <w:rsid w:val="00C94EF6"/>
    <w:rsid w:val="00C950D9"/>
    <w:rsid w:val="00C956EC"/>
    <w:rsid w:val="00C95C15"/>
    <w:rsid w:val="00C95C43"/>
    <w:rsid w:val="00C95D51"/>
    <w:rsid w:val="00C9619C"/>
    <w:rsid w:val="00C9670C"/>
    <w:rsid w:val="00C9713A"/>
    <w:rsid w:val="00C97A86"/>
    <w:rsid w:val="00CA002D"/>
    <w:rsid w:val="00CA0B8E"/>
    <w:rsid w:val="00CA15D4"/>
    <w:rsid w:val="00CA23D5"/>
    <w:rsid w:val="00CA26AC"/>
    <w:rsid w:val="00CA3444"/>
    <w:rsid w:val="00CA39EC"/>
    <w:rsid w:val="00CA471F"/>
    <w:rsid w:val="00CA68E5"/>
    <w:rsid w:val="00CA6D4A"/>
    <w:rsid w:val="00CA7E54"/>
    <w:rsid w:val="00CB0205"/>
    <w:rsid w:val="00CB0207"/>
    <w:rsid w:val="00CB064D"/>
    <w:rsid w:val="00CB077B"/>
    <w:rsid w:val="00CB0E62"/>
    <w:rsid w:val="00CB1055"/>
    <w:rsid w:val="00CB1AFC"/>
    <w:rsid w:val="00CB1B5E"/>
    <w:rsid w:val="00CB2008"/>
    <w:rsid w:val="00CB20E7"/>
    <w:rsid w:val="00CB22B7"/>
    <w:rsid w:val="00CB2A04"/>
    <w:rsid w:val="00CB3005"/>
    <w:rsid w:val="00CB53AA"/>
    <w:rsid w:val="00CB55AD"/>
    <w:rsid w:val="00CB61E4"/>
    <w:rsid w:val="00CB6882"/>
    <w:rsid w:val="00CB70EF"/>
    <w:rsid w:val="00CC0765"/>
    <w:rsid w:val="00CC0848"/>
    <w:rsid w:val="00CC0C0C"/>
    <w:rsid w:val="00CC18A6"/>
    <w:rsid w:val="00CC1CE0"/>
    <w:rsid w:val="00CC1D00"/>
    <w:rsid w:val="00CC275B"/>
    <w:rsid w:val="00CC3388"/>
    <w:rsid w:val="00CC401F"/>
    <w:rsid w:val="00CC4102"/>
    <w:rsid w:val="00CC428C"/>
    <w:rsid w:val="00CC487D"/>
    <w:rsid w:val="00CC4F1F"/>
    <w:rsid w:val="00CC5493"/>
    <w:rsid w:val="00CC6083"/>
    <w:rsid w:val="00CC6686"/>
    <w:rsid w:val="00CC66B2"/>
    <w:rsid w:val="00CC6F74"/>
    <w:rsid w:val="00CC7103"/>
    <w:rsid w:val="00CC73CA"/>
    <w:rsid w:val="00CD000D"/>
    <w:rsid w:val="00CD0E29"/>
    <w:rsid w:val="00CD1AC1"/>
    <w:rsid w:val="00CD2CF0"/>
    <w:rsid w:val="00CD30BB"/>
    <w:rsid w:val="00CD4104"/>
    <w:rsid w:val="00CD4144"/>
    <w:rsid w:val="00CD5D9D"/>
    <w:rsid w:val="00CD6CC9"/>
    <w:rsid w:val="00CD6E23"/>
    <w:rsid w:val="00CD71BC"/>
    <w:rsid w:val="00CD7CC9"/>
    <w:rsid w:val="00CD7DFC"/>
    <w:rsid w:val="00CD7E65"/>
    <w:rsid w:val="00CE0543"/>
    <w:rsid w:val="00CE09C4"/>
    <w:rsid w:val="00CE0BE5"/>
    <w:rsid w:val="00CE0CAC"/>
    <w:rsid w:val="00CE1FA4"/>
    <w:rsid w:val="00CE2DBB"/>
    <w:rsid w:val="00CE304C"/>
    <w:rsid w:val="00CE3412"/>
    <w:rsid w:val="00CE348A"/>
    <w:rsid w:val="00CE3755"/>
    <w:rsid w:val="00CE41CE"/>
    <w:rsid w:val="00CE4371"/>
    <w:rsid w:val="00CE4467"/>
    <w:rsid w:val="00CE45AE"/>
    <w:rsid w:val="00CE4680"/>
    <w:rsid w:val="00CE4BBB"/>
    <w:rsid w:val="00CE4DBD"/>
    <w:rsid w:val="00CE5658"/>
    <w:rsid w:val="00CE5F15"/>
    <w:rsid w:val="00CE6070"/>
    <w:rsid w:val="00CE61E0"/>
    <w:rsid w:val="00CE6968"/>
    <w:rsid w:val="00CE6A85"/>
    <w:rsid w:val="00CE7D55"/>
    <w:rsid w:val="00CF0730"/>
    <w:rsid w:val="00CF0760"/>
    <w:rsid w:val="00CF090A"/>
    <w:rsid w:val="00CF10AE"/>
    <w:rsid w:val="00CF14B1"/>
    <w:rsid w:val="00CF19CC"/>
    <w:rsid w:val="00CF1FF0"/>
    <w:rsid w:val="00CF27C7"/>
    <w:rsid w:val="00CF2CC9"/>
    <w:rsid w:val="00CF301C"/>
    <w:rsid w:val="00CF30D8"/>
    <w:rsid w:val="00CF3195"/>
    <w:rsid w:val="00CF35A2"/>
    <w:rsid w:val="00CF3AEC"/>
    <w:rsid w:val="00CF4208"/>
    <w:rsid w:val="00CF5058"/>
    <w:rsid w:val="00CF5849"/>
    <w:rsid w:val="00CF65D8"/>
    <w:rsid w:val="00D00CAF"/>
    <w:rsid w:val="00D021E4"/>
    <w:rsid w:val="00D02410"/>
    <w:rsid w:val="00D02456"/>
    <w:rsid w:val="00D02E54"/>
    <w:rsid w:val="00D03476"/>
    <w:rsid w:val="00D039A5"/>
    <w:rsid w:val="00D0415C"/>
    <w:rsid w:val="00D04E14"/>
    <w:rsid w:val="00D0525A"/>
    <w:rsid w:val="00D0527D"/>
    <w:rsid w:val="00D057D6"/>
    <w:rsid w:val="00D05B3B"/>
    <w:rsid w:val="00D0664E"/>
    <w:rsid w:val="00D06702"/>
    <w:rsid w:val="00D06A43"/>
    <w:rsid w:val="00D06D90"/>
    <w:rsid w:val="00D06FA6"/>
    <w:rsid w:val="00D0735D"/>
    <w:rsid w:val="00D111EE"/>
    <w:rsid w:val="00D11776"/>
    <w:rsid w:val="00D11DE8"/>
    <w:rsid w:val="00D1237D"/>
    <w:rsid w:val="00D1313F"/>
    <w:rsid w:val="00D152DE"/>
    <w:rsid w:val="00D1584D"/>
    <w:rsid w:val="00D1657A"/>
    <w:rsid w:val="00D1710B"/>
    <w:rsid w:val="00D17578"/>
    <w:rsid w:val="00D176B5"/>
    <w:rsid w:val="00D2013B"/>
    <w:rsid w:val="00D203C2"/>
    <w:rsid w:val="00D20D39"/>
    <w:rsid w:val="00D21085"/>
    <w:rsid w:val="00D21483"/>
    <w:rsid w:val="00D214C7"/>
    <w:rsid w:val="00D2188A"/>
    <w:rsid w:val="00D218E3"/>
    <w:rsid w:val="00D2360E"/>
    <w:rsid w:val="00D23912"/>
    <w:rsid w:val="00D23D6B"/>
    <w:rsid w:val="00D23E67"/>
    <w:rsid w:val="00D240EC"/>
    <w:rsid w:val="00D24F9B"/>
    <w:rsid w:val="00D25525"/>
    <w:rsid w:val="00D256F8"/>
    <w:rsid w:val="00D25B9D"/>
    <w:rsid w:val="00D26DAF"/>
    <w:rsid w:val="00D2770D"/>
    <w:rsid w:val="00D27842"/>
    <w:rsid w:val="00D27E26"/>
    <w:rsid w:val="00D30EF7"/>
    <w:rsid w:val="00D31608"/>
    <w:rsid w:val="00D322C1"/>
    <w:rsid w:val="00D32F7F"/>
    <w:rsid w:val="00D33C82"/>
    <w:rsid w:val="00D3494F"/>
    <w:rsid w:val="00D34FF7"/>
    <w:rsid w:val="00D350AB"/>
    <w:rsid w:val="00D37385"/>
    <w:rsid w:val="00D40489"/>
    <w:rsid w:val="00D405B1"/>
    <w:rsid w:val="00D4118E"/>
    <w:rsid w:val="00D421CF"/>
    <w:rsid w:val="00D42527"/>
    <w:rsid w:val="00D42AFA"/>
    <w:rsid w:val="00D436A8"/>
    <w:rsid w:val="00D43D1C"/>
    <w:rsid w:val="00D44DCE"/>
    <w:rsid w:val="00D45CF4"/>
    <w:rsid w:val="00D47A27"/>
    <w:rsid w:val="00D47C4A"/>
    <w:rsid w:val="00D50436"/>
    <w:rsid w:val="00D5160B"/>
    <w:rsid w:val="00D52A82"/>
    <w:rsid w:val="00D52E56"/>
    <w:rsid w:val="00D5381F"/>
    <w:rsid w:val="00D5441B"/>
    <w:rsid w:val="00D5473E"/>
    <w:rsid w:val="00D55249"/>
    <w:rsid w:val="00D55A2F"/>
    <w:rsid w:val="00D55D49"/>
    <w:rsid w:val="00D5732B"/>
    <w:rsid w:val="00D57472"/>
    <w:rsid w:val="00D57CEC"/>
    <w:rsid w:val="00D60500"/>
    <w:rsid w:val="00D60B84"/>
    <w:rsid w:val="00D60D5F"/>
    <w:rsid w:val="00D629EA"/>
    <w:rsid w:val="00D62A9C"/>
    <w:rsid w:val="00D62D9E"/>
    <w:rsid w:val="00D636A8"/>
    <w:rsid w:val="00D63E4D"/>
    <w:rsid w:val="00D640B1"/>
    <w:rsid w:val="00D64345"/>
    <w:rsid w:val="00D6435B"/>
    <w:rsid w:val="00D64597"/>
    <w:rsid w:val="00D6496B"/>
    <w:rsid w:val="00D651B8"/>
    <w:rsid w:val="00D653A0"/>
    <w:rsid w:val="00D6555A"/>
    <w:rsid w:val="00D65DFA"/>
    <w:rsid w:val="00D66699"/>
    <w:rsid w:val="00D66891"/>
    <w:rsid w:val="00D66C3D"/>
    <w:rsid w:val="00D71CBC"/>
    <w:rsid w:val="00D721F2"/>
    <w:rsid w:val="00D724CD"/>
    <w:rsid w:val="00D72828"/>
    <w:rsid w:val="00D72F97"/>
    <w:rsid w:val="00D73DCA"/>
    <w:rsid w:val="00D73E0B"/>
    <w:rsid w:val="00D73F59"/>
    <w:rsid w:val="00D74BB7"/>
    <w:rsid w:val="00D76139"/>
    <w:rsid w:val="00D76BA5"/>
    <w:rsid w:val="00D76BCB"/>
    <w:rsid w:val="00D803A7"/>
    <w:rsid w:val="00D80444"/>
    <w:rsid w:val="00D805AE"/>
    <w:rsid w:val="00D810EA"/>
    <w:rsid w:val="00D81C0C"/>
    <w:rsid w:val="00D81C92"/>
    <w:rsid w:val="00D821D5"/>
    <w:rsid w:val="00D82D24"/>
    <w:rsid w:val="00D82DF6"/>
    <w:rsid w:val="00D83D16"/>
    <w:rsid w:val="00D8488C"/>
    <w:rsid w:val="00D851BD"/>
    <w:rsid w:val="00D871EC"/>
    <w:rsid w:val="00D9086A"/>
    <w:rsid w:val="00D90939"/>
    <w:rsid w:val="00D91E0F"/>
    <w:rsid w:val="00D9251B"/>
    <w:rsid w:val="00D929AD"/>
    <w:rsid w:val="00D934F4"/>
    <w:rsid w:val="00D9375D"/>
    <w:rsid w:val="00D93E13"/>
    <w:rsid w:val="00D948CB"/>
    <w:rsid w:val="00D968AA"/>
    <w:rsid w:val="00D96D74"/>
    <w:rsid w:val="00D973DC"/>
    <w:rsid w:val="00D97CFF"/>
    <w:rsid w:val="00DA0962"/>
    <w:rsid w:val="00DA0AB5"/>
    <w:rsid w:val="00DA2238"/>
    <w:rsid w:val="00DA2BEF"/>
    <w:rsid w:val="00DA4021"/>
    <w:rsid w:val="00DA47A3"/>
    <w:rsid w:val="00DA4853"/>
    <w:rsid w:val="00DA5207"/>
    <w:rsid w:val="00DA5F7A"/>
    <w:rsid w:val="00DA6555"/>
    <w:rsid w:val="00DA6A7F"/>
    <w:rsid w:val="00DA6E5F"/>
    <w:rsid w:val="00DA72FB"/>
    <w:rsid w:val="00DB0083"/>
    <w:rsid w:val="00DB08BE"/>
    <w:rsid w:val="00DB1CEA"/>
    <w:rsid w:val="00DB2246"/>
    <w:rsid w:val="00DB2C03"/>
    <w:rsid w:val="00DB2C3A"/>
    <w:rsid w:val="00DB33B1"/>
    <w:rsid w:val="00DB33B5"/>
    <w:rsid w:val="00DB3616"/>
    <w:rsid w:val="00DB4175"/>
    <w:rsid w:val="00DB4250"/>
    <w:rsid w:val="00DB4AF9"/>
    <w:rsid w:val="00DB4F91"/>
    <w:rsid w:val="00DB5804"/>
    <w:rsid w:val="00DB586B"/>
    <w:rsid w:val="00DB6B8E"/>
    <w:rsid w:val="00DB6F3A"/>
    <w:rsid w:val="00DB7F14"/>
    <w:rsid w:val="00DC0375"/>
    <w:rsid w:val="00DC062A"/>
    <w:rsid w:val="00DC0679"/>
    <w:rsid w:val="00DC1141"/>
    <w:rsid w:val="00DC1824"/>
    <w:rsid w:val="00DC23F1"/>
    <w:rsid w:val="00DC2555"/>
    <w:rsid w:val="00DC2EEC"/>
    <w:rsid w:val="00DC43F8"/>
    <w:rsid w:val="00DC4B14"/>
    <w:rsid w:val="00DC4E3C"/>
    <w:rsid w:val="00DC4ED8"/>
    <w:rsid w:val="00DC52B9"/>
    <w:rsid w:val="00DC667B"/>
    <w:rsid w:val="00DC6C00"/>
    <w:rsid w:val="00DC6E88"/>
    <w:rsid w:val="00DC7529"/>
    <w:rsid w:val="00DC7C79"/>
    <w:rsid w:val="00DC7DCD"/>
    <w:rsid w:val="00DD0E28"/>
    <w:rsid w:val="00DD10D5"/>
    <w:rsid w:val="00DD3696"/>
    <w:rsid w:val="00DD38E7"/>
    <w:rsid w:val="00DD3D6C"/>
    <w:rsid w:val="00DD488C"/>
    <w:rsid w:val="00DD4932"/>
    <w:rsid w:val="00DD4ACB"/>
    <w:rsid w:val="00DD5566"/>
    <w:rsid w:val="00DD6203"/>
    <w:rsid w:val="00DD6F93"/>
    <w:rsid w:val="00DD7A8D"/>
    <w:rsid w:val="00DD7F00"/>
    <w:rsid w:val="00DE0A8C"/>
    <w:rsid w:val="00DE195C"/>
    <w:rsid w:val="00DE1AAD"/>
    <w:rsid w:val="00DE1B69"/>
    <w:rsid w:val="00DE29E6"/>
    <w:rsid w:val="00DE3468"/>
    <w:rsid w:val="00DE4362"/>
    <w:rsid w:val="00DE49B0"/>
    <w:rsid w:val="00DE4A92"/>
    <w:rsid w:val="00DE713D"/>
    <w:rsid w:val="00DE7363"/>
    <w:rsid w:val="00DE7996"/>
    <w:rsid w:val="00DE7AFA"/>
    <w:rsid w:val="00DF017D"/>
    <w:rsid w:val="00DF0932"/>
    <w:rsid w:val="00DF14AD"/>
    <w:rsid w:val="00DF1972"/>
    <w:rsid w:val="00DF22EC"/>
    <w:rsid w:val="00DF2709"/>
    <w:rsid w:val="00DF3F86"/>
    <w:rsid w:val="00DF40D4"/>
    <w:rsid w:val="00DF4658"/>
    <w:rsid w:val="00DF5AE1"/>
    <w:rsid w:val="00DF5C3C"/>
    <w:rsid w:val="00DF6EFC"/>
    <w:rsid w:val="00DF7AC0"/>
    <w:rsid w:val="00DF7C99"/>
    <w:rsid w:val="00E005FA"/>
    <w:rsid w:val="00E00A1F"/>
    <w:rsid w:val="00E00C3B"/>
    <w:rsid w:val="00E00F4D"/>
    <w:rsid w:val="00E0175B"/>
    <w:rsid w:val="00E019E1"/>
    <w:rsid w:val="00E02AD9"/>
    <w:rsid w:val="00E02DD6"/>
    <w:rsid w:val="00E033A8"/>
    <w:rsid w:val="00E03562"/>
    <w:rsid w:val="00E036DC"/>
    <w:rsid w:val="00E05620"/>
    <w:rsid w:val="00E057B5"/>
    <w:rsid w:val="00E05E51"/>
    <w:rsid w:val="00E05F95"/>
    <w:rsid w:val="00E07164"/>
    <w:rsid w:val="00E07570"/>
    <w:rsid w:val="00E105A4"/>
    <w:rsid w:val="00E131EA"/>
    <w:rsid w:val="00E13BD4"/>
    <w:rsid w:val="00E14B52"/>
    <w:rsid w:val="00E1529B"/>
    <w:rsid w:val="00E15E91"/>
    <w:rsid w:val="00E16CD3"/>
    <w:rsid w:val="00E175EE"/>
    <w:rsid w:val="00E178B6"/>
    <w:rsid w:val="00E179CD"/>
    <w:rsid w:val="00E204B4"/>
    <w:rsid w:val="00E209E8"/>
    <w:rsid w:val="00E20C45"/>
    <w:rsid w:val="00E20C80"/>
    <w:rsid w:val="00E21EF2"/>
    <w:rsid w:val="00E22416"/>
    <w:rsid w:val="00E22F14"/>
    <w:rsid w:val="00E2340C"/>
    <w:rsid w:val="00E23C08"/>
    <w:rsid w:val="00E24269"/>
    <w:rsid w:val="00E24A31"/>
    <w:rsid w:val="00E24B6D"/>
    <w:rsid w:val="00E25486"/>
    <w:rsid w:val="00E26852"/>
    <w:rsid w:val="00E271B6"/>
    <w:rsid w:val="00E27F65"/>
    <w:rsid w:val="00E30108"/>
    <w:rsid w:val="00E30289"/>
    <w:rsid w:val="00E30565"/>
    <w:rsid w:val="00E32E2C"/>
    <w:rsid w:val="00E32FF8"/>
    <w:rsid w:val="00E3316A"/>
    <w:rsid w:val="00E33B7D"/>
    <w:rsid w:val="00E35535"/>
    <w:rsid w:val="00E355E7"/>
    <w:rsid w:val="00E35D35"/>
    <w:rsid w:val="00E3647D"/>
    <w:rsid w:val="00E36699"/>
    <w:rsid w:val="00E37163"/>
    <w:rsid w:val="00E37D05"/>
    <w:rsid w:val="00E40E78"/>
    <w:rsid w:val="00E42BCD"/>
    <w:rsid w:val="00E43932"/>
    <w:rsid w:val="00E44003"/>
    <w:rsid w:val="00E44560"/>
    <w:rsid w:val="00E448F0"/>
    <w:rsid w:val="00E44E27"/>
    <w:rsid w:val="00E4747C"/>
    <w:rsid w:val="00E477A6"/>
    <w:rsid w:val="00E47EAF"/>
    <w:rsid w:val="00E504DD"/>
    <w:rsid w:val="00E514AA"/>
    <w:rsid w:val="00E5182E"/>
    <w:rsid w:val="00E526C1"/>
    <w:rsid w:val="00E52A43"/>
    <w:rsid w:val="00E52FFD"/>
    <w:rsid w:val="00E53374"/>
    <w:rsid w:val="00E53EB9"/>
    <w:rsid w:val="00E54BF2"/>
    <w:rsid w:val="00E54BF3"/>
    <w:rsid w:val="00E5572A"/>
    <w:rsid w:val="00E56098"/>
    <w:rsid w:val="00E563AF"/>
    <w:rsid w:val="00E56544"/>
    <w:rsid w:val="00E568F4"/>
    <w:rsid w:val="00E56B52"/>
    <w:rsid w:val="00E60056"/>
    <w:rsid w:val="00E60A50"/>
    <w:rsid w:val="00E60D03"/>
    <w:rsid w:val="00E60F6C"/>
    <w:rsid w:val="00E6195C"/>
    <w:rsid w:val="00E62338"/>
    <w:rsid w:val="00E62368"/>
    <w:rsid w:val="00E62410"/>
    <w:rsid w:val="00E62841"/>
    <w:rsid w:val="00E633DB"/>
    <w:rsid w:val="00E63B78"/>
    <w:rsid w:val="00E6450B"/>
    <w:rsid w:val="00E65DFC"/>
    <w:rsid w:val="00E669A7"/>
    <w:rsid w:val="00E66A89"/>
    <w:rsid w:val="00E66E64"/>
    <w:rsid w:val="00E67C91"/>
    <w:rsid w:val="00E70526"/>
    <w:rsid w:val="00E70822"/>
    <w:rsid w:val="00E708DC"/>
    <w:rsid w:val="00E7119C"/>
    <w:rsid w:val="00E73143"/>
    <w:rsid w:val="00E74D7B"/>
    <w:rsid w:val="00E75140"/>
    <w:rsid w:val="00E75DEE"/>
    <w:rsid w:val="00E7601B"/>
    <w:rsid w:val="00E762AD"/>
    <w:rsid w:val="00E76522"/>
    <w:rsid w:val="00E77127"/>
    <w:rsid w:val="00E77849"/>
    <w:rsid w:val="00E77CE5"/>
    <w:rsid w:val="00E77D14"/>
    <w:rsid w:val="00E80195"/>
    <w:rsid w:val="00E80807"/>
    <w:rsid w:val="00E80A6F"/>
    <w:rsid w:val="00E80ECB"/>
    <w:rsid w:val="00E80EE5"/>
    <w:rsid w:val="00E8221C"/>
    <w:rsid w:val="00E826E5"/>
    <w:rsid w:val="00E833E6"/>
    <w:rsid w:val="00E83493"/>
    <w:rsid w:val="00E838A3"/>
    <w:rsid w:val="00E83F84"/>
    <w:rsid w:val="00E84BB2"/>
    <w:rsid w:val="00E855DD"/>
    <w:rsid w:val="00E857A7"/>
    <w:rsid w:val="00E85AAA"/>
    <w:rsid w:val="00E86FB7"/>
    <w:rsid w:val="00E87D83"/>
    <w:rsid w:val="00E87EAF"/>
    <w:rsid w:val="00E901E8"/>
    <w:rsid w:val="00E90AD4"/>
    <w:rsid w:val="00E91DD4"/>
    <w:rsid w:val="00E91EF2"/>
    <w:rsid w:val="00E9202A"/>
    <w:rsid w:val="00E928E5"/>
    <w:rsid w:val="00E92B89"/>
    <w:rsid w:val="00E9329E"/>
    <w:rsid w:val="00E93E54"/>
    <w:rsid w:val="00E946A0"/>
    <w:rsid w:val="00E94831"/>
    <w:rsid w:val="00E96F5C"/>
    <w:rsid w:val="00E972B5"/>
    <w:rsid w:val="00E978F2"/>
    <w:rsid w:val="00E97C79"/>
    <w:rsid w:val="00EA0BA7"/>
    <w:rsid w:val="00EA0F4D"/>
    <w:rsid w:val="00EA135C"/>
    <w:rsid w:val="00EA13D1"/>
    <w:rsid w:val="00EA1A4B"/>
    <w:rsid w:val="00EA355E"/>
    <w:rsid w:val="00EA4CBE"/>
    <w:rsid w:val="00EA4EA1"/>
    <w:rsid w:val="00EA524E"/>
    <w:rsid w:val="00EA66C8"/>
    <w:rsid w:val="00EA6CAF"/>
    <w:rsid w:val="00EA7B3E"/>
    <w:rsid w:val="00EA7E30"/>
    <w:rsid w:val="00EB045E"/>
    <w:rsid w:val="00EB1305"/>
    <w:rsid w:val="00EB1700"/>
    <w:rsid w:val="00EB1EF3"/>
    <w:rsid w:val="00EB3B94"/>
    <w:rsid w:val="00EB3DBE"/>
    <w:rsid w:val="00EB3F0F"/>
    <w:rsid w:val="00EB437F"/>
    <w:rsid w:val="00EB53B9"/>
    <w:rsid w:val="00EB5503"/>
    <w:rsid w:val="00EB595B"/>
    <w:rsid w:val="00EB5C38"/>
    <w:rsid w:val="00EB5CFF"/>
    <w:rsid w:val="00EB5EFE"/>
    <w:rsid w:val="00EB5F71"/>
    <w:rsid w:val="00EB709C"/>
    <w:rsid w:val="00EB7C0D"/>
    <w:rsid w:val="00EB7C6F"/>
    <w:rsid w:val="00EB7F97"/>
    <w:rsid w:val="00EC0635"/>
    <w:rsid w:val="00EC0809"/>
    <w:rsid w:val="00EC164A"/>
    <w:rsid w:val="00EC196B"/>
    <w:rsid w:val="00EC22E1"/>
    <w:rsid w:val="00EC38C4"/>
    <w:rsid w:val="00EC39CA"/>
    <w:rsid w:val="00EC4155"/>
    <w:rsid w:val="00EC48CD"/>
    <w:rsid w:val="00EC5178"/>
    <w:rsid w:val="00EC53B3"/>
    <w:rsid w:val="00EC6B8C"/>
    <w:rsid w:val="00EC6F6E"/>
    <w:rsid w:val="00ED0EF5"/>
    <w:rsid w:val="00ED19AA"/>
    <w:rsid w:val="00ED1CA0"/>
    <w:rsid w:val="00ED3226"/>
    <w:rsid w:val="00ED32A7"/>
    <w:rsid w:val="00ED33AD"/>
    <w:rsid w:val="00ED3D88"/>
    <w:rsid w:val="00ED4184"/>
    <w:rsid w:val="00ED47C0"/>
    <w:rsid w:val="00ED56D8"/>
    <w:rsid w:val="00ED5D47"/>
    <w:rsid w:val="00ED5E08"/>
    <w:rsid w:val="00ED62B0"/>
    <w:rsid w:val="00ED67B0"/>
    <w:rsid w:val="00ED6863"/>
    <w:rsid w:val="00ED6D86"/>
    <w:rsid w:val="00ED7387"/>
    <w:rsid w:val="00ED790B"/>
    <w:rsid w:val="00ED7BC7"/>
    <w:rsid w:val="00ED7E88"/>
    <w:rsid w:val="00EE0008"/>
    <w:rsid w:val="00EE01E6"/>
    <w:rsid w:val="00EE0865"/>
    <w:rsid w:val="00EE09C6"/>
    <w:rsid w:val="00EE0D64"/>
    <w:rsid w:val="00EE11A7"/>
    <w:rsid w:val="00EE16A5"/>
    <w:rsid w:val="00EE1A9E"/>
    <w:rsid w:val="00EE1AAE"/>
    <w:rsid w:val="00EE1E44"/>
    <w:rsid w:val="00EE317F"/>
    <w:rsid w:val="00EE375F"/>
    <w:rsid w:val="00EE3783"/>
    <w:rsid w:val="00EE3DC4"/>
    <w:rsid w:val="00EE46E0"/>
    <w:rsid w:val="00EE49FC"/>
    <w:rsid w:val="00EE4C98"/>
    <w:rsid w:val="00EE6329"/>
    <w:rsid w:val="00EE6B4A"/>
    <w:rsid w:val="00EF018D"/>
    <w:rsid w:val="00EF0539"/>
    <w:rsid w:val="00EF05CC"/>
    <w:rsid w:val="00EF115E"/>
    <w:rsid w:val="00EF1B0E"/>
    <w:rsid w:val="00EF1C06"/>
    <w:rsid w:val="00EF2747"/>
    <w:rsid w:val="00EF2893"/>
    <w:rsid w:val="00EF34EC"/>
    <w:rsid w:val="00EF37D9"/>
    <w:rsid w:val="00EF3AC8"/>
    <w:rsid w:val="00EF46DC"/>
    <w:rsid w:val="00EF4C42"/>
    <w:rsid w:val="00EF4DB7"/>
    <w:rsid w:val="00EF528F"/>
    <w:rsid w:val="00EF53A7"/>
    <w:rsid w:val="00EF59BD"/>
    <w:rsid w:val="00EF6403"/>
    <w:rsid w:val="00EF653F"/>
    <w:rsid w:val="00EF66CD"/>
    <w:rsid w:val="00EF6CCF"/>
    <w:rsid w:val="00EF743A"/>
    <w:rsid w:val="00EF77B6"/>
    <w:rsid w:val="00EF7B13"/>
    <w:rsid w:val="00EF7CE2"/>
    <w:rsid w:val="00F00093"/>
    <w:rsid w:val="00F004C8"/>
    <w:rsid w:val="00F0063A"/>
    <w:rsid w:val="00F010C3"/>
    <w:rsid w:val="00F020B3"/>
    <w:rsid w:val="00F02159"/>
    <w:rsid w:val="00F024CA"/>
    <w:rsid w:val="00F02E63"/>
    <w:rsid w:val="00F03C87"/>
    <w:rsid w:val="00F0422C"/>
    <w:rsid w:val="00F0475D"/>
    <w:rsid w:val="00F04A8D"/>
    <w:rsid w:val="00F05E20"/>
    <w:rsid w:val="00F06686"/>
    <w:rsid w:val="00F06C00"/>
    <w:rsid w:val="00F06C6A"/>
    <w:rsid w:val="00F07CD0"/>
    <w:rsid w:val="00F10245"/>
    <w:rsid w:val="00F10B42"/>
    <w:rsid w:val="00F10DE9"/>
    <w:rsid w:val="00F12519"/>
    <w:rsid w:val="00F12F96"/>
    <w:rsid w:val="00F13007"/>
    <w:rsid w:val="00F130C6"/>
    <w:rsid w:val="00F134BC"/>
    <w:rsid w:val="00F13D23"/>
    <w:rsid w:val="00F142E4"/>
    <w:rsid w:val="00F15B25"/>
    <w:rsid w:val="00F15F90"/>
    <w:rsid w:val="00F16ECE"/>
    <w:rsid w:val="00F175C2"/>
    <w:rsid w:val="00F20650"/>
    <w:rsid w:val="00F226F1"/>
    <w:rsid w:val="00F22E94"/>
    <w:rsid w:val="00F23B79"/>
    <w:rsid w:val="00F23C8D"/>
    <w:rsid w:val="00F23D3C"/>
    <w:rsid w:val="00F23DA2"/>
    <w:rsid w:val="00F24233"/>
    <w:rsid w:val="00F246C7"/>
    <w:rsid w:val="00F25365"/>
    <w:rsid w:val="00F258AB"/>
    <w:rsid w:val="00F25BD7"/>
    <w:rsid w:val="00F26694"/>
    <w:rsid w:val="00F26FCB"/>
    <w:rsid w:val="00F27075"/>
    <w:rsid w:val="00F276E4"/>
    <w:rsid w:val="00F27927"/>
    <w:rsid w:val="00F3037D"/>
    <w:rsid w:val="00F30808"/>
    <w:rsid w:val="00F31543"/>
    <w:rsid w:val="00F317C8"/>
    <w:rsid w:val="00F31DEE"/>
    <w:rsid w:val="00F3222D"/>
    <w:rsid w:val="00F32EB0"/>
    <w:rsid w:val="00F32EBA"/>
    <w:rsid w:val="00F32FCA"/>
    <w:rsid w:val="00F333AE"/>
    <w:rsid w:val="00F335F6"/>
    <w:rsid w:val="00F3401B"/>
    <w:rsid w:val="00F341B6"/>
    <w:rsid w:val="00F35AEE"/>
    <w:rsid w:val="00F37378"/>
    <w:rsid w:val="00F37A4A"/>
    <w:rsid w:val="00F404AA"/>
    <w:rsid w:val="00F407BF"/>
    <w:rsid w:val="00F40D48"/>
    <w:rsid w:val="00F4145D"/>
    <w:rsid w:val="00F4154E"/>
    <w:rsid w:val="00F41916"/>
    <w:rsid w:val="00F41E89"/>
    <w:rsid w:val="00F42191"/>
    <w:rsid w:val="00F42277"/>
    <w:rsid w:val="00F42388"/>
    <w:rsid w:val="00F4252E"/>
    <w:rsid w:val="00F4427E"/>
    <w:rsid w:val="00F458D0"/>
    <w:rsid w:val="00F4628F"/>
    <w:rsid w:val="00F47725"/>
    <w:rsid w:val="00F47CD9"/>
    <w:rsid w:val="00F500B8"/>
    <w:rsid w:val="00F501E2"/>
    <w:rsid w:val="00F503A7"/>
    <w:rsid w:val="00F50794"/>
    <w:rsid w:val="00F50CA7"/>
    <w:rsid w:val="00F50D28"/>
    <w:rsid w:val="00F50EE5"/>
    <w:rsid w:val="00F52369"/>
    <w:rsid w:val="00F53152"/>
    <w:rsid w:val="00F53415"/>
    <w:rsid w:val="00F53431"/>
    <w:rsid w:val="00F534C1"/>
    <w:rsid w:val="00F53D10"/>
    <w:rsid w:val="00F54C49"/>
    <w:rsid w:val="00F55FE4"/>
    <w:rsid w:val="00F56C34"/>
    <w:rsid w:val="00F576F4"/>
    <w:rsid w:val="00F5778C"/>
    <w:rsid w:val="00F6018D"/>
    <w:rsid w:val="00F607E1"/>
    <w:rsid w:val="00F60A1D"/>
    <w:rsid w:val="00F60F96"/>
    <w:rsid w:val="00F61CA1"/>
    <w:rsid w:val="00F6266D"/>
    <w:rsid w:val="00F630EA"/>
    <w:rsid w:val="00F63383"/>
    <w:rsid w:val="00F63CF2"/>
    <w:rsid w:val="00F64342"/>
    <w:rsid w:val="00F64A18"/>
    <w:rsid w:val="00F6637E"/>
    <w:rsid w:val="00F67297"/>
    <w:rsid w:val="00F6735E"/>
    <w:rsid w:val="00F674C4"/>
    <w:rsid w:val="00F675FC"/>
    <w:rsid w:val="00F67CAA"/>
    <w:rsid w:val="00F7016A"/>
    <w:rsid w:val="00F71133"/>
    <w:rsid w:val="00F71475"/>
    <w:rsid w:val="00F71C42"/>
    <w:rsid w:val="00F71D1F"/>
    <w:rsid w:val="00F72300"/>
    <w:rsid w:val="00F726C8"/>
    <w:rsid w:val="00F732D6"/>
    <w:rsid w:val="00F7367A"/>
    <w:rsid w:val="00F744B2"/>
    <w:rsid w:val="00F749A8"/>
    <w:rsid w:val="00F7727D"/>
    <w:rsid w:val="00F77756"/>
    <w:rsid w:val="00F80A80"/>
    <w:rsid w:val="00F81385"/>
    <w:rsid w:val="00F814C8"/>
    <w:rsid w:val="00F82298"/>
    <w:rsid w:val="00F825FA"/>
    <w:rsid w:val="00F826D7"/>
    <w:rsid w:val="00F8297E"/>
    <w:rsid w:val="00F82DA7"/>
    <w:rsid w:val="00F835F0"/>
    <w:rsid w:val="00F83FC3"/>
    <w:rsid w:val="00F840CA"/>
    <w:rsid w:val="00F842DD"/>
    <w:rsid w:val="00F854FE"/>
    <w:rsid w:val="00F85BBB"/>
    <w:rsid w:val="00F86547"/>
    <w:rsid w:val="00F8663F"/>
    <w:rsid w:val="00F87498"/>
    <w:rsid w:val="00F877B2"/>
    <w:rsid w:val="00F87894"/>
    <w:rsid w:val="00F9011F"/>
    <w:rsid w:val="00F9093A"/>
    <w:rsid w:val="00F90BB5"/>
    <w:rsid w:val="00F91068"/>
    <w:rsid w:val="00F915A4"/>
    <w:rsid w:val="00F915D2"/>
    <w:rsid w:val="00F92835"/>
    <w:rsid w:val="00F93E83"/>
    <w:rsid w:val="00F94224"/>
    <w:rsid w:val="00F94891"/>
    <w:rsid w:val="00F94A49"/>
    <w:rsid w:val="00F951FC"/>
    <w:rsid w:val="00F95A5E"/>
    <w:rsid w:val="00F9736F"/>
    <w:rsid w:val="00FA0296"/>
    <w:rsid w:val="00FA031F"/>
    <w:rsid w:val="00FA1C6C"/>
    <w:rsid w:val="00FA3040"/>
    <w:rsid w:val="00FA356E"/>
    <w:rsid w:val="00FA382E"/>
    <w:rsid w:val="00FA3BA6"/>
    <w:rsid w:val="00FA4591"/>
    <w:rsid w:val="00FA4A96"/>
    <w:rsid w:val="00FA68C1"/>
    <w:rsid w:val="00FA6A1A"/>
    <w:rsid w:val="00FA6C14"/>
    <w:rsid w:val="00FA6C75"/>
    <w:rsid w:val="00FA7F22"/>
    <w:rsid w:val="00FB05FA"/>
    <w:rsid w:val="00FB0647"/>
    <w:rsid w:val="00FB069E"/>
    <w:rsid w:val="00FB0B46"/>
    <w:rsid w:val="00FB1C93"/>
    <w:rsid w:val="00FB2481"/>
    <w:rsid w:val="00FB2AA3"/>
    <w:rsid w:val="00FB2D5E"/>
    <w:rsid w:val="00FB33F1"/>
    <w:rsid w:val="00FB3475"/>
    <w:rsid w:val="00FB36A3"/>
    <w:rsid w:val="00FB5433"/>
    <w:rsid w:val="00FB5528"/>
    <w:rsid w:val="00FB5A78"/>
    <w:rsid w:val="00FB5DEC"/>
    <w:rsid w:val="00FB64C2"/>
    <w:rsid w:val="00FB69F6"/>
    <w:rsid w:val="00FC0230"/>
    <w:rsid w:val="00FC0B6D"/>
    <w:rsid w:val="00FC0D4D"/>
    <w:rsid w:val="00FC1285"/>
    <w:rsid w:val="00FC161D"/>
    <w:rsid w:val="00FC1D4B"/>
    <w:rsid w:val="00FC22A1"/>
    <w:rsid w:val="00FC233C"/>
    <w:rsid w:val="00FC23EC"/>
    <w:rsid w:val="00FC2A1D"/>
    <w:rsid w:val="00FC3C16"/>
    <w:rsid w:val="00FC4CC5"/>
    <w:rsid w:val="00FC4D73"/>
    <w:rsid w:val="00FC5D93"/>
    <w:rsid w:val="00FC5E71"/>
    <w:rsid w:val="00FC5ED3"/>
    <w:rsid w:val="00FC6456"/>
    <w:rsid w:val="00FC68D7"/>
    <w:rsid w:val="00FC7901"/>
    <w:rsid w:val="00FC7941"/>
    <w:rsid w:val="00FD00E9"/>
    <w:rsid w:val="00FD0302"/>
    <w:rsid w:val="00FD13DA"/>
    <w:rsid w:val="00FD162A"/>
    <w:rsid w:val="00FD1676"/>
    <w:rsid w:val="00FD1BB0"/>
    <w:rsid w:val="00FD1D6E"/>
    <w:rsid w:val="00FD248F"/>
    <w:rsid w:val="00FD2722"/>
    <w:rsid w:val="00FD3D81"/>
    <w:rsid w:val="00FD60E7"/>
    <w:rsid w:val="00FD6121"/>
    <w:rsid w:val="00FD61EC"/>
    <w:rsid w:val="00FD6450"/>
    <w:rsid w:val="00FD74EB"/>
    <w:rsid w:val="00FD7E5E"/>
    <w:rsid w:val="00FE0C0C"/>
    <w:rsid w:val="00FE2200"/>
    <w:rsid w:val="00FE299E"/>
    <w:rsid w:val="00FE2CA1"/>
    <w:rsid w:val="00FE3609"/>
    <w:rsid w:val="00FE3A08"/>
    <w:rsid w:val="00FE40C7"/>
    <w:rsid w:val="00FE4C06"/>
    <w:rsid w:val="00FE4D30"/>
    <w:rsid w:val="00FE53CB"/>
    <w:rsid w:val="00FE7519"/>
    <w:rsid w:val="00FF12D3"/>
    <w:rsid w:val="00FF196E"/>
    <w:rsid w:val="00FF2103"/>
    <w:rsid w:val="00FF22F7"/>
    <w:rsid w:val="00FF2442"/>
    <w:rsid w:val="00FF397C"/>
    <w:rsid w:val="00FF415D"/>
    <w:rsid w:val="00FF4517"/>
    <w:rsid w:val="00FF49FF"/>
    <w:rsid w:val="00FF5210"/>
    <w:rsid w:val="00FF5412"/>
    <w:rsid w:val="00FF5F1F"/>
    <w:rsid w:val="00FF675C"/>
    <w:rsid w:val="00FF7480"/>
    <w:rsid w:val="00FF7F26"/>
    <w:rsid w:val="05187F39"/>
    <w:rsid w:val="14C80669"/>
    <w:rsid w:val="2E572E66"/>
    <w:rsid w:val="4E007742"/>
    <w:rsid w:val="716C6622"/>
    <w:rsid w:val="7EDB24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qFormat="1" w:uiPriority="99"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0" w:semiHidden="0" w:name="Body Text First Indent"/>
    <w:lsdException w:qFormat="1" w:uiPriority="99"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iPriority="0" w:semiHidden="0" w:name="Plain Text"/>
    <w:lsdException w:qFormat="1" w:uiPriority="99" w:name="E-mail Signature"/>
    <w:lsdException w:qFormat="1"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qFormat="1" w:uiPriority="0" w:semiHidden="0" w:name="HTML Typewriter"/>
    <w:lsdException w:uiPriority="99" w:name="HTML Variable"/>
    <w:lsdException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qFormat="1" w:unhideWhenUsed="0" w:uiPriority="0" w:semiHidden="0" w:name="Table List 3"/>
    <w:lsdException w:uiPriority="99" w:name="Table List 4"/>
    <w:lsdException w:qFormat="1" w:unhideWhenUsed="0" w:uiPriority="0" w:semiHidden="0"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84"/>
    <w:autoRedefine/>
    <w:qFormat/>
    <w:uiPriority w:val="9"/>
    <w:pPr>
      <w:keepNext/>
      <w:keepLines/>
      <w:tabs>
        <w:tab w:val="left" w:pos="1275"/>
      </w:tabs>
      <w:spacing w:before="240" w:after="120"/>
      <w:ind w:left="2989" w:hanging="720"/>
      <w:jc w:val="center"/>
      <w:outlineLvl w:val="0"/>
    </w:pPr>
    <w:rPr>
      <w:rFonts w:eastAsia="黑体"/>
      <w:b/>
      <w:bCs/>
      <w:kern w:val="44"/>
      <w:sz w:val="42"/>
      <w:szCs w:val="20"/>
      <w:lang w:val="zh-CN"/>
    </w:rPr>
  </w:style>
  <w:style w:type="paragraph" w:styleId="3">
    <w:name w:val="heading 2"/>
    <w:basedOn w:val="1"/>
    <w:next w:val="1"/>
    <w:link w:val="82"/>
    <w:qFormat/>
    <w:uiPriority w:val="0"/>
    <w:pPr>
      <w:keepNext/>
      <w:keepLines/>
      <w:spacing w:before="260" w:after="260" w:line="416" w:lineRule="auto"/>
      <w:outlineLvl w:val="1"/>
    </w:pPr>
    <w:rPr>
      <w:rFonts w:ascii="Cambria" w:hAnsi="Cambria"/>
      <w:b/>
      <w:bCs/>
      <w:sz w:val="32"/>
      <w:szCs w:val="32"/>
      <w:lang w:val="zh-CN"/>
    </w:rPr>
  </w:style>
  <w:style w:type="paragraph" w:styleId="4">
    <w:name w:val="heading 3"/>
    <w:basedOn w:val="1"/>
    <w:next w:val="5"/>
    <w:link w:val="123"/>
    <w:autoRedefine/>
    <w:qFormat/>
    <w:uiPriority w:val="0"/>
    <w:pPr>
      <w:keepNext/>
      <w:keepLines/>
      <w:spacing w:before="120" w:after="120"/>
      <w:outlineLvl w:val="2"/>
    </w:pPr>
    <w:rPr>
      <w:b/>
      <w:sz w:val="26"/>
      <w:szCs w:val="20"/>
      <w:lang w:val="zh-CN"/>
    </w:rPr>
  </w:style>
  <w:style w:type="paragraph" w:styleId="6">
    <w:name w:val="heading 4"/>
    <w:basedOn w:val="1"/>
    <w:next w:val="1"/>
    <w:link w:val="114"/>
    <w:autoRedefine/>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128"/>
    <w:autoRedefine/>
    <w:qFormat/>
    <w:uiPriority w:val="9"/>
    <w:pPr>
      <w:autoSpaceDE w:val="0"/>
      <w:autoSpaceDN w:val="0"/>
      <w:spacing w:line="600" w:lineRule="exact"/>
      <w:ind w:firstLine="480" w:firstLineChars="200"/>
      <w:jc w:val="left"/>
      <w:outlineLvl w:val="4"/>
    </w:pPr>
    <w:rPr>
      <w:rFonts w:ascii="宋体" w:hAnsi="宋体"/>
      <w:bCs/>
      <w:sz w:val="24"/>
      <w:szCs w:val="24"/>
      <w:lang w:val="zh-CN"/>
    </w:rPr>
  </w:style>
  <w:style w:type="paragraph" w:styleId="8">
    <w:name w:val="heading 6"/>
    <w:basedOn w:val="1"/>
    <w:next w:val="1"/>
    <w:link w:val="129"/>
    <w:autoRedefine/>
    <w:qFormat/>
    <w:uiPriority w:val="9"/>
    <w:pPr>
      <w:keepNext/>
      <w:keepLines/>
      <w:tabs>
        <w:tab w:val="left" w:pos="1620"/>
      </w:tabs>
      <w:spacing w:before="240" w:after="64" w:line="319" w:lineRule="auto"/>
      <w:outlineLvl w:val="5"/>
    </w:pPr>
    <w:rPr>
      <w:rFonts w:ascii="Arial" w:hAnsi="Arial" w:eastAsia="黑体"/>
      <w:b/>
      <w:kern w:val="0"/>
      <w:sz w:val="24"/>
      <w:szCs w:val="20"/>
      <w:lang w:val="zh-CN"/>
    </w:rPr>
  </w:style>
  <w:style w:type="paragraph" w:styleId="9">
    <w:name w:val="heading 7"/>
    <w:basedOn w:val="1"/>
    <w:next w:val="1"/>
    <w:link w:val="130"/>
    <w:autoRedefine/>
    <w:qFormat/>
    <w:uiPriority w:val="9"/>
    <w:pPr>
      <w:keepNext/>
      <w:keepLines/>
      <w:tabs>
        <w:tab w:val="left" w:pos="1620"/>
      </w:tabs>
      <w:spacing w:before="240" w:after="64" w:line="319" w:lineRule="auto"/>
      <w:outlineLvl w:val="6"/>
    </w:pPr>
    <w:rPr>
      <w:b/>
      <w:kern w:val="0"/>
      <w:sz w:val="24"/>
      <w:szCs w:val="20"/>
      <w:lang w:val="zh-CN"/>
    </w:rPr>
  </w:style>
  <w:style w:type="paragraph" w:styleId="10">
    <w:name w:val="heading 8"/>
    <w:basedOn w:val="1"/>
    <w:next w:val="1"/>
    <w:link w:val="131"/>
    <w:autoRedefine/>
    <w:qFormat/>
    <w:uiPriority w:val="9"/>
    <w:pPr>
      <w:keepNext/>
      <w:keepLines/>
      <w:tabs>
        <w:tab w:val="left" w:pos="1980"/>
      </w:tabs>
      <w:spacing w:before="240" w:after="64" w:line="319" w:lineRule="auto"/>
      <w:outlineLvl w:val="7"/>
    </w:pPr>
    <w:rPr>
      <w:rFonts w:ascii="Arial" w:hAnsi="Arial" w:eastAsia="黑体"/>
      <w:kern w:val="0"/>
      <w:sz w:val="24"/>
      <w:szCs w:val="20"/>
      <w:lang w:val="zh-CN"/>
    </w:rPr>
  </w:style>
  <w:style w:type="paragraph" w:styleId="11">
    <w:name w:val="heading 9"/>
    <w:basedOn w:val="1"/>
    <w:next w:val="1"/>
    <w:link w:val="132"/>
    <w:autoRedefine/>
    <w:qFormat/>
    <w:uiPriority w:val="9"/>
    <w:pPr>
      <w:keepNext/>
      <w:keepLines/>
      <w:tabs>
        <w:tab w:val="left" w:pos="2340"/>
      </w:tabs>
      <w:spacing w:before="240" w:after="64" w:line="319" w:lineRule="auto"/>
      <w:outlineLvl w:val="8"/>
    </w:pPr>
    <w:rPr>
      <w:rFonts w:ascii="Arial" w:hAnsi="Arial" w:eastAsia="黑体"/>
      <w:kern w:val="0"/>
      <w:sz w:val="20"/>
      <w:szCs w:val="20"/>
      <w:lang w:val="zh-CN"/>
    </w:rPr>
  </w:style>
  <w:style w:type="character" w:default="1" w:styleId="55">
    <w:name w:val="Default Paragraph Font"/>
    <w:semiHidden/>
    <w:unhideWhenUsed/>
    <w:qFormat/>
    <w:uiPriority w:val="1"/>
  </w:style>
  <w:style w:type="table" w:default="1" w:styleId="49">
    <w:name w:val="Normal Table"/>
    <w:autoRedefine/>
    <w:semiHidden/>
    <w:unhideWhenUsed/>
    <w:uiPriority w:val="99"/>
    <w:tblPr>
      <w:tblCellMar>
        <w:top w:w="0" w:type="dxa"/>
        <w:left w:w="108" w:type="dxa"/>
        <w:bottom w:w="0" w:type="dxa"/>
        <w:right w:w="108" w:type="dxa"/>
      </w:tblCellMar>
    </w:tblPr>
  </w:style>
  <w:style w:type="paragraph" w:styleId="5">
    <w:name w:val="Normal Indent"/>
    <w:basedOn w:val="1"/>
    <w:link w:val="73"/>
    <w:autoRedefine/>
    <w:qFormat/>
    <w:uiPriority w:val="0"/>
    <w:pPr>
      <w:adjustRightInd w:val="0"/>
      <w:spacing w:line="480" w:lineRule="atLeast"/>
      <w:ind w:firstLine="595"/>
      <w:textAlignment w:val="baseline"/>
    </w:pPr>
    <w:rPr>
      <w:kern w:val="0"/>
      <w:sz w:val="28"/>
      <w:szCs w:val="20"/>
      <w:lang w:val="zh-CN"/>
    </w:rPr>
  </w:style>
  <w:style w:type="paragraph" w:styleId="12">
    <w:name w:val="toc 7"/>
    <w:basedOn w:val="1"/>
    <w:next w:val="1"/>
    <w:autoRedefine/>
    <w:qFormat/>
    <w:uiPriority w:val="39"/>
    <w:pPr>
      <w:ind w:left="1440"/>
      <w:jc w:val="left"/>
    </w:pPr>
    <w:rPr>
      <w:sz w:val="18"/>
      <w:szCs w:val="18"/>
    </w:rPr>
  </w:style>
  <w:style w:type="paragraph" w:styleId="13">
    <w:name w:val="E-mail Signature"/>
    <w:basedOn w:val="1"/>
    <w:link w:val="796"/>
    <w:autoRedefine/>
    <w:semiHidden/>
    <w:unhideWhenUsed/>
    <w:qFormat/>
    <w:uiPriority w:val="99"/>
  </w:style>
  <w:style w:type="paragraph" w:styleId="14">
    <w:name w:val="caption"/>
    <w:basedOn w:val="1"/>
    <w:next w:val="1"/>
    <w:link w:val="149"/>
    <w:autoRedefine/>
    <w:qFormat/>
    <w:uiPriority w:val="0"/>
    <w:pPr>
      <w:adjustRightInd w:val="0"/>
      <w:spacing w:before="60" w:after="240" w:line="200" w:lineRule="atLeast"/>
      <w:ind w:left="1920" w:hanging="120"/>
      <w:textAlignment w:val="baseline"/>
    </w:pPr>
    <w:rPr>
      <w:i/>
      <w:spacing w:val="5"/>
      <w:kern w:val="0"/>
      <w:sz w:val="20"/>
      <w:szCs w:val="20"/>
      <w:lang w:val="zh-CN"/>
    </w:rPr>
  </w:style>
  <w:style w:type="paragraph" w:styleId="15">
    <w:name w:val="List Bullet"/>
    <w:basedOn w:val="1"/>
    <w:autoRedefine/>
    <w:qFormat/>
    <w:uiPriority w:val="0"/>
    <w:pPr>
      <w:numPr>
        <w:ilvl w:val="0"/>
        <w:numId w:val="1"/>
      </w:numPr>
      <w:ind w:firstLine="0"/>
    </w:pPr>
    <w:rPr>
      <w:sz w:val="24"/>
      <w:szCs w:val="24"/>
    </w:rPr>
  </w:style>
  <w:style w:type="paragraph" w:styleId="16">
    <w:name w:val="Document Map"/>
    <w:basedOn w:val="1"/>
    <w:link w:val="66"/>
    <w:autoRedefine/>
    <w:unhideWhenUsed/>
    <w:qFormat/>
    <w:uiPriority w:val="99"/>
    <w:rPr>
      <w:rFonts w:ascii="宋体"/>
      <w:sz w:val="18"/>
      <w:szCs w:val="18"/>
      <w:lang w:val="zh-CN"/>
    </w:rPr>
  </w:style>
  <w:style w:type="paragraph" w:styleId="17">
    <w:name w:val="annotation text"/>
    <w:basedOn w:val="1"/>
    <w:link w:val="96"/>
    <w:autoRedefine/>
    <w:unhideWhenUsed/>
    <w:qFormat/>
    <w:uiPriority w:val="99"/>
    <w:pPr>
      <w:jc w:val="left"/>
    </w:pPr>
  </w:style>
  <w:style w:type="paragraph" w:styleId="18">
    <w:name w:val="Body Text 3"/>
    <w:basedOn w:val="1"/>
    <w:link w:val="158"/>
    <w:autoRedefine/>
    <w:qFormat/>
    <w:uiPriority w:val="0"/>
    <w:pPr>
      <w:spacing w:line="280" w:lineRule="exact"/>
      <w:jc w:val="center"/>
    </w:pPr>
    <w:rPr>
      <w:sz w:val="24"/>
      <w:szCs w:val="20"/>
    </w:rPr>
  </w:style>
  <w:style w:type="paragraph" w:styleId="19">
    <w:name w:val="Body Text"/>
    <w:basedOn w:val="1"/>
    <w:link w:val="74"/>
    <w:autoRedefine/>
    <w:qFormat/>
    <w:uiPriority w:val="0"/>
    <w:pPr>
      <w:spacing w:after="120"/>
    </w:pPr>
    <w:rPr>
      <w:szCs w:val="24"/>
      <w:lang w:val="zh-CN"/>
    </w:rPr>
  </w:style>
  <w:style w:type="paragraph" w:styleId="20">
    <w:name w:val="Body Text Indent"/>
    <w:basedOn w:val="1"/>
    <w:link w:val="156"/>
    <w:autoRedefine/>
    <w:qFormat/>
    <w:uiPriority w:val="0"/>
    <w:pPr>
      <w:ind w:firstLine="570"/>
    </w:pPr>
    <w:rPr>
      <w:spacing w:val="4"/>
      <w:sz w:val="24"/>
      <w:szCs w:val="20"/>
    </w:rPr>
  </w:style>
  <w:style w:type="paragraph" w:styleId="21">
    <w:name w:val="Block Text"/>
    <w:basedOn w:val="1"/>
    <w:autoRedefine/>
    <w:unhideWhenUsed/>
    <w:qFormat/>
    <w:uiPriority w:val="0"/>
    <w:pPr>
      <w:widowControl/>
      <w:spacing w:after="120"/>
      <w:ind w:left="1440" w:leftChars="700" w:right="1440" w:rightChars="700"/>
      <w:jc w:val="left"/>
    </w:pPr>
    <w:rPr>
      <w:kern w:val="0"/>
      <w:sz w:val="20"/>
      <w:szCs w:val="20"/>
    </w:rPr>
  </w:style>
  <w:style w:type="paragraph" w:styleId="22">
    <w:name w:val="List Bullet 2"/>
    <w:basedOn w:val="1"/>
    <w:autoRedefine/>
    <w:unhideWhenUsed/>
    <w:qFormat/>
    <w:uiPriority w:val="0"/>
    <w:pPr>
      <w:numPr>
        <w:ilvl w:val="0"/>
        <w:numId w:val="2"/>
      </w:numPr>
      <w:ind w:left="0" w:leftChars="0" w:firstLine="0" w:firstLineChars="0"/>
    </w:pPr>
    <w:rPr>
      <w:sz w:val="28"/>
      <w:szCs w:val="28"/>
    </w:rPr>
  </w:style>
  <w:style w:type="paragraph" w:styleId="23">
    <w:name w:val="toc 5"/>
    <w:basedOn w:val="1"/>
    <w:next w:val="1"/>
    <w:autoRedefine/>
    <w:unhideWhenUsed/>
    <w:qFormat/>
    <w:uiPriority w:val="39"/>
    <w:pPr>
      <w:adjustRightInd w:val="0"/>
      <w:snapToGrid w:val="0"/>
      <w:spacing w:line="520" w:lineRule="exact"/>
      <w:ind w:left="1680" w:leftChars="800" w:firstLine="200" w:firstLineChars="200"/>
    </w:pPr>
    <w:rPr>
      <w:kern w:val="0"/>
      <w:sz w:val="24"/>
      <w:szCs w:val="20"/>
    </w:rPr>
  </w:style>
  <w:style w:type="paragraph" w:styleId="24">
    <w:name w:val="toc 3"/>
    <w:basedOn w:val="1"/>
    <w:next w:val="1"/>
    <w:autoRedefine/>
    <w:qFormat/>
    <w:uiPriority w:val="0"/>
    <w:pPr>
      <w:ind w:left="840" w:leftChars="400"/>
    </w:pPr>
    <w:rPr>
      <w:szCs w:val="24"/>
    </w:rPr>
  </w:style>
  <w:style w:type="paragraph" w:styleId="25">
    <w:name w:val="Plain Text"/>
    <w:basedOn w:val="1"/>
    <w:link w:val="76"/>
    <w:autoRedefine/>
    <w:unhideWhenUsed/>
    <w:qFormat/>
    <w:uiPriority w:val="0"/>
    <w:rPr>
      <w:rFonts w:ascii="宋体" w:hAnsi="Courier New"/>
      <w:szCs w:val="21"/>
      <w:lang w:val="zh-CN"/>
    </w:rPr>
  </w:style>
  <w:style w:type="paragraph" w:styleId="26">
    <w:name w:val="toc 8"/>
    <w:basedOn w:val="1"/>
    <w:next w:val="1"/>
    <w:autoRedefine/>
    <w:qFormat/>
    <w:uiPriority w:val="39"/>
    <w:pPr>
      <w:ind w:left="1680"/>
      <w:jc w:val="left"/>
    </w:pPr>
    <w:rPr>
      <w:sz w:val="18"/>
      <w:szCs w:val="18"/>
    </w:rPr>
  </w:style>
  <w:style w:type="paragraph" w:styleId="27">
    <w:name w:val="Date"/>
    <w:basedOn w:val="1"/>
    <w:next w:val="1"/>
    <w:link w:val="154"/>
    <w:autoRedefine/>
    <w:qFormat/>
    <w:uiPriority w:val="0"/>
    <w:rPr>
      <w:rFonts w:ascii="方正舒体" w:eastAsia="方正舒体"/>
      <w:b/>
      <w:sz w:val="24"/>
      <w:szCs w:val="20"/>
    </w:rPr>
  </w:style>
  <w:style w:type="paragraph" w:styleId="28">
    <w:name w:val="Body Text Indent 2"/>
    <w:basedOn w:val="1"/>
    <w:link w:val="162"/>
    <w:autoRedefine/>
    <w:qFormat/>
    <w:uiPriority w:val="0"/>
    <w:pPr>
      <w:ind w:firstLine="560" w:firstLineChars="200"/>
    </w:pPr>
    <w:rPr>
      <w:sz w:val="24"/>
      <w:szCs w:val="20"/>
    </w:rPr>
  </w:style>
  <w:style w:type="paragraph" w:styleId="29">
    <w:name w:val="Balloon Text"/>
    <w:basedOn w:val="1"/>
    <w:link w:val="72"/>
    <w:autoRedefine/>
    <w:unhideWhenUsed/>
    <w:qFormat/>
    <w:uiPriority w:val="99"/>
    <w:rPr>
      <w:kern w:val="0"/>
      <w:sz w:val="18"/>
      <w:szCs w:val="18"/>
      <w:lang w:val="zh-CN"/>
    </w:rPr>
  </w:style>
  <w:style w:type="paragraph" w:styleId="30">
    <w:name w:val="footer"/>
    <w:basedOn w:val="1"/>
    <w:link w:val="71"/>
    <w:autoRedefine/>
    <w:unhideWhenUsed/>
    <w:qFormat/>
    <w:uiPriority w:val="99"/>
    <w:pPr>
      <w:tabs>
        <w:tab w:val="center" w:pos="4153"/>
        <w:tab w:val="right" w:pos="8306"/>
      </w:tabs>
      <w:snapToGrid w:val="0"/>
      <w:jc w:val="left"/>
    </w:pPr>
    <w:rPr>
      <w:kern w:val="0"/>
      <w:sz w:val="18"/>
      <w:szCs w:val="18"/>
      <w:lang w:val="zh-CN"/>
    </w:rPr>
  </w:style>
  <w:style w:type="paragraph" w:styleId="31">
    <w:name w:val="header"/>
    <w:basedOn w:val="1"/>
    <w:link w:val="83"/>
    <w:autoRedefine/>
    <w:unhideWhenUsed/>
    <w:qFormat/>
    <w:uiPriority w:val="99"/>
    <w:pPr>
      <w:pBdr>
        <w:bottom w:val="single" w:color="auto" w:sz="6" w:space="1"/>
      </w:pBdr>
      <w:tabs>
        <w:tab w:val="center" w:pos="4153"/>
        <w:tab w:val="right" w:pos="8306"/>
      </w:tabs>
      <w:snapToGrid w:val="0"/>
      <w:jc w:val="center"/>
    </w:pPr>
    <w:rPr>
      <w:kern w:val="0"/>
      <w:sz w:val="18"/>
      <w:szCs w:val="18"/>
      <w:lang w:val="zh-CN"/>
    </w:rPr>
  </w:style>
  <w:style w:type="paragraph" w:styleId="32">
    <w:name w:val="toc 1"/>
    <w:basedOn w:val="1"/>
    <w:next w:val="1"/>
    <w:autoRedefine/>
    <w:unhideWhenUsed/>
    <w:qFormat/>
    <w:uiPriority w:val="39"/>
    <w:pPr>
      <w:tabs>
        <w:tab w:val="right" w:leader="dot" w:pos="8306"/>
      </w:tabs>
      <w:spacing w:line="440" w:lineRule="exact"/>
    </w:pPr>
    <w:rPr>
      <w:b/>
      <w:kern w:val="44"/>
      <w:sz w:val="28"/>
      <w:szCs w:val="28"/>
      <w:lang w:val="zh-CN"/>
    </w:rPr>
  </w:style>
  <w:style w:type="paragraph" w:styleId="33">
    <w:name w:val="toc 4"/>
    <w:basedOn w:val="1"/>
    <w:next w:val="1"/>
    <w:autoRedefine/>
    <w:qFormat/>
    <w:uiPriority w:val="39"/>
    <w:pPr>
      <w:adjustRightInd w:val="0"/>
      <w:snapToGrid w:val="0"/>
      <w:spacing w:line="520" w:lineRule="exact"/>
      <w:ind w:left="840" w:firstLine="200" w:firstLineChars="200"/>
      <w:jc w:val="left"/>
      <w:textAlignment w:val="baseline"/>
    </w:pPr>
    <w:rPr>
      <w:rFonts w:ascii="Calibri" w:hAnsi="Calibri"/>
      <w:kern w:val="0"/>
      <w:sz w:val="18"/>
      <w:szCs w:val="18"/>
    </w:rPr>
  </w:style>
  <w:style w:type="paragraph" w:styleId="34">
    <w:name w:val="Subtitle"/>
    <w:basedOn w:val="1"/>
    <w:next w:val="1"/>
    <w:link w:val="239"/>
    <w:autoRedefine/>
    <w:qFormat/>
    <w:uiPriority w:val="0"/>
    <w:pPr>
      <w:spacing w:before="240" w:after="60" w:line="312" w:lineRule="auto"/>
      <w:jc w:val="center"/>
      <w:outlineLvl w:val="1"/>
    </w:pPr>
    <w:rPr>
      <w:rFonts w:ascii="Cambria" w:hAnsi="Cambria"/>
      <w:b/>
      <w:bCs/>
      <w:kern w:val="28"/>
      <w:sz w:val="32"/>
      <w:szCs w:val="32"/>
      <w:lang w:val="zh-CN"/>
    </w:rPr>
  </w:style>
  <w:style w:type="paragraph" w:styleId="35">
    <w:name w:val="List"/>
    <w:basedOn w:val="1"/>
    <w:autoRedefine/>
    <w:qFormat/>
    <w:uiPriority w:val="0"/>
    <w:pPr>
      <w:spacing w:line="320" w:lineRule="exact"/>
      <w:jc w:val="center"/>
    </w:pPr>
    <w:rPr>
      <w:rFonts w:ascii="楷体_GB2312" w:eastAsia="楷体_GB2312"/>
      <w:sz w:val="24"/>
      <w:szCs w:val="20"/>
    </w:rPr>
  </w:style>
  <w:style w:type="paragraph" w:styleId="36">
    <w:name w:val="footnote text"/>
    <w:basedOn w:val="1"/>
    <w:link w:val="240"/>
    <w:autoRedefine/>
    <w:qFormat/>
    <w:uiPriority w:val="0"/>
    <w:pPr>
      <w:snapToGrid w:val="0"/>
      <w:spacing w:line="440" w:lineRule="exact"/>
      <w:jc w:val="left"/>
    </w:pPr>
    <w:rPr>
      <w:rFonts w:ascii="宋体" w:hAnsi="宋体"/>
      <w:kern w:val="0"/>
      <w:sz w:val="18"/>
      <w:szCs w:val="18"/>
      <w:lang w:val="zh-CN"/>
    </w:rPr>
  </w:style>
  <w:style w:type="paragraph" w:styleId="37">
    <w:name w:val="toc 6"/>
    <w:basedOn w:val="1"/>
    <w:next w:val="1"/>
    <w:autoRedefine/>
    <w:qFormat/>
    <w:uiPriority w:val="39"/>
    <w:pPr>
      <w:ind w:left="1200"/>
      <w:jc w:val="left"/>
    </w:pPr>
    <w:rPr>
      <w:sz w:val="18"/>
      <w:szCs w:val="18"/>
    </w:rPr>
  </w:style>
  <w:style w:type="paragraph" w:styleId="38">
    <w:name w:val="Body Text Indent 3"/>
    <w:basedOn w:val="1"/>
    <w:link w:val="146"/>
    <w:autoRedefine/>
    <w:qFormat/>
    <w:uiPriority w:val="0"/>
    <w:pPr>
      <w:spacing w:after="120"/>
      <w:ind w:left="420" w:leftChars="200"/>
    </w:pPr>
    <w:rPr>
      <w:sz w:val="16"/>
      <w:szCs w:val="16"/>
      <w:lang w:val="zh-CN"/>
    </w:rPr>
  </w:style>
  <w:style w:type="paragraph" w:styleId="39">
    <w:name w:val="toc 2"/>
    <w:basedOn w:val="1"/>
    <w:next w:val="13"/>
    <w:autoRedefine/>
    <w:unhideWhenUsed/>
    <w:qFormat/>
    <w:uiPriority w:val="39"/>
    <w:pPr>
      <w:ind w:left="420" w:leftChars="200"/>
    </w:pPr>
  </w:style>
  <w:style w:type="paragraph" w:styleId="40">
    <w:name w:val="toc 9"/>
    <w:basedOn w:val="1"/>
    <w:next w:val="1"/>
    <w:autoRedefine/>
    <w:qFormat/>
    <w:uiPriority w:val="39"/>
    <w:pPr>
      <w:ind w:left="1920"/>
      <w:jc w:val="left"/>
    </w:pPr>
    <w:rPr>
      <w:sz w:val="18"/>
      <w:szCs w:val="18"/>
    </w:rPr>
  </w:style>
  <w:style w:type="paragraph" w:styleId="41">
    <w:name w:val="Body Text 2"/>
    <w:basedOn w:val="1"/>
    <w:link w:val="87"/>
    <w:autoRedefine/>
    <w:unhideWhenUsed/>
    <w:qFormat/>
    <w:uiPriority w:val="0"/>
    <w:pPr>
      <w:spacing w:after="120" w:line="480" w:lineRule="auto"/>
    </w:pPr>
  </w:style>
  <w:style w:type="paragraph" w:styleId="42">
    <w:name w:val="HTML Preformatted"/>
    <w:basedOn w:val="1"/>
    <w:link w:val="140"/>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lang w:val="zh-CN"/>
    </w:rPr>
  </w:style>
  <w:style w:type="paragraph" w:styleId="43">
    <w:name w:val="Normal (Web)"/>
    <w:basedOn w:val="1"/>
    <w:link w:val="447"/>
    <w:autoRedefine/>
    <w:unhideWhenUsed/>
    <w:qFormat/>
    <w:uiPriority w:val="0"/>
    <w:pPr>
      <w:widowControl/>
      <w:spacing w:before="100" w:beforeAutospacing="1" w:after="100" w:afterAutospacing="1"/>
      <w:jc w:val="left"/>
    </w:pPr>
    <w:rPr>
      <w:rFonts w:ascii="宋体" w:hAnsi="宋体" w:cs="宋体"/>
      <w:kern w:val="0"/>
      <w:sz w:val="24"/>
      <w:szCs w:val="24"/>
    </w:rPr>
  </w:style>
  <w:style w:type="paragraph" w:styleId="44">
    <w:name w:val="index 1"/>
    <w:basedOn w:val="1"/>
    <w:next w:val="1"/>
    <w:autoRedefine/>
    <w:qFormat/>
    <w:uiPriority w:val="0"/>
    <w:pPr>
      <w:jc w:val="center"/>
    </w:pPr>
    <w:rPr>
      <w:szCs w:val="24"/>
    </w:rPr>
  </w:style>
  <w:style w:type="paragraph" w:styleId="45">
    <w:name w:val="Title"/>
    <w:basedOn w:val="1"/>
    <w:link w:val="171"/>
    <w:autoRedefine/>
    <w:qFormat/>
    <w:uiPriority w:val="10"/>
    <w:pPr>
      <w:spacing w:before="120" w:after="60"/>
      <w:jc w:val="center"/>
      <w:outlineLvl w:val="0"/>
    </w:pPr>
    <w:rPr>
      <w:rFonts w:ascii="Arial" w:hAnsi="Arial"/>
      <w:sz w:val="30"/>
      <w:szCs w:val="32"/>
      <w:lang w:val="zh-CN"/>
    </w:rPr>
  </w:style>
  <w:style w:type="paragraph" w:styleId="46">
    <w:name w:val="annotation subject"/>
    <w:basedOn w:val="17"/>
    <w:next w:val="17"/>
    <w:link w:val="164"/>
    <w:autoRedefine/>
    <w:qFormat/>
    <w:uiPriority w:val="99"/>
    <w:rPr>
      <w:b/>
      <w:bCs/>
      <w:sz w:val="24"/>
      <w:szCs w:val="24"/>
    </w:rPr>
  </w:style>
  <w:style w:type="paragraph" w:styleId="47">
    <w:name w:val="Body Text First Indent"/>
    <w:basedOn w:val="19"/>
    <w:link w:val="435"/>
    <w:autoRedefine/>
    <w:unhideWhenUsed/>
    <w:qFormat/>
    <w:uiPriority w:val="0"/>
    <w:pPr>
      <w:ind w:firstLine="420" w:firstLineChars="100"/>
    </w:pPr>
    <w:rPr>
      <w:kern w:val="0"/>
      <w:sz w:val="24"/>
      <w:szCs w:val="20"/>
      <w:lang w:val="en-US"/>
    </w:rPr>
  </w:style>
  <w:style w:type="paragraph" w:styleId="48">
    <w:name w:val="Body Text First Indent 2"/>
    <w:basedOn w:val="20"/>
    <w:link w:val="444"/>
    <w:autoRedefine/>
    <w:unhideWhenUsed/>
    <w:qFormat/>
    <w:uiPriority w:val="99"/>
    <w:pPr>
      <w:adjustRightInd w:val="0"/>
      <w:snapToGrid w:val="0"/>
      <w:spacing w:after="120" w:line="520" w:lineRule="exact"/>
      <w:ind w:left="420" w:leftChars="200" w:firstLine="420" w:firstLineChars="200"/>
      <w:textAlignment w:val="baseline"/>
    </w:pPr>
    <w:rPr>
      <w:spacing w:val="0"/>
      <w:kern w:val="0"/>
    </w:rPr>
  </w:style>
  <w:style w:type="table" w:styleId="50">
    <w:name w:val="Table Grid"/>
    <w:basedOn w:val="49"/>
    <w:autoRedefine/>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1">
    <w:name w:val="Table Elegant"/>
    <w:basedOn w:val="49"/>
    <w:autoRedefine/>
    <w:semiHidden/>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table" w:styleId="52">
    <w:name w:val="Table List 3"/>
    <w:basedOn w:val="49"/>
    <w:autoRedefine/>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53">
    <w:name w:val="Table List 5"/>
    <w:basedOn w:val="49"/>
    <w:autoRedefine/>
    <w:qFormat/>
    <w:uiPriority w:val="0"/>
    <w:pPr>
      <w:widowControl w:val="0"/>
      <w:spacing w:line="52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54">
    <w:name w:val="Light List Accent 3"/>
    <w:basedOn w:val="49"/>
    <w:autoRedefine/>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character" w:styleId="56">
    <w:name w:val="Strong"/>
    <w:autoRedefine/>
    <w:qFormat/>
    <w:uiPriority w:val="0"/>
    <w:rPr>
      <w:rFonts w:cs="Times New Roman"/>
      <w:b/>
      <w:bCs/>
    </w:rPr>
  </w:style>
  <w:style w:type="character" w:styleId="57">
    <w:name w:val="page number"/>
    <w:basedOn w:val="55"/>
    <w:autoRedefine/>
    <w:qFormat/>
    <w:uiPriority w:val="0"/>
  </w:style>
  <w:style w:type="character" w:styleId="58">
    <w:name w:val="FollowedHyperlink"/>
    <w:autoRedefine/>
    <w:unhideWhenUsed/>
    <w:qFormat/>
    <w:uiPriority w:val="99"/>
    <w:rPr>
      <w:color w:val="800080"/>
      <w:u w:val="single"/>
    </w:rPr>
  </w:style>
  <w:style w:type="character" w:styleId="59">
    <w:name w:val="Emphasis"/>
    <w:autoRedefine/>
    <w:qFormat/>
    <w:uiPriority w:val="0"/>
    <w:rPr>
      <w:i/>
      <w:iCs/>
    </w:rPr>
  </w:style>
  <w:style w:type="character" w:styleId="60">
    <w:name w:val="line number"/>
    <w:basedOn w:val="55"/>
    <w:autoRedefine/>
    <w:unhideWhenUsed/>
    <w:qFormat/>
    <w:uiPriority w:val="99"/>
  </w:style>
  <w:style w:type="character" w:styleId="61">
    <w:name w:val="HTML Typewriter"/>
    <w:autoRedefine/>
    <w:unhideWhenUsed/>
    <w:qFormat/>
    <w:uiPriority w:val="0"/>
    <w:rPr>
      <w:rFonts w:hint="eastAsia" w:ascii="黑体" w:hAnsi="Courier New" w:eastAsia="黑体" w:cs="Times New Roman"/>
      <w:sz w:val="18"/>
      <w:szCs w:val="24"/>
    </w:rPr>
  </w:style>
  <w:style w:type="character" w:styleId="62">
    <w:name w:val="Hyperlink"/>
    <w:autoRedefine/>
    <w:unhideWhenUsed/>
    <w:qFormat/>
    <w:uiPriority w:val="99"/>
    <w:rPr>
      <w:color w:val="0000FF"/>
      <w:u w:val="single"/>
    </w:rPr>
  </w:style>
  <w:style w:type="character" w:styleId="63">
    <w:name w:val="annotation reference"/>
    <w:basedOn w:val="55"/>
    <w:autoRedefine/>
    <w:unhideWhenUsed/>
    <w:qFormat/>
    <w:uiPriority w:val="99"/>
    <w:rPr>
      <w:sz w:val="21"/>
      <w:szCs w:val="21"/>
    </w:rPr>
  </w:style>
  <w:style w:type="character" w:styleId="64">
    <w:name w:val="HTML Cite"/>
    <w:autoRedefine/>
    <w:qFormat/>
    <w:uiPriority w:val="0"/>
    <w:rPr>
      <w:color w:val="008000"/>
    </w:rPr>
  </w:style>
  <w:style w:type="character" w:styleId="65">
    <w:name w:val="footnote reference"/>
    <w:autoRedefine/>
    <w:qFormat/>
    <w:uiPriority w:val="0"/>
    <w:rPr>
      <w:vertAlign w:val="superscript"/>
    </w:rPr>
  </w:style>
  <w:style w:type="character" w:customStyle="1" w:styleId="66">
    <w:name w:val="文档结构图 字符"/>
    <w:link w:val="16"/>
    <w:autoRedefine/>
    <w:qFormat/>
    <w:uiPriority w:val="99"/>
    <w:rPr>
      <w:rFonts w:ascii="宋体"/>
      <w:kern w:val="2"/>
      <w:sz w:val="18"/>
      <w:szCs w:val="18"/>
    </w:rPr>
  </w:style>
  <w:style w:type="character" w:customStyle="1" w:styleId="67">
    <w:name w:val="D正文 Char Char Char"/>
    <w:link w:val="68"/>
    <w:autoRedefine/>
    <w:qFormat/>
    <w:uiPriority w:val="0"/>
    <w:rPr>
      <w:kern w:val="2"/>
      <w:sz w:val="24"/>
      <w:szCs w:val="24"/>
    </w:rPr>
  </w:style>
  <w:style w:type="paragraph" w:customStyle="1" w:styleId="68">
    <w:name w:val="D正文"/>
    <w:basedOn w:val="1"/>
    <w:link w:val="67"/>
    <w:autoRedefine/>
    <w:qFormat/>
    <w:uiPriority w:val="0"/>
    <w:pPr>
      <w:spacing w:line="360" w:lineRule="auto"/>
      <w:ind w:firstLine="480" w:firstLineChars="200"/>
    </w:pPr>
    <w:rPr>
      <w:sz w:val="24"/>
      <w:szCs w:val="24"/>
      <w:lang w:val="zh-CN"/>
    </w:rPr>
  </w:style>
  <w:style w:type="character" w:customStyle="1" w:styleId="69">
    <w:name w:val="1111正文 Char"/>
    <w:link w:val="70"/>
    <w:autoRedefine/>
    <w:qFormat/>
    <w:uiPriority w:val="0"/>
    <w:rPr>
      <w:rFonts w:ascii="Times New Roman" w:hAnsi="Times New Roman"/>
      <w:kern w:val="2"/>
      <w:sz w:val="24"/>
      <w:szCs w:val="24"/>
    </w:rPr>
  </w:style>
  <w:style w:type="paragraph" w:customStyle="1" w:styleId="70">
    <w:name w:val="1111正文"/>
    <w:basedOn w:val="1"/>
    <w:link w:val="69"/>
    <w:autoRedefine/>
    <w:qFormat/>
    <w:uiPriority w:val="0"/>
    <w:pPr>
      <w:spacing w:line="540" w:lineRule="exact"/>
      <w:ind w:firstLine="480" w:firstLineChars="200"/>
    </w:pPr>
    <w:rPr>
      <w:sz w:val="24"/>
      <w:szCs w:val="24"/>
      <w:lang w:val="zh-CN"/>
    </w:rPr>
  </w:style>
  <w:style w:type="character" w:customStyle="1" w:styleId="71">
    <w:name w:val="页脚 字符"/>
    <w:link w:val="30"/>
    <w:autoRedefine/>
    <w:qFormat/>
    <w:uiPriority w:val="99"/>
    <w:rPr>
      <w:sz w:val="18"/>
      <w:szCs w:val="18"/>
    </w:rPr>
  </w:style>
  <w:style w:type="character" w:customStyle="1" w:styleId="72">
    <w:name w:val="批注框文本 字符"/>
    <w:link w:val="29"/>
    <w:autoRedefine/>
    <w:qFormat/>
    <w:uiPriority w:val="99"/>
    <w:rPr>
      <w:sz w:val="18"/>
      <w:szCs w:val="18"/>
    </w:rPr>
  </w:style>
  <w:style w:type="character" w:customStyle="1" w:styleId="73">
    <w:name w:val="正文缩进 字符"/>
    <w:link w:val="5"/>
    <w:autoRedefine/>
    <w:qFormat/>
    <w:uiPriority w:val="0"/>
    <w:rPr>
      <w:rFonts w:eastAsia="宋体"/>
      <w:sz w:val="28"/>
    </w:rPr>
  </w:style>
  <w:style w:type="character" w:customStyle="1" w:styleId="74">
    <w:name w:val="正文文本 字符"/>
    <w:link w:val="19"/>
    <w:autoRedefine/>
    <w:qFormat/>
    <w:uiPriority w:val="0"/>
    <w:rPr>
      <w:rFonts w:ascii="Times New Roman" w:hAnsi="Times New Roman"/>
      <w:kern w:val="2"/>
      <w:sz w:val="21"/>
      <w:szCs w:val="24"/>
    </w:rPr>
  </w:style>
  <w:style w:type="character" w:customStyle="1" w:styleId="75">
    <w:name w:val="纯文本 Char"/>
    <w:autoRedefine/>
    <w:qFormat/>
    <w:uiPriority w:val="99"/>
    <w:rPr>
      <w:rFonts w:ascii="宋体" w:hAnsi="Courier New" w:cs="Courier New"/>
      <w:kern w:val="2"/>
      <w:sz w:val="21"/>
      <w:szCs w:val="21"/>
    </w:rPr>
  </w:style>
  <w:style w:type="character" w:customStyle="1" w:styleId="76">
    <w:name w:val="纯文本 字符"/>
    <w:link w:val="25"/>
    <w:autoRedefine/>
    <w:qFormat/>
    <w:locked/>
    <w:uiPriority w:val="99"/>
    <w:rPr>
      <w:rFonts w:ascii="宋体" w:hAnsi="Courier New"/>
      <w:kern w:val="2"/>
      <w:sz w:val="21"/>
      <w:szCs w:val="21"/>
    </w:rPr>
  </w:style>
  <w:style w:type="character" w:customStyle="1" w:styleId="77">
    <w:name w:val="正文一 Char"/>
    <w:link w:val="78"/>
    <w:autoRedefine/>
    <w:qFormat/>
    <w:uiPriority w:val="0"/>
    <w:rPr>
      <w:rFonts w:ascii="Times New Roman" w:hAnsi="Times New Roman"/>
      <w:kern w:val="2"/>
      <w:sz w:val="28"/>
      <w:szCs w:val="28"/>
    </w:rPr>
  </w:style>
  <w:style w:type="paragraph" w:customStyle="1" w:styleId="78">
    <w:name w:val="正文一"/>
    <w:basedOn w:val="79"/>
    <w:link w:val="77"/>
    <w:autoRedefine/>
    <w:qFormat/>
    <w:uiPriority w:val="0"/>
    <w:pPr>
      <w:spacing w:line="600" w:lineRule="exact"/>
      <w:ind w:firstLine="200"/>
    </w:pPr>
    <w:rPr>
      <w:sz w:val="28"/>
      <w:szCs w:val="28"/>
      <w:lang w:val="zh-CN"/>
    </w:rPr>
  </w:style>
  <w:style w:type="paragraph" w:customStyle="1" w:styleId="79">
    <w:name w:val="列出段落"/>
    <w:basedOn w:val="1"/>
    <w:autoRedefine/>
    <w:qFormat/>
    <w:uiPriority w:val="99"/>
    <w:pPr>
      <w:ind w:firstLine="420" w:firstLineChars="200"/>
    </w:pPr>
  </w:style>
  <w:style w:type="character" w:customStyle="1" w:styleId="80">
    <w:name w:val="Body text (2)_"/>
    <w:link w:val="81"/>
    <w:autoRedefine/>
    <w:qFormat/>
    <w:locked/>
    <w:uiPriority w:val="0"/>
    <w:rPr>
      <w:rFonts w:ascii="MingLiU" w:hAnsi="MingLiU" w:eastAsia="MingLiU"/>
      <w:sz w:val="13"/>
      <w:szCs w:val="13"/>
      <w:shd w:val="clear" w:color="auto" w:fill="FFFFFF"/>
    </w:rPr>
  </w:style>
  <w:style w:type="paragraph" w:customStyle="1" w:styleId="81">
    <w:name w:val="Body text (2)1"/>
    <w:basedOn w:val="1"/>
    <w:link w:val="80"/>
    <w:autoRedefine/>
    <w:qFormat/>
    <w:uiPriority w:val="0"/>
    <w:pPr>
      <w:shd w:val="clear" w:color="auto" w:fill="FFFFFF"/>
      <w:spacing w:line="343" w:lineRule="exact"/>
      <w:ind w:hanging="260"/>
      <w:jc w:val="left"/>
    </w:pPr>
    <w:rPr>
      <w:rFonts w:ascii="MingLiU" w:hAnsi="MingLiU" w:eastAsia="MingLiU"/>
      <w:kern w:val="0"/>
      <w:sz w:val="13"/>
      <w:szCs w:val="13"/>
      <w:lang w:val="zh-CN"/>
    </w:rPr>
  </w:style>
  <w:style w:type="character" w:customStyle="1" w:styleId="82">
    <w:name w:val="标题 2 字符"/>
    <w:link w:val="3"/>
    <w:autoRedefine/>
    <w:qFormat/>
    <w:uiPriority w:val="0"/>
    <w:rPr>
      <w:rFonts w:ascii="Cambria" w:hAnsi="Cambria"/>
      <w:b/>
      <w:bCs/>
      <w:kern w:val="2"/>
      <w:sz w:val="32"/>
      <w:szCs w:val="32"/>
    </w:rPr>
  </w:style>
  <w:style w:type="character" w:customStyle="1" w:styleId="83">
    <w:name w:val="页眉 字符"/>
    <w:link w:val="31"/>
    <w:autoRedefine/>
    <w:qFormat/>
    <w:uiPriority w:val="99"/>
    <w:rPr>
      <w:sz w:val="18"/>
      <w:szCs w:val="18"/>
    </w:rPr>
  </w:style>
  <w:style w:type="character" w:customStyle="1" w:styleId="84">
    <w:name w:val="标题 1 字符"/>
    <w:link w:val="2"/>
    <w:autoRedefine/>
    <w:qFormat/>
    <w:uiPriority w:val="9"/>
    <w:rPr>
      <w:rFonts w:ascii="Times New Roman" w:hAnsi="Times New Roman" w:eastAsia="黑体"/>
      <w:b/>
      <w:bCs/>
      <w:kern w:val="44"/>
      <w:sz w:val="42"/>
    </w:rPr>
  </w:style>
  <w:style w:type="paragraph" w:customStyle="1" w:styleId="85">
    <w:name w:val="reader-word-layer"/>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86">
    <w:name w:val="Default"/>
    <w:link w:val="105"/>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87">
    <w:name w:val="正文文本 2 字符"/>
    <w:link w:val="41"/>
    <w:autoRedefine/>
    <w:qFormat/>
    <w:uiPriority w:val="0"/>
    <w:rPr>
      <w:kern w:val="2"/>
      <w:sz w:val="21"/>
      <w:szCs w:val="22"/>
    </w:rPr>
  </w:style>
  <w:style w:type="character" w:customStyle="1" w:styleId="88">
    <w:name w:val="段落 Char"/>
    <w:link w:val="89"/>
    <w:autoRedefine/>
    <w:qFormat/>
    <w:locked/>
    <w:uiPriority w:val="0"/>
    <w:rPr>
      <w:rFonts w:ascii="宋体" w:hAnsi="宋体"/>
      <w:sz w:val="24"/>
      <w:szCs w:val="28"/>
    </w:rPr>
  </w:style>
  <w:style w:type="paragraph" w:customStyle="1" w:styleId="89">
    <w:name w:val="段落"/>
    <w:basedOn w:val="1"/>
    <w:link w:val="88"/>
    <w:autoRedefine/>
    <w:qFormat/>
    <w:uiPriority w:val="0"/>
    <w:pPr>
      <w:spacing w:line="360" w:lineRule="auto"/>
    </w:pPr>
    <w:rPr>
      <w:rFonts w:ascii="宋体" w:hAnsi="宋体"/>
      <w:kern w:val="0"/>
      <w:sz w:val="24"/>
      <w:szCs w:val="28"/>
    </w:rPr>
  </w:style>
  <w:style w:type="paragraph" w:customStyle="1" w:styleId="90">
    <w:name w:val="鸿达表格文字"/>
    <w:basedOn w:val="1"/>
    <w:link w:val="91"/>
    <w:autoRedefine/>
    <w:qFormat/>
    <w:uiPriority w:val="0"/>
    <w:pPr>
      <w:contextualSpacing/>
      <w:jc w:val="center"/>
      <w:textAlignment w:val="baseline"/>
    </w:pPr>
    <w:rPr>
      <w:kern w:val="0"/>
      <w:szCs w:val="21"/>
    </w:rPr>
  </w:style>
  <w:style w:type="character" w:customStyle="1" w:styleId="91">
    <w:name w:val="鸿达表格文字 Char"/>
    <w:link w:val="90"/>
    <w:autoRedefine/>
    <w:qFormat/>
    <w:uiPriority w:val="0"/>
    <w:rPr>
      <w:sz w:val="21"/>
      <w:szCs w:val="21"/>
    </w:rPr>
  </w:style>
  <w:style w:type="paragraph" w:customStyle="1" w:styleId="92">
    <w:name w:val="鸿达表头"/>
    <w:basedOn w:val="1"/>
    <w:link w:val="93"/>
    <w:autoRedefine/>
    <w:qFormat/>
    <w:uiPriority w:val="0"/>
    <w:pPr>
      <w:spacing w:beforeLines="50" w:afterLines="50"/>
      <w:ind w:firstLine="200" w:firstLineChars="200"/>
    </w:pPr>
    <w:rPr>
      <w:b/>
      <w:sz w:val="24"/>
      <w:szCs w:val="24"/>
    </w:rPr>
  </w:style>
  <w:style w:type="character" w:customStyle="1" w:styleId="93">
    <w:name w:val="鸿达表头 Char"/>
    <w:link w:val="92"/>
    <w:autoRedefine/>
    <w:qFormat/>
    <w:uiPriority w:val="0"/>
    <w:rPr>
      <w:b/>
      <w:kern w:val="2"/>
      <w:sz w:val="24"/>
      <w:szCs w:val="24"/>
    </w:rPr>
  </w:style>
  <w:style w:type="paragraph" w:customStyle="1" w:styleId="94">
    <w:name w:val="鸿达表加粗"/>
    <w:basedOn w:val="1"/>
    <w:link w:val="110"/>
    <w:autoRedefine/>
    <w:qFormat/>
    <w:uiPriority w:val="0"/>
    <w:pPr>
      <w:jc w:val="center"/>
    </w:pPr>
    <w:rPr>
      <w:rFonts w:cs="宋体"/>
      <w:b/>
      <w:color w:val="000000"/>
      <w:szCs w:val="20"/>
    </w:rPr>
  </w:style>
  <w:style w:type="paragraph" w:customStyle="1" w:styleId="95">
    <w:name w:val="鸿达图标"/>
    <w:basedOn w:val="1"/>
    <w:link w:val="112"/>
    <w:autoRedefine/>
    <w:qFormat/>
    <w:uiPriority w:val="0"/>
    <w:pPr>
      <w:jc w:val="center"/>
    </w:pPr>
    <w:rPr>
      <w:b/>
      <w:sz w:val="24"/>
      <w:szCs w:val="20"/>
    </w:rPr>
  </w:style>
  <w:style w:type="character" w:customStyle="1" w:styleId="96">
    <w:name w:val="批注文字 字符"/>
    <w:basedOn w:val="55"/>
    <w:link w:val="17"/>
    <w:autoRedefine/>
    <w:qFormat/>
    <w:uiPriority w:val="99"/>
    <w:rPr>
      <w:kern w:val="2"/>
      <w:sz w:val="21"/>
      <w:szCs w:val="22"/>
    </w:rPr>
  </w:style>
  <w:style w:type="paragraph" w:customStyle="1" w:styleId="97">
    <w:name w:val="1级标题"/>
    <w:basedOn w:val="2"/>
    <w:link w:val="99"/>
    <w:autoRedefine/>
    <w:qFormat/>
    <w:uiPriority w:val="0"/>
    <w:pPr>
      <w:spacing w:before="0" w:after="0" w:line="360" w:lineRule="auto"/>
      <w:ind w:left="0" w:firstLine="0"/>
      <w:contextualSpacing/>
    </w:pPr>
    <w:rPr>
      <w:b w:val="0"/>
      <w:sz w:val="44"/>
      <w:szCs w:val="44"/>
    </w:rPr>
  </w:style>
  <w:style w:type="paragraph" w:customStyle="1" w:styleId="98">
    <w:name w:val="2级标题"/>
    <w:basedOn w:val="3"/>
    <w:link w:val="101"/>
    <w:autoRedefine/>
    <w:qFormat/>
    <w:uiPriority w:val="0"/>
    <w:pPr>
      <w:spacing w:before="0" w:after="0" w:line="360" w:lineRule="auto"/>
    </w:pPr>
    <w:rPr>
      <w:rFonts w:ascii="Times New Roman" w:hAnsi="Times New Roman" w:eastAsia="黑体"/>
      <w:b w:val="0"/>
      <w:sz w:val="28"/>
      <w:szCs w:val="28"/>
    </w:rPr>
  </w:style>
  <w:style w:type="character" w:customStyle="1" w:styleId="99">
    <w:name w:val="1级标题 字符"/>
    <w:basedOn w:val="84"/>
    <w:link w:val="97"/>
    <w:autoRedefine/>
    <w:qFormat/>
    <w:uiPriority w:val="0"/>
    <w:rPr>
      <w:rFonts w:ascii="Times New Roman" w:hAnsi="Times New Roman" w:eastAsia="黑体"/>
      <w:b w:val="0"/>
      <w:kern w:val="44"/>
      <w:sz w:val="44"/>
      <w:szCs w:val="44"/>
      <w:lang w:val="zh-CN"/>
    </w:rPr>
  </w:style>
  <w:style w:type="paragraph" w:customStyle="1" w:styleId="100">
    <w:name w:val="3级标题"/>
    <w:basedOn w:val="1"/>
    <w:link w:val="103"/>
    <w:autoRedefine/>
    <w:qFormat/>
    <w:uiPriority w:val="0"/>
    <w:pPr>
      <w:keepNext/>
      <w:keepLines/>
      <w:spacing w:line="360" w:lineRule="auto"/>
      <w:outlineLvl w:val="2"/>
    </w:pPr>
    <w:rPr>
      <w:rFonts w:eastAsia="黑体"/>
      <w:bCs/>
      <w:sz w:val="28"/>
      <w:szCs w:val="28"/>
    </w:rPr>
  </w:style>
  <w:style w:type="character" w:customStyle="1" w:styleId="101">
    <w:name w:val="2级标题 字符"/>
    <w:basedOn w:val="82"/>
    <w:link w:val="98"/>
    <w:autoRedefine/>
    <w:qFormat/>
    <w:uiPriority w:val="0"/>
    <w:rPr>
      <w:rFonts w:ascii="Cambria" w:hAnsi="Cambria" w:eastAsia="黑体"/>
      <w:b w:val="0"/>
      <w:kern w:val="2"/>
      <w:sz w:val="28"/>
      <w:szCs w:val="28"/>
      <w:lang w:val="zh-CN" w:eastAsia="zh-CN"/>
    </w:rPr>
  </w:style>
  <w:style w:type="paragraph" w:customStyle="1" w:styleId="102">
    <w:name w:val="正文 1"/>
    <w:basedOn w:val="86"/>
    <w:link w:val="106"/>
    <w:autoRedefine/>
    <w:qFormat/>
    <w:uiPriority w:val="0"/>
    <w:pPr>
      <w:adjustRightInd/>
      <w:spacing w:line="520" w:lineRule="exact"/>
      <w:ind w:firstLine="200" w:firstLineChars="200"/>
    </w:pPr>
    <w:rPr>
      <w:rFonts w:ascii="Times New Roman" w:cs="Times New Roman"/>
      <w:color w:val="auto"/>
    </w:rPr>
  </w:style>
  <w:style w:type="character" w:customStyle="1" w:styleId="103">
    <w:name w:val="3级标题 字符"/>
    <w:basedOn w:val="55"/>
    <w:link w:val="100"/>
    <w:autoRedefine/>
    <w:qFormat/>
    <w:uiPriority w:val="0"/>
    <w:rPr>
      <w:rFonts w:eastAsia="黑体"/>
      <w:bCs/>
      <w:kern w:val="2"/>
      <w:sz w:val="28"/>
      <w:szCs w:val="28"/>
    </w:rPr>
  </w:style>
  <w:style w:type="paragraph" w:customStyle="1" w:styleId="104">
    <w:name w:val="表头"/>
    <w:basedOn w:val="1"/>
    <w:link w:val="108"/>
    <w:autoRedefine/>
    <w:qFormat/>
    <w:uiPriority w:val="0"/>
    <w:pPr>
      <w:spacing w:line="520" w:lineRule="exact"/>
      <w:ind w:firstLine="200" w:firstLineChars="200"/>
    </w:pPr>
    <w:rPr>
      <w:rFonts w:eastAsia="黑体"/>
      <w:sz w:val="24"/>
      <w:szCs w:val="20"/>
    </w:rPr>
  </w:style>
  <w:style w:type="character" w:customStyle="1" w:styleId="105">
    <w:name w:val="Default 字符"/>
    <w:basedOn w:val="55"/>
    <w:link w:val="86"/>
    <w:autoRedefine/>
    <w:qFormat/>
    <w:uiPriority w:val="0"/>
    <w:rPr>
      <w:rFonts w:ascii="宋体" w:cs="宋体"/>
      <w:color w:val="000000"/>
      <w:sz w:val="24"/>
      <w:szCs w:val="24"/>
    </w:rPr>
  </w:style>
  <w:style w:type="character" w:customStyle="1" w:styleId="106">
    <w:name w:val="正文 1 字符"/>
    <w:basedOn w:val="105"/>
    <w:link w:val="102"/>
    <w:autoRedefine/>
    <w:qFormat/>
    <w:uiPriority w:val="0"/>
    <w:rPr>
      <w:rFonts w:ascii="宋体" w:cs="宋体"/>
      <w:color w:val="000000"/>
      <w:sz w:val="24"/>
      <w:szCs w:val="24"/>
    </w:rPr>
  </w:style>
  <w:style w:type="paragraph" w:customStyle="1" w:styleId="107">
    <w:name w:val="表格"/>
    <w:basedOn w:val="94"/>
    <w:link w:val="111"/>
    <w:autoRedefine/>
    <w:qFormat/>
    <w:uiPriority w:val="0"/>
    <w:pPr>
      <w:spacing w:line="360" w:lineRule="exact"/>
    </w:pPr>
    <w:rPr>
      <w:rFonts w:cs="Times New Roman"/>
      <w:b w:val="0"/>
    </w:rPr>
  </w:style>
  <w:style w:type="character" w:customStyle="1" w:styleId="108">
    <w:name w:val="表头 字符"/>
    <w:basedOn w:val="55"/>
    <w:link w:val="104"/>
    <w:autoRedefine/>
    <w:qFormat/>
    <w:uiPriority w:val="0"/>
    <w:rPr>
      <w:rFonts w:eastAsia="黑体"/>
      <w:kern w:val="2"/>
      <w:sz w:val="24"/>
    </w:rPr>
  </w:style>
  <w:style w:type="paragraph" w:customStyle="1" w:styleId="109">
    <w:name w:val="图字体"/>
    <w:basedOn w:val="95"/>
    <w:link w:val="113"/>
    <w:autoRedefine/>
    <w:qFormat/>
    <w:uiPriority w:val="0"/>
    <w:pPr>
      <w:spacing w:line="520" w:lineRule="exact"/>
    </w:pPr>
    <w:rPr>
      <w:rFonts w:eastAsia="黑体"/>
      <w:b w:val="0"/>
      <w:bCs/>
    </w:rPr>
  </w:style>
  <w:style w:type="character" w:customStyle="1" w:styleId="110">
    <w:name w:val="鸿达表加粗 字符"/>
    <w:basedOn w:val="55"/>
    <w:link w:val="94"/>
    <w:autoRedefine/>
    <w:qFormat/>
    <w:uiPriority w:val="0"/>
    <w:rPr>
      <w:rFonts w:cs="宋体"/>
      <w:b/>
      <w:color w:val="000000"/>
      <w:kern w:val="2"/>
      <w:sz w:val="21"/>
    </w:rPr>
  </w:style>
  <w:style w:type="character" w:customStyle="1" w:styleId="111">
    <w:name w:val="表格 字符"/>
    <w:basedOn w:val="110"/>
    <w:link w:val="107"/>
    <w:autoRedefine/>
    <w:qFormat/>
    <w:uiPriority w:val="0"/>
    <w:rPr>
      <w:rFonts w:cs="宋体"/>
      <w:b w:val="0"/>
      <w:color w:val="000000"/>
      <w:kern w:val="2"/>
      <w:sz w:val="21"/>
    </w:rPr>
  </w:style>
  <w:style w:type="character" w:customStyle="1" w:styleId="112">
    <w:name w:val="鸿达图标 字符"/>
    <w:basedOn w:val="55"/>
    <w:link w:val="95"/>
    <w:autoRedefine/>
    <w:qFormat/>
    <w:uiPriority w:val="0"/>
    <w:rPr>
      <w:b/>
      <w:kern w:val="2"/>
      <w:sz w:val="24"/>
    </w:rPr>
  </w:style>
  <w:style w:type="character" w:customStyle="1" w:styleId="113">
    <w:name w:val="图字体 字符"/>
    <w:basedOn w:val="112"/>
    <w:link w:val="109"/>
    <w:autoRedefine/>
    <w:qFormat/>
    <w:uiPriority w:val="0"/>
    <w:rPr>
      <w:rFonts w:eastAsia="黑体"/>
      <w:b w:val="0"/>
      <w:bCs/>
      <w:kern w:val="2"/>
      <w:sz w:val="24"/>
    </w:rPr>
  </w:style>
  <w:style w:type="character" w:customStyle="1" w:styleId="114">
    <w:name w:val="标题 4 字符"/>
    <w:basedOn w:val="55"/>
    <w:link w:val="6"/>
    <w:autoRedefine/>
    <w:qFormat/>
    <w:uiPriority w:val="0"/>
    <w:rPr>
      <w:rFonts w:asciiTheme="majorHAnsi" w:hAnsiTheme="majorHAnsi" w:eastAsiaTheme="majorEastAsia" w:cstheme="majorBidi"/>
      <w:b/>
      <w:bCs/>
      <w:kern w:val="2"/>
      <w:sz w:val="28"/>
      <w:szCs w:val="28"/>
    </w:rPr>
  </w:style>
  <w:style w:type="character" w:customStyle="1" w:styleId="115">
    <w:name w:val="标题 3 字符"/>
    <w:basedOn w:val="55"/>
    <w:autoRedefine/>
    <w:qFormat/>
    <w:uiPriority w:val="0"/>
    <w:rPr>
      <w:b/>
      <w:bCs/>
      <w:kern w:val="2"/>
      <w:sz w:val="32"/>
      <w:szCs w:val="32"/>
    </w:rPr>
  </w:style>
  <w:style w:type="character" w:customStyle="1" w:styleId="116">
    <w:name w:val="标题 5 字符"/>
    <w:basedOn w:val="55"/>
    <w:autoRedefine/>
    <w:qFormat/>
    <w:uiPriority w:val="9"/>
    <w:rPr>
      <w:b/>
      <w:bCs/>
      <w:kern w:val="2"/>
      <w:sz w:val="28"/>
      <w:szCs w:val="28"/>
    </w:rPr>
  </w:style>
  <w:style w:type="character" w:customStyle="1" w:styleId="117">
    <w:name w:val="标题 6 字符"/>
    <w:basedOn w:val="55"/>
    <w:autoRedefine/>
    <w:qFormat/>
    <w:uiPriority w:val="9"/>
    <w:rPr>
      <w:rFonts w:asciiTheme="majorHAnsi" w:hAnsiTheme="majorHAnsi" w:eastAsiaTheme="majorEastAsia" w:cstheme="majorBidi"/>
      <w:b/>
      <w:bCs/>
      <w:kern w:val="2"/>
      <w:sz w:val="24"/>
      <w:szCs w:val="24"/>
    </w:rPr>
  </w:style>
  <w:style w:type="character" w:customStyle="1" w:styleId="118">
    <w:name w:val="标题 7 字符"/>
    <w:basedOn w:val="55"/>
    <w:autoRedefine/>
    <w:qFormat/>
    <w:uiPriority w:val="9"/>
    <w:rPr>
      <w:b/>
      <w:bCs/>
      <w:kern w:val="2"/>
      <w:sz w:val="24"/>
      <w:szCs w:val="24"/>
    </w:rPr>
  </w:style>
  <w:style w:type="character" w:customStyle="1" w:styleId="119">
    <w:name w:val="标题 8 字符"/>
    <w:basedOn w:val="55"/>
    <w:autoRedefine/>
    <w:qFormat/>
    <w:uiPriority w:val="9"/>
    <w:rPr>
      <w:rFonts w:asciiTheme="majorHAnsi" w:hAnsiTheme="majorHAnsi" w:eastAsiaTheme="majorEastAsia" w:cstheme="majorBidi"/>
      <w:kern w:val="2"/>
      <w:sz w:val="24"/>
      <w:szCs w:val="24"/>
    </w:rPr>
  </w:style>
  <w:style w:type="character" w:customStyle="1" w:styleId="120">
    <w:name w:val="标题 9 字符"/>
    <w:basedOn w:val="55"/>
    <w:autoRedefine/>
    <w:qFormat/>
    <w:uiPriority w:val="9"/>
    <w:rPr>
      <w:rFonts w:asciiTheme="majorHAnsi" w:hAnsiTheme="majorHAnsi" w:eastAsiaTheme="majorEastAsia" w:cstheme="majorBidi"/>
      <w:kern w:val="2"/>
      <w:sz w:val="21"/>
      <w:szCs w:val="21"/>
    </w:rPr>
  </w:style>
  <w:style w:type="character" w:customStyle="1" w:styleId="121">
    <w:name w:val="标题 1 字符2"/>
    <w:autoRedefine/>
    <w:qFormat/>
    <w:uiPriority w:val="9"/>
    <w:rPr>
      <w:rFonts w:ascii="Times New Roman" w:hAnsi="Times New Roman" w:eastAsia="黑体"/>
      <w:b/>
      <w:bCs/>
      <w:kern w:val="44"/>
      <w:sz w:val="42"/>
      <w:lang w:val="zh-CN" w:eastAsia="zh-CN"/>
    </w:rPr>
  </w:style>
  <w:style w:type="character" w:customStyle="1" w:styleId="122">
    <w:name w:val="标题 2 字符2"/>
    <w:autoRedefine/>
    <w:qFormat/>
    <w:uiPriority w:val="0"/>
    <w:rPr>
      <w:rFonts w:ascii="Arial" w:hAnsi="Arial" w:eastAsia="黑体"/>
      <w:b/>
      <w:color w:val="000000"/>
      <w:kern w:val="2"/>
      <w:sz w:val="28"/>
    </w:rPr>
  </w:style>
  <w:style w:type="character" w:customStyle="1" w:styleId="123">
    <w:name w:val="标题 3 字符2"/>
    <w:link w:val="4"/>
    <w:autoRedefine/>
    <w:qFormat/>
    <w:locked/>
    <w:uiPriority w:val="0"/>
    <w:rPr>
      <w:b/>
      <w:kern w:val="2"/>
      <w:sz w:val="26"/>
      <w:lang w:val="zh-CN" w:eastAsia="zh-CN"/>
    </w:rPr>
  </w:style>
  <w:style w:type="paragraph" w:customStyle="1" w:styleId="124">
    <w:name w:val="正文首行缩进11"/>
    <w:basedOn w:val="19"/>
    <w:link w:val="126"/>
    <w:autoRedefine/>
    <w:unhideWhenUsed/>
    <w:qFormat/>
    <w:uiPriority w:val="99"/>
  </w:style>
  <w:style w:type="character" w:customStyle="1" w:styleId="125">
    <w:name w:val="正文文本 字符2"/>
    <w:autoRedefine/>
    <w:qFormat/>
    <w:uiPriority w:val="99"/>
    <w:rPr>
      <w:kern w:val="2"/>
      <w:sz w:val="21"/>
      <w:szCs w:val="22"/>
    </w:rPr>
  </w:style>
  <w:style w:type="character" w:customStyle="1" w:styleId="126">
    <w:name w:val="正文首行缩进 Char"/>
    <w:basedOn w:val="125"/>
    <w:link w:val="124"/>
    <w:autoRedefine/>
    <w:qFormat/>
    <w:uiPriority w:val="99"/>
    <w:rPr>
      <w:kern w:val="2"/>
      <w:sz w:val="21"/>
      <w:szCs w:val="24"/>
      <w:lang w:val="zh-CN" w:eastAsia="zh-CN"/>
    </w:rPr>
  </w:style>
  <w:style w:type="character" w:customStyle="1" w:styleId="127">
    <w:name w:val="标题 4 字符2"/>
    <w:autoRedefine/>
    <w:qFormat/>
    <w:uiPriority w:val="0"/>
    <w:rPr>
      <w:bCs/>
      <w:kern w:val="2"/>
      <w:sz w:val="24"/>
      <w:szCs w:val="24"/>
      <w:lang w:val="en-US" w:eastAsia="zh-CN" w:bidi="ar-SA"/>
    </w:rPr>
  </w:style>
  <w:style w:type="character" w:customStyle="1" w:styleId="128">
    <w:name w:val="标题 5 字符2"/>
    <w:link w:val="7"/>
    <w:autoRedefine/>
    <w:qFormat/>
    <w:uiPriority w:val="9"/>
    <w:rPr>
      <w:rFonts w:ascii="宋体" w:hAnsi="宋体"/>
      <w:bCs/>
      <w:kern w:val="2"/>
      <w:sz w:val="24"/>
      <w:szCs w:val="24"/>
      <w:lang w:val="zh-CN" w:eastAsia="zh-CN"/>
    </w:rPr>
  </w:style>
  <w:style w:type="character" w:customStyle="1" w:styleId="129">
    <w:name w:val="标题 6 字符2"/>
    <w:link w:val="8"/>
    <w:autoRedefine/>
    <w:qFormat/>
    <w:uiPriority w:val="9"/>
    <w:rPr>
      <w:rFonts w:ascii="Arial" w:hAnsi="Arial" w:eastAsia="黑体"/>
      <w:b/>
      <w:sz w:val="24"/>
      <w:lang w:val="zh-CN" w:eastAsia="zh-CN"/>
    </w:rPr>
  </w:style>
  <w:style w:type="character" w:customStyle="1" w:styleId="130">
    <w:name w:val="标题 7 字符2"/>
    <w:link w:val="9"/>
    <w:autoRedefine/>
    <w:qFormat/>
    <w:uiPriority w:val="9"/>
    <w:rPr>
      <w:b/>
      <w:sz w:val="24"/>
      <w:lang w:val="zh-CN" w:eastAsia="zh-CN"/>
    </w:rPr>
  </w:style>
  <w:style w:type="character" w:customStyle="1" w:styleId="131">
    <w:name w:val="标题 8 字符2"/>
    <w:link w:val="10"/>
    <w:autoRedefine/>
    <w:qFormat/>
    <w:uiPriority w:val="9"/>
    <w:rPr>
      <w:rFonts w:ascii="Arial" w:hAnsi="Arial" w:eastAsia="黑体"/>
      <w:sz w:val="24"/>
      <w:lang w:val="zh-CN" w:eastAsia="zh-CN"/>
    </w:rPr>
  </w:style>
  <w:style w:type="character" w:customStyle="1" w:styleId="132">
    <w:name w:val="标题 9 字符2"/>
    <w:link w:val="11"/>
    <w:autoRedefine/>
    <w:qFormat/>
    <w:uiPriority w:val="9"/>
    <w:rPr>
      <w:rFonts w:ascii="Arial" w:hAnsi="Arial" w:eastAsia="黑体"/>
      <w:lang w:val="zh-CN" w:eastAsia="zh-CN"/>
    </w:rPr>
  </w:style>
  <w:style w:type="character" w:customStyle="1" w:styleId="133">
    <w:name w:val="页眉 字符2"/>
    <w:autoRedefine/>
    <w:qFormat/>
    <w:uiPriority w:val="0"/>
    <w:rPr>
      <w:sz w:val="18"/>
      <w:szCs w:val="18"/>
    </w:rPr>
  </w:style>
  <w:style w:type="character" w:customStyle="1" w:styleId="134">
    <w:name w:val="页脚 字符3"/>
    <w:autoRedefine/>
    <w:qFormat/>
    <w:uiPriority w:val="99"/>
    <w:rPr>
      <w:sz w:val="18"/>
      <w:szCs w:val="18"/>
    </w:rPr>
  </w:style>
  <w:style w:type="character" w:customStyle="1" w:styleId="135">
    <w:name w:val="纯文本 字符2"/>
    <w:autoRedefine/>
    <w:qFormat/>
    <w:uiPriority w:val="0"/>
    <w:rPr>
      <w:rFonts w:ascii="宋体" w:hAnsi="Courier New" w:cs="Courier New"/>
      <w:kern w:val="2"/>
      <w:sz w:val="21"/>
      <w:szCs w:val="21"/>
    </w:rPr>
  </w:style>
  <w:style w:type="character" w:customStyle="1" w:styleId="136">
    <w:name w:val="批注文字 字符2"/>
    <w:autoRedefine/>
    <w:qFormat/>
    <w:uiPriority w:val="0"/>
    <w:rPr>
      <w:rFonts w:ascii="Times New Roman" w:hAnsi="Times New Roman"/>
      <w:kern w:val="2"/>
      <w:sz w:val="21"/>
      <w:szCs w:val="24"/>
    </w:rPr>
  </w:style>
  <w:style w:type="character" w:customStyle="1" w:styleId="137">
    <w:name w:val="报告正文 Char"/>
    <w:link w:val="138"/>
    <w:autoRedefine/>
    <w:qFormat/>
    <w:uiPriority w:val="0"/>
    <w:rPr>
      <w:rFonts w:cs="宋体"/>
      <w:color w:val="000000"/>
      <w:kern w:val="2"/>
      <w:sz w:val="24"/>
      <w:szCs w:val="24"/>
    </w:rPr>
  </w:style>
  <w:style w:type="paragraph" w:customStyle="1" w:styleId="138">
    <w:name w:val="报告正文"/>
    <w:basedOn w:val="1"/>
    <w:link w:val="137"/>
    <w:autoRedefine/>
    <w:qFormat/>
    <w:uiPriority w:val="0"/>
    <w:pPr>
      <w:spacing w:line="480" w:lineRule="exact"/>
      <w:ind w:firstLine="200" w:firstLineChars="200"/>
    </w:pPr>
    <w:rPr>
      <w:rFonts w:cs="宋体"/>
      <w:color w:val="000000"/>
      <w:sz w:val="24"/>
      <w:szCs w:val="24"/>
    </w:rPr>
  </w:style>
  <w:style w:type="character" w:customStyle="1" w:styleId="139">
    <w:name w:val="HTML 预设格式 字符"/>
    <w:basedOn w:val="55"/>
    <w:autoRedefine/>
    <w:qFormat/>
    <w:uiPriority w:val="99"/>
    <w:rPr>
      <w:rFonts w:ascii="Courier New" w:hAnsi="Courier New" w:cs="Courier New"/>
      <w:kern w:val="2"/>
    </w:rPr>
  </w:style>
  <w:style w:type="character" w:customStyle="1" w:styleId="140">
    <w:name w:val="HTML 预设格式 字符2"/>
    <w:link w:val="42"/>
    <w:autoRedefine/>
    <w:qFormat/>
    <w:uiPriority w:val="99"/>
    <w:rPr>
      <w:rFonts w:ascii="宋体" w:hAnsi="宋体"/>
      <w:sz w:val="24"/>
      <w:szCs w:val="24"/>
      <w:lang w:val="zh-CN" w:eastAsia="zh-CN"/>
    </w:rPr>
  </w:style>
  <w:style w:type="paragraph" w:customStyle="1" w:styleId="141">
    <w:name w:val="1 Char Char Char Char Char Char Char"/>
    <w:basedOn w:val="1"/>
    <w:autoRedefine/>
    <w:qFormat/>
    <w:uiPriority w:val="0"/>
    <w:rPr>
      <w:rFonts w:ascii="Calibri" w:hAnsi="Calibri"/>
      <w:szCs w:val="24"/>
    </w:rPr>
  </w:style>
  <w:style w:type="character" w:customStyle="1" w:styleId="142">
    <w:name w:val="批注框文本 字符2"/>
    <w:autoRedefine/>
    <w:qFormat/>
    <w:uiPriority w:val="99"/>
    <w:rPr>
      <w:kern w:val="2"/>
      <w:sz w:val="18"/>
      <w:szCs w:val="18"/>
    </w:rPr>
  </w:style>
  <w:style w:type="paragraph" w:customStyle="1" w:styleId="143">
    <w:name w:val="正文小四首缩1.3行距"/>
    <w:basedOn w:val="1"/>
    <w:link w:val="144"/>
    <w:autoRedefine/>
    <w:qFormat/>
    <w:uiPriority w:val="0"/>
    <w:pPr>
      <w:spacing w:line="360" w:lineRule="auto"/>
      <w:ind w:firstLine="480" w:firstLineChars="200"/>
    </w:pPr>
    <w:rPr>
      <w:snapToGrid w:val="0"/>
      <w:kern w:val="0"/>
      <w:sz w:val="24"/>
      <w:szCs w:val="24"/>
      <w:lang w:val="zh-CN"/>
    </w:rPr>
  </w:style>
  <w:style w:type="character" w:customStyle="1" w:styleId="144">
    <w:name w:val="正文小四首缩1.3行距 Char"/>
    <w:link w:val="143"/>
    <w:autoRedefine/>
    <w:qFormat/>
    <w:uiPriority w:val="0"/>
    <w:rPr>
      <w:snapToGrid w:val="0"/>
      <w:sz w:val="24"/>
      <w:szCs w:val="24"/>
      <w:lang w:val="zh-CN" w:eastAsia="zh-CN"/>
    </w:rPr>
  </w:style>
  <w:style w:type="character" w:customStyle="1" w:styleId="145">
    <w:name w:val="正文文本缩进 3 字符"/>
    <w:basedOn w:val="55"/>
    <w:autoRedefine/>
    <w:qFormat/>
    <w:uiPriority w:val="0"/>
    <w:rPr>
      <w:kern w:val="2"/>
      <w:sz w:val="16"/>
      <w:szCs w:val="16"/>
    </w:rPr>
  </w:style>
  <w:style w:type="character" w:customStyle="1" w:styleId="146">
    <w:name w:val="正文文本缩进 3 字符2"/>
    <w:link w:val="38"/>
    <w:autoRedefine/>
    <w:qFormat/>
    <w:uiPriority w:val="99"/>
    <w:rPr>
      <w:kern w:val="2"/>
      <w:sz w:val="16"/>
      <w:szCs w:val="16"/>
      <w:lang w:val="zh-CN" w:eastAsia="zh-CN"/>
    </w:rPr>
  </w:style>
  <w:style w:type="paragraph" w:customStyle="1" w:styleId="147">
    <w:name w:val="表格字体"/>
    <w:basedOn w:val="1"/>
    <w:link w:val="148"/>
    <w:autoRedefine/>
    <w:qFormat/>
    <w:uiPriority w:val="0"/>
    <w:pPr>
      <w:adjustRightInd w:val="0"/>
      <w:spacing w:line="320" w:lineRule="exact"/>
      <w:jc w:val="center"/>
    </w:pPr>
    <w:rPr>
      <w:color w:val="000000"/>
      <w:szCs w:val="24"/>
      <w:lang w:val="zh-CN"/>
    </w:rPr>
  </w:style>
  <w:style w:type="character" w:customStyle="1" w:styleId="148">
    <w:name w:val="表格字体 Char"/>
    <w:link w:val="147"/>
    <w:autoRedefine/>
    <w:qFormat/>
    <w:uiPriority w:val="0"/>
    <w:rPr>
      <w:color w:val="000000"/>
      <w:kern w:val="2"/>
      <w:sz w:val="21"/>
      <w:szCs w:val="24"/>
      <w:lang w:val="zh-CN" w:eastAsia="zh-CN"/>
    </w:rPr>
  </w:style>
  <w:style w:type="character" w:customStyle="1" w:styleId="149">
    <w:name w:val="题注 字符"/>
    <w:link w:val="14"/>
    <w:autoRedefine/>
    <w:qFormat/>
    <w:uiPriority w:val="0"/>
    <w:rPr>
      <w:i/>
      <w:spacing w:val="5"/>
      <w:lang w:val="zh-CN" w:eastAsia="zh-CN"/>
    </w:rPr>
  </w:style>
  <w:style w:type="paragraph" w:customStyle="1" w:styleId="150">
    <w:name w:val="表格2"/>
    <w:basedOn w:val="1"/>
    <w:next w:val="1"/>
    <w:autoRedefine/>
    <w:qFormat/>
    <w:uiPriority w:val="0"/>
    <w:pPr>
      <w:autoSpaceDE w:val="0"/>
      <w:autoSpaceDN w:val="0"/>
      <w:adjustRightInd w:val="0"/>
      <w:jc w:val="center"/>
      <w:textAlignment w:val="baseline"/>
    </w:pPr>
    <w:rPr>
      <w:rFonts w:ascii="宋体" w:hAnsi="Impact"/>
      <w:kern w:val="24"/>
      <w:position w:val="-28"/>
      <w:szCs w:val="21"/>
    </w:rPr>
  </w:style>
  <w:style w:type="paragraph" w:customStyle="1" w:styleId="151">
    <w:name w:val="表1表2"/>
    <w:basedOn w:val="1"/>
    <w:autoRedefine/>
    <w:qFormat/>
    <w:uiPriority w:val="99"/>
    <w:pPr>
      <w:autoSpaceDE w:val="0"/>
      <w:autoSpaceDN w:val="0"/>
      <w:adjustRightInd w:val="0"/>
      <w:spacing w:line="360" w:lineRule="auto"/>
      <w:jc w:val="center"/>
      <w:textAlignment w:val="center"/>
    </w:pPr>
    <w:rPr>
      <w:rFonts w:ascii="Calibri" w:hAnsi="Calibri" w:eastAsia="仿宋体"/>
      <w:kern w:val="0"/>
      <w:sz w:val="24"/>
    </w:rPr>
  </w:style>
  <w:style w:type="paragraph" w:customStyle="1" w:styleId="152">
    <w:name w:val="小节标题"/>
    <w:basedOn w:val="1"/>
    <w:next w:val="1"/>
    <w:autoRedefine/>
    <w:qFormat/>
    <w:uiPriority w:val="0"/>
    <w:pPr>
      <w:widowControl/>
      <w:spacing w:before="175" w:after="102" w:line="351" w:lineRule="atLeast"/>
    </w:pPr>
    <w:rPr>
      <w:rFonts w:eastAsia="黑体"/>
      <w:color w:val="000000"/>
      <w:kern w:val="0"/>
      <w:szCs w:val="20"/>
      <w:u w:color="000000"/>
    </w:rPr>
  </w:style>
  <w:style w:type="character" w:customStyle="1" w:styleId="153">
    <w:name w:val="标题 3 Char"/>
    <w:autoRedefine/>
    <w:qFormat/>
    <w:uiPriority w:val="0"/>
    <w:rPr>
      <w:b/>
      <w:bCs/>
      <w:kern w:val="2"/>
      <w:sz w:val="32"/>
      <w:szCs w:val="32"/>
    </w:rPr>
  </w:style>
  <w:style w:type="character" w:customStyle="1" w:styleId="154">
    <w:name w:val="日期 字符2"/>
    <w:link w:val="27"/>
    <w:autoRedefine/>
    <w:qFormat/>
    <w:uiPriority w:val="0"/>
    <w:rPr>
      <w:rFonts w:ascii="方正舒体" w:eastAsia="方正舒体"/>
      <w:b/>
      <w:kern w:val="2"/>
      <w:sz w:val="24"/>
    </w:rPr>
  </w:style>
  <w:style w:type="character" w:customStyle="1" w:styleId="155">
    <w:name w:val="日期 字符"/>
    <w:basedOn w:val="55"/>
    <w:autoRedefine/>
    <w:qFormat/>
    <w:uiPriority w:val="0"/>
    <w:rPr>
      <w:kern w:val="2"/>
      <w:sz w:val="21"/>
      <w:szCs w:val="22"/>
    </w:rPr>
  </w:style>
  <w:style w:type="character" w:customStyle="1" w:styleId="156">
    <w:name w:val="正文文本缩进 字符2"/>
    <w:link w:val="20"/>
    <w:autoRedefine/>
    <w:qFormat/>
    <w:uiPriority w:val="99"/>
    <w:rPr>
      <w:spacing w:val="4"/>
      <w:kern w:val="2"/>
      <w:sz w:val="24"/>
    </w:rPr>
  </w:style>
  <w:style w:type="character" w:customStyle="1" w:styleId="157">
    <w:name w:val="正文文本缩进 字符"/>
    <w:basedOn w:val="55"/>
    <w:autoRedefine/>
    <w:qFormat/>
    <w:uiPriority w:val="0"/>
    <w:rPr>
      <w:kern w:val="2"/>
      <w:sz w:val="21"/>
      <w:szCs w:val="22"/>
    </w:rPr>
  </w:style>
  <w:style w:type="character" w:customStyle="1" w:styleId="158">
    <w:name w:val="正文文本 3 字符2"/>
    <w:link w:val="18"/>
    <w:autoRedefine/>
    <w:qFormat/>
    <w:uiPriority w:val="0"/>
    <w:rPr>
      <w:kern w:val="2"/>
      <w:sz w:val="24"/>
    </w:rPr>
  </w:style>
  <w:style w:type="character" w:customStyle="1" w:styleId="159">
    <w:name w:val="正文文本 3 字符"/>
    <w:basedOn w:val="55"/>
    <w:autoRedefine/>
    <w:qFormat/>
    <w:uiPriority w:val="99"/>
    <w:rPr>
      <w:kern w:val="2"/>
      <w:sz w:val="16"/>
      <w:szCs w:val="16"/>
    </w:rPr>
  </w:style>
  <w:style w:type="character" w:customStyle="1" w:styleId="160">
    <w:name w:val="正文文本 2 字符2"/>
    <w:autoRedefine/>
    <w:qFormat/>
    <w:uiPriority w:val="0"/>
    <w:rPr>
      <w:rFonts w:ascii="Times New Roman" w:hAnsi="Times New Roman"/>
      <w:kern w:val="2"/>
      <w:sz w:val="21"/>
    </w:rPr>
  </w:style>
  <w:style w:type="character" w:customStyle="1" w:styleId="161">
    <w:name w:val="文档结构图 字符2"/>
    <w:autoRedefine/>
    <w:qFormat/>
    <w:uiPriority w:val="0"/>
    <w:rPr>
      <w:rFonts w:ascii="Times New Roman" w:hAnsi="Times New Roman"/>
      <w:kern w:val="2"/>
      <w:sz w:val="24"/>
      <w:shd w:val="clear" w:color="auto" w:fill="000080"/>
    </w:rPr>
  </w:style>
  <w:style w:type="character" w:customStyle="1" w:styleId="162">
    <w:name w:val="正文文本缩进 2 字符2"/>
    <w:link w:val="28"/>
    <w:autoRedefine/>
    <w:qFormat/>
    <w:uiPriority w:val="0"/>
    <w:rPr>
      <w:kern w:val="2"/>
      <w:sz w:val="24"/>
    </w:rPr>
  </w:style>
  <w:style w:type="character" w:customStyle="1" w:styleId="163">
    <w:name w:val="正文文本缩进 2 字符"/>
    <w:basedOn w:val="55"/>
    <w:autoRedefine/>
    <w:qFormat/>
    <w:uiPriority w:val="99"/>
    <w:rPr>
      <w:kern w:val="2"/>
      <w:sz w:val="21"/>
      <w:szCs w:val="22"/>
    </w:rPr>
  </w:style>
  <w:style w:type="character" w:customStyle="1" w:styleId="164">
    <w:name w:val="批注主题 字符2"/>
    <w:link w:val="46"/>
    <w:autoRedefine/>
    <w:qFormat/>
    <w:uiPriority w:val="0"/>
    <w:rPr>
      <w:b/>
      <w:bCs/>
      <w:kern w:val="2"/>
      <w:sz w:val="24"/>
      <w:szCs w:val="24"/>
    </w:rPr>
  </w:style>
  <w:style w:type="character" w:customStyle="1" w:styleId="165">
    <w:name w:val="批注主题 字符"/>
    <w:basedOn w:val="96"/>
    <w:autoRedefine/>
    <w:qFormat/>
    <w:uiPriority w:val="99"/>
    <w:rPr>
      <w:b/>
      <w:bCs/>
      <w:kern w:val="2"/>
      <w:sz w:val="21"/>
      <w:szCs w:val="22"/>
    </w:rPr>
  </w:style>
  <w:style w:type="paragraph" w:customStyle="1" w:styleId="166">
    <w:name w:val="正文1"/>
    <w:basedOn w:val="1"/>
    <w:next w:val="1"/>
    <w:link w:val="167"/>
    <w:autoRedefine/>
    <w:qFormat/>
    <w:uiPriority w:val="0"/>
    <w:pPr>
      <w:snapToGrid w:val="0"/>
      <w:spacing w:line="270" w:lineRule="exact"/>
      <w:jc w:val="center"/>
    </w:pPr>
    <w:rPr>
      <w:spacing w:val="8"/>
      <w:kern w:val="21"/>
      <w:szCs w:val="21"/>
      <w:lang w:val="zh-CN"/>
    </w:rPr>
  </w:style>
  <w:style w:type="character" w:customStyle="1" w:styleId="167">
    <w:name w:val="正文1 Char"/>
    <w:link w:val="166"/>
    <w:autoRedefine/>
    <w:qFormat/>
    <w:uiPriority w:val="0"/>
    <w:rPr>
      <w:spacing w:val="8"/>
      <w:kern w:val="21"/>
      <w:sz w:val="21"/>
      <w:szCs w:val="21"/>
      <w:lang w:val="zh-CN" w:eastAsia="zh-CN"/>
    </w:rPr>
  </w:style>
  <w:style w:type="character" w:customStyle="1" w:styleId="168">
    <w:name w:val="正文首行缩进 2 Char"/>
    <w:basedOn w:val="156"/>
    <w:link w:val="169"/>
    <w:autoRedefine/>
    <w:qFormat/>
    <w:uiPriority w:val="0"/>
    <w:rPr>
      <w:spacing w:val="4"/>
      <w:kern w:val="2"/>
      <w:sz w:val="24"/>
    </w:rPr>
  </w:style>
  <w:style w:type="paragraph" w:customStyle="1" w:styleId="169">
    <w:name w:val="正文首行缩进 211"/>
    <w:basedOn w:val="20"/>
    <w:link w:val="168"/>
    <w:autoRedefine/>
    <w:qFormat/>
    <w:uiPriority w:val="0"/>
    <w:pPr>
      <w:spacing w:after="120"/>
      <w:ind w:left="420" w:leftChars="200" w:firstLine="420" w:firstLineChars="200"/>
    </w:pPr>
  </w:style>
  <w:style w:type="character" w:customStyle="1" w:styleId="170">
    <w:name w:val="标题 字符"/>
    <w:basedOn w:val="55"/>
    <w:autoRedefine/>
    <w:qFormat/>
    <w:uiPriority w:val="10"/>
    <w:rPr>
      <w:rFonts w:asciiTheme="majorHAnsi" w:hAnsiTheme="majorHAnsi" w:eastAsiaTheme="majorEastAsia" w:cstheme="majorBidi"/>
      <w:b/>
      <w:bCs/>
      <w:kern w:val="2"/>
      <w:sz w:val="32"/>
      <w:szCs w:val="32"/>
    </w:rPr>
  </w:style>
  <w:style w:type="character" w:customStyle="1" w:styleId="171">
    <w:name w:val="标题 字符1"/>
    <w:link w:val="45"/>
    <w:autoRedefine/>
    <w:qFormat/>
    <w:uiPriority w:val="0"/>
    <w:rPr>
      <w:rFonts w:ascii="Arial" w:hAnsi="Arial"/>
      <w:kern w:val="2"/>
      <w:sz w:val="30"/>
      <w:szCs w:val="32"/>
      <w:lang w:val="zh-CN" w:eastAsia="zh-CN"/>
    </w:rPr>
  </w:style>
  <w:style w:type="character" w:customStyle="1" w:styleId="172">
    <w:name w:val="表头 Char1"/>
    <w:autoRedefine/>
    <w:qFormat/>
    <w:uiPriority w:val="99"/>
    <w:rPr>
      <w:rFonts w:ascii="Times New Roman" w:hAnsi="Times New Roman"/>
      <w:b/>
      <w:bCs/>
      <w:sz w:val="24"/>
      <w:szCs w:val="24"/>
      <w:lang w:bidi="ar-SA"/>
    </w:rPr>
  </w:style>
  <w:style w:type="paragraph" w:customStyle="1" w:styleId="173">
    <w:name w:val="列表段落1"/>
    <w:basedOn w:val="1"/>
    <w:autoRedefine/>
    <w:qFormat/>
    <w:uiPriority w:val="0"/>
    <w:pPr>
      <w:ind w:firstLine="420" w:firstLineChars="200"/>
    </w:pPr>
    <w:rPr>
      <w:rFonts w:ascii="Calibri" w:hAnsi="Calibri"/>
    </w:rPr>
  </w:style>
  <w:style w:type="character" w:customStyle="1" w:styleId="174">
    <w:name w:val="标题3-小四 Char"/>
    <w:link w:val="175"/>
    <w:autoRedefine/>
    <w:qFormat/>
    <w:locked/>
    <w:uiPriority w:val="0"/>
    <w:rPr>
      <w:rFonts w:ascii="黑体" w:eastAsia="黑体"/>
      <w:b/>
      <w:kern w:val="2"/>
      <w:sz w:val="24"/>
      <w:szCs w:val="24"/>
    </w:rPr>
  </w:style>
  <w:style w:type="paragraph" w:customStyle="1" w:styleId="175">
    <w:name w:val="标题3-小四"/>
    <w:basedOn w:val="1"/>
    <w:next w:val="1"/>
    <w:link w:val="174"/>
    <w:autoRedefine/>
    <w:qFormat/>
    <w:uiPriority w:val="0"/>
    <w:pPr>
      <w:spacing w:line="360" w:lineRule="auto"/>
      <w:outlineLvl w:val="2"/>
    </w:pPr>
    <w:rPr>
      <w:rFonts w:ascii="黑体" w:eastAsia="黑体"/>
      <w:b/>
      <w:sz w:val="24"/>
      <w:szCs w:val="24"/>
    </w:rPr>
  </w:style>
  <w:style w:type="paragraph" w:customStyle="1" w:styleId="176">
    <w:name w:val="样式 首行缩进:  2 字符1"/>
    <w:basedOn w:val="1"/>
    <w:link w:val="177"/>
    <w:autoRedefine/>
    <w:qFormat/>
    <w:uiPriority w:val="0"/>
    <w:pPr>
      <w:adjustRightInd w:val="0"/>
      <w:snapToGrid w:val="0"/>
      <w:spacing w:line="360" w:lineRule="auto"/>
      <w:ind w:firstLine="480" w:firstLineChars="200"/>
    </w:pPr>
    <w:rPr>
      <w:sz w:val="24"/>
      <w:szCs w:val="20"/>
      <w:lang w:val="zh-CN"/>
    </w:rPr>
  </w:style>
  <w:style w:type="character" w:customStyle="1" w:styleId="177">
    <w:name w:val="样式 首行缩进:  2 字符1 Char Char"/>
    <w:link w:val="176"/>
    <w:autoRedefine/>
    <w:qFormat/>
    <w:uiPriority w:val="0"/>
    <w:rPr>
      <w:kern w:val="2"/>
      <w:sz w:val="24"/>
      <w:lang w:val="zh-CN" w:eastAsia="zh-CN"/>
    </w:rPr>
  </w:style>
  <w:style w:type="character" w:customStyle="1" w:styleId="178">
    <w:name w:val="Char Char3"/>
    <w:autoRedefine/>
    <w:qFormat/>
    <w:uiPriority w:val="0"/>
    <w:rPr>
      <w:rFonts w:eastAsia="宋体"/>
      <w:kern w:val="2"/>
      <w:lang w:val="en-US" w:eastAsia="zh-CN" w:bidi="ar-SA"/>
    </w:rPr>
  </w:style>
  <w:style w:type="character" w:customStyle="1" w:styleId="179">
    <w:name w:val="表格标题 Char"/>
    <w:autoRedefine/>
    <w:qFormat/>
    <w:uiPriority w:val="0"/>
    <w:rPr>
      <w:rFonts w:ascii="Times New Roman" w:hAnsi="Times New Roman" w:eastAsia="黑体"/>
      <w:b/>
      <w:bCs/>
      <w:color w:val="000000"/>
      <w:sz w:val="24"/>
      <w:szCs w:val="24"/>
    </w:rPr>
  </w:style>
  <w:style w:type="paragraph" w:customStyle="1" w:styleId="180">
    <w:name w:val="默认段落字体 Para Char Char Char Char"/>
    <w:basedOn w:val="1"/>
    <w:autoRedefine/>
    <w:qFormat/>
    <w:uiPriority w:val="0"/>
    <w:rPr>
      <w:sz w:val="24"/>
      <w:szCs w:val="24"/>
    </w:rPr>
  </w:style>
  <w:style w:type="character" w:customStyle="1" w:styleId="181">
    <w:name w:val="正文缩进 Char1"/>
    <w:autoRedefine/>
    <w:qFormat/>
    <w:uiPriority w:val="99"/>
    <w:rPr>
      <w:kern w:val="2"/>
      <w:sz w:val="28"/>
      <w:lang w:val="zh-CN" w:eastAsia="zh-CN"/>
    </w:rPr>
  </w:style>
  <w:style w:type="paragraph" w:customStyle="1" w:styleId="182">
    <w:name w:val="00 图头"/>
    <w:basedOn w:val="1"/>
    <w:autoRedefine/>
    <w:qFormat/>
    <w:uiPriority w:val="0"/>
    <w:pPr>
      <w:spacing w:before="120" w:beforeLines="50" w:after="120" w:afterLines="50"/>
      <w:jc w:val="center"/>
    </w:pPr>
    <w:rPr>
      <w:rFonts w:eastAsia="黑体"/>
      <w:color w:val="000000"/>
      <w:sz w:val="24"/>
      <w:szCs w:val="24"/>
    </w:rPr>
  </w:style>
  <w:style w:type="paragraph" w:customStyle="1" w:styleId="183">
    <w:name w:val="a"/>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84">
    <w:name w:val="a1"/>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85">
    <w:name w:val="a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86">
    <w:name w:val="新标题样式"/>
    <w:basedOn w:val="1"/>
    <w:autoRedefine/>
    <w:qFormat/>
    <w:uiPriority w:val="0"/>
    <w:pPr>
      <w:tabs>
        <w:tab w:val="left" w:pos="567"/>
      </w:tabs>
      <w:spacing w:line="360" w:lineRule="auto"/>
    </w:pPr>
    <w:rPr>
      <w:rFonts w:eastAsia="黑体"/>
      <w:b/>
      <w:spacing w:val="20"/>
      <w:sz w:val="24"/>
      <w:szCs w:val="20"/>
    </w:rPr>
  </w:style>
  <w:style w:type="paragraph" w:customStyle="1" w:styleId="187">
    <w:name w:val="正文四号"/>
    <w:basedOn w:val="1"/>
    <w:link w:val="188"/>
    <w:autoRedefine/>
    <w:qFormat/>
    <w:uiPriority w:val="0"/>
    <w:pPr>
      <w:spacing w:line="360" w:lineRule="auto"/>
    </w:pPr>
    <w:rPr>
      <w:color w:val="000000"/>
      <w:sz w:val="28"/>
      <w:szCs w:val="28"/>
      <w:lang w:val="zh-CN"/>
    </w:rPr>
  </w:style>
  <w:style w:type="character" w:customStyle="1" w:styleId="188">
    <w:name w:val="正文四号 Char"/>
    <w:link w:val="187"/>
    <w:autoRedefine/>
    <w:qFormat/>
    <w:uiPriority w:val="0"/>
    <w:rPr>
      <w:color w:val="000000"/>
      <w:kern w:val="2"/>
      <w:sz w:val="28"/>
      <w:szCs w:val="28"/>
      <w:lang w:val="zh-CN" w:eastAsia="zh-CN"/>
    </w:rPr>
  </w:style>
  <w:style w:type="paragraph" w:customStyle="1" w:styleId="189">
    <w:name w:val="默认段落字体 Para Char Char Char Char Char Char Char Char Char Char"/>
    <w:basedOn w:val="4"/>
    <w:autoRedefine/>
    <w:qFormat/>
    <w:uiPriority w:val="0"/>
    <w:pPr>
      <w:tabs>
        <w:tab w:val="left" w:pos="360"/>
        <w:tab w:val="left" w:pos="900"/>
      </w:tabs>
      <w:snapToGrid w:val="0"/>
      <w:spacing w:line="360" w:lineRule="auto"/>
      <w:ind w:left="542" w:leftChars="-12" w:firstLine="200" w:firstLineChars="200"/>
      <w:jc w:val="left"/>
    </w:pPr>
    <w:rPr>
      <w:rFonts w:eastAsia="黑体"/>
      <w:b w:val="0"/>
      <w:snapToGrid w:val="0"/>
      <w:sz w:val="24"/>
      <w:szCs w:val="24"/>
    </w:rPr>
  </w:style>
  <w:style w:type="character" w:customStyle="1" w:styleId="190">
    <w:name w:val="样式 四号"/>
    <w:autoRedefine/>
    <w:qFormat/>
    <w:uiPriority w:val="0"/>
    <w:rPr>
      <w:sz w:val="28"/>
    </w:rPr>
  </w:style>
  <w:style w:type="paragraph" w:customStyle="1" w:styleId="191">
    <w:name w:val="p0"/>
    <w:basedOn w:val="1"/>
    <w:autoRedefine/>
    <w:qFormat/>
    <w:uiPriority w:val="0"/>
    <w:pPr>
      <w:widowControl/>
    </w:pPr>
    <w:rPr>
      <w:kern w:val="0"/>
      <w:szCs w:val="21"/>
    </w:rPr>
  </w:style>
  <w:style w:type="paragraph" w:customStyle="1" w:styleId="192">
    <w:name w:val="图号"/>
    <w:basedOn w:val="1"/>
    <w:autoRedefine/>
    <w:qFormat/>
    <w:uiPriority w:val="99"/>
    <w:pPr>
      <w:jc w:val="center"/>
    </w:pPr>
    <w:rPr>
      <w:rFonts w:ascii="黑体" w:eastAsia="黑体"/>
      <w:snapToGrid w:val="0"/>
      <w:kern w:val="0"/>
      <w:sz w:val="24"/>
      <w:szCs w:val="24"/>
    </w:rPr>
  </w:style>
  <w:style w:type="paragraph" w:customStyle="1" w:styleId="193">
    <w:name w:val="报告书表格"/>
    <w:basedOn w:val="1"/>
    <w:autoRedefine/>
    <w:qFormat/>
    <w:uiPriority w:val="99"/>
    <w:pPr>
      <w:adjustRightInd w:val="0"/>
      <w:spacing w:before="60" w:after="60" w:line="240" w:lineRule="atLeast"/>
      <w:jc w:val="center"/>
      <w:textAlignment w:val="baseline"/>
    </w:pPr>
    <w:rPr>
      <w:kern w:val="0"/>
      <w:szCs w:val="20"/>
    </w:rPr>
  </w:style>
  <w:style w:type="paragraph" w:customStyle="1" w:styleId="194">
    <w:name w:val="Char Char2 Char Char"/>
    <w:basedOn w:val="1"/>
    <w:autoRedefine/>
    <w:qFormat/>
    <w:uiPriority w:val="99"/>
    <w:pPr>
      <w:adjustRightInd w:val="0"/>
      <w:spacing w:line="360" w:lineRule="atLeast"/>
    </w:pPr>
    <w:rPr>
      <w:rFonts w:eastAsia="黑体"/>
      <w:b/>
      <w:kern w:val="28"/>
      <w:sz w:val="28"/>
      <w:szCs w:val="20"/>
    </w:rPr>
  </w:style>
  <w:style w:type="paragraph" w:customStyle="1" w:styleId="195">
    <w:name w:val="Char Char Char Char"/>
    <w:basedOn w:val="1"/>
    <w:autoRedefine/>
    <w:qFormat/>
    <w:uiPriority w:val="0"/>
    <w:pPr>
      <w:spacing w:before="100" w:beforeLines="100" w:after="50" w:afterLines="50" w:line="600" w:lineRule="exact"/>
      <w:ind w:firstLine="200" w:firstLineChars="200"/>
    </w:pPr>
    <w:rPr>
      <w:rFonts w:eastAsia="黑体"/>
      <w:sz w:val="28"/>
      <w:szCs w:val="24"/>
    </w:rPr>
  </w:style>
  <w:style w:type="character" w:customStyle="1" w:styleId="196">
    <w:name w:val="apple-converted-space"/>
    <w:basedOn w:val="55"/>
    <w:autoRedefine/>
    <w:qFormat/>
    <w:uiPriority w:val="0"/>
  </w:style>
  <w:style w:type="paragraph" w:customStyle="1" w:styleId="197">
    <w:name w:val="目录 111"/>
    <w:basedOn w:val="1"/>
    <w:next w:val="1"/>
    <w:autoRedefine/>
    <w:qFormat/>
    <w:uiPriority w:val="39"/>
    <w:rPr>
      <w:szCs w:val="24"/>
    </w:rPr>
  </w:style>
  <w:style w:type="paragraph" w:customStyle="1" w:styleId="198">
    <w:name w:val="表格内容1"/>
    <w:basedOn w:val="1"/>
    <w:autoRedefine/>
    <w:qFormat/>
    <w:uiPriority w:val="99"/>
    <w:pPr>
      <w:adjustRightInd w:val="0"/>
      <w:snapToGrid w:val="0"/>
      <w:spacing w:before="62" w:beforeLines="20" w:after="62" w:afterLines="20" w:line="240" w:lineRule="exact"/>
      <w:jc w:val="center"/>
    </w:pPr>
    <w:rPr>
      <w:rFonts w:ascii="宋体"/>
      <w:snapToGrid w:val="0"/>
      <w:kern w:val="0"/>
      <w:szCs w:val="24"/>
    </w:rPr>
  </w:style>
  <w:style w:type="paragraph" w:customStyle="1" w:styleId="199">
    <w:name w:val="1111表头"/>
    <w:basedOn w:val="70"/>
    <w:next w:val="70"/>
    <w:link w:val="200"/>
    <w:autoRedefine/>
    <w:qFormat/>
    <w:uiPriority w:val="0"/>
    <w:pPr>
      <w:spacing w:line="560" w:lineRule="exact"/>
      <w:ind w:firstLine="472"/>
    </w:pPr>
    <w:rPr>
      <w:rFonts w:eastAsia="黑体"/>
      <w:spacing w:val="-6"/>
    </w:rPr>
  </w:style>
  <w:style w:type="character" w:customStyle="1" w:styleId="200">
    <w:name w:val="1111表头 Char"/>
    <w:link w:val="199"/>
    <w:autoRedefine/>
    <w:qFormat/>
    <w:uiPriority w:val="0"/>
    <w:rPr>
      <w:rFonts w:eastAsia="黑体"/>
      <w:spacing w:val="-6"/>
      <w:kern w:val="2"/>
      <w:sz w:val="24"/>
      <w:szCs w:val="24"/>
      <w:lang w:val="zh-CN" w:eastAsia="zh-CN"/>
    </w:rPr>
  </w:style>
  <w:style w:type="paragraph" w:customStyle="1" w:styleId="201">
    <w:name w:val="1111表文字"/>
    <w:basedOn w:val="70"/>
    <w:next w:val="70"/>
    <w:link w:val="202"/>
    <w:autoRedefine/>
    <w:qFormat/>
    <w:uiPriority w:val="0"/>
    <w:pPr>
      <w:spacing w:line="320" w:lineRule="exact"/>
      <w:ind w:firstLine="0" w:firstLineChars="0"/>
      <w:jc w:val="center"/>
    </w:pPr>
    <w:rPr>
      <w:spacing w:val="-4"/>
      <w:kern w:val="0"/>
      <w:sz w:val="21"/>
      <w:szCs w:val="21"/>
      <w:u w:val="single"/>
    </w:rPr>
  </w:style>
  <w:style w:type="character" w:customStyle="1" w:styleId="202">
    <w:name w:val="1111表文字 Char"/>
    <w:link w:val="201"/>
    <w:autoRedefine/>
    <w:qFormat/>
    <w:uiPriority w:val="0"/>
    <w:rPr>
      <w:spacing w:val="-4"/>
      <w:sz w:val="21"/>
      <w:szCs w:val="21"/>
      <w:u w:val="single"/>
      <w:lang w:val="zh-CN" w:eastAsia="zh-CN"/>
    </w:rPr>
  </w:style>
  <w:style w:type="character" w:customStyle="1" w:styleId="203">
    <w:name w:val="blue1"/>
    <w:autoRedefine/>
    <w:qFormat/>
    <w:uiPriority w:val="0"/>
    <w:rPr>
      <w:color w:val="035AC0"/>
    </w:rPr>
  </w:style>
  <w:style w:type="character" w:customStyle="1" w:styleId="204">
    <w:name w:val="段落 Char Char Char"/>
    <w:autoRedefine/>
    <w:qFormat/>
    <w:uiPriority w:val="0"/>
    <w:rPr>
      <w:rFonts w:ascii="Times New Roman" w:hAnsi="Times New Roman"/>
      <w:kern w:val="2"/>
      <w:sz w:val="24"/>
      <w:szCs w:val="24"/>
    </w:rPr>
  </w:style>
  <w:style w:type="character" w:customStyle="1" w:styleId="205">
    <w:name w:val="表头 Char Char Char Char Char"/>
    <w:link w:val="206"/>
    <w:autoRedefine/>
    <w:qFormat/>
    <w:locked/>
    <w:uiPriority w:val="0"/>
    <w:rPr>
      <w:rFonts w:ascii="黑体" w:eastAsia="黑体"/>
      <w:spacing w:val="20"/>
      <w:kern w:val="2"/>
      <w:sz w:val="24"/>
      <w:szCs w:val="24"/>
    </w:rPr>
  </w:style>
  <w:style w:type="paragraph" w:customStyle="1" w:styleId="206">
    <w:name w:val="表头 Char Char Char Char"/>
    <w:basedOn w:val="1"/>
    <w:link w:val="205"/>
    <w:autoRedefine/>
    <w:qFormat/>
    <w:uiPriority w:val="0"/>
    <w:pPr>
      <w:spacing w:before="200" w:line="500" w:lineRule="exact"/>
    </w:pPr>
    <w:rPr>
      <w:rFonts w:ascii="黑体" w:eastAsia="黑体"/>
      <w:spacing w:val="20"/>
      <w:sz w:val="24"/>
      <w:szCs w:val="24"/>
    </w:rPr>
  </w:style>
  <w:style w:type="paragraph" w:customStyle="1" w:styleId="207">
    <w:name w:val="环评小于节的标题"/>
    <w:basedOn w:val="1"/>
    <w:autoRedefine/>
    <w:qFormat/>
    <w:uiPriority w:val="0"/>
    <w:pPr>
      <w:tabs>
        <w:tab w:val="left" w:pos="567"/>
      </w:tabs>
      <w:spacing w:before="200" w:after="200" w:line="360" w:lineRule="auto"/>
    </w:pPr>
    <w:rPr>
      <w:rFonts w:eastAsia="黑体"/>
      <w:b/>
      <w:spacing w:val="20"/>
      <w:sz w:val="28"/>
      <w:szCs w:val="20"/>
    </w:rPr>
  </w:style>
  <w:style w:type="paragraph" w:customStyle="1" w:styleId="208">
    <w:name w:val="样式1"/>
    <w:basedOn w:val="1"/>
    <w:autoRedefine/>
    <w:qFormat/>
    <w:uiPriority w:val="0"/>
    <w:pPr>
      <w:adjustRightInd w:val="0"/>
      <w:spacing w:line="440" w:lineRule="atLeast"/>
      <w:textAlignment w:val="baseline"/>
    </w:pPr>
    <w:rPr>
      <w:kern w:val="0"/>
      <w:sz w:val="28"/>
      <w:szCs w:val="20"/>
    </w:rPr>
  </w:style>
  <w:style w:type="paragraph" w:customStyle="1" w:styleId="209">
    <w:name w:val="样2"/>
    <w:basedOn w:val="1"/>
    <w:next w:val="1"/>
    <w:autoRedefine/>
    <w:qFormat/>
    <w:uiPriority w:val="99"/>
    <w:pPr>
      <w:adjustRightInd w:val="0"/>
      <w:jc w:val="center"/>
      <w:textAlignment w:val="baseline"/>
    </w:pPr>
    <w:rPr>
      <w:kern w:val="0"/>
      <w:sz w:val="24"/>
      <w:szCs w:val="20"/>
    </w:rPr>
  </w:style>
  <w:style w:type="paragraph" w:customStyle="1" w:styleId="210">
    <w:name w:val="表题"/>
    <w:basedOn w:val="1"/>
    <w:autoRedefine/>
    <w:qFormat/>
    <w:uiPriority w:val="99"/>
    <w:pPr>
      <w:snapToGrid w:val="0"/>
      <w:spacing w:before="50" w:beforeLines="50" w:line="360" w:lineRule="auto"/>
      <w:jc w:val="center"/>
    </w:pPr>
    <w:rPr>
      <w:b/>
      <w:color w:val="000000"/>
      <w:sz w:val="24"/>
      <w:szCs w:val="24"/>
    </w:rPr>
  </w:style>
  <w:style w:type="paragraph" w:customStyle="1" w:styleId="211">
    <w:name w:val="图题"/>
    <w:basedOn w:val="1"/>
    <w:autoRedefine/>
    <w:qFormat/>
    <w:uiPriority w:val="99"/>
    <w:pPr>
      <w:spacing w:after="50" w:afterLines="50"/>
      <w:jc w:val="center"/>
    </w:pPr>
    <w:rPr>
      <w:rFonts w:eastAsia="黑体"/>
      <w:b/>
      <w:bCs/>
      <w:sz w:val="24"/>
      <w:szCs w:val="24"/>
    </w:rPr>
  </w:style>
  <w:style w:type="character" w:customStyle="1" w:styleId="212">
    <w:name w:val="search_content1"/>
    <w:autoRedefine/>
    <w:qFormat/>
    <w:uiPriority w:val="0"/>
    <w:rPr>
      <w:sz w:val="20"/>
      <w:szCs w:val="20"/>
    </w:rPr>
  </w:style>
  <w:style w:type="paragraph" w:customStyle="1" w:styleId="213">
    <w:name w:val="默认段落字体 Para Char"/>
    <w:basedOn w:val="1"/>
    <w:autoRedefine/>
    <w:qFormat/>
    <w:uiPriority w:val="0"/>
    <w:rPr>
      <w:sz w:val="24"/>
      <w:szCs w:val="24"/>
    </w:rPr>
  </w:style>
  <w:style w:type="paragraph" w:customStyle="1" w:styleId="214">
    <w:name w:val="表格内容"/>
    <w:basedOn w:val="1"/>
    <w:link w:val="215"/>
    <w:autoRedefine/>
    <w:qFormat/>
    <w:uiPriority w:val="99"/>
    <w:pPr>
      <w:overflowPunct w:val="0"/>
      <w:adjustRightInd w:val="0"/>
      <w:snapToGrid w:val="0"/>
      <w:spacing w:after="120" w:line="440" w:lineRule="exact"/>
      <w:jc w:val="left"/>
      <w:textAlignment w:val="baseline"/>
    </w:pPr>
    <w:rPr>
      <w:rFonts w:ascii="Arial" w:hAnsi="Arial" w:eastAsia="楷体_GB2312"/>
      <w:kern w:val="0"/>
      <w:sz w:val="24"/>
      <w:szCs w:val="20"/>
      <w:lang w:val="zh-CN"/>
    </w:rPr>
  </w:style>
  <w:style w:type="character" w:customStyle="1" w:styleId="215">
    <w:name w:val="表格内容 Char"/>
    <w:link w:val="214"/>
    <w:autoRedefine/>
    <w:qFormat/>
    <w:uiPriority w:val="99"/>
    <w:rPr>
      <w:rFonts w:ascii="Arial" w:hAnsi="Arial" w:eastAsia="楷体_GB2312"/>
      <w:sz w:val="24"/>
      <w:lang w:val="zh-CN" w:eastAsia="zh-CN"/>
    </w:rPr>
  </w:style>
  <w:style w:type="paragraph" w:customStyle="1" w:styleId="216">
    <w:name w:val="奉读大示，心折殊深。"/>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217">
    <w:name w:val="样式2"/>
    <w:basedOn w:val="1"/>
    <w:autoRedefine/>
    <w:qFormat/>
    <w:uiPriority w:val="0"/>
    <w:pPr>
      <w:spacing w:line="300" w:lineRule="atLeast"/>
      <w:jc w:val="center"/>
    </w:pPr>
    <w:rPr>
      <w:rFonts w:eastAsia="楷体_GB2312"/>
      <w:szCs w:val="20"/>
    </w:rPr>
  </w:style>
  <w:style w:type="paragraph" w:customStyle="1" w:styleId="218">
    <w:name w:val="Normal Indent 2"/>
    <w:basedOn w:val="1"/>
    <w:next w:val="1"/>
    <w:autoRedefine/>
    <w:qFormat/>
    <w:uiPriority w:val="99"/>
    <w:pPr>
      <w:autoSpaceDE w:val="0"/>
      <w:autoSpaceDN w:val="0"/>
      <w:adjustRightInd w:val="0"/>
      <w:spacing w:before="120" w:after="120"/>
      <w:jc w:val="left"/>
    </w:pPr>
    <w:rPr>
      <w:kern w:val="0"/>
      <w:sz w:val="24"/>
      <w:szCs w:val="24"/>
    </w:rPr>
  </w:style>
  <w:style w:type="character" w:customStyle="1" w:styleId="219">
    <w:name w:val="正文样式 Char Char"/>
    <w:link w:val="220"/>
    <w:autoRedefine/>
    <w:qFormat/>
    <w:uiPriority w:val="0"/>
    <w:rPr>
      <w:sz w:val="24"/>
      <w:szCs w:val="24"/>
    </w:rPr>
  </w:style>
  <w:style w:type="paragraph" w:customStyle="1" w:styleId="220">
    <w:name w:val="正文样式"/>
    <w:basedOn w:val="1"/>
    <w:link w:val="219"/>
    <w:autoRedefine/>
    <w:qFormat/>
    <w:uiPriority w:val="0"/>
    <w:pPr>
      <w:tabs>
        <w:tab w:val="left" w:pos="8280"/>
      </w:tabs>
      <w:adjustRightInd w:val="0"/>
      <w:snapToGrid w:val="0"/>
      <w:spacing w:line="440" w:lineRule="exact"/>
      <w:ind w:firstLine="480" w:firstLineChars="200"/>
    </w:pPr>
    <w:rPr>
      <w:kern w:val="0"/>
      <w:sz w:val="24"/>
      <w:szCs w:val="24"/>
    </w:rPr>
  </w:style>
  <w:style w:type="paragraph" w:customStyle="1" w:styleId="221">
    <w:name w:val="表"/>
    <w:basedOn w:val="1"/>
    <w:autoRedefine/>
    <w:qFormat/>
    <w:uiPriority w:val="99"/>
    <w:pPr>
      <w:snapToGrid w:val="0"/>
      <w:jc w:val="center"/>
    </w:pPr>
    <w:rPr>
      <w:spacing w:val="2"/>
      <w:szCs w:val="20"/>
    </w:rPr>
  </w:style>
  <w:style w:type="paragraph" w:customStyle="1" w:styleId="222">
    <w:name w:val="样式 表格内容 + (中文) 宋体 居中"/>
    <w:basedOn w:val="1"/>
    <w:autoRedefine/>
    <w:qFormat/>
    <w:uiPriority w:val="99"/>
    <w:pPr>
      <w:overflowPunct w:val="0"/>
      <w:adjustRightInd w:val="0"/>
      <w:snapToGrid w:val="0"/>
      <w:spacing w:after="120" w:line="440" w:lineRule="exact"/>
      <w:jc w:val="center"/>
      <w:textAlignment w:val="baseline"/>
    </w:pPr>
    <w:rPr>
      <w:rFonts w:ascii="Arial" w:hAnsi="Arial"/>
      <w:kern w:val="0"/>
      <w:szCs w:val="21"/>
    </w:rPr>
  </w:style>
  <w:style w:type="paragraph" w:customStyle="1" w:styleId="223">
    <w:name w:val="初设正文"/>
    <w:basedOn w:val="1"/>
    <w:autoRedefine/>
    <w:qFormat/>
    <w:uiPriority w:val="99"/>
    <w:pPr>
      <w:spacing w:after="120" w:line="440" w:lineRule="exact"/>
      <w:ind w:left="425" w:firstLine="425"/>
    </w:pPr>
    <w:rPr>
      <w:rFonts w:ascii="Arial" w:hAnsi="Arial"/>
      <w:kern w:val="0"/>
      <w:sz w:val="24"/>
      <w:szCs w:val="20"/>
    </w:rPr>
  </w:style>
  <w:style w:type="paragraph" w:customStyle="1" w:styleId="224">
    <w:name w:val="样式 宋体 小四 黑色 行距: 固定值 22 磅"/>
    <w:basedOn w:val="1"/>
    <w:autoRedefine/>
    <w:qFormat/>
    <w:uiPriority w:val="99"/>
    <w:pPr>
      <w:spacing w:line="440" w:lineRule="exact"/>
    </w:pPr>
    <w:rPr>
      <w:rFonts w:ascii="Arial" w:hAnsi="Arial"/>
      <w:color w:val="000000"/>
      <w:sz w:val="24"/>
      <w:szCs w:val="24"/>
    </w:rPr>
  </w:style>
  <w:style w:type="paragraph" w:customStyle="1" w:styleId="225">
    <w:name w:val="图表文字"/>
    <w:basedOn w:val="1"/>
    <w:autoRedefine/>
    <w:qFormat/>
    <w:uiPriority w:val="99"/>
    <w:pPr>
      <w:jc w:val="center"/>
    </w:pPr>
    <w:rPr>
      <w:rFonts w:ascii="仿宋_GB2312" w:eastAsia="仿宋_GB2312"/>
      <w:szCs w:val="24"/>
    </w:rPr>
  </w:style>
  <w:style w:type="paragraph" w:customStyle="1" w:styleId="226">
    <w:name w:val="图文框"/>
    <w:basedOn w:val="1"/>
    <w:autoRedefine/>
    <w:qFormat/>
    <w:uiPriority w:val="99"/>
    <w:pPr>
      <w:spacing w:line="340" w:lineRule="exact"/>
      <w:jc w:val="center"/>
    </w:pPr>
    <w:rPr>
      <w:rFonts w:ascii="宋体"/>
      <w:szCs w:val="20"/>
    </w:rPr>
  </w:style>
  <w:style w:type="paragraph" w:customStyle="1" w:styleId="227">
    <w:name w:val="正文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28">
    <w:name w:val="样式 样式 (中文) 黑体 加粗 居中 行距: 固定值 26 磅 + 首行缩进:  2 字符"/>
    <w:basedOn w:val="1"/>
    <w:autoRedefine/>
    <w:qFormat/>
    <w:uiPriority w:val="0"/>
    <w:pPr>
      <w:adjustRightInd w:val="0"/>
      <w:spacing w:line="360" w:lineRule="auto"/>
      <w:ind w:firstLine="480" w:firstLineChars="200"/>
      <w:textAlignment w:val="baseline"/>
    </w:pPr>
    <w:rPr>
      <w:rFonts w:eastAsia="黑体"/>
      <w:bCs/>
      <w:kern w:val="24"/>
      <w:sz w:val="24"/>
      <w:szCs w:val="24"/>
    </w:rPr>
  </w:style>
  <w:style w:type="character" w:customStyle="1" w:styleId="229">
    <w:name w:val="图题注 Char"/>
    <w:link w:val="230"/>
    <w:autoRedefine/>
    <w:qFormat/>
    <w:uiPriority w:val="0"/>
    <w:rPr>
      <w:rFonts w:ascii="Arial" w:hAnsi="Arial" w:eastAsia="黑体" w:cs="Arial"/>
      <w:sz w:val="24"/>
    </w:rPr>
  </w:style>
  <w:style w:type="paragraph" w:customStyle="1" w:styleId="230">
    <w:name w:val="图题注"/>
    <w:basedOn w:val="14"/>
    <w:link w:val="229"/>
    <w:autoRedefine/>
    <w:qFormat/>
    <w:uiPriority w:val="0"/>
    <w:pPr>
      <w:adjustRightInd/>
      <w:spacing w:before="0" w:after="0" w:line="520" w:lineRule="exact"/>
      <w:ind w:left="0" w:firstLine="0"/>
      <w:jc w:val="center"/>
      <w:textAlignment w:val="auto"/>
    </w:pPr>
    <w:rPr>
      <w:rFonts w:ascii="Arial" w:hAnsi="Arial" w:eastAsia="黑体" w:cs="Arial"/>
      <w:i w:val="0"/>
      <w:spacing w:val="0"/>
      <w:sz w:val="24"/>
      <w:lang w:val="en-US"/>
    </w:rPr>
  </w:style>
  <w:style w:type="paragraph" w:customStyle="1" w:styleId="231">
    <w:name w:val="段落 Char Char"/>
    <w:basedOn w:val="1"/>
    <w:link w:val="232"/>
    <w:autoRedefine/>
    <w:qFormat/>
    <w:uiPriority w:val="0"/>
    <w:pPr>
      <w:spacing w:line="500" w:lineRule="exact"/>
      <w:ind w:firstLine="578"/>
    </w:pPr>
    <w:rPr>
      <w:kern w:val="0"/>
      <w:sz w:val="28"/>
      <w:szCs w:val="28"/>
      <w:lang w:val="zh-CN"/>
    </w:rPr>
  </w:style>
  <w:style w:type="character" w:customStyle="1" w:styleId="232">
    <w:name w:val="段落 Char Char Char Char"/>
    <w:link w:val="231"/>
    <w:autoRedefine/>
    <w:qFormat/>
    <w:uiPriority w:val="0"/>
    <w:rPr>
      <w:sz w:val="28"/>
      <w:szCs w:val="28"/>
      <w:lang w:val="zh-CN" w:eastAsia="zh-CN"/>
    </w:rPr>
  </w:style>
  <w:style w:type="paragraph" w:customStyle="1" w:styleId="233">
    <w:name w:val="目录 71"/>
    <w:basedOn w:val="1"/>
    <w:next w:val="1"/>
    <w:autoRedefine/>
    <w:qFormat/>
    <w:uiPriority w:val="39"/>
    <w:pPr>
      <w:spacing w:line="440" w:lineRule="exact"/>
      <w:ind w:left="1260"/>
      <w:jc w:val="left"/>
    </w:pPr>
    <w:rPr>
      <w:sz w:val="18"/>
      <w:szCs w:val="18"/>
    </w:rPr>
  </w:style>
  <w:style w:type="paragraph" w:customStyle="1" w:styleId="234">
    <w:name w:val="目录 51"/>
    <w:basedOn w:val="1"/>
    <w:next w:val="1"/>
    <w:autoRedefine/>
    <w:qFormat/>
    <w:uiPriority w:val="39"/>
    <w:pPr>
      <w:spacing w:line="440" w:lineRule="exact"/>
      <w:jc w:val="left"/>
    </w:pPr>
    <w:rPr>
      <w:szCs w:val="21"/>
    </w:rPr>
  </w:style>
  <w:style w:type="paragraph" w:customStyle="1" w:styleId="235">
    <w:name w:val="目录 311"/>
    <w:basedOn w:val="1"/>
    <w:next w:val="1"/>
    <w:autoRedefine/>
    <w:qFormat/>
    <w:uiPriority w:val="39"/>
    <w:pPr>
      <w:ind w:left="840" w:leftChars="400"/>
    </w:pPr>
    <w:rPr>
      <w:szCs w:val="24"/>
    </w:rPr>
  </w:style>
  <w:style w:type="paragraph" w:customStyle="1" w:styleId="236">
    <w:name w:val="目录 81"/>
    <w:basedOn w:val="1"/>
    <w:next w:val="1"/>
    <w:autoRedefine/>
    <w:qFormat/>
    <w:uiPriority w:val="39"/>
    <w:pPr>
      <w:spacing w:line="440" w:lineRule="exact"/>
      <w:ind w:left="1470"/>
      <w:jc w:val="left"/>
    </w:pPr>
    <w:rPr>
      <w:sz w:val="18"/>
      <w:szCs w:val="18"/>
    </w:rPr>
  </w:style>
  <w:style w:type="paragraph" w:customStyle="1" w:styleId="237">
    <w:name w:val="目录 41"/>
    <w:basedOn w:val="1"/>
    <w:next w:val="1"/>
    <w:autoRedefine/>
    <w:qFormat/>
    <w:uiPriority w:val="39"/>
    <w:pPr>
      <w:spacing w:line="440" w:lineRule="exact"/>
      <w:ind w:left="630"/>
      <w:jc w:val="left"/>
    </w:pPr>
    <w:rPr>
      <w:sz w:val="18"/>
      <w:szCs w:val="18"/>
    </w:rPr>
  </w:style>
  <w:style w:type="character" w:customStyle="1" w:styleId="238">
    <w:name w:val="副标题 字符"/>
    <w:basedOn w:val="55"/>
    <w:autoRedefine/>
    <w:qFormat/>
    <w:uiPriority w:val="0"/>
    <w:rPr>
      <w:rFonts w:asciiTheme="minorHAnsi" w:hAnsiTheme="minorHAnsi" w:eastAsiaTheme="minorEastAsia" w:cstheme="minorBidi"/>
      <w:b/>
      <w:bCs/>
      <w:kern w:val="28"/>
      <w:sz w:val="32"/>
      <w:szCs w:val="32"/>
    </w:rPr>
  </w:style>
  <w:style w:type="character" w:customStyle="1" w:styleId="239">
    <w:name w:val="副标题 字符2"/>
    <w:link w:val="34"/>
    <w:autoRedefine/>
    <w:qFormat/>
    <w:uiPriority w:val="0"/>
    <w:rPr>
      <w:rFonts w:ascii="Cambria" w:hAnsi="Cambria"/>
      <w:b/>
      <w:bCs/>
      <w:kern w:val="28"/>
      <w:sz w:val="32"/>
      <w:szCs w:val="32"/>
      <w:lang w:val="zh-CN" w:eastAsia="zh-CN"/>
    </w:rPr>
  </w:style>
  <w:style w:type="character" w:customStyle="1" w:styleId="240">
    <w:name w:val="脚注文本 字符"/>
    <w:basedOn w:val="55"/>
    <w:link w:val="36"/>
    <w:autoRedefine/>
    <w:qFormat/>
    <w:uiPriority w:val="0"/>
    <w:rPr>
      <w:rFonts w:ascii="宋体" w:hAnsi="宋体"/>
      <w:sz w:val="18"/>
      <w:szCs w:val="18"/>
      <w:lang w:val="zh-CN" w:eastAsia="zh-CN"/>
    </w:rPr>
  </w:style>
  <w:style w:type="paragraph" w:customStyle="1" w:styleId="241">
    <w:name w:val="目录 61"/>
    <w:basedOn w:val="1"/>
    <w:next w:val="1"/>
    <w:autoRedefine/>
    <w:qFormat/>
    <w:uiPriority w:val="39"/>
    <w:pPr>
      <w:spacing w:line="440" w:lineRule="exact"/>
      <w:ind w:left="1050"/>
      <w:jc w:val="left"/>
    </w:pPr>
    <w:rPr>
      <w:sz w:val="18"/>
      <w:szCs w:val="18"/>
    </w:rPr>
  </w:style>
  <w:style w:type="paragraph" w:customStyle="1" w:styleId="242">
    <w:name w:val="目录 211"/>
    <w:basedOn w:val="1"/>
    <w:next w:val="1"/>
    <w:autoRedefine/>
    <w:qFormat/>
    <w:uiPriority w:val="39"/>
    <w:pPr>
      <w:tabs>
        <w:tab w:val="right" w:leader="dot" w:pos="8296"/>
      </w:tabs>
      <w:spacing w:line="360" w:lineRule="auto"/>
      <w:ind w:left="420" w:leftChars="200"/>
    </w:pPr>
    <w:rPr>
      <w:sz w:val="24"/>
      <w:szCs w:val="24"/>
    </w:rPr>
  </w:style>
  <w:style w:type="paragraph" w:customStyle="1" w:styleId="243">
    <w:name w:val="目录 911"/>
    <w:basedOn w:val="1"/>
    <w:next w:val="1"/>
    <w:autoRedefine/>
    <w:qFormat/>
    <w:uiPriority w:val="39"/>
    <w:pPr>
      <w:spacing w:line="440" w:lineRule="exact"/>
      <w:ind w:left="1680"/>
      <w:jc w:val="left"/>
    </w:pPr>
    <w:rPr>
      <w:sz w:val="18"/>
      <w:szCs w:val="18"/>
    </w:rPr>
  </w:style>
  <w:style w:type="character" w:customStyle="1" w:styleId="244">
    <w:name w:val="已访问的超链接11"/>
    <w:autoRedefine/>
    <w:unhideWhenUsed/>
    <w:qFormat/>
    <w:uiPriority w:val="99"/>
    <w:rPr>
      <w:color w:val="800080"/>
      <w:u w:val="single"/>
    </w:rPr>
  </w:style>
  <w:style w:type="character" w:customStyle="1" w:styleId="245">
    <w:name w:val="文本框 Char Char"/>
    <w:link w:val="246"/>
    <w:autoRedefine/>
    <w:qFormat/>
    <w:uiPriority w:val="0"/>
    <w:rPr>
      <w:rFonts w:ascii="宋体" w:hAnsi="宋体"/>
      <w:b/>
      <w:szCs w:val="21"/>
    </w:rPr>
  </w:style>
  <w:style w:type="paragraph" w:customStyle="1" w:styleId="246">
    <w:name w:val="文本框"/>
    <w:basedOn w:val="1"/>
    <w:link w:val="245"/>
    <w:autoRedefine/>
    <w:qFormat/>
    <w:uiPriority w:val="0"/>
    <w:pPr>
      <w:spacing w:line="440" w:lineRule="exact"/>
      <w:jc w:val="center"/>
    </w:pPr>
    <w:rPr>
      <w:rFonts w:ascii="宋体" w:hAnsi="宋体"/>
      <w:b/>
      <w:kern w:val="0"/>
      <w:sz w:val="20"/>
      <w:szCs w:val="21"/>
    </w:rPr>
  </w:style>
  <w:style w:type="character" w:customStyle="1" w:styleId="247">
    <w:name w:val="Char Char1"/>
    <w:autoRedefine/>
    <w:qFormat/>
    <w:uiPriority w:val="0"/>
    <w:rPr>
      <w:rFonts w:ascii="Arial" w:hAnsi="Arial" w:eastAsia="黑体"/>
      <w:bCs/>
      <w:kern w:val="2"/>
      <w:sz w:val="24"/>
      <w:szCs w:val="24"/>
      <w:lang w:val="en-US" w:eastAsia="zh-CN" w:bidi="ar-SA"/>
    </w:rPr>
  </w:style>
  <w:style w:type="character" w:customStyle="1" w:styleId="248">
    <w:name w:val="段落 Char Char Char1"/>
    <w:autoRedefine/>
    <w:qFormat/>
    <w:uiPriority w:val="0"/>
    <w:rPr>
      <w:rFonts w:ascii="宋体" w:eastAsia="宋体"/>
      <w:kern w:val="2"/>
      <w:sz w:val="28"/>
      <w:szCs w:val="28"/>
      <w:lang w:val="en-US" w:eastAsia="zh-CN" w:bidi="ar-SA"/>
    </w:rPr>
  </w:style>
  <w:style w:type="character" w:customStyle="1" w:styleId="249">
    <w:name w:val="表头 Char Char Char1 Char Char"/>
    <w:link w:val="250"/>
    <w:autoRedefine/>
    <w:qFormat/>
    <w:uiPriority w:val="0"/>
    <w:rPr>
      <w:b/>
      <w:sz w:val="24"/>
      <w:szCs w:val="24"/>
    </w:rPr>
  </w:style>
  <w:style w:type="paragraph" w:customStyle="1" w:styleId="250">
    <w:name w:val="表头 Char Char Char1 Char"/>
    <w:basedOn w:val="1"/>
    <w:link w:val="249"/>
    <w:autoRedefine/>
    <w:qFormat/>
    <w:uiPriority w:val="0"/>
    <w:pPr>
      <w:spacing w:before="200" w:line="440" w:lineRule="exact"/>
    </w:pPr>
    <w:rPr>
      <w:b/>
      <w:kern w:val="0"/>
      <w:sz w:val="24"/>
      <w:szCs w:val="24"/>
    </w:rPr>
  </w:style>
  <w:style w:type="character" w:customStyle="1" w:styleId="251">
    <w:name w:val="正文(首行缩进)宋旭峰 Char Char"/>
    <w:link w:val="252"/>
    <w:autoRedefine/>
    <w:qFormat/>
    <w:locked/>
    <w:uiPriority w:val="0"/>
    <w:rPr>
      <w:rFonts w:hAnsi="楷体_GB2312" w:cs="Arial"/>
      <w:sz w:val="24"/>
      <w:szCs w:val="24"/>
    </w:rPr>
  </w:style>
  <w:style w:type="paragraph" w:customStyle="1" w:styleId="252">
    <w:name w:val="正文(首行缩进)宋旭峰"/>
    <w:basedOn w:val="5"/>
    <w:link w:val="251"/>
    <w:autoRedefine/>
    <w:qFormat/>
    <w:uiPriority w:val="0"/>
    <w:pPr>
      <w:adjustRightInd/>
      <w:snapToGrid w:val="0"/>
      <w:spacing w:line="520" w:lineRule="exact"/>
      <w:ind w:firstLine="480" w:firstLineChars="200"/>
      <w:textAlignment w:val="auto"/>
    </w:pPr>
    <w:rPr>
      <w:rFonts w:hAnsi="楷体_GB2312" w:cs="Arial"/>
      <w:sz w:val="24"/>
      <w:szCs w:val="24"/>
      <w:lang w:val="en-US"/>
    </w:rPr>
  </w:style>
  <w:style w:type="character" w:customStyle="1" w:styleId="253">
    <w:name w:val="bt21"/>
    <w:autoRedefine/>
    <w:qFormat/>
    <w:uiPriority w:val="0"/>
    <w:rPr>
      <w:rFonts w:hint="eastAsia" w:ascii="黑体" w:eastAsia="黑体"/>
      <w:sz w:val="24"/>
    </w:rPr>
  </w:style>
  <w:style w:type="character" w:customStyle="1" w:styleId="254">
    <w:name w:val="Char Char51"/>
    <w:autoRedefine/>
    <w:qFormat/>
    <w:uiPriority w:val="0"/>
    <w:rPr>
      <w:rFonts w:ascii="宋体" w:hAnsi="宋体" w:eastAsia="宋体"/>
      <w:kern w:val="2"/>
      <w:sz w:val="18"/>
      <w:szCs w:val="18"/>
      <w:lang w:val="en-US" w:eastAsia="zh-CN" w:bidi="ar-SA"/>
    </w:rPr>
  </w:style>
  <w:style w:type="character" w:customStyle="1" w:styleId="255">
    <w:name w:val="headline-content2"/>
    <w:basedOn w:val="55"/>
    <w:autoRedefine/>
    <w:qFormat/>
    <w:uiPriority w:val="0"/>
  </w:style>
  <w:style w:type="character" w:customStyle="1" w:styleId="256">
    <w:name w:val="普通文字 Char Char Char1"/>
    <w:autoRedefine/>
    <w:qFormat/>
    <w:uiPriority w:val="0"/>
    <w:rPr>
      <w:rFonts w:ascii="宋体" w:hAnsi="Courier New" w:eastAsia="宋体" w:cs="Times New Roman"/>
      <w:szCs w:val="20"/>
    </w:rPr>
  </w:style>
  <w:style w:type="character" w:customStyle="1" w:styleId="257">
    <w:name w:val="表头 Char Char Char Char Char Char"/>
    <w:autoRedefine/>
    <w:qFormat/>
    <w:uiPriority w:val="0"/>
    <w:rPr>
      <w:rFonts w:ascii="黑体" w:hAnsi="Times New Roman" w:eastAsia="黑体" w:cs="Times New Roman"/>
      <w:spacing w:val="20"/>
      <w:sz w:val="24"/>
      <w:szCs w:val="24"/>
    </w:rPr>
  </w:style>
  <w:style w:type="character" w:customStyle="1" w:styleId="258">
    <w:name w:val="段落 Char Char2"/>
    <w:link w:val="259"/>
    <w:autoRedefine/>
    <w:qFormat/>
    <w:uiPriority w:val="0"/>
    <w:rPr>
      <w:sz w:val="28"/>
      <w:szCs w:val="28"/>
    </w:rPr>
  </w:style>
  <w:style w:type="paragraph" w:customStyle="1" w:styleId="259">
    <w:name w:val="段落 Char1"/>
    <w:basedOn w:val="1"/>
    <w:link w:val="258"/>
    <w:autoRedefine/>
    <w:qFormat/>
    <w:uiPriority w:val="0"/>
    <w:pPr>
      <w:spacing w:line="500" w:lineRule="exact"/>
      <w:ind w:firstLine="578"/>
    </w:pPr>
    <w:rPr>
      <w:kern w:val="0"/>
      <w:sz w:val="28"/>
      <w:szCs w:val="28"/>
    </w:rPr>
  </w:style>
  <w:style w:type="character" w:customStyle="1" w:styleId="260">
    <w:name w:val="无间隔 Char"/>
    <w:link w:val="261"/>
    <w:autoRedefine/>
    <w:qFormat/>
    <w:uiPriority w:val="0"/>
    <w:rPr>
      <w:sz w:val="22"/>
      <w:szCs w:val="22"/>
    </w:rPr>
  </w:style>
  <w:style w:type="paragraph" w:customStyle="1" w:styleId="261">
    <w:name w:val="无间隔1"/>
    <w:link w:val="260"/>
    <w:autoRedefine/>
    <w:qFormat/>
    <w:uiPriority w:val="0"/>
    <w:pPr>
      <w:spacing w:line="440" w:lineRule="exact"/>
      <w:jc w:val="both"/>
    </w:pPr>
    <w:rPr>
      <w:rFonts w:ascii="Times New Roman" w:hAnsi="Times New Roman" w:eastAsia="宋体" w:cs="Times New Roman"/>
      <w:sz w:val="22"/>
      <w:szCs w:val="22"/>
      <w:lang w:val="en-US" w:eastAsia="zh-CN" w:bidi="ar-SA"/>
    </w:rPr>
  </w:style>
  <w:style w:type="character" w:customStyle="1" w:styleId="262">
    <w:name w:val="书表格 Char"/>
    <w:link w:val="263"/>
    <w:autoRedefine/>
    <w:qFormat/>
    <w:uiPriority w:val="0"/>
    <w:rPr>
      <w:rFonts w:eastAsia="黑体" w:cs="宋体"/>
      <w:sz w:val="24"/>
      <w:szCs w:val="24"/>
    </w:rPr>
  </w:style>
  <w:style w:type="paragraph" w:customStyle="1" w:styleId="263">
    <w:name w:val="书表格"/>
    <w:basedOn w:val="1"/>
    <w:link w:val="262"/>
    <w:autoRedefine/>
    <w:qFormat/>
    <w:uiPriority w:val="0"/>
    <w:pPr>
      <w:spacing w:line="520" w:lineRule="exact"/>
      <w:ind w:firstLine="480" w:firstLineChars="200"/>
      <w:jc w:val="left"/>
    </w:pPr>
    <w:rPr>
      <w:rFonts w:eastAsia="黑体" w:cs="宋体"/>
      <w:kern w:val="0"/>
      <w:sz w:val="24"/>
      <w:szCs w:val="24"/>
    </w:rPr>
  </w:style>
  <w:style w:type="character" w:customStyle="1" w:styleId="264">
    <w:name w:val="页码21"/>
    <w:basedOn w:val="55"/>
    <w:autoRedefine/>
    <w:qFormat/>
    <w:uiPriority w:val="0"/>
  </w:style>
  <w:style w:type="character" w:customStyle="1" w:styleId="265">
    <w:name w:val="样式4 Char"/>
    <w:link w:val="266"/>
    <w:autoRedefine/>
    <w:qFormat/>
    <w:uiPriority w:val="0"/>
    <w:rPr>
      <w:rFonts w:eastAsia="黑体"/>
      <w:sz w:val="24"/>
      <w:szCs w:val="24"/>
    </w:rPr>
  </w:style>
  <w:style w:type="paragraph" w:customStyle="1" w:styleId="266">
    <w:name w:val="样式4"/>
    <w:basedOn w:val="6"/>
    <w:link w:val="265"/>
    <w:autoRedefine/>
    <w:qFormat/>
    <w:uiPriority w:val="0"/>
    <w:pPr>
      <w:tabs>
        <w:tab w:val="left" w:pos="864"/>
        <w:tab w:val="left" w:pos="1320"/>
      </w:tabs>
      <w:spacing w:before="0" w:beforeLines="50" w:after="0" w:line="377" w:lineRule="auto"/>
    </w:pPr>
    <w:rPr>
      <w:rFonts w:ascii="Times New Roman" w:hAnsi="Times New Roman" w:eastAsia="黑体" w:cs="Times New Roman"/>
      <w:b w:val="0"/>
      <w:bCs w:val="0"/>
      <w:kern w:val="0"/>
      <w:sz w:val="24"/>
      <w:szCs w:val="24"/>
    </w:rPr>
  </w:style>
  <w:style w:type="paragraph" w:customStyle="1" w:styleId="267">
    <w:name w:val="表头 Char Char Char"/>
    <w:basedOn w:val="1"/>
    <w:autoRedefine/>
    <w:qFormat/>
    <w:uiPriority w:val="99"/>
    <w:pPr>
      <w:spacing w:before="200" w:line="500" w:lineRule="exact"/>
    </w:pPr>
    <w:rPr>
      <w:rFonts w:ascii="黑体" w:hAnsi="Calibri" w:eastAsia="黑体"/>
      <w:spacing w:val="20"/>
      <w:kern w:val="0"/>
      <w:sz w:val="24"/>
      <w:szCs w:val="24"/>
    </w:rPr>
  </w:style>
  <w:style w:type="character" w:customStyle="1" w:styleId="268">
    <w:name w:val="段落 Char1 Char"/>
    <w:autoRedefine/>
    <w:qFormat/>
    <w:uiPriority w:val="0"/>
    <w:rPr>
      <w:rFonts w:eastAsia="宋体"/>
      <w:kern w:val="2"/>
      <w:sz w:val="28"/>
      <w:szCs w:val="28"/>
      <w:lang w:val="en-US" w:eastAsia="zh-CN" w:bidi="ar-SA"/>
    </w:rPr>
  </w:style>
  <w:style w:type="character" w:customStyle="1" w:styleId="269">
    <w:name w:val="zw1"/>
    <w:autoRedefine/>
    <w:qFormat/>
    <w:uiPriority w:val="0"/>
    <w:rPr>
      <w:rFonts w:hint="eastAsia" w:ascii="宋体" w:hAnsi="宋体" w:eastAsia="宋体"/>
      <w:sz w:val="22"/>
    </w:rPr>
  </w:style>
  <w:style w:type="character" w:customStyle="1" w:styleId="270">
    <w:name w:val="title_black_141"/>
    <w:autoRedefine/>
    <w:qFormat/>
    <w:uiPriority w:val="0"/>
    <w:rPr>
      <w:color w:val="000000"/>
      <w:sz w:val="21"/>
      <w:szCs w:val="21"/>
      <w:u w:val="none"/>
    </w:rPr>
  </w:style>
  <w:style w:type="character" w:customStyle="1" w:styleId="271">
    <w:name w:val="fontstyle11"/>
    <w:autoRedefine/>
    <w:qFormat/>
    <w:uiPriority w:val="0"/>
    <w:rPr>
      <w:rFonts w:hint="eastAsia" w:ascii="宋体" w:hAnsi="宋体" w:eastAsia="宋体"/>
      <w:color w:val="000000"/>
      <w:sz w:val="24"/>
      <w:szCs w:val="24"/>
    </w:rPr>
  </w:style>
  <w:style w:type="character" w:customStyle="1" w:styleId="272">
    <w:name w:val="fontstyle21"/>
    <w:autoRedefine/>
    <w:qFormat/>
    <w:uiPriority w:val="0"/>
    <w:rPr>
      <w:rFonts w:hint="default" w:ascii="TimesNewRomanPSMT" w:hAnsi="TimesNewRomanPSMT"/>
      <w:color w:val="000000"/>
      <w:sz w:val="24"/>
      <w:szCs w:val="24"/>
    </w:rPr>
  </w:style>
  <w:style w:type="character" w:customStyle="1" w:styleId="273">
    <w:name w:val="标题 2 Char2"/>
    <w:autoRedefine/>
    <w:qFormat/>
    <w:uiPriority w:val="0"/>
    <w:rPr>
      <w:rFonts w:ascii="Arial" w:hAnsi="Arial" w:eastAsia="宋体"/>
      <w:b/>
      <w:bCs/>
      <w:kern w:val="2"/>
      <w:sz w:val="30"/>
      <w:szCs w:val="32"/>
      <w:lang w:val="en-US" w:eastAsia="zh-CN" w:bidi="ar-SA"/>
    </w:rPr>
  </w:style>
  <w:style w:type="character" w:customStyle="1" w:styleId="274">
    <w:name w:val="文字 Char"/>
    <w:link w:val="275"/>
    <w:autoRedefine/>
    <w:qFormat/>
    <w:locked/>
    <w:uiPriority w:val="0"/>
    <w:rPr>
      <w:sz w:val="24"/>
      <w:szCs w:val="24"/>
    </w:rPr>
  </w:style>
  <w:style w:type="paragraph" w:customStyle="1" w:styleId="275">
    <w:name w:val="文字"/>
    <w:basedOn w:val="1"/>
    <w:link w:val="274"/>
    <w:autoRedefine/>
    <w:qFormat/>
    <w:uiPriority w:val="0"/>
    <w:pPr>
      <w:widowControl/>
      <w:spacing w:afterLines="50" w:line="360" w:lineRule="auto"/>
      <w:ind w:firstLine="420"/>
    </w:pPr>
    <w:rPr>
      <w:kern w:val="0"/>
      <w:sz w:val="24"/>
      <w:szCs w:val="24"/>
    </w:rPr>
  </w:style>
  <w:style w:type="character" w:customStyle="1" w:styleId="276">
    <w:name w:val="表头 Char Char Char1"/>
    <w:autoRedefine/>
    <w:qFormat/>
    <w:uiPriority w:val="0"/>
    <w:rPr>
      <w:rFonts w:eastAsia="宋体"/>
      <w:b/>
      <w:kern w:val="2"/>
      <w:sz w:val="24"/>
      <w:szCs w:val="24"/>
      <w:lang w:val="en-US" w:eastAsia="zh-CN" w:bidi="ar-SA"/>
    </w:rPr>
  </w:style>
  <w:style w:type="character" w:customStyle="1" w:styleId="277">
    <w:name w:val="文本框 Char"/>
    <w:autoRedefine/>
    <w:qFormat/>
    <w:uiPriority w:val="0"/>
    <w:rPr>
      <w:rFonts w:eastAsia="宋体"/>
      <w:kern w:val="2"/>
      <w:sz w:val="21"/>
      <w:szCs w:val="21"/>
      <w:lang w:val="en-US" w:eastAsia="zh-CN" w:bidi="ar-SA"/>
    </w:rPr>
  </w:style>
  <w:style w:type="character" w:customStyle="1" w:styleId="278">
    <w:name w:val="表头 Char Char"/>
    <w:link w:val="279"/>
    <w:autoRedefine/>
    <w:qFormat/>
    <w:locked/>
    <w:uiPriority w:val="0"/>
    <w:rPr>
      <w:rFonts w:ascii="黑体" w:eastAsia="黑体"/>
      <w:spacing w:val="20"/>
      <w:sz w:val="24"/>
      <w:szCs w:val="24"/>
    </w:rPr>
  </w:style>
  <w:style w:type="paragraph" w:customStyle="1" w:styleId="279">
    <w:name w:val="表头 Char"/>
    <w:basedOn w:val="1"/>
    <w:link w:val="278"/>
    <w:autoRedefine/>
    <w:qFormat/>
    <w:uiPriority w:val="0"/>
    <w:pPr>
      <w:spacing w:before="200" w:line="500" w:lineRule="exact"/>
    </w:pPr>
    <w:rPr>
      <w:rFonts w:ascii="黑体" w:eastAsia="黑体"/>
      <w:spacing w:val="20"/>
      <w:kern w:val="0"/>
      <w:sz w:val="24"/>
      <w:szCs w:val="24"/>
    </w:rPr>
  </w:style>
  <w:style w:type="character" w:customStyle="1" w:styleId="280">
    <w:name w:val="段落 Char Char1"/>
    <w:autoRedefine/>
    <w:qFormat/>
    <w:uiPriority w:val="0"/>
    <w:rPr>
      <w:rFonts w:ascii="Times New Roman" w:hAnsi="Times New Roman"/>
      <w:sz w:val="24"/>
      <w:szCs w:val="28"/>
    </w:rPr>
  </w:style>
  <w:style w:type="character" w:customStyle="1" w:styleId="281">
    <w:name w:val="Char Char5"/>
    <w:autoRedefine/>
    <w:qFormat/>
    <w:uiPriority w:val="0"/>
    <w:rPr>
      <w:rFonts w:ascii="宋体" w:hAnsi="宋体" w:eastAsia="宋体"/>
      <w:kern w:val="2"/>
      <w:sz w:val="18"/>
      <w:szCs w:val="18"/>
      <w:lang w:val="en-US" w:eastAsia="zh-CN" w:bidi="ar-SA"/>
    </w:rPr>
  </w:style>
  <w:style w:type="character" w:customStyle="1" w:styleId="282">
    <w:name w:val="段落 Char Char Char Char Char"/>
    <w:autoRedefine/>
    <w:qFormat/>
    <w:uiPriority w:val="0"/>
    <w:rPr>
      <w:rFonts w:ascii="宋体" w:hAnsi="Courier New" w:eastAsia="宋体" w:cs="Courier New"/>
      <w:kern w:val="2"/>
      <w:sz w:val="28"/>
      <w:szCs w:val="28"/>
      <w:lang w:val="en-US" w:eastAsia="zh-CN" w:bidi="ar-SA"/>
    </w:rPr>
  </w:style>
  <w:style w:type="character" w:customStyle="1" w:styleId="283">
    <w:name w:val="表头 Char Char Char Char Char Char Char"/>
    <w:autoRedefine/>
    <w:qFormat/>
    <w:uiPriority w:val="0"/>
    <w:rPr>
      <w:rFonts w:ascii="黑体" w:eastAsia="黑体"/>
      <w:spacing w:val="20"/>
      <w:kern w:val="2"/>
      <w:sz w:val="24"/>
      <w:szCs w:val="24"/>
      <w:lang w:val="en-US" w:eastAsia="zh-CN" w:bidi="ar-SA"/>
    </w:rPr>
  </w:style>
  <w:style w:type="character" w:customStyle="1" w:styleId="284">
    <w:name w:val="5文章(治) Char1"/>
    <w:link w:val="285"/>
    <w:autoRedefine/>
    <w:qFormat/>
    <w:locked/>
    <w:uiPriority w:val="0"/>
    <w:rPr>
      <w:rFonts w:ascii="宋体" w:hAnsi="宋体"/>
      <w:color w:val="000000"/>
      <w:sz w:val="24"/>
    </w:rPr>
  </w:style>
  <w:style w:type="paragraph" w:customStyle="1" w:styleId="285">
    <w:name w:val="5文章(治)"/>
    <w:basedOn w:val="1"/>
    <w:link w:val="284"/>
    <w:autoRedefine/>
    <w:qFormat/>
    <w:uiPriority w:val="0"/>
    <w:pPr>
      <w:spacing w:line="360" w:lineRule="auto"/>
      <w:ind w:firstLine="560" w:firstLineChars="200"/>
    </w:pPr>
    <w:rPr>
      <w:rFonts w:ascii="宋体" w:hAnsi="宋体"/>
      <w:color w:val="000000"/>
      <w:kern w:val="0"/>
      <w:sz w:val="24"/>
      <w:szCs w:val="20"/>
    </w:rPr>
  </w:style>
  <w:style w:type="character" w:customStyle="1" w:styleId="286">
    <w:name w:val="表题注 Char"/>
    <w:link w:val="287"/>
    <w:autoRedefine/>
    <w:qFormat/>
    <w:uiPriority w:val="0"/>
    <w:rPr>
      <w:rFonts w:ascii="Arial" w:hAnsi="Arial" w:eastAsia="黑体" w:cs="Arial"/>
      <w:sz w:val="24"/>
    </w:rPr>
  </w:style>
  <w:style w:type="paragraph" w:customStyle="1" w:styleId="287">
    <w:name w:val="表题注"/>
    <w:basedOn w:val="14"/>
    <w:link w:val="286"/>
    <w:autoRedefine/>
    <w:qFormat/>
    <w:uiPriority w:val="0"/>
    <w:pPr>
      <w:keepNext/>
      <w:adjustRightInd/>
      <w:spacing w:before="0" w:beforeLines="50" w:after="0" w:line="520" w:lineRule="exact"/>
      <w:ind w:left="0" w:firstLine="0"/>
      <w:jc w:val="center"/>
      <w:textAlignment w:val="auto"/>
    </w:pPr>
    <w:rPr>
      <w:rFonts w:ascii="Arial" w:hAnsi="Arial" w:eastAsia="黑体" w:cs="Arial"/>
      <w:i w:val="0"/>
      <w:spacing w:val="0"/>
      <w:sz w:val="24"/>
      <w:lang w:val="en-US"/>
    </w:rPr>
  </w:style>
  <w:style w:type="character" w:customStyle="1" w:styleId="288">
    <w:name w:val="页码1"/>
    <w:basedOn w:val="55"/>
    <w:autoRedefine/>
    <w:qFormat/>
    <w:uiPriority w:val="0"/>
  </w:style>
  <w:style w:type="character" w:customStyle="1" w:styleId="289">
    <w:name w:val="fontstyle01"/>
    <w:autoRedefine/>
    <w:qFormat/>
    <w:uiPriority w:val="0"/>
    <w:rPr>
      <w:rFonts w:hint="default" w:ascii="TimesNewRomanPSMT" w:hAnsi="TimesNewRomanPSMT"/>
      <w:color w:val="000000"/>
      <w:sz w:val="24"/>
      <w:szCs w:val="24"/>
    </w:rPr>
  </w:style>
  <w:style w:type="character" w:customStyle="1" w:styleId="290">
    <w:name w:val="标题 2 Char1"/>
    <w:autoRedefine/>
    <w:qFormat/>
    <w:uiPriority w:val="0"/>
    <w:rPr>
      <w:rFonts w:ascii="Times New Roman" w:hAnsi="Times New Roman" w:eastAsia="黑体" w:cs="Times New Roman"/>
      <w:sz w:val="30"/>
      <w:szCs w:val="20"/>
    </w:rPr>
  </w:style>
  <w:style w:type="character" w:customStyle="1" w:styleId="291">
    <w:name w:val="标题 4 Char1"/>
    <w:autoRedefine/>
    <w:qFormat/>
    <w:uiPriority w:val="9"/>
    <w:rPr>
      <w:rFonts w:ascii="Times New Roman" w:hAnsi="Times New Roman" w:eastAsia="宋体" w:cs="Times New Roman"/>
      <w:sz w:val="28"/>
      <w:szCs w:val="20"/>
    </w:rPr>
  </w:style>
  <w:style w:type="character" w:customStyle="1" w:styleId="292">
    <w:name w:val="纯文本 Char2"/>
    <w:autoRedefine/>
    <w:qFormat/>
    <w:uiPriority w:val="99"/>
    <w:rPr>
      <w:rFonts w:ascii="宋体" w:hAnsi="Courier New" w:eastAsia="宋体" w:cs="Courier New"/>
      <w:szCs w:val="21"/>
    </w:rPr>
  </w:style>
  <w:style w:type="character" w:customStyle="1" w:styleId="293">
    <w:name w:val="样式 标题 3标题 3 Char标题 3 Char Char标题 3 Char Char Char标题 3 Char C... Char"/>
    <w:link w:val="294"/>
    <w:autoRedefine/>
    <w:qFormat/>
    <w:uiPriority w:val="0"/>
    <w:rPr>
      <w:rFonts w:eastAsia="黑体"/>
      <w:bCs/>
      <w:color w:val="000000"/>
      <w:sz w:val="30"/>
      <w:szCs w:val="28"/>
    </w:rPr>
  </w:style>
  <w:style w:type="paragraph" w:customStyle="1" w:styleId="294">
    <w:name w:val="样式 标题 3标题 3 Char标题 3 Char Char标题 3 Char Char Char标题 3 Char C..."/>
    <w:basedOn w:val="4"/>
    <w:link w:val="293"/>
    <w:autoRedefine/>
    <w:qFormat/>
    <w:uiPriority w:val="0"/>
    <w:pPr>
      <w:tabs>
        <w:tab w:val="left" w:pos="900"/>
      </w:tabs>
      <w:spacing w:beforeLines="50" w:afterLines="50" w:line="360" w:lineRule="auto"/>
      <w:ind w:left="720" w:hanging="720"/>
      <w:jc w:val="left"/>
    </w:pPr>
    <w:rPr>
      <w:rFonts w:eastAsia="黑体"/>
      <w:b w:val="0"/>
      <w:bCs/>
      <w:color w:val="000000"/>
      <w:kern w:val="0"/>
      <w:sz w:val="30"/>
      <w:szCs w:val="28"/>
      <w:lang w:val="en-US"/>
    </w:rPr>
  </w:style>
  <w:style w:type="character" w:customStyle="1" w:styleId="295">
    <w:name w:val="text_black11"/>
    <w:autoRedefine/>
    <w:qFormat/>
    <w:uiPriority w:val="0"/>
    <w:rPr>
      <w:color w:val="000000"/>
      <w:sz w:val="18"/>
      <w:szCs w:val="18"/>
      <w:u w:val="none"/>
    </w:rPr>
  </w:style>
  <w:style w:type="character" w:customStyle="1" w:styleId="296">
    <w:name w:val="postbody1"/>
    <w:autoRedefine/>
    <w:qFormat/>
    <w:uiPriority w:val="0"/>
    <w:rPr>
      <w:sz w:val="18"/>
      <w:szCs w:val="18"/>
    </w:rPr>
  </w:style>
  <w:style w:type="character" w:customStyle="1" w:styleId="297">
    <w:name w:val="章节标题 Char1"/>
    <w:autoRedefine/>
    <w:qFormat/>
    <w:uiPriority w:val="0"/>
    <w:rPr>
      <w:rFonts w:eastAsia="黑体" w:cs="Times New Roman"/>
      <w:b/>
      <w:kern w:val="44"/>
      <w:sz w:val="36"/>
      <w:lang w:val="en-US" w:eastAsia="zh-CN" w:bidi="ar-SA"/>
    </w:rPr>
  </w:style>
  <w:style w:type="character" w:customStyle="1" w:styleId="298">
    <w:name w:val="zi_101"/>
    <w:autoRedefine/>
    <w:qFormat/>
    <w:uiPriority w:val="0"/>
    <w:rPr>
      <w:rFonts w:hint="default" w:ascii="Verdana" w:hAnsi="Verdana"/>
      <w:color w:val="C90000"/>
      <w:sz w:val="18"/>
      <w:szCs w:val="18"/>
    </w:rPr>
  </w:style>
  <w:style w:type="character" w:customStyle="1" w:styleId="299">
    <w:name w:val="段落 Char1 Char Char Char Char"/>
    <w:autoRedefine/>
    <w:qFormat/>
    <w:uiPriority w:val="0"/>
    <w:rPr>
      <w:rFonts w:eastAsia="宋体"/>
      <w:kern w:val="2"/>
      <w:sz w:val="28"/>
      <w:szCs w:val="28"/>
      <w:lang w:val="en-US" w:eastAsia="zh-CN" w:bidi="ar-SA"/>
    </w:rPr>
  </w:style>
  <w:style w:type="paragraph" w:customStyle="1" w:styleId="300">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eastAsia="Arial Unicode MS"/>
      <w:kern w:val="0"/>
      <w:sz w:val="18"/>
      <w:szCs w:val="18"/>
    </w:rPr>
  </w:style>
  <w:style w:type="paragraph" w:customStyle="1" w:styleId="301">
    <w:name w:val="样式 居中1"/>
    <w:basedOn w:val="1"/>
    <w:autoRedefine/>
    <w:qFormat/>
    <w:uiPriority w:val="99"/>
    <w:pPr>
      <w:spacing w:line="480" w:lineRule="atLeast"/>
      <w:jc w:val="center"/>
    </w:pPr>
    <w:rPr>
      <w:rFonts w:cs="宋体"/>
      <w:szCs w:val="20"/>
    </w:rPr>
  </w:style>
  <w:style w:type="paragraph" w:customStyle="1" w:styleId="302">
    <w:name w:val="xl43"/>
    <w:basedOn w:val="1"/>
    <w:autoRedefine/>
    <w:qFormat/>
    <w:uiPriority w:val="0"/>
    <w:pPr>
      <w:widowControl/>
      <w:pBdr>
        <w:top w:val="single" w:color="auto" w:sz="8" w:space="0"/>
        <w:left w:val="single" w:color="auto" w:sz="8" w:space="0"/>
        <w:right w:val="single" w:color="auto" w:sz="4" w:space="0"/>
      </w:pBdr>
      <w:spacing w:before="100" w:beforeAutospacing="1" w:after="100" w:afterAutospacing="1"/>
      <w:jc w:val="center"/>
    </w:pPr>
    <w:rPr>
      <w:rFonts w:ascii="宋体" w:hAnsi="宋体"/>
      <w:kern w:val="0"/>
      <w:sz w:val="20"/>
      <w:szCs w:val="20"/>
    </w:rPr>
  </w:style>
  <w:style w:type="paragraph" w:customStyle="1" w:styleId="303">
    <w:name w:val="样式 标题 2 + 段前: 6 磅 段后: 6 磅 行距: 多倍行距 1.4 字行"/>
    <w:basedOn w:val="3"/>
    <w:autoRedefine/>
    <w:qFormat/>
    <w:uiPriority w:val="99"/>
    <w:pPr>
      <w:spacing w:before="120" w:after="120" w:line="336" w:lineRule="auto"/>
    </w:pPr>
    <w:rPr>
      <w:rFonts w:ascii="Arial" w:hAnsi="Arial" w:eastAsia="黑体" w:cs="宋体"/>
      <w:kern w:val="0"/>
      <w:sz w:val="30"/>
      <w:szCs w:val="20"/>
    </w:rPr>
  </w:style>
  <w:style w:type="paragraph" w:customStyle="1" w:styleId="304">
    <w:name w:val="偶数页页眉"/>
    <w:basedOn w:val="305"/>
    <w:autoRedefine/>
    <w:qFormat/>
    <w:uiPriority w:val="0"/>
    <w:pPr>
      <w:tabs>
        <w:tab w:val="center" w:pos="4153"/>
        <w:tab w:val="right" w:pos="8306"/>
      </w:tabs>
      <w:jc w:val="left"/>
    </w:pPr>
  </w:style>
  <w:style w:type="paragraph" w:customStyle="1" w:styleId="305">
    <w:name w:val="奇数页页眉"/>
    <w:basedOn w:val="1"/>
    <w:autoRedefine/>
    <w:qFormat/>
    <w:uiPriority w:val="99"/>
    <w:pPr>
      <w:pBdr>
        <w:bottom w:val="single" w:color="auto" w:sz="6" w:space="1"/>
      </w:pBdr>
      <w:tabs>
        <w:tab w:val="center" w:pos="4153"/>
        <w:tab w:val="right" w:pos="8306"/>
      </w:tabs>
      <w:snapToGrid w:val="0"/>
      <w:spacing w:line="240" w:lineRule="atLeast"/>
      <w:jc w:val="right"/>
    </w:pPr>
    <w:rPr>
      <w:rFonts w:eastAsia="华文行楷"/>
      <w:sz w:val="18"/>
      <w:szCs w:val="18"/>
    </w:rPr>
  </w:style>
  <w:style w:type="paragraph" w:customStyle="1" w:styleId="306">
    <w:name w:val="样式 五号 居中 行距: 最小值 12 磅"/>
    <w:basedOn w:val="1"/>
    <w:autoRedefine/>
    <w:qFormat/>
    <w:uiPriority w:val="99"/>
    <w:pPr>
      <w:snapToGrid w:val="0"/>
      <w:jc w:val="center"/>
    </w:pPr>
    <w:rPr>
      <w:rFonts w:cs="宋体"/>
      <w:szCs w:val="20"/>
    </w:rPr>
  </w:style>
  <w:style w:type="paragraph" w:customStyle="1" w:styleId="307">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08">
    <w:name w:val="Char1 Char Char Char"/>
    <w:basedOn w:val="1"/>
    <w:next w:val="18"/>
    <w:autoRedefine/>
    <w:qFormat/>
    <w:uiPriority w:val="0"/>
    <w:pPr>
      <w:shd w:val="clear" w:color="auto" w:fill="000080"/>
    </w:pPr>
    <w:rPr>
      <w:sz w:val="24"/>
      <w:szCs w:val="20"/>
    </w:rPr>
  </w:style>
  <w:style w:type="paragraph" w:customStyle="1" w:styleId="309">
    <w:name w:val="Char Char Char Char Char Char Char"/>
    <w:basedOn w:val="1"/>
    <w:autoRedefine/>
    <w:qFormat/>
    <w:uiPriority w:val="0"/>
    <w:pPr>
      <w:spacing w:line="360" w:lineRule="auto"/>
      <w:ind w:firstLine="200" w:firstLineChars="200"/>
    </w:pPr>
    <w:rPr>
      <w:szCs w:val="20"/>
    </w:rPr>
  </w:style>
  <w:style w:type="paragraph" w:customStyle="1" w:styleId="310">
    <w:name w:val="仿宋黑"/>
    <w:basedOn w:val="1"/>
    <w:autoRedefine/>
    <w:qFormat/>
    <w:uiPriority w:val="99"/>
    <w:pPr>
      <w:snapToGrid w:val="0"/>
      <w:spacing w:line="500" w:lineRule="exact"/>
      <w:ind w:firstLine="567"/>
    </w:pPr>
    <w:rPr>
      <w:rFonts w:ascii="宋体" w:hAnsi="宋体" w:eastAsia="仿宋_GB2312"/>
      <w:b/>
      <w:bCs/>
      <w:spacing w:val="20"/>
      <w:sz w:val="28"/>
      <w:szCs w:val="28"/>
    </w:rPr>
  </w:style>
  <w:style w:type="paragraph" w:customStyle="1" w:styleId="311">
    <w:name w:val="图标"/>
    <w:basedOn w:val="1"/>
    <w:autoRedefine/>
    <w:qFormat/>
    <w:uiPriority w:val="99"/>
    <w:pPr>
      <w:spacing w:line="500" w:lineRule="exact"/>
      <w:jc w:val="center"/>
    </w:pPr>
    <w:rPr>
      <w:rFonts w:ascii="黑体" w:hAnsi="宋体" w:eastAsia="黑体"/>
      <w:sz w:val="28"/>
      <w:szCs w:val="24"/>
    </w:rPr>
  </w:style>
  <w:style w:type="paragraph" w:customStyle="1" w:styleId="312">
    <w:name w:val="结论"/>
    <w:basedOn w:val="1"/>
    <w:autoRedefine/>
    <w:qFormat/>
    <w:uiPriority w:val="99"/>
    <w:pPr>
      <w:snapToGrid w:val="0"/>
      <w:spacing w:afterLines="50" w:line="500" w:lineRule="atLeast"/>
      <w:ind w:firstLine="561"/>
    </w:pPr>
    <w:rPr>
      <w:rFonts w:ascii="楷体_GB2312" w:eastAsia="楷体_GB2312"/>
      <w:b/>
      <w:sz w:val="28"/>
      <w:szCs w:val="28"/>
    </w:rPr>
  </w:style>
  <w:style w:type="paragraph" w:customStyle="1" w:styleId="313">
    <w:name w:val="正文 + Times New Roman"/>
    <w:basedOn w:val="1"/>
    <w:autoRedefine/>
    <w:qFormat/>
    <w:uiPriority w:val="99"/>
    <w:pPr>
      <w:spacing w:line="360" w:lineRule="auto"/>
      <w:ind w:firstLine="480" w:firstLineChars="200"/>
    </w:pPr>
    <w:rPr>
      <w:sz w:val="24"/>
      <w:szCs w:val="24"/>
    </w:rPr>
  </w:style>
  <w:style w:type="paragraph" w:customStyle="1" w:styleId="314">
    <w:name w:val="页脚1"/>
    <w:basedOn w:val="1"/>
    <w:autoRedefine/>
    <w:qFormat/>
    <w:uiPriority w:val="99"/>
    <w:pPr>
      <w:overflowPunct w:val="0"/>
      <w:adjustRightInd w:val="0"/>
      <w:snapToGrid w:val="0"/>
      <w:spacing w:line="240" w:lineRule="atLeast"/>
      <w:ind w:firstLine="200" w:firstLineChars="200"/>
      <w:jc w:val="center"/>
      <w:textAlignment w:val="baseline"/>
    </w:pPr>
    <w:rPr>
      <w:rFonts w:ascii="Arial" w:hAnsi="Arial" w:eastAsia="仿宋_GB2312"/>
      <w:kern w:val="0"/>
      <w:sz w:val="18"/>
      <w:szCs w:val="20"/>
    </w:rPr>
  </w:style>
  <w:style w:type="paragraph" w:customStyle="1" w:styleId="315">
    <w:name w:val="样式3"/>
    <w:basedOn w:val="20"/>
    <w:autoRedefine/>
    <w:qFormat/>
    <w:uiPriority w:val="0"/>
    <w:pPr>
      <w:spacing w:line="520" w:lineRule="exact"/>
      <w:ind w:firstLine="482" w:firstLineChars="200"/>
    </w:pPr>
    <w:rPr>
      <w:spacing w:val="0"/>
      <w:kern w:val="0"/>
      <w:szCs w:val="24"/>
    </w:rPr>
  </w:style>
  <w:style w:type="paragraph" w:customStyle="1" w:styleId="316">
    <w:name w:val="条题"/>
    <w:basedOn w:val="1"/>
    <w:autoRedefine/>
    <w:qFormat/>
    <w:uiPriority w:val="99"/>
    <w:pPr>
      <w:tabs>
        <w:tab w:val="left" w:pos="1080"/>
      </w:tabs>
      <w:spacing w:line="420" w:lineRule="exact"/>
      <w:ind w:left="432" w:hanging="432"/>
    </w:pPr>
    <w:rPr>
      <w:rFonts w:eastAsia="黑体"/>
      <w:b/>
      <w:sz w:val="24"/>
      <w:szCs w:val="24"/>
    </w:rPr>
  </w:style>
  <w:style w:type="paragraph" w:customStyle="1" w:styleId="317">
    <w:name w:val="WPS Plain"/>
    <w:autoRedefine/>
    <w:qFormat/>
    <w:uiPriority w:val="99"/>
    <w:pPr>
      <w:spacing w:line="440" w:lineRule="exact"/>
      <w:jc w:val="both"/>
    </w:pPr>
    <w:rPr>
      <w:rFonts w:ascii="Times New Roman" w:hAnsi="Times New Roman" w:eastAsia="宋体" w:cs="Times New Roman"/>
      <w:lang w:val="en-US" w:eastAsia="zh-CN" w:bidi="ar-SA"/>
    </w:rPr>
  </w:style>
  <w:style w:type="paragraph" w:customStyle="1" w:styleId="318">
    <w:name w:val="正文-第几条 Char Char Char Char"/>
    <w:basedOn w:val="1"/>
    <w:autoRedefine/>
    <w:qFormat/>
    <w:uiPriority w:val="99"/>
    <w:pPr>
      <w:tabs>
        <w:tab w:val="left" w:pos="1838"/>
      </w:tabs>
      <w:spacing w:line="360" w:lineRule="auto"/>
      <w:ind w:left="1838" w:hanging="420"/>
    </w:pPr>
    <w:rPr>
      <w:sz w:val="24"/>
      <w:szCs w:val="24"/>
    </w:rPr>
  </w:style>
  <w:style w:type="paragraph" w:customStyle="1" w:styleId="319">
    <w:name w:val="表格五号"/>
    <w:basedOn w:val="1"/>
    <w:autoRedefine/>
    <w:qFormat/>
    <w:uiPriority w:val="99"/>
    <w:pPr>
      <w:spacing w:line="440" w:lineRule="exact"/>
      <w:ind w:firstLine="200" w:firstLineChars="200"/>
      <w:jc w:val="center"/>
    </w:pPr>
    <w:rPr>
      <w:szCs w:val="21"/>
    </w:rPr>
  </w:style>
  <w:style w:type="paragraph" w:customStyle="1" w:styleId="320">
    <w:name w:val="样式 正文文本缩进 + 五号 居中 段后: 0 磅 行距: 单倍行距"/>
    <w:basedOn w:val="20"/>
    <w:autoRedefine/>
    <w:qFormat/>
    <w:uiPriority w:val="99"/>
    <w:pPr>
      <w:spacing w:line="440" w:lineRule="exact"/>
      <w:ind w:firstLine="0"/>
    </w:pPr>
    <w:rPr>
      <w:rFonts w:cs="宋体"/>
      <w:spacing w:val="0"/>
      <w:kern w:val="36"/>
      <w:sz w:val="21"/>
    </w:rPr>
  </w:style>
  <w:style w:type="paragraph" w:customStyle="1" w:styleId="321">
    <w:name w:val="样式 宋体 小四 行距: 1.5 倍行距"/>
    <w:basedOn w:val="1"/>
    <w:autoRedefine/>
    <w:qFormat/>
    <w:uiPriority w:val="99"/>
    <w:pPr>
      <w:spacing w:beforeLines="50" w:line="360" w:lineRule="auto"/>
      <w:ind w:firstLine="200" w:firstLineChars="200"/>
    </w:pPr>
    <w:rPr>
      <w:rFonts w:ascii="宋体" w:hAnsi="宋体" w:cs="宋体"/>
      <w:kern w:val="0"/>
      <w:sz w:val="24"/>
      <w:szCs w:val="24"/>
    </w:rPr>
  </w:style>
  <w:style w:type="paragraph" w:customStyle="1" w:styleId="322">
    <w:name w:val="reader-word-layer reader-word-s9-14"/>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323">
    <w:name w:val="20"/>
    <w:basedOn w:val="1"/>
    <w:autoRedefine/>
    <w:qFormat/>
    <w:uiPriority w:val="99"/>
    <w:pPr>
      <w:widowControl/>
      <w:spacing w:before="100" w:beforeAutospacing="1" w:after="100" w:afterAutospacing="1" w:line="440" w:lineRule="exact"/>
      <w:jc w:val="left"/>
    </w:pPr>
    <w:rPr>
      <w:rFonts w:ascii="宋体" w:hAnsi="宋体" w:cs="宋体"/>
      <w:kern w:val="0"/>
      <w:sz w:val="24"/>
      <w:szCs w:val="24"/>
    </w:rPr>
  </w:style>
  <w:style w:type="paragraph" w:customStyle="1" w:styleId="324">
    <w:name w:val="新正文样式"/>
    <w:basedOn w:val="1"/>
    <w:autoRedefine/>
    <w:qFormat/>
    <w:uiPriority w:val="99"/>
    <w:pPr>
      <w:tabs>
        <w:tab w:val="left" w:pos="567"/>
      </w:tabs>
      <w:spacing w:line="360" w:lineRule="auto"/>
      <w:ind w:firstLine="567"/>
    </w:pPr>
    <w:rPr>
      <w:rFonts w:eastAsia="华文中宋"/>
      <w:spacing w:val="20"/>
      <w:sz w:val="24"/>
      <w:szCs w:val="20"/>
    </w:rPr>
  </w:style>
  <w:style w:type="paragraph" w:customStyle="1" w:styleId="325">
    <w:name w:val="样式 (符号) 宋体 首行缩进:  0.93 厘米 段前: 6 磅 段后: 6 磅 行距: 固定值 18 磅1"/>
    <w:basedOn w:val="1"/>
    <w:autoRedefine/>
    <w:qFormat/>
    <w:uiPriority w:val="99"/>
    <w:pPr>
      <w:spacing w:before="160" w:after="160" w:line="320" w:lineRule="exact"/>
      <w:ind w:firstLine="527"/>
    </w:pPr>
    <w:rPr>
      <w:rFonts w:hAnsi="宋体"/>
      <w:sz w:val="24"/>
      <w:szCs w:val="24"/>
    </w:rPr>
  </w:style>
  <w:style w:type="paragraph" w:customStyle="1" w:styleId="326">
    <w:name w:val="Char5"/>
    <w:basedOn w:val="1"/>
    <w:autoRedefine/>
    <w:qFormat/>
    <w:uiPriority w:val="99"/>
    <w:pPr>
      <w:snapToGrid w:val="0"/>
      <w:spacing w:line="360" w:lineRule="auto"/>
      <w:ind w:firstLine="200" w:firstLineChars="200"/>
    </w:pPr>
    <w:rPr>
      <w:rFonts w:eastAsia="仿宋_GB2312"/>
      <w:sz w:val="32"/>
      <w:szCs w:val="20"/>
    </w:rPr>
  </w:style>
  <w:style w:type="paragraph" w:customStyle="1" w:styleId="327">
    <w:name w:val="reader-word-layer reader-word-s9-16"/>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328">
    <w:name w:val="前言、引言标题"/>
    <w:next w:val="1"/>
    <w:autoRedefine/>
    <w:qFormat/>
    <w:uiPriority w:val="99"/>
    <w:pPr>
      <w:shd w:val="clear" w:color="FFFFFF" w:fill="FFFFFF"/>
      <w:tabs>
        <w:tab w:val="left" w:pos="903"/>
      </w:tabs>
      <w:spacing w:before="640" w:after="560" w:line="276" w:lineRule="auto"/>
      <w:ind w:left="903" w:hanging="315"/>
      <w:jc w:val="center"/>
      <w:outlineLvl w:val="0"/>
    </w:pPr>
    <w:rPr>
      <w:rFonts w:ascii="黑体" w:hAnsi="Calibri" w:eastAsia="黑体" w:cs="Times New Roman"/>
      <w:sz w:val="32"/>
      <w:szCs w:val="22"/>
      <w:lang w:val="en-US" w:eastAsia="zh-CN" w:bidi="ar-SA"/>
    </w:rPr>
  </w:style>
  <w:style w:type="paragraph" w:customStyle="1" w:styleId="329">
    <w:name w:val="一级条标题"/>
    <w:basedOn w:val="1"/>
    <w:next w:val="1"/>
    <w:autoRedefine/>
    <w:qFormat/>
    <w:uiPriority w:val="99"/>
    <w:pPr>
      <w:widowControl/>
      <w:tabs>
        <w:tab w:val="left" w:pos="360"/>
      </w:tabs>
      <w:spacing w:line="276" w:lineRule="auto"/>
      <w:outlineLvl w:val="2"/>
    </w:pPr>
    <w:rPr>
      <w:rFonts w:ascii="黑体" w:hAnsi="Calibri" w:eastAsia="黑体"/>
      <w:kern w:val="0"/>
    </w:rPr>
  </w:style>
  <w:style w:type="paragraph" w:customStyle="1" w:styleId="330">
    <w:name w:val="二级条标题"/>
    <w:basedOn w:val="329"/>
    <w:next w:val="1"/>
    <w:autoRedefine/>
    <w:qFormat/>
    <w:uiPriority w:val="99"/>
    <w:pPr>
      <w:outlineLvl w:val="3"/>
    </w:pPr>
  </w:style>
  <w:style w:type="paragraph" w:customStyle="1" w:styleId="331">
    <w:name w:val="三级条标题"/>
    <w:basedOn w:val="330"/>
    <w:next w:val="1"/>
    <w:autoRedefine/>
    <w:qFormat/>
    <w:uiPriority w:val="99"/>
    <w:pPr>
      <w:outlineLvl w:val="4"/>
    </w:pPr>
  </w:style>
  <w:style w:type="paragraph" w:customStyle="1" w:styleId="332">
    <w:name w:val="四级条标题"/>
    <w:basedOn w:val="331"/>
    <w:next w:val="1"/>
    <w:autoRedefine/>
    <w:qFormat/>
    <w:uiPriority w:val="99"/>
    <w:pPr>
      <w:outlineLvl w:val="5"/>
    </w:pPr>
  </w:style>
  <w:style w:type="paragraph" w:customStyle="1" w:styleId="333">
    <w:name w:val="五级条标题"/>
    <w:basedOn w:val="332"/>
    <w:next w:val="1"/>
    <w:autoRedefine/>
    <w:qFormat/>
    <w:uiPriority w:val="99"/>
    <w:pPr>
      <w:outlineLvl w:val="6"/>
    </w:pPr>
  </w:style>
  <w:style w:type="paragraph" w:customStyle="1" w:styleId="334">
    <w:name w:val="a3"/>
    <w:basedOn w:val="1"/>
    <w:autoRedefine/>
    <w:qFormat/>
    <w:uiPriority w:val="99"/>
    <w:pPr>
      <w:widowControl/>
      <w:spacing w:before="100" w:beforeAutospacing="1" w:after="100" w:afterAutospacing="1" w:line="440" w:lineRule="exact"/>
      <w:jc w:val="left"/>
    </w:pPr>
    <w:rPr>
      <w:rFonts w:ascii="Arial Unicode MS" w:hAnsi="Arial Unicode MS" w:eastAsia="Arial Unicode MS" w:cs="Arial Unicode MS"/>
      <w:color w:val="000000"/>
      <w:kern w:val="0"/>
      <w:sz w:val="24"/>
      <w:szCs w:val="24"/>
    </w:rPr>
  </w:style>
  <w:style w:type="paragraph" w:customStyle="1" w:styleId="335">
    <w:name w:val="正文(首行缩进)"/>
    <w:basedOn w:val="1"/>
    <w:autoRedefine/>
    <w:qFormat/>
    <w:uiPriority w:val="99"/>
    <w:pPr>
      <w:spacing w:line="360" w:lineRule="auto"/>
      <w:ind w:firstLine="540" w:firstLineChars="225"/>
    </w:pPr>
    <w:rPr>
      <w:snapToGrid w:val="0"/>
      <w:color w:val="000000"/>
      <w:kern w:val="0"/>
      <w:sz w:val="24"/>
      <w:szCs w:val="24"/>
    </w:rPr>
  </w:style>
  <w:style w:type="paragraph" w:customStyle="1" w:styleId="336">
    <w:name w:val="样式 标题 3标题 3 Char标题 3 Char Char标题 3 Char Char Char标题 3 Char C...1"/>
    <w:basedOn w:val="4"/>
    <w:autoRedefine/>
    <w:qFormat/>
    <w:uiPriority w:val="99"/>
    <w:pPr>
      <w:tabs>
        <w:tab w:val="left" w:pos="900"/>
      </w:tabs>
      <w:spacing w:beforeLines="50" w:afterLines="50" w:line="360" w:lineRule="auto"/>
      <w:ind w:left="720" w:hanging="720"/>
      <w:jc w:val="left"/>
    </w:pPr>
    <w:rPr>
      <w:rFonts w:eastAsia="黑体"/>
      <w:b w:val="0"/>
      <w:bCs/>
      <w:kern w:val="0"/>
      <w:sz w:val="28"/>
      <w:szCs w:val="28"/>
    </w:rPr>
  </w:style>
  <w:style w:type="paragraph" w:customStyle="1" w:styleId="337">
    <w:name w:val="样式 标题 3标题 3 Char标题 3 Char Char标题 3 Char Char Char标题 3 Char C...2"/>
    <w:basedOn w:val="4"/>
    <w:autoRedefine/>
    <w:qFormat/>
    <w:uiPriority w:val="99"/>
    <w:pPr>
      <w:tabs>
        <w:tab w:val="left" w:pos="900"/>
      </w:tabs>
      <w:spacing w:beforeLines="50" w:afterLines="50" w:line="416" w:lineRule="auto"/>
      <w:ind w:left="720" w:hanging="720"/>
      <w:jc w:val="left"/>
    </w:pPr>
    <w:rPr>
      <w:rFonts w:eastAsia="黑体" w:cs="宋体"/>
      <w:b w:val="0"/>
      <w:bCs/>
      <w:kern w:val="0"/>
      <w:sz w:val="28"/>
    </w:rPr>
  </w:style>
  <w:style w:type="paragraph" w:customStyle="1" w:styleId="338">
    <w:name w:val="样式 标题 3标题 3 Char标题 3 Char Char标题 3 Char Char Char标题 3 Char C...3"/>
    <w:basedOn w:val="4"/>
    <w:autoRedefine/>
    <w:qFormat/>
    <w:uiPriority w:val="99"/>
    <w:pPr>
      <w:tabs>
        <w:tab w:val="left" w:pos="900"/>
      </w:tabs>
      <w:spacing w:beforeLines="50" w:afterLines="50" w:line="416" w:lineRule="auto"/>
      <w:ind w:left="720" w:hanging="720"/>
      <w:jc w:val="left"/>
    </w:pPr>
    <w:rPr>
      <w:rFonts w:eastAsia="黑体" w:cs="宋体"/>
      <w:b w:val="0"/>
      <w:bCs/>
      <w:kern w:val="0"/>
      <w:sz w:val="28"/>
    </w:rPr>
  </w:style>
  <w:style w:type="paragraph" w:customStyle="1" w:styleId="339">
    <w:name w:val="样式 标题 1 + 段前: 6 磅 段后: 6 磅"/>
    <w:basedOn w:val="2"/>
    <w:autoRedefine/>
    <w:qFormat/>
    <w:uiPriority w:val="99"/>
    <w:pPr>
      <w:tabs>
        <w:tab w:val="clear" w:pos="1275"/>
      </w:tabs>
      <w:spacing w:before="340" w:after="340" w:line="520" w:lineRule="exact"/>
      <w:ind w:left="0" w:firstLine="0"/>
      <w:jc w:val="both"/>
    </w:pPr>
    <w:rPr>
      <w:rFonts w:cs="宋体"/>
      <w:b w:val="0"/>
      <w:sz w:val="36"/>
      <w:szCs w:val="36"/>
    </w:rPr>
  </w:style>
  <w:style w:type="paragraph" w:customStyle="1" w:styleId="340">
    <w:name w:val="Char Char Char Char Char Char1 Char Char Char Char"/>
    <w:basedOn w:val="1"/>
    <w:autoRedefine/>
    <w:qFormat/>
    <w:uiPriority w:val="99"/>
    <w:pPr>
      <w:spacing w:line="440" w:lineRule="exact"/>
    </w:pPr>
    <w:rPr>
      <w:rFonts w:ascii="Tahoma" w:hAnsi="Tahoma"/>
      <w:sz w:val="24"/>
      <w:szCs w:val="24"/>
    </w:rPr>
  </w:style>
  <w:style w:type="paragraph" w:customStyle="1" w:styleId="341">
    <w:name w:val="标-5"/>
    <w:basedOn w:val="1"/>
    <w:autoRedefine/>
    <w:qFormat/>
    <w:uiPriority w:val="99"/>
    <w:pPr>
      <w:tabs>
        <w:tab w:val="right" w:leader="dot" w:pos="8789"/>
      </w:tabs>
      <w:spacing w:line="440" w:lineRule="exact"/>
      <w:ind w:left="38" w:firstLine="480"/>
    </w:pPr>
    <w:rPr>
      <w:rFonts w:hAnsi="宋体"/>
      <w:spacing w:val="-3"/>
      <w:sz w:val="24"/>
      <w:szCs w:val="24"/>
    </w:rPr>
  </w:style>
  <w:style w:type="paragraph" w:customStyle="1" w:styleId="342">
    <w:name w:val="样式 居中"/>
    <w:basedOn w:val="1"/>
    <w:autoRedefine/>
    <w:qFormat/>
    <w:uiPriority w:val="0"/>
    <w:pPr>
      <w:adjustRightInd w:val="0"/>
      <w:snapToGrid w:val="0"/>
      <w:jc w:val="center"/>
    </w:pPr>
    <w:rPr>
      <w:rFonts w:hAnsi="宋体"/>
      <w:szCs w:val="21"/>
    </w:rPr>
  </w:style>
  <w:style w:type="paragraph" w:customStyle="1" w:styleId="343">
    <w:name w:val="Char Char Char Char Char Char Char2"/>
    <w:basedOn w:val="1"/>
    <w:autoRedefine/>
    <w:qFormat/>
    <w:uiPriority w:val="99"/>
    <w:pPr>
      <w:spacing w:line="360" w:lineRule="auto"/>
      <w:ind w:firstLine="200" w:firstLineChars="200"/>
    </w:pPr>
    <w:rPr>
      <w:rFonts w:ascii="宋体" w:hAnsi="宋体" w:cs="宋体"/>
      <w:sz w:val="24"/>
      <w:szCs w:val="24"/>
    </w:rPr>
  </w:style>
  <w:style w:type="paragraph" w:customStyle="1" w:styleId="344">
    <w:name w:val="表、图名宋旭峰"/>
    <w:basedOn w:val="104"/>
    <w:autoRedefine/>
    <w:qFormat/>
    <w:uiPriority w:val="99"/>
    <w:pPr>
      <w:snapToGrid w:val="0"/>
      <w:spacing w:before="200" w:beforeLines="50" w:line="440" w:lineRule="exact"/>
      <w:ind w:firstLine="120" w:firstLineChars="50"/>
    </w:pPr>
    <w:rPr>
      <w:rFonts w:ascii="黑体" w:hAnsi="宋体"/>
      <w:kern w:val="0"/>
      <w:szCs w:val="24"/>
    </w:rPr>
  </w:style>
  <w:style w:type="paragraph" w:customStyle="1" w:styleId="345">
    <w:name w:val="表体宋旭峰"/>
    <w:basedOn w:val="1"/>
    <w:autoRedefine/>
    <w:qFormat/>
    <w:uiPriority w:val="0"/>
    <w:pPr>
      <w:overflowPunct w:val="0"/>
      <w:spacing w:line="280" w:lineRule="atLeast"/>
      <w:textAlignment w:val="baseline"/>
    </w:pPr>
    <w:rPr>
      <w:rFonts w:ascii="宋体" w:hAnsi="Courier New" w:cs="Courier New"/>
      <w:kern w:val="24"/>
      <w:sz w:val="18"/>
      <w:szCs w:val="20"/>
    </w:rPr>
  </w:style>
  <w:style w:type="paragraph" w:customStyle="1" w:styleId="346">
    <w:name w:val="样式 结论 + 段后: 0.5 行"/>
    <w:basedOn w:val="1"/>
    <w:autoRedefine/>
    <w:qFormat/>
    <w:uiPriority w:val="99"/>
    <w:pPr>
      <w:snapToGrid w:val="0"/>
      <w:spacing w:beforeLines="50" w:afterLines="50" w:line="500" w:lineRule="atLeast"/>
      <w:ind w:firstLine="561"/>
    </w:pPr>
    <w:rPr>
      <w:rFonts w:ascii="楷体_GB2312" w:eastAsia="楷体_GB2312" w:cs="宋体"/>
      <w:b/>
      <w:bCs/>
      <w:sz w:val="28"/>
      <w:szCs w:val="20"/>
    </w:rPr>
  </w:style>
  <w:style w:type="paragraph" w:customStyle="1" w:styleId="347">
    <w:name w:val="样式 四号 黑色 行距: 1.5 倍行距 首行缩进:  2 字符"/>
    <w:basedOn w:val="1"/>
    <w:autoRedefine/>
    <w:qFormat/>
    <w:uiPriority w:val="99"/>
    <w:pPr>
      <w:spacing w:line="360" w:lineRule="auto"/>
      <w:ind w:firstLine="560" w:firstLineChars="200"/>
    </w:pPr>
    <w:rPr>
      <w:rFonts w:eastAsia="仿宋_GB2312" w:cs="宋体"/>
      <w:color w:val="000000"/>
      <w:sz w:val="28"/>
      <w:szCs w:val="20"/>
    </w:rPr>
  </w:style>
  <w:style w:type="paragraph" w:customStyle="1" w:styleId="348">
    <w:name w:val="列出段落1"/>
    <w:basedOn w:val="1"/>
    <w:autoRedefine/>
    <w:qFormat/>
    <w:uiPriority w:val="0"/>
    <w:pPr>
      <w:spacing w:line="440" w:lineRule="exact"/>
      <w:ind w:firstLine="420" w:firstLineChars="200"/>
    </w:pPr>
    <w:rPr>
      <w:rFonts w:ascii="Calibri" w:hAnsi="Calibri"/>
    </w:rPr>
  </w:style>
  <w:style w:type="paragraph" w:customStyle="1" w:styleId="349">
    <w:name w:val="五号表格"/>
    <w:basedOn w:val="1"/>
    <w:autoRedefine/>
    <w:qFormat/>
    <w:uiPriority w:val="0"/>
    <w:pPr>
      <w:spacing w:line="440" w:lineRule="exact"/>
      <w:jc w:val="center"/>
    </w:pPr>
    <w:rPr>
      <w:szCs w:val="24"/>
    </w:rPr>
  </w:style>
  <w:style w:type="paragraph" w:customStyle="1" w:styleId="350">
    <w:name w:val="reader-word-layer reader-word-s9-12"/>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351">
    <w:name w:val="表内文字"/>
    <w:basedOn w:val="1"/>
    <w:autoRedefine/>
    <w:semiHidden/>
    <w:qFormat/>
    <w:uiPriority w:val="99"/>
    <w:pPr>
      <w:snapToGrid w:val="0"/>
      <w:spacing w:line="280" w:lineRule="exact"/>
      <w:jc w:val="center"/>
    </w:pPr>
    <w:rPr>
      <w:szCs w:val="24"/>
    </w:rPr>
  </w:style>
  <w:style w:type="paragraph" w:customStyle="1" w:styleId="352">
    <w:name w:val="样式 标题 2 + Times New Roman Char"/>
    <w:basedOn w:val="3"/>
    <w:autoRedefine/>
    <w:qFormat/>
    <w:uiPriority w:val="99"/>
    <w:pPr>
      <w:snapToGrid w:val="0"/>
      <w:spacing w:before="120" w:beforeLines="50" w:after="0" w:line="440" w:lineRule="atLeast"/>
    </w:pPr>
    <w:rPr>
      <w:rFonts w:ascii="Times New Roman" w:hAnsi="Times New Roman" w:eastAsia="黑体"/>
      <w:b w:val="0"/>
      <w:bCs w:val="0"/>
      <w:kern w:val="0"/>
      <w:sz w:val="28"/>
      <w:szCs w:val="28"/>
    </w:rPr>
  </w:style>
  <w:style w:type="paragraph" w:customStyle="1" w:styleId="353">
    <w:name w:val="样式 标题 2标题 2 Char标题 2 Char Char Char Char标题 2 Char Char Char标..."/>
    <w:basedOn w:val="3"/>
    <w:autoRedefine/>
    <w:qFormat/>
    <w:uiPriority w:val="99"/>
    <w:pPr>
      <w:keepNext w:val="0"/>
      <w:keepLines w:val="0"/>
      <w:tabs>
        <w:tab w:val="left" w:pos="0"/>
        <w:tab w:val="left" w:pos="1440"/>
      </w:tabs>
      <w:autoSpaceDE w:val="0"/>
      <w:autoSpaceDN w:val="0"/>
      <w:spacing w:before="120" w:beforeLines="50" w:after="0" w:afterLines="50" w:line="500" w:lineRule="exact"/>
      <w:jc w:val="left"/>
      <w:textAlignment w:val="baseline"/>
    </w:pPr>
    <w:rPr>
      <w:rFonts w:ascii="Arial" w:hAnsi="Arial" w:cs="宋体"/>
      <w:kern w:val="0"/>
      <w:sz w:val="30"/>
      <w:szCs w:val="20"/>
    </w:rPr>
  </w:style>
  <w:style w:type="paragraph" w:customStyle="1" w:styleId="354">
    <w:name w:val="样式 标题 3标题 3 Char标题 3 Char Charh33rd levelH3Head 3level_3...1"/>
    <w:basedOn w:val="4"/>
    <w:autoRedefine/>
    <w:qFormat/>
    <w:uiPriority w:val="99"/>
    <w:pPr>
      <w:tabs>
        <w:tab w:val="left" w:pos="1860"/>
      </w:tabs>
      <w:spacing w:before="80" w:after="20" w:line="500" w:lineRule="exact"/>
      <w:ind w:left="1860" w:hanging="420"/>
    </w:pPr>
    <w:rPr>
      <w:rFonts w:ascii="楷体_GB2312" w:hAnsi="楷体_GB2312" w:eastAsia="楷体_GB2312"/>
      <w:bCs/>
      <w:kern w:val="0"/>
      <w:sz w:val="28"/>
      <w:szCs w:val="32"/>
    </w:rPr>
  </w:style>
  <w:style w:type="paragraph" w:customStyle="1" w:styleId="355">
    <w:name w:val="修订1"/>
    <w:autoRedefine/>
    <w:semiHidden/>
    <w:qFormat/>
    <w:uiPriority w:val="0"/>
    <w:rPr>
      <w:rFonts w:ascii="Times New Roman" w:hAnsi="Times New Roman" w:eastAsia="宋体" w:cs="Times New Roman"/>
      <w:kern w:val="2"/>
      <w:sz w:val="21"/>
      <w:lang w:val="en-US" w:eastAsia="zh-CN" w:bidi="ar-SA"/>
    </w:rPr>
  </w:style>
  <w:style w:type="paragraph" w:customStyle="1" w:styleId="356">
    <w:name w:val="样式 标题 4 + 段后: 0 磅 行距: 多倍行距 1.57 字行"/>
    <w:basedOn w:val="6"/>
    <w:autoRedefine/>
    <w:qFormat/>
    <w:uiPriority w:val="99"/>
    <w:pPr>
      <w:tabs>
        <w:tab w:val="left" w:pos="864"/>
      </w:tabs>
      <w:spacing w:before="0" w:after="0" w:line="377" w:lineRule="auto"/>
      <w:ind w:left="864" w:hanging="864"/>
    </w:pPr>
    <w:rPr>
      <w:rFonts w:ascii="Times New Roman" w:hAnsi="Times New Roman" w:eastAsia="宋体" w:cs="宋体"/>
      <w:b w:val="0"/>
      <w:bCs w:val="0"/>
      <w:kern w:val="0"/>
      <w:szCs w:val="20"/>
    </w:rPr>
  </w:style>
  <w:style w:type="paragraph" w:customStyle="1" w:styleId="357">
    <w:name w:val="章标题"/>
    <w:next w:val="1"/>
    <w:autoRedefine/>
    <w:qFormat/>
    <w:uiPriority w:val="99"/>
    <w:pPr>
      <w:tabs>
        <w:tab w:val="left" w:pos="396"/>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358">
    <w:name w:val="段"/>
    <w:link w:val="68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9">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60">
    <w:name w:val="简单回函地址"/>
    <w:basedOn w:val="1"/>
    <w:autoRedefine/>
    <w:qFormat/>
    <w:uiPriority w:val="99"/>
    <w:pPr>
      <w:spacing w:line="520" w:lineRule="exact"/>
    </w:pPr>
    <w:rPr>
      <w:rFonts w:ascii="宋体"/>
      <w:szCs w:val="24"/>
    </w:rPr>
  </w:style>
  <w:style w:type="paragraph" w:customStyle="1" w:styleId="361">
    <w:name w:val="二级无标题条"/>
    <w:basedOn w:val="1"/>
    <w:autoRedefine/>
    <w:qFormat/>
    <w:uiPriority w:val="99"/>
    <w:rPr>
      <w:szCs w:val="24"/>
    </w:rPr>
  </w:style>
  <w:style w:type="paragraph" w:customStyle="1" w:styleId="362">
    <w:name w:val="TOC 标题1"/>
    <w:basedOn w:val="2"/>
    <w:next w:val="1"/>
    <w:autoRedefine/>
    <w:qFormat/>
    <w:uiPriority w:val="0"/>
    <w:pPr>
      <w:widowControl/>
      <w:tabs>
        <w:tab w:val="clear" w:pos="1275"/>
      </w:tabs>
      <w:spacing w:before="480" w:after="0" w:line="276" w:lineRule="auto"/>
      <w:ind w:left="0" w:firstLine="0"/>
      <w:jc w:val="left"/>
      <w:outlineLvl w:val="9"/>
    </w:pPr>
    <w:rPr>
      <w:rFonts w:ascii="Cambria" w:hAnsi="Cambria" w:eastAsia="宋体"/>
      <w:color w:val="365F91"/>
      <w:kern w:val="0"/>
      <w:sz w:val="28"/>
      <w:szCs w:val="28"/>
    </w:rPr>
  </w:style>
  <w:style w:type="paragraph" w:customStyle="1" w:styleId="363">
    <w:name w:val="Char Char Char Char1"/>
    <w:basedOn w:val="1"/>
    <w:autoRedefine/>
    <w:qFormat/>
    <w:uiPriority w:val="0"/>
    <w:pPr>
      <w:spacing w:line="360" w:lineRule="auto"/>
      <w:ind w:firstLine="200" w:firstLineChars="200"/>
    </w:pPr>
    <w:rPr>
      <w:rFonts w:ascii="宋体" w:hAnsi="宋体" w:cs="宋体"/>
      <w:sz w:val="24"/>
      <w:szCs w:val="24"/>
    </w:rPr>
  </w:style>
  <w:style w:type="paragraph" w:customStyle="1" w:styleId="364">
    <w:name w:val="Char11"/>
    <w:basedOn w:val="1"/>
    <w:autoRedefine/>
    <w:qFormat/>
    <w:uiPriority w:val="0"/>
    <w:pPr>
      <w:spacing w:line="360" w:lineRule="auto"/>
      <w:ind w:firstLine="200" w:firstLineChars="200"/>
    </w:pPr>
    <w:rPr>
      <w:szCs w:val="20"/>
    </w:rPr>
  </w:style>
  <w:style w:type="paragraph" w:customStyle="1" w:styleId="365">
    <w:name w:val="Char Char Char Char Char Char Char1"/>
    <w:basedOn w:val="1"/>
    <w:autoRedefine/>
    <w:qFormat/>
    <w:uiPriority w:val="0"/>
    <w:pPr>
      <w:spacing w:line="360" w:lineRule="auto"/>
      <w:ind w:firstLine="200" w:firstLineChars="200"/>
    </w:pPr>
    <w:rPr>
      <w:szCs w:val="20"/>
    </w:rPr>
  </w:style>
  <w:style w:type="paragraph" w:customStyle="1" w:styleId="366">
    <w:name w:val="Char Char Char Char Char Char Char Char Char Char Char Char Char Char Char Char Char Char Char Char Char Char Char Char Char"/>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367">
    <w:name w:val="标题1-2"/>
    <w:basedOn w:val="1"/>
    <w:next w:val="231"/>
    <w:autoRedefine/>
    <w:qFormat/>
    <w:uiPriority w:val="99"/>
    <w:pPr>
      <w:keepNext/>
      <w:tabs>
        <w:tab w:val="left" w:pos="432"/>
      </w:tabs>
      <w:spacing w:before="340" w:line="578" w:lineRule="auto"/>
      <w:ind w:left="432" w:hanging="432"/>
      <w:outlineLvl w:val="0"/>
    </w:pPr>
    <w:rPr>
      <w:rFonts w:eastAsia="黑体"/>
      <w:kern w:val="44"/>
      <w:sz w:val="36"/>
      <w:szCs w:val="21"/>
    </w:rPr>
  </w:style>
  <w:style w:type="paragraph" w:customStyle="1" w:styleId="368">
    <w:name w:val="标题5"/>
    <w:basedOn w:val="1"/>
    <w:next w:val="1"/>
    <w:autoRedefine/>
    <w:qFormat/>
    <w:uiPriority w:val="0"/>
    <w:pPr>
      <w:spacing w:line="0" w:lineRule="atLeast"/>
      <w:ind w:firstLine="113"/>
    </w:pPr>
    <w:rPr>
      <w:rFonts w:hint="eastAsia" w:ascii="宋体"/>
      <w:szCs w:val="21"/>
    </w:rPr>
  </w:style>
  <w:style w:type="paragraph" w:customStyle="1" w:styleId="369">
    <w:name w:val="标1"/>
    <w:basedOn w:val="2"/>
    <w:autoRedefine/>
    <w:qFormat/>
    <w:uiPriority w:val="99"/>
    <w:pPr>
      <w:keepLines w:val="0"/>
      <w:pageBreakBefore/>
      <w:tabs>
        <w:tab w:val="left" w:pos="425"/>
        <w:tab w:val="clear" w:pos="1275"/>
      </w:tabs>
      <w:spacing w:before="340" w:after="0" w:line="578" w:lineRule="auto"/>
      <w:ind w:left="425" w:hanging="425"/>
    </w:pPr>
    <w:rPr>
      <w:b w:val="0"/>
      <w:sz w:val="28"/>
      <w:szCs w:val="36"/>
    </w:rPr>
  </w:style>
  <w:style w:type="character" w:customStyle="1" w:styleId="370">
    <w:name w:val="font21"/>
    <w:autoRedefine/>
    <w:qFormat/>
    <w:uiPriority w:val="0"/>
    <w:rPr>
      <w:rFonts w:hint="eastAsia" w:ascii="宋体" w:hAnsi="宋体" w:eastAsia="宋体" w:cs="宋体"/>
      <w:color w:val="000000"/>
      <w:sz w:val="20"/>
      <w:szCs w:val="20"/>
      <w:u w:val="none"/>
    </w:rPr>
  </w:style>
  <w:style w:type="character" w:customStyle="1" w:styleId="371">
    <w:name w:val="font01"/>
    <w:autoRedefine/>
    <w:qFormat/>
    <w:uiPriority w:val="0"/>
    <w:rPr>
      <w:rFonts w:hint="default" w:ascii="Times New Roman" w:hAnsi="Times New Roman" w:cs="Times New Roman"/>
      <w:color w:val="000000"/>
      <w:sz w:val="20"/>
      <w:szCs w:val="20"/>
      <w:u w:val="none"/>
    </w:rPr>
  </w:style>
  <w:style w:type="paragraph" w:customStyle="1" w:styleId="372">
    <w:name w:val="样式 首行缩进:  2 字符"/>
    <w:basedOn w:val="1"/>
    <w:autoRedefine/>
    <w:qFormat/>
    <w:uiPriority w:val="0"/>
    <w:pPr>
      <w:adjustRightInd w:val="0"/>
      <w:snapToGrid w:val="0"/>
      <w:spacing w:line="360" w:lineRule="auto"/>
      <w:ind w:firstLine="200" w:firstLineChars="200"/>
    </w:pPr>
    <w:rPr>
      <w:sz w:val="28"/>
      <w:szCs w:val="20"/>
    </w:rPr>
  </w:style>
  <w:style w:type="character" w:customStyle="1" w:styleId="373">
    <w:name w:val="报告书正文 Char"/>
    <w:link w:val="374"/>
    <w:autoRedefine/>
    <w:qFormat/>
    <w:uiPriority w:val="0"/>
    <w:rPr>
      <w:sz w:val="24"/>
      <w:szCs w:val="24"/>
    </w:rPr>
  </w:style>
  <w:style w:type="paragraph" w:customStyle="1" w:styleId="374">
    <w:name w:val="报告书正文"/>
    <w:basedOn w:val="1"/>
    <w:next w:val="1"/>
    <w:link w:val="373"/>
    <w:autoRedefine/>
    <w:qFormat/>
    <w:uiPriority w:val="0"/>
    <w:pPr>
      <w:spacing w:line="360" w:lineRule="auto"/>
      <w:ind w:firstLine="200" w:firstLineChars="200"/>
    </w:pPr>
    <w:rPr>
      <w:kern w:val="0"/>
      <w:sz w:val="24"/>
      <w:szCs w:val="24"/>
    </w:rPr>
  </w:style>
  <w:style w:type="paragraph" w:customStyle="1" w:styleId="375">
    <w:name w:val="图片文字"/>
    <w:basedOn w:val="1"/>
    <w:next w:val="1"/>
    <w:autoRedefine/>
    <w:qFormat/>
    <w:uiPriority w:val="99"/>
    <w:pPr>
      <w:spacing w:afterLines="50"/>
      <w:ind w:left="3114" w:firstLine="288"/>
      <w:jc w:val="center"/>
    </w:pPr>
    <w:rPr>
      <w:b/>
      <w:szCs w:val="24"/>
    </w:rPr>
  </w:style>
  <w:style w:type="paragraph" w:styleId="376">
    <w:name w:val="No Spacing"/>
    <w:link w:val="456"/>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77">
    <w:name w:val="CM71"/>
    <w:basedOn w:val="86"/>
    <w:next w:val="86"/>
    <w:autoRedefine/>
    <w:qFormat/>
    <w:uiPriority w:val="99"/>
    <w:rPr>
      <w:rFonts w:ascii="黑体" w:hAnsi="Calibri" w:eastAsia="黑体" w:cs="Times New Roman"/>
      <w:color w:val="auto"/>
    </w:rPr>
  </w:style>
  <w:style w:type="character" w:customStyle="1" w:styleId="378">
    <w:name w:val="文档结构图 Char1"/>
    <w:autoRedefine/>
    <w:semiHidden/>
    <w:qFormat/>
    <w:uiPriority w:val="99"/>
    <w:rPr>
      <w:rFonts w:ascii="宋体" w:hAnsi="Calibri" w:eastAsia="宋体" w:cs="Times New Roman"/>
      <w:sz w:val="18"/>
      <w:szCs w:val="18"/>
    </w:rPr>
  </w:style>
  <w:style w:type="character" w:customStyle="1" w:styleId="379">
    <w:name w:val="日期 Char1"/>
    <w:autoRedefine/>
    <w:semiHidden/>
    <w:qFormat/>
    <w:uiPriority w:val="99"/>
    <w:rPr>
      <w:rFonts w:ascii="Calibri" w:hAnsi="Calibri" w:eastAsia="宋体" w:cs="Times New Roman"/>
    </w:rPr>
  </w:style>
  <w:style w:type="character" w:customStyle="1" w:styleId="380">
    <w:name w:val="纯文本 Char Char Char2"/>
    <w:autoRedefine/>
    <w:qFormat/>
    <w:uiPriority w:val="99"/>
    <w:rPr>
      <w:rFonts w:ascii="宋体" w:hAnsi="Courier New" w:eastAsia="宋体"/>
      <w:kern w:val="2"/>
      <w:sz w:val="21"/>
      <w:lang w:val="en-US" w:eastAsia="zh-CN" w:bidi="ar-SA"/>
    </w:rPr>
  </w:style>
  <w:style w:type="character" w:customStyle="1" w:styleId="381">
    <w:name w:val="表格对齐 Char"/>
    <w:link w:val="382"/>
    <w:autoRedefine/>
    <w:qFormat/>
    <w:uiPriority w:val="0"/>
    <w:rPr>
      <w:sz w:val="21"/>
    </w:rPr>
  </w:style>
  <w:style w:type="paragraph" w:customStyle="1" w:styleId="382">
    <w:name w:val="表格对齐"/>
    <w:basedOn w:val="1"/>
    <w:link w:val="381"/>
    <w:autoRedefine/>
    <w:qFormat/>
    <w:uiPriority w:val="0"/>
    <w:pPr>
      <w:overflowPunct w:val="0"/>
      <w:adjustRightInd w:val="0"/>
      <w:snapToGrid w:val="0"/>
      <w:textAlignment w:val="baseline"/>
    </w:pPr>
    <w:rPr>
      <w:kern w:val="0"/>
      <w:szCs w:val="20"/>
    </w:rPr>
  </w:style>
  <w:style w:type="character" w:customStyle="1" w:styleId="383">
    <w:name w:val="cont2"/>
    <w:basedOn w:val="55"/>
    <w:autoRedefine/>
    <w:qFormat/>
    <w:uiPriority w:val="0"/>
  </w:style>
  <w:style w:type="character" w:customStyle="1" w:styleId="384">
    <w:name w:val="表格内容 Char Char"/>
    <w:autoRedefine/>
    <w:qFormat/>
    <w:uiPriority w:val="0"/>
    <w:rPr>
      <w:rFonts w:ascii="宋体" w:hAnsi="Courier New" w:eastAsia="宋体" w:cs="Courier New"/>
      <w:kern w:val="2"/>
      <w:sz w:val="21"/>
      <w:szCs w:val="21"/>
      <w:lang w:val="en-US" w:eastAsia="zh-CN" w:bidi="ar-SA"/>
    </w:rPr>
  </w:style>
  <w:style w:type="character" w:customStyle="1" w:styleId="385">
    <w:name w:val="javascript1"/>
    <w:autoRedefine/>
    <w:qFormat/>
    <w:uiPriority w:val="0"/>
    <w:rPr>
      <w:rFonts w:hint="default" w:ascii="Tahoma" w:hAnsi="Tahoma" w:cs="Tahoma"/>
      <w:sz w:val="24"/>
      <w:szCs w:val="24"/>
    </w:rPr>
  </w:style>
  <w:style w:type="character" w:customStyle="1" w:styleId="386">
    <w:name w:val="style1"/>
    <w:basedOn w:val="55"/>
    <w:autoRedefine/>
    <w:qFormat/>
    <w:uiPriority w:val="0"/>
  </w:style>
  <w:style w:type="character" w:customStyle="1" w:styleId="387">
    <w:name w:val="Char Char10"/>
    <w:autoRedefine/>
    <w:qFormat/>
    <w:uiPriority w:val="0"/>
    <w:rPr>
      <w:rFonts w:ascii="宋体" w:hAnsi="Courier New" w:eastAsia="宋体" w:cs="Courier New"/>
      <w:kern w:val="2"/>
      <w:sz w:val="21"/>
      <w:szCs w:val="21"/>
      <w:lang w:val="en-US" w:eastAsia="zh-CN" w:bidi="ar-SA"/>
    </w:rPr>
  </w:style>
  <w:style w:type="character" w:customStyle="1" w:styleId="388">
    <w:name w:val="正文文本缩进 2 Char1"/>
    <w:autoRedefine/>
    <w:semiHidden/>
    <w:qFormat/>
    <w:uiPriority w:val="99"/>
    <w:rPr>
      <w:rFonts w:ascii="Calibri" w:hAnsi="Calibri" w:eastAsia="宋体" w:cs="Times New Roman"/>
    </w:rPr>
  </w:style>
  <w:style w:type="character" w:customStyle="1" w:styleId="389">
    <w:name w:val="正文文本 3 Char1"/>
    <w:autoRedefine/>
    <w:qFormat/>
    <w:uiPriority w:val="99"/>
    <w:rPr>
      <w:kern w:val="2"/>
      <w:sz w:val="16"/>
      <w:szCs w:val="16"/>
    </w:rPr>
  </w:style>
  <w:style w:type="character" w:customStyle="1" w:styleId="390">
    <w:name w:val="正文文本 2 Char1"/>
    <w:autoRedefine/>
    <w:qFormat/>
    <w:uiPriority w:val="99"/>
    <w:rPr>
      <w:kern w:val="2"/>
      <w:sz w:val="21"/>
      <w:szCs w:val="24"/>
    </w:rPr>
  </w:style>
  <w:style w:type="character" w:customStyle="1" w:styleId="391">
    <w:name w:val="apple-style-span"/>
    <w:autoRedefine/>
    <w:qFormat/>
    <w:uiPriority w:val="0"/>
  </w:style>
  <w:style w:type="character" w:customStyle="1" w:styleId="392">
    <w:name w:val="Char Char9"/>
    <w:autoRedefine/>
    <w:qFormat/>
    <w:uiPriority w:val="0"/>
    <w:rPr>
      <w:rFonts w:ascii="Calibri" w:hAnsi="Calibri" w:eastAsia="宋体"/>
      <w:kern w:val="2"/>
      <w:sz w:val="18"/>
      <w:szCs w:val="18"/>
      <w:lang w:val="en-US" w:eastAsia="zh-CN" w:bidi="ar-SA"/>
    </w:rPr>
  </w:style>
  <w:style w:type="character" w:customStyle="1" w:styleId="393">
    <w:name w:val="doc_title"/>
    <w:autoRedefine/>
    <w:qFormat/>
    <w:uiPriority w:val="0"/>
  </w:style>
  <w:style w:type="character" w:customStyle="1" w:styleId="394">
    <w:name w:val="正文文本缩进 Char1"/>
    <w:autoRedefine/>
    <w:qFormat/>
    <w:uiPriority w:val="0"/>
    <w:rPr>
      <w:rFonts w:ascii="Calibri" w:hAnsi="Calibri" w:eastAsia="宋体" w:cs="Times New Roman"/>
    </w:rPr>
  </w:style>
  <w:style w:type="character" w:customStyle="1" w:styleId="395">
    <w:name w:val="批注主题 Char1"/>
    <w:autoRedefine/>
    <w:semiHidden/>
    <w:qFormat/>
    <w:uiPriority w:val="99"/>
    <w:rPr>
      <w:rFonts w:ascii="Times New Roman" w:hAnsi="Times New Roman" w:eastAsia="宋体" w:cs="Times New Roman"/>
      <w:b/>
      <w:bCs/>
      <w:kern w:val="2"/>
      <w:sz w:val="21"/>
      <w:szCs w:val="24"/>
    </w:rPr>
  </w:style>
  <w:style w:type="character" w:customStyle="1" w:styleId="396">
    <w:name w:val="表格居中 Char"/>
    <w:link w:val="397"/>
    <w:autoRedefine/>
    <w:qFormat/>
    <w:uiPriority w:val="0"/>
    <w:rPr>
      <w:rFonts w:ascii="宋体" w:hAnsi="Courier New" w:cs="Century"/>
      <w:snapToGrid w:val="0"/>
      <w:kern w:val="2"/>
      <w:sz w:val="21"/>
      <w:szCs w:val="21"/>
    </w:rPr>
  </w:style>
  <w:style w:type="paragraph" w:customStyle="1" w:styleId="397">
    <w:name w:val="表格居中"/>
    <w:basedOn w:val="1"/>
    <w:link w:val="396"/>
    <w:autoRedefine/>
    <w:qFormat/>
    <w:uiPriority w:val="0"/>
    <w:pPr>
      <w:adjustRightInd w:val="0"/>
      <w:snapToGrid w:val="0"/>
      <w:jc w:val="center"/>
    </w:pPr>
    <w:rPr>
      <w:rFonts w:ascii="宋体" w:hAnsi="Courier New" w:cs="Century"/>
      <w:snapToGrid w:val="0"/>
      <w:szCs w:val="21"/>
    </w:rPr>
  </w:style>
  <w:style w:type="paragraph" w:customStyle="1" w:styleId="398">
    <w:name w:val="纯文本2"/>
    <w:basedOn w:val="1"/>
    <w:autoRedefine/>
    <w:qFormat/>
    <w:uiPriority w:val="99"/>
    <w:pPr>
      <w:adjustRightInd w:val="0"/>
      <w:textAlignment w:val="baseline"/>
    </w:pPr>
    <w:rPr>
      <w:kern w:val="0"/>
      <w:szCs w:val="20"/>
    </w:rPr>
  </w:style>
  <w:style w:type="paragraph" w:customStyle="1" w:styleId="399">
    <w:name w:val="18"/>
    <w:basedOn w:val="1"/>
    <w:autoRedefine/>
    <w:qFormat/>
    <w:uiPriority w:val="99"/>
    <w:pPr>
      <w:snapToGrid w:val="0"/>
      <w:spacing w:line="400" w:lineRule="exact"/>
      <w:jc w:val="center"/>
    </w:pPr>
    <w:rPr>
      <w:rFonts w:ascii="宋体" w:hAnsi="宋体"/>
      <w:szCs w:val="21"/>
    </w:rPr>
  </w:style>
  <w:style w:type="paragraph" w:customStyle="1" w:styleId="400">
    <w:name w:val="样式 样式 标题 2 + 右侧:  2 字符3 + 首行缩进:  2 字符"/>
    <w:basedOn w:val="1"/>
    <w:autoRedefine/>
    <w:qFormat/>
    <w:uiPriority w:val="99"/>
    <w:pPr>
      <w:keepNext/>
      <w:keepLines/>
      <w:spacing w:line="360" w:lineRule="auto"/>
      <w:ind w:firstLine="562" w:firstLineChars="200"/>
      <w:jc w:val="left"/>
      <w:outlineLvl w:val="1"/>
    </w:pPr>
    <w:rPr>
      <w:rFonts w:ascii="宋体" w:hAnsi="宋体" w:cs="宋体"/>
      <w:b/>
      <w:color w:val="000000"/>
      <w:sz w:val="28"/>
      <w:szCs w:val="28"/>
    </w:rPr>
  </w:style>
  <w:style w:type="paragraph" w:customStyle="1" w:styleId="401">
    <w:name w:val="dandan6-13正文"/>
    <w:basedOn w:val="1"/>
    <w:next w:val="1"/>
    <w:autoRedefine/>
    <w:qFormat/>
    <w:uiPriority w:val="99"/>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402">
    <w:name w:val="zxz5"/>
    <w:next w:val="1"/>
    <w:autoRedefine/>
    <w:qFormat/>
    <w:uiPriority w:val="99"/>
    <w:pPr>
      <w:tabs>
        <w:tab w:val="left" w:pos="0"/>
      </w:tabs>
      <w:jc w:val="center"/>
    </w:pPr>
    <w:rPr>
      <w:rFonts w:ascii="宋体" w:hAnsi="宋体" w:eastAsia="Times New Roman" w:cs="宋体"/>
      <w:bCs/>
      <w:kern w:val="2"/>
      <w:sz w:val="18"/>
      <w:szCs w:val="18"/>
      <w:lang w:val="en-US" w:eastAsia="zh-CN" w:bidi="ar-SA"/>
    </w:rPr>
  </w:style>
  <w:style w:type="paragraph" w:customStyle="1" w:styleId="403">
    <w:name w:val="Char4"/>
    <w:basedOn w:val="1"/>
    <w:autoRedefine/>
    <w:qFormat/>
    <w:uiPriority w:val="0"/>
    <w:pPr>
      <w:spacing w:line="360" w:lineRule="auto"/>
      <w:ind w:firstLine="200" w:firstLineChars="200"/>
    </w:pPr>
    <w:rPr>
      <w:rFonts w:ascii="宋体" w:hAnsi="宋体" w:cs="宋体"/>
      <w:sz w:val="24"/>
      <w:szCs w:val="24"/>
    </w:rPr>
  </w:style>
  <w:style w:type="paragraph" w:customStyle="1" w:styleId="404">
    <w:name w:val="lemon中文"/>
    <w:basedOn w:val="1"/>
    <w:autoRedefine/>
    <w:qFormat/>
    <w:uiPriority w:val="99"/>
    <w:pPr>
      <w:snapToGrid w:val="0"/>
      <w:spacing w:before="120" w:after="120" w:line="360" w:lineRule="auto"/>
    </w:pPr>
    <w:rPr>
      <w:rFonts w:ascii="Arial" w:hAnsi="Arial" w:cs="Arial"/>
      <w:sz w:val="24"/>
      <w:szCs w:val="24"/>
    </w:rPr>
  </w:style>
  <w:style w:type="paragraph" w:customStyle="1" w:styleId="405">
    <w:name w:val="1"/>
    <w:basedOn w:val="1"/>
    <w:next w:val="41"/>
    <w:autoRedefine/>
    <w:qFormat/>
    <w:uiPriority w:val="99"/>
    <w:pPr>
      <w:tabs>
        <w:tab w:val="left" w:pos="4080"/>
      </w:tabs>
      <w:spacing w:line="520" w:lineRule="exact"/>
    </w:pPr>
    <w:rPr>
      <w:sz w:val="18"/>
      <w:szCs w:val="24"/>
    </w:rPr>
  </w:style>
  <w:style w:type="paragraph" w:customStyle="1" w:styleId="406">
    <w:name w:val="表格内文字"/>
    <w:basedOn w:val="19"/>
    <w:autoRedefine/>
    <w:qFormat/>
    <w:uiPriority w:val="99"/>
    <w:pPr>
      <w:spacing w:after="0" w:line="320" w:lineRule="exact"/>
      <w:jc w:val="center"/>
    </w:pPr>
    <w:rPr>
      <w:spacing w:val="10"/>
      <w:sz w:val="24"/>
      <w:szCs w:val="20"/>
    </w:rPr>
  </w:style>
  <w:style w:type="paragraph" w:customStyle="1" w:styleId="407">
    <w:name w:val="样式 (符号) 宋体 居中 行距: 固定值 19 磅"/>
    <w:basedOn w:val="1"/>
    <w:autoRedefine/>
    <w:qFormat/>
    <w:uiPriority w:val="99"/>
    <w:pPr>
      <w:spacing w:line="380" w:lineRule="exact"/>
      <w:jc w:val="center"/>
    </w:pPr>
    <w:rPr>
      <w:rFonts w:hAnsi="宋体" w:cs="宋体"/>
      <w:szCs w:val="20"/>
    </w:rPr>
  </w:style>
  <w:style w:type="paragraph" w:customStyle="1" w:styleId="408">
    <w:name w:val="节以下标题样式"/>
    <w:basedOn w:val="324"/>
    <w:autoRedefine/>
    <w:qFormat/>
    <w:uiPriority w:val="99"/>
    <w:pPr>
      <w:ind w:firstLine="0"/>
    </w:pPr>
  </w:style>
  <w:style w:type="paragraph" w:customStyle="1" w:styleId="409">
    <w:name w:val="表内字"/>
    <w:basedOn w:val="1"/>
    <w:autoRedefine/>
    <w:qFormat/>
    <w:uiPriority w:val="0"/>
    <w:pPr>
      <w:spacing w:line="300" w:lineRule="exact"/>
      <w:jc w:val="center"/>
    </w:pPr>
    <w:rPr>
      <w:szCs w:val="21"/>
    </w:rPr>
  </w:style>
  <w:style w:type="paragraph" w:customStyle="1" w:styleId="410">
    <w:name w:val="表格序号"/>
    <w:basedOn w:val="1"/>
    <w:autoRedefine/>
    <w:qFormat/>
    <w:uiPriority w:val="99"/>
    <w:pPr>
      <w:numPr>
        <w:ilvl w:val="0"/>
        <w:numId w:val="3"/>
      </w:numPr>
      <w:tabs>
        <w:tab w:val="left" w:pos="368"/>
        <w:tab w:val="clear" w:pos="360"/>
      </w:tabs>
      <w:overflowPunct w:val="0"/>
      <w:adjustRightInd w:val="0"/>
      <w:snapToGrid w:val="0"/>
      <w:jc w:val="center"/>
      <w:textAlignment w:val="baseline"/>
    </w:pPr>
    <w:rPr>
      <w:kern w:val="0"/>
      <w:szCs w:val="20"/>
    </w:rPr>
  </w:style>
  <w:style w:type="character" w:customStyle="1" w:styleId="411">
    <w:name w:val="批注文字 Char1"/>
    <w:autoRedefine/>
    <w:qFormat/>
    <w:uiPriority w:val="99"/>
    <w:rPr>
      <w:kern w:val="2"/>
      <w:sz w:val="21"/>
      <w:szCs w:val="22"/>
    </w:rPr>
  </w:style>
  <w:style w:type="character" w:customStyle="1" w:styleId="412">
    <w:name w:val="正文01 Char Char"/>
    <w:link w:val="413"/>
    <w:autoRedefine/>
    <w:qFormat/>
    <w:uiPriority w:val="0"/>
    <w:rPr>
      <w:kern w:val="2"/>
      <w:sz w:val="24"/>
      <w:szCs w:val="24"/>
    </w:rPr>
  </w:style>
  <w:style w:type="paragraph" w:customStyle="1" w:styleId="413">
    <w:name w:val="正文01"/>
    <w:basedOn w:val="1"/>
    <w:link w:val="412"/>
    <w:autoRedefine/>
    <w:qFormat/>
    <w:uiPriority w:val="0"/>
    <w:pPr>
      <w:adjustRightInd w:val="0"/>
      <w:snapToGrid w:val="0"/>
      <w:spacing w:before="60" w:line="460" w:lineRule="exact"/>
      <w:ind w:firstLine="200" w:firstLineChars="200"/>
    </w:pPr>
    <w:rPr>
      <w:sz w:val="24"/>
      <w:szCs w:val="24"/>
    </w:rPr>
  </w:style>
  <w:style w:type="paragraph" w:customStyle="1" w:styleId="414">
    <w:name w:val="0"/>
    <w:basedOn w:val="1"/>
    <w:autoRedefine/>
    <w:qFormat/>
    <w:uiPriority w:val="99"/>
    <w:pPr>
      <w:widowControl/>
      <w:snapToGrid w:val="0"/>
    </w:pPr>
    <w:rPr>
      <w:kern w:val="0"/>
      <w:szCs w:val="21"/>
    </w:rPr>
  </w:style>
  <w:style w:type="character" w:customStyle="1" w:styleId="415">
    <w:name w:val="表格字体 Char Char"/>
    <w:autoRedefine/>
    <w:qFormat/>
    <w:uiPriority w:val="0"/>
    <w:rPr>
      <w:rFonts w:ascii="Times New Roman" w:hAnsi="Times New Roman"/>
      <w:color w:val="000000"/>
      <w:kern w:val="2"/>
      <w:sz w:val="21"/>
      <w:szCs w:val="24"/>
      <w:lang w:val="zh-CN" w:eastAsia="zh-CN"/>
    </w:rPr>
  </w:style>
  <w:style w:type="character" w:customStyle="1" w:styleId="416">
    <w:name w:val="标题 1 Char1"/>
    <w:autoRedefine/>
    <w:qFormat/>
    <w:uiPriority w:val="0"/>
    <w:rPr>
      <w:b/>
      <w:bCs/>
      <w:kern w:val="44"/>
      <w:sz w:val="44"/>
      <w:szCs w:val="44"/>
    </w:rPr>
  </w:style>
  <w:style w:type="character" w:customStyle="1" w:styleId="417">
    <w:name w:val="页眉 Char1"/>
    <w:autoRedefine/>
    <w:qFormat/>
    <w:uiPriority w:val="99"/>
    <w:rPr>
      <w:kern w:val="2"/>
      <w:sz w:val="18"/>
      <w:szCs w:val="18"/>
    </w:rPr>
  </w:style>
  <w:style w:type="character" w:customStyle="1" w:styleId="418">
    <w:name w:val="正文文本缩进 3 Char1"/>
    <w:autoRedefine/>
    <w:semiHidden/>
    <w:qFormat/>
    <w:uiPriority w:val="0"/>
    <w:rPr>
      <w:kern w:val="2"/>
      <w:sz w:val="16"/>
      <w:szCs w:val="16"/>
    </w:rPr>
  </w:style>
  <w:style w:type="character" w:customStyle="1" w:styleId="419">
    <w:name w:val="普通(网站) Char"/>
    <w:autoRedefine/>
    <w:semiHidden/>
    <w:qFormat/>
    <w:uiPriority w:val="99"/>
    <w:rPr>
      <w:kern w:val="2"/>
      <w:sz w:val="18"/>
      <w:szCs w:val="18"/>
    </w:rPr>
  </w:style>
  <w:style w:type="character" w:customStyle="1" w:styleId="420">
    <w:name w:val="标题 7 Char1"/>
    <w:autoRedefine/>
    <w:semiHidden/>
    <w:qFormat/>
    <w:uiPriority w:val="0"/>
    <w:rPr>
      <w:b/>
      <w:bCs/>
      <w:kern w:val="2"/>
      <w:sz w:val="24"/>
      <w:szCs w:val="24"/>
    </w:rPr>
  </w:style>
  <w:style w:type="character" w:customStyle="1" w:styleId="421">
    <w:name w:val="标题 8 Char1"/>
    <w:semiHidden/>
    <w:qFormat/>
    <w:uiPriority w:val="0"/>
    <w:rPr>
      <w:rFonts w:ascii="Cambria" w:hAnsi="Cambria" w:eastAsia="宋体" w:cs="Times New Roman"/>
      <w:kern w:val="2"/>
      <w:sz w:val="24"/>
      <w:szCs w:val="24"/>
    </w:rPr>
  </w:style>
  <w:style w:type="character" w:customStyle="1" w:styleId="422">
    <w:name w:val="标题 9 Char1"/>
    <w:autoRedefine/>
    <w:semiHidden/>
    <w:qFormat/>
    <w:uiPriority w:val="0"/>
    <w:rPr>
      <w:rFonts w:ascii="Cambria" w:hAnsi="Cambria" w:eastAsia="宋体" w:cs="Times New Roman"/>
      <w:kern w:val="2"/>
      <w:sz w:val="21"/>
      <w:szCs w:val="21"/>
    </w:rPr>
  </w:style>
  <w:style w:type="character" w:customStyle="1" w:styleId="423">
    <w:name w:val="页脚 Char1"/>
    <w:autoRedefine/>
    <w:qFormat/>
    <w:uiPriority w:val="99"/>
    <w:rPr>
      <w:kern w:val="2"/>
      <w:sz w:val="18"/>
      <w:szCs w:val="18"/>
    </w:rPr>
  </w:style>
  <w:style w:type="character" w:customStyle="1" w:styleId="424">
    <w:name w:val="批注框文本 Char1"/>
    <w:autoRedefine/>
    <w:semiHidden/>
    <w:qFormat/>
    <w:uiPriority w:val="99"/>
    <w:rPr>
      <w:kern w:val="2"/>
      <w:sz w:val="18"/>
      <w:szCs w:val="18"/>
    </w:rPr>
  </w:style>
  <w:style w:type="character" w:customStyle="1" w:styleId="425">
    <w:name w:val="正文首行缩进 2 Char1"/>
    <w:autoRedefine/>
    <w:semiHidden/>
    <w:qFormat/>
    <w:uiPriority w:val="0"/>
    <w:rPr>
      <w:rFonts w:ascii="Calibri" w:hAnsi="Calibri" w:eastAsia="宋体" w:cs="Times New Roman"/>
      <w:kern w:val="2"/>
      <w:sz w:val="21"/>
      <w:szCs w:val="22"/>
    </w:rPr>
  </w:style>
  <w:style w:type="character" w:customStyle="1" w:styleId="426">
    <w:name w:val="标题 Char1"/>
    <w:autoRedefine/>
    <w:qFormat/>
    <w:uiPriority w:val="0"/>
    <w:rPr>
      <w:rFonts w:ascii="Cambria" w:hAnsi="Cambria" w:cs="Times New Roman"/>
      <w:b/>
      <w:bCs/>
      <w:kern w:val="2"/>
      <w:sz w:val="32"/>
      <w:szCs w:val="32"/>
    </w:rPr>
  </w:style>
  <w:style w:type="character" w:customStyle="1" w:styleId="427">
    <w:name w:val="副标题 Char1"/>
    <w:autoRedefine/>
    <w:qFormat/>
    <w:uiPriority w:val="11"/>
    <w:rPr>
      <w:rFonts w:ascii="Cambria" w:hAnsi="Cambria" w:cs="Times New Roman"/>
      <w:b/>
      <w:bCs/>
      <w:kern w:val="28"/>
      <w:sz w:val="32"/>
      <w:szCs w:val="32"/>
    </w:rPr>
  </w:style>
  <w:style w:type="character" w:customStyle="1" w:styleId="428">
    <w:name w:val="脚注文本 Char1"/>
    <w:autoRedefine/>
    <w:semiHidden/>
    <w:qFormat/>
    <w:uiPriority w:val="0"/>
    <w:rPr>
      <w:kern w:val="2"/>
      <w:sz w:val="18"/>
      <w:szCs w:val="18"/>
    </w:rPr>
  </w:style>
  <w:style w:type="paragraph" w:customStyle="1" w:styleId="429">
    <w:name w:val="TableStyle12"/>
    <w:basedOn w:val="1"/>
    <w:autoRedefine/>
    <w:qFormat/>
    <w:uiPriority w:val="0"/>
    <w:pPr>
      <w:jc w:val="center"/>
    </w:pPr>
    <w:rPr>
      <w:kern w:val="0"/>
      <w:sz w:val="24"/>
    </w:rPr>
  </w:style>
  <w:style w:type="character" w:customStyle="1" w:styleId="430">
    <w:name w:val="Body text (13)"/>
    <w:autoRedefine/>
    <w:qFormat/>
    <w:uiPriority w:val="99"/>
    <w:rPr>
      <w:rFonts w:hint="eastAsia" w:ascii="Arial Unicode MS" w:hAnsi="Arial Unicode MS" w:eastAsia="Arial Unicode MS" w:cs="Arial Unicode MS"/>
      <w:sz w:val="22"/>
      <w:shd w:val="clear" w:color="auto" w:fill="FFFFFF"/>
      <w:lang w:eastAsia="en-US"/>
    </w:rPr>
  </w:style>
  <w:style w:type="character" w:customStyle="1" w:styleId="431">
    <w:name w:val="纯文本 Char3"/>
    <w:autoRedefine/>
    <w:semiHidden/>
    <w:qFormat/>
    <w:uiPriority w:val="99"/>
    <w:rPr>
      <w:rFonts w:ascii="宋体" w:hAnsi="Courier New" w:cs="Courier New"/>
      <w:sz w:val="21"/>
      <w:szCs w:val="21"/>
    </w:rPr>
  </w:style>
  <w:style w:type="character" w:customStyle="1" w:styleId="432">
    <w:name w:val="标题 5 Char1"/>
    <w:autoRedefine/>
    <w:semiHidden/>
    <w:qFormat/>
    <w:uiPriority w:val="0"/>
    <w:rPr>
      <w:rFonts w:hint="default" w:ascii="Times New Roman" w:hAnsi="Times New Roman" w:cs="Times New Roman"/>
      <w:b/>
      <w:bCs/>
      <w:sz w:val="28"/>
      <w:szCs w:val="28"/>
    </w:rPr>
  </w:style>
  <w:style w:type="character" w:customStyle="1" w:styleId="433">
    <w:name w:val="表格字体居中 Char"/>
    <w:link w:val="434"/>
    <w:autoRedefine/>
    <w:semiHidden/>
    <w:qFormat/>
    <w:locked/>
    <w:uiPriority w:val="0"/>
    <w:rPr>
      <w:rFonts w:ascii="宋体" w:hAnsi="宋体" w:cs="宋体"/>
    </w:rPr>
  </w:style>
  <w:style w:type="paragraph" w:customStyle="1" w:styleId="434">
    <w:name w:val="表格字体居中"/>
    <w:basedOn w:val="1"/>
    <w:link w:val="433"/>
    <w:autoRedefine/>
    <w:semiHidden/>
    <w:qFormat/>
    <w:uiPriority w:val="0"/>
    <w:pPr>
      <w:spacing w:line="320" w:lineRule="exact"/>
      <w:jc w:val="center"/>
    </w:pPr>
    <w:rPr>
      <w:rFonts w:ascii="宋体" w:hAnsi="宋体" w:cs="宋体"/>
      <w:kern w:val="0"/>
      <w:sz w:val="20"/>
      <w:szCs w:val="20"/>
    </w:rPr>
  </w:style>
  <w:style w:type="character" w:customStyle="1" w:styleId="435">
    <w:name w:val="正文文本首行缩进 字符"/>
    <w:link w:val="47"/>
    <w:autoRedefine/>
    <w:qFormat/>
    <w:uiPriority w:val="0"/>
    <w:rPr>
      <w:rFonts w:ascii="Times New Roman" w:hAnsi="Times New Roman"/>
      <w:sz w:val="24"/>
    </w:rPr>
  </w:style>
  <w:style w:type="paragraph" w:customStyle="1" w:styleId="436">
    <w:name w:val="1.正文"/>
    <w:basedOn w:val="1"/>
    <w:qFormat/>
    <w:uiPriority w:val="0"/>
    <w:pPr>
      <w:spacing w:line="520" w:lineRule="exact"/>
      <w:ind w:firstLine="200" w:firstLineChars="200"/>
    </w:pPr>
    <w:rPr>
      <w:rFonts w:cs="宋体"/>
      <w:sz w:val="24"/>
      <w:szCs w:val="20"/>
    </w:rPr>
  </w:style>
  <w:style w:type="paragraph" w:customStyle="1" w:styleId="437">
    <w:name w:val="报告表表格文字"/>
    <w:basedOn w:val="1"/>
    <w:autoRedefine/>
    <w:qFormat/>
    <w:uiPriority w:val="0"/>
    <w:pPr>
      <w:autoSpaceDE w:val="0"/>
      <w:autoSpaceDN w:val="0"/>
      <w:adjustRightInd w:val="0"/>
      <w:snapToGrid w:val="0"/>
      <w:jc w:val="center"/>
    </w:pPr>
    <w:rPr>
      <w:color w:val="000000"/>
      <w:kern w:val="0"/>
      <w:szCs w:val="21"/>
    </w:rPr>
  </w:style>
  <w:style w:type="character" w:customStyle="1" w:styleId="438">
    <w:name w:val="鸿达正文 Char"/>
    <w:link w:val="439"/>
    <w:autoRedefine/>
    <w:qFormat/>
    <w:locked/>
    <w:uiPriority w:val="0"/>
    <w:rPr>
      <w:rFonts w:ascii="宋体" w:hAnsi="宋体" w:eastAsia="Times New Roman"/>
      <w:sz w:val="24"/>
    </w:rPr>
  </w:style>
  <w:style w:type="paragraph" w:customStyle="1" w:styleId="439">
    <w:name w:val="鸿达正文"/>
    <w:basedOn w:val="1"/>
    <w:link w:val="438"/>
    <w:autoRedefine/>
    <w:qFormat/>
    <w:uiPriority w:val="0"/>
    <w:pPr>
      <w:adjustRightInd w:val="0"/>
      <w:snapToGrid w:val="0"/>
      <w:spacing w:line="520" w:lineRule="exact"/>
      <w:ind w:firstLine="480" w:firstLineChars="200"/>
    </w:pPr>
    <w:rPr>
      <w:rFonts w:ascii="宋体" w:hAnsi="宋体" w:eastAsia="Times New Roman"/>
      <w:kern w:val="0"/>
      <w:sz w:val="24"/>
      <w:szCs w:val="20"/>
    </w:rPr>
  </w:style>
  <w:style w:type="character" w:customStyle="1" w:styleId="440">
    <w:name w:val="页脚 字符1"/>
    <w:autoRedefine/>
    <w:qFormat/>
    <w:uiPriority w:val="99"/>
    <w:rPr>
      <w:kern w:val="2"/>
      <w:sz w:val="18"/>
    </w:rPr>
  </w:style>
  <w:style w:type="character" w:customStyle="1" w:styleId="441">
    <w:name w:val="正文文本缩进 Char2"/>
    <w:autoRedefine/>
    <w:semiHidden/>
    <w:qFormat/>
    <w:uiPriority w:val="99"/>
    <w:rPr>
      <w:rFonts w:hint="default" w:ascii="Times New Roman" w:hAnsi="Times New Roman" w:cs="Times New Roman"/>
      <w:sz w:val="24"/>
    </w:rPr>
  </w:style>
  <w:style w:type="character" w:customStyle="1" w:styleId="442">
    <w:name w:val="明显参考1"/>
    <w:autoRedefine/>
    <w:qFormat/>
    <w:uiPriority w:val="32"/>
    <w:rPr>
      <w:b/>
      <w:bCs/>
      <w:smallCaps/>
      <w:color w:val="C0504D"/>
      <w:spacing w:val="5"/>
      <w:u w:val="single"/>
    </w:rPr>
  </w:style>
  <w:style w:type="character" w:styleId="443">
    <w:name w:val="Placeholder Text"/>
    <w:autoRedefine/>
    <w:semiHidden/>
    <w:qFormat/>
    <w:uiPriority w:val="99"/>
    <w:rPr>
      <w:color w:val="808080"/>
    </w:rPr>
  </w:style>
  <w:style w:type="character" w:customStyle="1" w:styleId="444">
    <w:name w:val="正文文本首行缩进 2 字符"/>
    <w:link w:val="48"/>
    <w:autoRedefine/>
    <w:qFormat/>
    <w:uiPriority w:val="99"/>
    <w:rPr>
      <w:rFonts w:ascii="Times New Roman" w:hAnsi="Times New Roman"/>
      <w:sz w:val="24"/>
    </w:rPr>
  </w:style>
  <w:style w:type="character" w:customStyle="1" w:styleId="445">
    <w:name w:val="纯文本 Char4"/>
    <w:autoRedefine/>
    <w:semiHidden/>
    <w:qFormat/>
    <w:uiPriority w:val="0"/>
    <w:rPr>
      <w:rFonts w:ascii="宋体" w:hAnsi="Courier New" w:cs="Courier New"/>
      <w:sz w:val="21"/>
      <w:szCs w:val="21"/>
    </w:rPr>
  </w:style>
  <w:style w:type="character" w:customStyle="1" w:styleId="446">
    <w:name w:val="标题 6 Char1"/>
    <w:autoRedefine/>
    <w:semiHidden/>
    <w:qFormat/>
    <w:uiPriority w:val="0"/>
    <w:rPr>
      <w:rFonts w:hint="default" w:ascii="Cambria" w:hAnsi="Cambria" w:eastAsia="宋体" w:cs="Times New Roman"/>
      <w:b/>
      <w:bCs/>
      <w:sz w:val="24"/>
      <w:szCs w:val="24"/>
    </w:rPr>
  </w:style>
  <w:style w:type="character" w:customStyle="1" w:styleId="447">
    <w:name w:val="普通(网站) 字符1"/>
    <w:link w:val="43"/>
    <w:autoRedefine/>
    <w:qFormat/>
    <w:locked/>
    <w:uiPriority w:val="0"/>
    <w:rPr>
      <w:rFonts w:ascii="宋体" w:hAnsi="宋体" w:cs="宋体"/>
      <w:sz w:val="24"/>
      <w:szCs w:val="24"/>
    </w:rPr>
  </w:style>
  <w:style w:type="paragraph" w:customStyle="1" w:styleId="448">
    <w:name w:val="修订11"/>
    <w:autoRedefine/>
    <w:semiHidden/>
    <w:qFormat/>
    <w:uiPriority w:val="0"/>
    <w:pPr>
      <w:spacing w:line="520" w:lineRule="exact"/>
      <w:ind w:firstLine="200" w:firstLineChars="200"/>
      <w:jc w:val="both"/>
    </w:pPr>
    <w:rPr>
      <w:rFonts w:ascii="Times New Roman" w:hAnsi="Times New Roman" w:eastAsia="宋体" w:cs="Times New Roman"/>
      <w:kern w:val="2"/>
      <w:sz w:val="21"/>
      <w:lang w:val="en-US" w:eastAsia="zh-CN" w:bidi="ar-SA"/>
    </w:rPr>
  </w:style>
  <w:style w:type="paragraph" w:customStyle="1" w:styleId="449">
    <w:name w:val="鸿达表格段落"/>
    <w:basedOn w:val="1"/>
    <w:autoRedefine/>
    <w:qFormat/>
    <w:uiPriority w:val="0"/>
    <w:pPr>
      <w:adjustRightInd w:val="0"/>
      <w:snapToGrid w:val="0"/>
      <w:ind w:firstLine="200" w:firstLineChars="200"/>
      <w:jc w:val="left"/>
    </w:pPr>
    <w:rPr>
      <w:kern w:val="0"/>
      <w:szCs w:val="24"/>
    </w:rPr>
  </w:style>
  <w:style w:type="paragraph" w:customStyle="1" w:styleId="450">
    <w:name w:val="表内"/>
    <w:basedOn w:val="1"/>
    <w:autoRedefine/>
    <w:qFormat/>
    <w:uiPriority w:val="99"/>
    <w:pPr>
      <w:framePr w:hSpace="180" w:wrap="around" w:vAnchor="page" w:hAnchor="margin" w:y="1411"/>
      <w:widowControl/>
    </w:pPr>
    <w:rPr>
      <w:rFonts w:ascii="宋体" w:hAnsi="宋体" w:eastAsia="仿宋"/>
      <w:kern w:val="0"/>
      <w:sz w:val="20"/>
      <w:szCs w:val="20"/>
    </w:rPr>
  </w:style>
  <w:style w:type="paragraph" w:customStyle="1" w:styleId="451">
    <w:name w:val="鸿达公式"/>
    <w:basedOn w:val="1"/>
    <w:autoRedefine/>
    <w:qFormat/>
    <w:uiPriority w:val="0"/>
    <w:pPr>
      <w:spacing w:beforeLines="100" w:afterLines="50"/>
      <w:jc w:val="center"/>
    </w:pPr>
    <w:rPr>
      <w:sz w:val="24"/>
      <w:szCs w:val="28"/>
    </w:rPr>
  </w:style>
  <w:style w:type="table" w:customStyle="1" w:styleId="452">
    <w:name w:val="Table Normal"/>
    <w:autoRedefine/>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53">
    <w:name w:val="网格型1"/>
    <w:basedOn w:val="49"/>
    <w:autoRedefine/>
    <w:qFormat/>
    <w:uiPriority w:val="0"/>
    <w:pPr>
      <w:widowControl w:val="0"/>
    </w:pPr>
    <w:rPr>
      <w:rFonts w:ascii="Calibri" w:hAnsi="Calibri"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54">
    <w:name w:val="二级标题"/>
    <w:basedOn w:val="1"/>
    <w:autoRedefine/>
    <w:qFormat/>
    <w:uiPriority w:val="0"/>
    <w:pPr>
      <w:ind w:left="1068"/>
      <w:jc w:val="left"/>
      <w:outlineLvl w:val="1"/>
    </w:pPr>
    <w:rPr>
      <w:sz w:val="28"/>
      <w:szCs w:val="24"/>
    </w:rPr>
  </w:style>
  <w:style w:type="paragraph" w:customStyle="1" w:styleId="455">
    <w:name w:val="四级标题"/>
    <w:basedOn w:val="1"/>
    <w:autoRedefine/>
    <w:qFormat/>
    <w:uiPriority w:val="0"/>
    <w:pPr>
      <w:jc w:val="left"/>
      <w:outlineLvl w:val="3"/>
    </w:pPr>
    <w:rPr>
      <w:sz w:val="28"/>
      <w:szCs w:val="24"/>
    </w:rPr>
  </w:style>
  <w:style w:type="character" w:customStyle="1" w:styleId="456">
    <w:name w:val="无间隔 字符"/>
    <w:link w:val="376"/>
    <w:autoRedefine/>
    <w:qFormat/>
    <w:uiPriority w:val="0"/>
    <w:rPr>
      <w:kern w:val="2"/>
      <w:sz w:val="21"/>
      <w:szCs w:val="24"/>
    </w:rPr>
  </w:style>
  <w:style w:type="paragraph" w:customStyle="1" w:styleId="457">
    <w:name w:val="00正文"/>
    <w:basedOn w:val="1"/>
    <w:link w:val="458"/>
    <w:autoRedefine/>
    <w:qFormat/>
    <w:uiPriority w:val="0"/>
    <w:pPr>
      <w:spacing w:line="520" w:lineRule="exact"/>
      <w:ind w:firstLine="480" w:firstLineChars="200"/>
    </w:pPr>
    <w:rPr>
      <w:color w:val="000000"/>
      <w:sz w:val="24"/>
      <w:szCs w:val="24"/>
    </w:rPr>
  </w:style>
  <w:style w:type="character" w:customStyle="1" w:styleId="458">
    <w:name w:val="00正文 字符"/>
    <w:link w:val="457"/>
    <w:autoRedefine/>
    <w:qFormat/>
    <w:uiPriority w:val="0"/>
    <w:rPr>
      <w:color w:val="000000"/>
      <w:kern w:val="2"/>
      <w:sz w:val="24"/>
      <w:szCs w:val="24"/>
    </w:rPr>
  </w:style>
  <w:style w:type="character" w:customStyle="1" w:styleId="459">
    <w:name w:val="00 4级 字符"/>
    <w:link w:val="460"/>
    <w:autoRedefine/>
    <w:qFormat/>
    <w:uiPriority w:val="0"/>
    <w:rPr>
      <w:color w:val="000000"/>
      <w:sz w:val="24"/>
      <w:szCs w:val="28"/>
    </w:rPr>
  </w:style>
  <w:style w:type="paragraph" w:customStyle="1" w:styleId="460">
    <w:name w:val="00 4级"/>
    <w:basedOn w:val="89"/>
    <w:link w:val="459"/>
    <w:autoRedefine/>
    <w:qFormat/>
    <w:uiPriority w:val="0"/>
    <w:pPr>
      <w:outlineLvl w:val="3"/>
    </w:pPr>
    <w:rPr>
      <w:rFonts w:ascii="Times New Roman" w:hAnsi="Times New Roman"/>
      <w:color w:val="000000"/>
    </w:rPr>
  </w:style>
  <w:style w:type="table" w:customStyle="1" w:styleId="461">
    <w:name w:val="网格型2"/>
    <w:basedOn w:val="49"/>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462">
    <w:name w:val="font51"/>
    <w:autoRedefine/>
    <w:qFormat/>
    <w:uiPriority w:val="0"/>
    <w:rPr>
      <w:rFonts w:hint="default" w:ascii="Times New Roman" w:hAnsi="Times New Roman" w:cs="Times New Roman"/>
      <w:color w:val="000000"/>
      <w:sz w:val="22"/>
      <w:szCs w:val="22"/>
      <w:u w:val="none"/>
      <w:vertAlign w:val="superscript"/>
    </w:rPr>
  </w:style>
  <w:style w:type="paragraph" w:customStyle="1" w:styleId="463">
    <w:name w:val="验收表格正文"/>
    <w:basedOn w:val="1"/>
    <w:autoRedefine/>
    <w:qFormat/>
    <w:uiPriority w:val="0"/>
    <w:pPr>
      <w:jc w:val="center"/>
    </w:pPr>
    <w:rPr>
      <w:szCs w:val="20"/>
    </w:rPr>
  </w:style>
  <w:style w:type="paragraph" w:customStyle="1" w:styleId="464">
    <w:name w:val="Char Char Char Char Char Char"/>
    <w:basedOn w:val="1"/>
    <w:autoRedefine/>
    <w:qFormat/>
    <w:uiPriority w:val="0"/>
    <w:pPr>
      <w:snapToGrid w:val="0"/>
      <w:spacing w:line="360" w:lineRule="auto"/>
      <w:ind w:firstLine="200" w:firstLineChars="200"/>
    </w:pPr>
    <w:rPr>
      <w:rFonts w:ascii="宋体" w:hAnsi="宋体" w:eastAsia="仿宋_GB2312"/>
      <w:sz w:val="24"/>
      <w:szCs w:val="21"/>
    </w:rPr>
  </w:style>
  <w:style w:type="paragraph" w:customStyle="1" w:styleId="465">
    <w:name w:val="列出段落2"/>
    <w:basedOn w:val="1"/>
    <w:autoRedefine/>
    <w:qFormat/>
    <w:uiPriority w:val="34"/>
    <w:pPr>
      <w:ind w:firstLine="420" w:firstLineChars="200"/>
    </w:pPr>
    <w:rPr>
      <w:rFonts w:ascii="Calibri" w:hAnsi="Calibri"/>
    </w:rPr>
  </w:style>
  <w:style w:type="character" w:customStyle="1" w:styleId="466">
    <w:name w:val="纯文本 Char5"/>
    <w:autoRedefine/>
    <w:qFormat/>
    <w:uiPriority w:val="0"/>
    <w:rPr>
      <w:rFonts w:ascii="宋体" w:hAnsi="Courier New" w:cs="Courier New"/>
      <w:sz w:val="21"/>
      <w:szCs w:val="21"/>
    </w:rPr>
  </w:style>
  <w:style w:type="paragraph" w:customStyle="1" w:styleId="467">
    <w:name w:val="1.1章节后"/>
    <w:basedOn w:val="3"/>
    <w:autoRedefine/>
    <w:qFormat/>
    <w:uiPriority w:val="99"/>
    <w:pPr>
      <w:keepNext w:val="0"/>
      <w:keepLines w:val="0"/>
      <w:numPr>
        <w:ilvl w:val="1"/>
        <w:numId w:val="3"/>
      </w:numPr>
      <w:tabs>
        <w:tab w:val="left" w:pos="-340"/>
        <w:tab w:val="left" w:pos="360"/>
        <w:tab w:val="left" w:pos="960"/>
        <w:tab w:val="left" w:pos="1200"/>
      </w:tabs>
      <w:spacing w:before="240" w:beforeLines="50" w:after="240" w:afterLines="50" w:line="500" w:lineRule="exact"/>
      <w:ind w:left="360" w:leftChars="150" w:firstLine="100" w:firstLineChars="100"/>
      <w:contextualSpacing/>
      <w:jc w:val="left"/>
      <w:textAlignment w:val="baseline"/>
    </w:pPr>
    <w:rPr>
      <w:rFonts w:ascii="Arial" w:hAnsi="Arial" w:cs="宋体"/>
      <w:sz w:val="30"/>
      <w:szCs w:val="20"/>
      <w:lang w:val="en-US"/>
    </w:rPr>
  </w:style>
  <w:style w:type="paragraph" w:customStyle="1" w:styleId="468">
    <w:name w:val="鸿达图黄字"/>
    <w:basedOn w:val="90"/>
    <w:autoRedefine/>
    <w:qFormat/>
    <w:uiPriority w:val="0"/>
    <w:rPr>
      <w:b/>
      <w:color w:val="FFFF00"/>
    </w:rPr>
  </w:style>
  <w:style w:type="character" w:customStyle="1" w:styleId="469">
    <w:name w:val="标题 1 字符1"/>
    <w:autoRedefine/>
    <w:qFormat/>
    <w:uiPriority w:val="9"/>
    <w:rPr>
      <w:rFonts w:ascii="Times New Roman" w:hAnsi="Times New Roman" w:cs="Times New Roman"/>
      <w:b/>
      <w:bCs/>
      <w:kern w:val="44"/>
      <w:sz w:val="44"/>
      <w:szCs w:val="44"/>
    </w:rPr>
  </w:style>
  <w:style w:type="character" w:customStyle="1" w:styleId="470">
    <w:name w:val="标题 2 字符1"/>
    <w:autoRedefine/>
    <w:semiHidden/>
    <w:qFormat/>
    <w:uiPriority w:val="0"/>
    <w:rPr>
      <w:rFonts w:ascii="Cambria" w:hAnsi="Cambria" w:eastAsia="宋体" w:cs="Times New Roman"/>
      <w:b/>
      <w:bCs/>
      <w:sz w:val="32"/>
      <w:szCs w:val="32"/>
    </w:rPr>
  </w:style>
  <w:style w:type="character" w:customStyle="1" w:styleId="471">
    <w:name w:val="标题 3 字符1"/>
    <w:autoRedefine/>
    <w:semiHidden/>
    <w:qFormat/>
    <w:uiPriority w:val="0"/>
    <w:rPr>
      <w:rFonts w:ascii="Times New Roman" w:hAnsi="Times New Roman" w:cs="Times New Roman"/>
      <w:b/>
      <w:bCs/>
      <w:sz w:val="32"/>
      <w:szCs w:val="32"/>
    </w:rPr>
  </w:style>
  <w:style w:type="character" w:customStyle="1" w:styleId="472">
    <w:name w:val="标题 4 字符1"/>
    <w:autoRedefine/>
    <w:semiHidden/>
    <w:qFormat/>
    <w:uiPriority w:val="9"/>
    <w:rPr>
      <w:rFonts w:ascii="Cambria" w:hAnsi="Cambria" w:eastAsia="宋体" w:cs="Times New Roman"/>
      <w:b/>
      <w:bCs/>
      <w:sz w:val="28"/>
      <w:szCs w:val="28"/>
    </w:rPr>
  </w:style>
  <w:style w:type="character" w:customStyle="1" w:styleId="473">
    <w:name w:val="标题 5 字符1"/>
    <w:autoRedefine/>
    <w:semiHidden/>
    <w:qFormat/>
    <w:uiPriority w:val="9"/>
    <w:rPr>
      <w:rFonts w:ascii="Times New Roman" w:hAnsi="Times New Roman" w:cs="Times New Roman"/>
      <w:b/>
      <w:bCs/>
      <w:sz w:val="28"/>
      <w:szCs w:val="28"/>
    </w:rPr>
  </w:style>
  <w:style w:type="character" w:customStyle="1" w:styleId="474">
    <w:name w:val="标题 6 字符1"/>
    <w:autoRedefine/>
    <w:semiHidden/>
    <w:qFormat/>
    <w:uiPriority w:val="9"/>
    <w:rPr>
      <w:rFonts w:ascii="Cambria" w:hAnsi="Cambria" w:eastAsia="宋体" w:cs="Times New Roman"/>
      <w:b/>
      <w:bCs/>
      <w:sz w:val="24"/>
      <w:szCs w:val="24"/>
    </w:rPr>
  </w:style>
  <w:style w:type="paragraph" w:customStyle="1" w:styleId="475">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476">
    <w:name w:val="标题 7 字符1"/>
    <w:autoRedefine/>
    <w:semiHidden/>
    <w:qFormat/>
    <w:uiPriority w:val="9"/>
    <w:rPr>
      <w:rFonts w:ascii="Times New Roman" w:hAnsi="Times New Roman" w:cs="Times New Roman"/>
      <w:b/>
      <w:bCs/>
      <w:sz w:val="24"/>
      <w:szCs w:val="24"/>
    </w:rPr>
  </w:style>
  <w:style w:type="character" w:customStyle="1" w:styleId="477">
    <w:name w:val="标题 8 字符1"/>
    <w:autoRedefine/>
    <w:semiHidden/>
    <w:qFormat/>
    <w:uiPriority w:val="9"/>
    <w:rPr>
      <w:rFonts w:ascii="Cambria" w:hAnsi="Cambria" w:eastAsia="宋体" w:cs="Times New Roman"/>
      <w:sz w:val="24"/>
      <w:szCs w:val="24"/>
    </w:rPr>
  </w:style>
  <w:style w:type="character" w:customStyle="1" w:styleId="478">
    <w:name w:val="标题 9 字符1"/>
    <w:autoRedefine/>
    <w:semiHidden/>
    <w:qFormat/>
    <w:uiPriority w:val="9"/>
    <w:rPr>
      <w:rFonts w:ascii="Cambria" w:hAnsi="Cambria" w:eastAsia="宋体" w:cs="Times New Roman"/>
      <w:sz w:val="21"/>
      <w:szCs w:val="21"/>
    </w:rPr>
  </w:style>
  <w:style w:type="character" w:customStyle="1" w:styleId="479">
    <w:name w:val="页眉 字符1"/>
    <w:autoRedefine/>
    <w:qFormat/>
    <w:uiPriority w:val="0"/>
    <w:rPr>
      <w:rFonts w:ascii="Times New Roman" w:hAnsi="Times New Roman"/>
      <w:sz w:val="18"/>
      <w:szCs w:val="18"/>
    </w:rPr>
  </w:style>
  <w:style w:type="character" w:customStyle="1" w:styleId="480">
    <w:name w:val="纯文本 字符1"/>
    <w:autoRedefine/>
    <w:semiHidden/>
    <w:qFormat/>
    <w:uiPriority w:val="99"/>
    <w:rPr>
      <w:rFonts w:ascii="宋体" w:hAnsi="Courier New" w:eastAsia="宋体" w:cs="Courier New"/>
      <w:sz w:val="24"/>
    </w:rPr>
  </w:style>
  <w:style w:type="paragraph" w:customStyle="1" w:styleId="481">
    <w:name w:val="修订2"/>
    <w:autoRedefine/>
    <w:semiHidden/>
    <w:qFormat/>
    <w:uiPriority w:val="99"/>
    <w:rPr>
      <w:rFonts w:ascii="Times New Roman" w:hAnsi="Times New Roman" w:eastAsia="宋体" w:cs="Times New Roman"/>
      <w:kern w:val="2"/>
      <w:sz w:val="21"/>
      <w:lang w:val="en-US" w:eastAsia="zh-CN" w:bidi="ar-SA"/>
    </w:rPr>
  </w:style>
  <w:style w:type="paragraph" w:styleId="482">
    <w:name w:val="Quote"/>
    <w:basedOn w:val="1"/>
    <w:next w:val="1"/>
    <w:link w:val="483"/>
    <w:autoRedefine/>
    <w:qFormat/>
    <w:uiPriority w:val="29"/>
    <w:pPr>
      <w:adjustRightInd w:val="0"/>
      <w:snapToGrid w:val="0"/>
      <w:spacing w:line="520" w:lineRule="exact"/>
      <w:ind w:firstLine="200" w:firstLineChars="200"/>
    </w:pPr>
    <w:rPr>
      <w:i/>
      <w:iCs/>
      <w:color w:val="000000"/>
      <w:kern w:val="0"/>
      <w:sz w:val="24"/>
      <w:szCs w:val="20"/>
    </w:rPr>
  </w:style>
  <w:style w:type="character" w:customStyle="1" w:styleId="483">
    <w:name w:val="引用 字符"/>
    <w:basedOn w:val="55"/>
    <w:link w:val="482"/>
    <w:autoRedefine/>
    <w:qFormat/>
    <w:uiPriority w:val="29"/>
    <w:rPr>
      <w:i/>
      <w:iCs/>
      <w:color w:val="000000"/>
      <w:sz w:val="24"/>
    </w:rPr>
  </w:style>
  <w:style w:type="paragraph" w:styleId="484">
    <w:name w:val="Intense Quote"/>
    <w:basedOn w:val="1"/>
    <w:next w:val="1"/>
    <w:link w:val="485"/>
    <w:autoRedefine/>
    <w:qFormat/>
    <w:uiPriority w:val="30"/>
    <w:pPr>
      <w:pBdr>
        <w:bottom w:val="single" w:color="4F81BD" w:sz="4" w:space="4"/>
      </w:pBdr>
      <w:adjustRightInd w:val="0"/>
      <w:snapToGrid w:val="0"/>
      <w:spacing w:before="200" w:after="280" w:line="520" w:lineRule="exact"/>
      <w:ind w:left="936" w:right="936" w:firstLine="200" w:firstLineChars="200"/>
    </w:pPr>
    <w:rPr>
      <w:b/>
      <w:bCs/>
      <w:i/>
      <w:iCs/>
      <w:color w:val="4F81BD"/>
      <w:kern w:val="0"/>
      <w:sz w:val="24"/>
      <w:szCs w:val="20"/>
    </w:rPr>
  </w:style>
  <w:style w:type="character" w:customStyle="1" w:styleId="485">
    <w:name w:val="明显引用 字符"/>
    <w:basedOn w:val="55"/>
    <w:link w:val="484"/>
    <w:autoRedefine/>
    <w:qFormat/>
    <w:uiPriority w:val="30"/>
    <w:rPr>
      <w:b/>
      <w:bCs/>
      <w:i/>
      <w:iCs/>
      <w:color w:val="4F81BD"/>
      <w:sz w:val="24"/>
    </w:rPr>
  </w:style>
  <w:style w:type="paragraph" w:customStyle="1" w:styleId="486">
    <w:name w:val="鸿达平衡小字"/>
    <w:basedOn w:val="90"/>
    <w:autoRedefine/>
    <w:semiHidden/>
    <w:qFormat/>
    <w:uiPriority w:val="99"/>
    <w:pPr>
      <w:textAlignment w:val="auto"/>
    </w:pPr>
    <w:rPr>
      <w:sz w:val="15"/>
    </w:rPr>
  </w:style>
  <w:style w:type="character" w:customStyle="1" w:styleId="487">
    <w:name w:val="正文鸿泰 Char"/>
    <w:link w:val="488"/>
    <w:autoRedefine/>
    <w:semiHidden/>
    <w:qFormat/>
    <w:locked/>
    <w:uiPriority w:val="0"/>
    <w:rPr>
      <w:rFonts w:ascii="宋体" w:hAnsi="宋体" w:cs="宋体"/>
      <w:kern w:val="2"/>
      <w:sz w:val="24"/>
    </w:rPr>
  </w:style>
  <w:style w:type="paragraph" w:customStyle="1" w:styleId="488">
    <w:name w:val="正文鸿泰"/>
    <w:basedOn w:val="1"/>
    <w:link w:val="487"/>
    <w:autoRedefine/>
    <w:semiHidden/>
    <w:qFormat/>
    <w:uiPriority w:val="0"/>
    <w:pPr>
      <w:spacing w:line="480" w:lineRule="exact"/>
      <w:ind w:firstLine="480" w:firstLineChars="200"/>
    </w:pPr>
    <w:rPr>
      <w:rFonts w:ascii="宋体" w:hAnsi="宋体" w:cs="宋体"/>
      <w:sz w:val="24"/>
      <w:szCs w:val="20"/>
    </w:rPr>
  </w:style>
  <w:style w:type="character" w:customStyle="1" w:styleId="489">
    <w:name w:val="图 Char Char"/>
    <w:link w:val="490"/>
    <w:autoRedefine/>
    <w:semiHidden/>
    <w:qFormat/>
    <w:locked/>
    <w:uiPriority w:val="0"/>
    <w:rPr>
      <w:rFonts w:ascii="黑体" w:hAnsi="黑体" w:eastAsia="黑体"/>
      <w:kern w:val="2"/>
      <w:sz w:val="24"/>
    </w:rPr>
  </w:style>
  <w:style w:type="paragraph" w:customStyle="1" w:styleId="490">
    <w:name w:val="图"/>
    <w:basedOn w:val="1"/>
    <w:link w:val="489"/>
    <w:autoRedefine/>
    <w:semiHidden/>
    <w:qFormat/>
    <w:uiPriority w:val="0"/>
    <w:pPr>
      <w:jc w:val="center"/>
    </w:pPr>
    <w:rPr>
      <w:rFonts w:ascii="黑体" w:hAnsi="黑体" w:eastAsia="黑体"/>
      <w:sz w:val="24"/>
      <w:szCs w:val="20"/>
    </w:rPr>
  </w:style>
  <w:style w:type="paragraph" w:customStyle="1" w:styleId="491">
    <w:name w:val="单倍行距"/>
    <w:basedOn w:val="1"/>
    <w:autoRedefine/>
    <w:semiHidden/>
    <w:qFormat/>
    <w:uiPriority w:val="99"/>
    <w:pPr>
      <w:snapToGrid w:val="0"/>
    </w:pPr>
    <w:rPr>
      <w:rFonts w:hAnsi="Arial" w:eastAsia="仿宋_GB2312" w:cs="宋体"/>
      <w:bCs/>
      <w:sz w:val="28"/>
      <w:szCs w:val="20"/>
    </w:rPr>
  </w:style>
  <w:style w:type="paragraph" w:customStyle="1" w:styleId="492">
    <w:name w:val="段落小间距"/>
    <w:basedOn w:val="1"/>
    <w:autoRedefine/>
    <w:semiHidden/>
    <w:qFormat/>
    <w:uiPriority w:val="99"/>
    <w:pPr>
      <w:spacing w:line="100" w:lineRule="exact"/>
      <w:jc w:val="center"/>
    </w:pPr>
    <w:rPr>
      <w:rFonts w:eastAsia="黑体" w:cs="宋体"/>
      <w:color w:val="000000"/>
      <w:sz w:val="24"/>
      <w:szCs w:val="20"/>
    </w:rPr>
  </w:style>
  <w:style w:type="paragraph" w:customStyle="1" w:styleId="493">
    <w:name w:val="报告书表格表头"/>
    <w:basedOn w:val="1"/>
    <w:autoRedefine/>
    <w:qFormat/>
    <w:uiPriority w:val="0"/>
    <w:pPr>
      <w:adjustRightInd w:val="0"/>
      <w:snapToGrid w:val="0"/>
      <w:spacing w:line="520" w:lineRule="exact"/>
      <w:ind w:firstLine="200" w:firstLineChars="200"/>
    </w:pPr>
    <w:rPr>
      <w:rFonts w:eastAsia="黑体"/>
      <w:color w:val="000000"/>
      <w:sz w:val="24"/>
    </w:rPr>
  </w:style>
  <w:style w:type="paragraph" w:customStyle="1" w:styleId="494">
    <w:name w:val="报告书图标"/>
    <w:basedOn w:val="1"/>
    <w:autoRedefine/>
    <w:semiHidden/>
    <w:qFormat/>
    <w:uiPriority w:val="99"/>
    <w:pPr>
      <w:spacing w:line="360" w:lineRule="auto"/>
      <w:jc w:val="center"/>
    </w:pPr>
    <w:rPr>
      <w:rFonts w:eastAsia="黑体"/>
      <w:sz w:val="24"/>
      <w:szCs w:val="20"/>
    </w:rPr>
  </w:style>
  <w:style w:type="character" w:customStyle="1" w:styleId="495">
    <w:name w:val="不明显强调1"/>
    <w:autoRedefine/>
    <w:qFormat/>
    <w:uiPriority w:val="19"/>
    <w:rPr>
      <w:i/>
      <w:iCs/>
      <w:color w:val="808080"/>
    </w:rPr>
  </w:style>
  <w:style w:type="character" w:customStyle="1" w:styleId="496">
    <w:name w:val="明显强调1"/>
    <w:autoRedefine/>
    <w:qFormat/>
    <w:uiPriority w:val="21"/>
    <w:rPr>
      <w:b/>
      <w:bCs/>
      <w:i/>
      <w:iCs/>
      <w:color w:val="4F81BD"/>
    </w:rPr>
  </w:style>
  <w:style w:type="character" w:customStyle="1" w:styleId="497">
    <w:name w:val="不明显参考1"/>
    <w:autoRedefine/>
    <w:qFormat/>
    <w:uiPriority w:val="31"/>
    <w:rPr>
      <w:smallCaps/>
      <w:color w:val="C0504D"/>
      <w:u w:val="single"/>
    </w:rPr>
  </w:style>
  <w:style w:type="character" w:customStyle="1" w:styleId="498">
    <w:name w:val="图表头"/>
    <w:autoRedefine/>
    <w:qFormat/>
    <w:uiPriority w:val="0"/>
    <w:rPr>
      <w:rFonts w:ascii="黑体" w:hAnsi="黑体" w:eastAsia="黑体" w:cs="宋体"/>
      <w:color w:val="000000"/>
      <w:kern w:val="2"/>
      <w:sz w:val="24"/>
    </w:rPr>
  </w:style>
  <w:style w:type="character" w:customStyle="1" w:styleId="499">
    <w:name w:val="font41"/>
    <w:autoRedefine/>
    <w:qFormat/>
    <w:uiPriority w:val="0"/>
    <w:rPr>
      <w:rFonts w:hint="default" w:ascii="Times New Roman" w:hAnsi="Times New Roman" w:cs="Times New Roman"/>
      <w:color w:val="000000"/>
      <w:sz w:val="20"/>
      <w:szCs w:val="20"/>
      <w:u w:val="none"/>
    </w:rPr>
  </w:style>
  <w:style w:type="paragraph" w:customStyle="1" w:styleId="500">
    <w:name w:val="_Style 137"/>
    <w:basedOn w:val="1"/>
    <w:next w:val="79"/>
    <w:autoRedefine/>
    <w:qFormat/>
    <w:uiPriority w:val="34"/>
    <w:pPr>
      <w:spacing w:line="360" w:lineRule="auto"/>
      <w:ind w:firstLine="420" w:firstLineChars="200"/>
    </w:pPr>
    <w:rPr>
      <w:sz w:val="24"/>
      <w:szCs w:val="20"/>
    </w:rPr>
  </w:style>
  <w:style w:type="character" w:customStyle="1" w:styleId="501">
    <w:name w:val="正文（首行缩进两字） Char3"/>
    <w:autoRedefine/>
    <w:qFormat/>
    <w:uiPriority w:val="0"/>
    <w:rPr>
      <w:rFonts w:eastAsia="宋体"/>
      <w:kern w:val="2"/>
      <w:sz w:val="24"/>
      <w:szCs w:val="24"/>
      <w:lang w:val="en-US" w:eastAsia="zh-CN" w:bidi="ar-SA"/>
    </w:rPr>
  </w:style>
  <w:style w:type="paragraph" w:customStyle="1" w:styleId="502">
    <w:name w:val="Char3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503">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504">
    <w:name w:val="Char Char Char1 Char Char Char Char Char Char Char Char Char Char Char Char Char Char Char Char Char Char Char"/>
    <w:basedOn w:val="1"/>
    <w:autoRedefine/>
    <w:qFormat/>
    <w:uiPriority w:val="0"/>
    <w:pPr>
      <w:spacing w:line="360" w:lineRule="auto"/>
      <w:ind w:firstLine="200" w:firstLineChars="200"/>
    </w:pPr>
    <w:rPr>
      <w:szCs w:val="20"/>
    </w:rPr>
  </w:style>
  <w:style w:type="paragraph" w:customStyle="1" w:styleId="505">
    <w:name w:val="pvc1.1"/>
    <w:basedOn w:val="3"/>
    <w:next w:val="3"/>
    <w:autoRedefine/>
    <w:semiHidden/>
    <w:qFormat/>
    <w:uiPriority w:val="0"/>
    <w:pPr>
      <w:tabs>
        <w:tab w:val="left" w:pos="576"/>
        <w:tab w:val="left" w:pos="768"/>
      </w:tabs>
      <w:adjustRightInd w:val="0"/>
      <w:spacing w:before="240" w:beforeLines="100" w:after="240" w:afterLines="100" w:line="324" w:lineRule="auto"/>
      <w:ind w:left="576" w:hanging="576"/>
    </w:pPr>
    <w:rPr>
      <w:rFonts w:ascii="黑体" w:hAnsi="Arial" w:eastAsia="华文中宋" w:cs="宋体"/>
      <w:b w:val="0"/>
      <w:bCs w:val="0"/>
      <w:sz w:val="44"/>
      <w:szCs w:val="44"/>
      <w:lang w:val="en-US"/>
    </w:rPr>
  </w:style>
  <w:style w:type="paragraph" w:customStyle="1" w:styleId="506">
    <w:name w:val="Char Char1 Char"/>
    <w:basedOn w:val="1"/>
    <w:autoRedefine/>
    <w:qFormat/>
    <w:uiPriority w:val="0"/>
    <w:pPr>
      <w:spacing w:line="360" w:lineRule="auto"/>
      <w:ind w:firstLine="200" w:firstLineChars="200"/>
    </w:pPr>
    <w:rPr>
      <w:rFonts w:ascii="宋体" w:hAnsi="宋体" w:cs="宋体"/>
      <w:sz w:val="24"/>
      <w:szCs w:val="24"/>
    </w:rPr>
  </w:style>
  <w:style w:type="table" w:customStyle="1" w:styleId="507">
    <w:name w:val="专业网格1"/>
    <w:basedOn w:val="4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8">
    <w:name w:val="三线"/>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paragraph" w:customStyle="1" w:styleId="509">
    <w:name w:val="第三层标题"/>
    <w:basedOn w:val="1"/>
    <w:next w:val="1"/>
    <w:autoRedefine/>
    <w:qFormat/>
    <w:uiPriority w:val="0"/>
    <w:pPr>
      <w:ind w:firstLine="200" w:firstLineChars="200"/>
    </w:pPr>
    <w:rPr>
      <w:rFonts w:ascii="宋体" w:hAnsi="宋体" w:cs="宋体"/>
      <w:sz w:val="24"/>
      <w:szCs w:val="24"/>
    </w:rPr>
  </w:style>
  <w:style w:type="paragraph" w:customStyle="1" w:styleId="510">
    <w:name w:val="Char111"/>
    <w:basedOn w:val="1"/>
    <w:next w:val="7"/>
    <w:autoRedefine/>
    <w:qFormat/>
    <w:uiPriority w:val="0"/>
    <w:pPr>
      <w:keepNext/>
      <w:keepLines/>
      <w:tabs>
        <w:tab w:val="left" w:pos="360"/>
      </w:tabs>
      <w:spacing w:beforeLines="50" w:afterLines="50" w:line="360" w:lineRule="auto"/>
      <w:ind w:left="360" w:hanging="360" w:firstLineChars="200"/>
      <w:outlineLvl w:val="3"/>
    </w:pPr>
    <w:rPr>
      <w:rFonts w:ascii="宋体" w:hAnsi="宋体" w:eastAsia="楷体_GB2312" w:cs="宋体"/>
      <w:b/>
      <w:bCs/>
      <w:sz w:val="24"/>
      <w:szCs w:val="24"/>
    </w:rPr>
  </w:style>
  <w:style w:type="paragraph" w:customStyle="1" w:styleId="511">
    <w:name w:val="报告"/>
    <w:basedOn w:val="1"/>
    <w:autoRedefine/>
    <w:qFormat/>
    <w:uiPriority w:val="0"/>
    <w:pPr>
      <w:adjustRightInd w:val="0"/>
      <w:spacing w:line="360" w:lineRule="auto"/>
      <w:ind w:firstLine="505"/>
      <w:textAlignment w:val="baseline"/>
    </w:pPr>
    <w:rPr>
      <w:kern w:val="0"/>
      <w:sz w:val="24"/>
      <w:szCs w:val="24"/>
    </w:rPr>
  </w:style>
  <w:style w:type="paragraph" w:customStyle="1" w:styleId="512">
    <w:name w:val="Char Char Char Char Char Char Char Char Char Char Char Char Char Char Char Char Char Char Char Char Char Char Char Char"/>
    <w:basedOn w:val="1"/>
    <w:autoRedefine/>
    <w:qFormat/>
    <w:uiPriority w:val="0"/>
    <w:rPr>
      <w:rFonts w:ascii="仿宋_GB2312" w:eastAsia="仿宋_GB2312"/>
      <w:b/>
      <w:sz w:val="32"/>
      <w:szCs w:val="32"/>
    </w:rPr>
  </w:style>
  <w:style w:type="character" w:customStyle="1" w:styleId="513">
    <w:name w:val="Char Char12"/>
    <w:autoRedefine/>
    <w:qFormat/>
    <w:uiPriority w:val="0"/>
    <w:rPr>
      <w:rFonts w:eastAsia="宋体"/>
      <w:kern w:val="2"/>
      <w:sz w:val="18"/>
      <w:lang w:val="en-US" w:eastAsia="zh-CN" w:bidi="ar-SA"/>
    </w:rPr>
  </w:style>
  <w:style w:type="character" w:customStyle="1" w:styleId="514">
    <w:name w:val="正文缩进 Char2"/>
    <w:autoRedefine/>
    <w:semiHidden/>
    <w:qFormat/>
    <w:uiPriority w:val="99"/>
    <w:rPr>
      <w:rFonts w:ascii="宋体" w:hAnsi="宋体"/>
      <w:bCs/>
      <w:kern w:val="2"/>
      <w:sz w:val="24"/>
      <w:szCs w:val="24"/>
    </w:rPr>
  </w:style>
  <w:style w:type="paragraph" w:customStyle="1" w:styleId="515">
    <w:name w:val="_Style 32"/>
    <w:basedOn w:val="2"/>
    <w:next w:val="1"/>
    <w:autoRedefine/>
    <w:qFormat/>
    <w:uiPriority w:val="39"/>
    <w:pPr>
      <w:pageBreakBefore/>
      <w:widowControl/>
      <w:tabs>
        <w:tab w:val="left" w:pos="360"/>
        <w:tab w:val="clear" w:pos="1275"/>
      </w:tabs>
      <w:spacing w:before="0" w:after="0" w:line="256" w:lineRule="auto"/>
      <w:ind w:left="0" w:firstLine="0"/>
      <w:jc w:val="left"/>
      <w:outlineLvl w:val="9"/>
    </w:pPr>
    <w:rPr>
      <w:rFonts w:ascii="等线 Light" w:hAnsi="等线 Light" w:eastAsia="等线 Light"/>
      <w:b w:val="0"/>
      <w:bCs w:val="0"/>
      <w:color w:val="2E74B5"/>
      <w:kern w:val="0"/>
      <w:sz w:val="32"/>
      <w:szCs w:val="32"/>
      <w:lang w:val="en-US"/>
    </w:rPr>
  </w:style>
  <w:style w:type="paragraph" w:customStyle="1" w:styleId="516">
    <w:name w:val="xl78"/>
    <w:basedOn w:val="1"/>
    <w:autoRedefine/>
    <w:qFormat/>
    <w:uiPriority w:val="0"/>
    <w:pPr>
      <w:widowControl/>
      <w:pBdr>
        <w:bottom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517">
    <w:name w:val="xl74"/>
    <w:basedOn w:val="1"/>
    <w:autoRedefine/>
    <w:qFormat/>
    <w:uiPriority w:val="0"/>
    <w:pPr>
      <w:widowControl/>
      <w:spacing w:before="100" w:beforeAutospacing="1" w:after="100" w:afterAutospacing="1" w:line="360" w:lineRule="auto"/>
      <w:jc w:val="center"/>
    </w:pPr>
    <w:rPr>
      <w:rFonts w:ascii="宋体" w:hAnsi="宋体" w:cs="宋体"/>
      <w:kern w:val="0"/>
      <w:sz w:val="20"/>
      <w:szCs w:val="20"/>
    </w:rPr>
  </w:style>
  <w:style w:type="paragraph" w:customStyle="1" w:styleId="518">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519">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520">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521">
    <w:name w:val="xl72"/>
    <w:basedOn w:val="1"/>
    <w:autoRedefine/>
    <w:qFormat/>
    <w:uiPriority w:val="0"/>
    <w:pPr>
      <w:widowControl/>
      <w:spacing w:before="100" w:beforeAutospacing="1" w:after="100" w:afterAutospacing="1" w:line="360" w:lineRule="auto"/>
      <w:jc w:val="center"/>
    </w:pPr>
    <w:rPr>
      <w:rFonts w:ascii="宋体" w:hAnsi="宋体" w:cs="宋体"/>
      <w:kern w:val="0"/>
      <w:sz w:val="20"/>
      <w:szCs w:val="20"/>
    </w:rPr>
  </w:style>
  <w:style w:type="paragraph" w:customStyle="1" w:styleId="522">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color w:val="000000"/>
      <w:kern w:val="0"/>
      <w:sz w:val="20"/>
      <w:szCs w:val="20"/>
    </w:rPr>
  </w:style>
  <w:style w:type="paragraph" w:customStyle="1" w:styleId="523">
    <w:name w:val="font5"/>
    <w:basedOn w:val="1"/>
    <w:autoRedefine/>
    <w:qFormat/>
    <w:uiPriority w:val="0"/>
    <w:pPr>
      <w:widowControl/>
      <w:spacing w:before="100" w:beforeAutospacing="1" w:after="100" w:afterAutospacing="1" w:line="360" w:lineRule="auto"/>
      <w:jc w:val="left"/>
    </w:pPr>
    <w:rPr>
      <w:rFonts w:ascii="宋体" w:hAnsi="宋体" w:cs="宋体"/>
      <w:kern w:val="0"/>
      <w:sz w:val="18"/>
      <w:szCs w:val="18"/>
    </w:rPr>
  </w:style>
  <w:style w:type="paragraph" w:customStyle="1" w:styleId="524">
    <w:name w:val="Char Char Char1 Char"/>
    <w:basedOn w:val="1"/>
    <w:autoRedefine/>
    <w:qFormat/>
    <w:uiPriority w:val="0"/>
    <w:pPr>
      <w:spacing w:line="360" w:lineRule="auto"/>
      <w:ind w:firstLine="200" w:firstLineChars="200"/>
    </w:pPr>
    <w:rPr>
      <w:rFonts w:ascii="宋体" w:hAnsi="宋体" w:eastAsia="楷体_GB2312" w:cs="宋体"/>
      <w:b/>
      <w:bCs/>
      <w:sz w:val="24"/>
      <w:szCs w:val="24"/>
    </w:rPr>
  </w:style>
  <w:style w:type="paragraph" w:customStyle="1" w:styleId="525">
    <w:name w:val="xl79"/>
    <w:basedOn w:val="1"/>
    <w:autoRedefine/>
    <w:qFormat/>
    <w:uiPriority w:val="0"/>
    <w:pPr>
      <w:widowControl/>
      <w:pBdr>
        <w:bottom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526">
    <w:name w:val="xl75"/>
    <w:basedOn w:val="1"/>
    <w:autoRedefine/>
    <w:qFormat/>
    <w:uiPriority w:val="0"/>
    <w:pPr>
      <w:widowControl/>
      <w:spacing w:before="100" w:beforeAutospacing="1" w:after="100" w:afterAutospacing="1" w:line="360" w:lineRule="auto"/>
      <w:jc w:val="center"/>
    </w:pPr>
    <w:rPr>
      <w:rFonts w:ascii="宋体" w:hAnsi="宋体" w:cs="宋体"/>
      <w:kern w:val="0"/>
      <w:sz w:val="24"/>
      <w:szCs w:val="24"/>
    </w:rPr>
  </w:style>
  <w:style w:type="paragraph" w:customStyle="1" w:styleId="527">
    <w:name w:val="xl71"/>
    <w:basedOn w:val="1"/>
    <w:autoRedefine/>
    <w:qFormat/>
    <w:uiPriority w:val="0"/>
    <w:pPr>
      <w:widowControl/>
      <w:pBdr>
        <w:bottom w:val="single" w:color="auto" w:sz="4" w:space="0"/>
      </w:pBdr>
      <w:spacing w:before="100" w:beforeAutospacing="1" w:after="100" w:afterAutospacing="1" w:line="360" w:lineRule="auto"/>
      <w:jc w:val="center"/>
    </w:pPr>
    <w:rPr>
      <w:rFonts w:ascii="宋体" w:hAnsi="宋体" w:cs="宋体"/>
      <w:kern w:val="0"/>
      <w:sz w:val="24"/>
      <w:szCs w:val="24"/>
    </w:rPr>
  </w:style>
  <w:style w:type="paragraph" w:customStyle="1" w:styleId="528">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color w:val="000000"/>
      <w:kern w:val="0"/>
      <w:sz w:val="18"/>
      <w:szCs w:val="18"/>
    </w:rPr>
  </w:style>
  <w:style w:type="paragraph" w:customStyle="1" w:styleId="529">
    <w:name w:val="xl77"/>
    <w:basedOn w:val="1"/>
    <w:autoRedefine/>
    <w:qFormat/>
    <w:uiPriority w:val="0"/>
    <w:pPr>
      <w:widowControl/>
      <w:pBdr>
        <w:bottom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530">
    <w:name w:val="xl73"/>
    <w:basedOn w:val="1"/>
    <w:autoRedefine/>
    <w:qFormat/>
    <w:uiPriority w:val="0"/>
    <w:pPr>
      <w:widowControl/>
      <w:spacing w:before="100" w:beforeAutospacing="1" w:after="100" w:afterAutospacing="1" w:line="360" w:lineRule="auto"/>
      <w:jc w:val="center"/>
    </w:pPr>
    <w:rPr>
      <w:rFonts w:ascii="宋体" w:hAnsi="宋体" w:cs="宋体"/>
      <w:kern w:val="0"/>
      <w:sz w:val="20"/>
      <w:szCs w:val="20"/>
    </w:rPr>
  </w:style>
  <w:style w:type="paragraph" w:customStyle="1" w:styleId="531">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18"/>
      <w:szCs w:val="18"/>
    </w:rPr>
  </w:style>
  <w:style w:type="paragraph" w:customStyle="1" w:styleId="53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cs="宋体"/>
      <w:kern w:val="0"/>
      <w:sz w:val="20"/>
      <w:szCs w:val="20"/>
    </w:rPr>
  </w:style>
  <w:style w:type="paragraph" w:customStyle="1" w:styleId="533">
    <w:name w:val="A样式 小四 行距: 1.5 倍行距"/>
    <w:basedOn w:val="1"/>
    <w:autoRedefine/>
    <w:qFormat/>
    <w:uiPriority w:val="0"/>
    <w:pPr>
      <w:spacing w:line="360" w:lineRule="auto"/>
      <w:ind w:firstLine="480" w:firstLineChars="200"/>
    </w:pPr>
    <w:rPr>
      <w:rFonts w:ascii="Courier New" w:hAnsi="Courier New" w:eastAsia="仿宋_GB2312" w:cs="仿宋_GB2312"/>
      <w:sz w:val="24"/>
      <w:szCs w:val="20"/>
    </w:rPr>
  </w:style>
  <w:style w:type="paragraph" w:customStyle="1" w:styleId="534">
    <w:name w:val="xl60"/>
    <w:basedOn w:val="1"/>
    <w:autoRedefine/>
    <w:qFormat/>
    <w:uiPriority w:val="0"/>
    <w:pPr>
      <w:widowControl/>
      <w:pBdr>
        <w:left w:val="single" w:color="auto" w:sz="8" w:space="0"/>
        <w:right w:val="single" w:color="auto" w:sz="4" w:space="0"/>
      </w:pBdr>
      <w:spacing w:before="100" w:after="100" w:line="360" w:lineRule="auto"/>
      <w:jc w:val="center"/>
    </w:pPr>
    <w:rPr>
      <w:kern w:val="0"/>
      <w:sz w:val="24"/>
      <w:szCs w:val="24"/>
    </w:rPr>
  </w:style>
  <w:style w:type="paragraph" w:customStyle="1" w:styleId="535">
    <w:name w:val="5"/>
    <w:basedOn w:val="1"/>
    <w:next w:val="5"/>
    <w:autoRedefine/>
    <w:qFormat/>
    <w:uiPriority w:val="0"/>
    <w:pPr>
      <w:spacing w:line="360" w:lineRule="auto"/>
    </w:pPr>
    <w:rPr>
      <w:sz w:val="24"/>
      <w:szCs w:val="24"/>
    </w:rPr>
  </w:style>
  <w:style w:type="paragraph" w:customStyle="1" w:styleId="536">
    <w:name w:val="Char Char1 Char1"/>
    <w:basedOn w:val="1"/>
    <w:autoRedefine/>
    <w:qFormat/>
    <w:uiPriority w:val="0"/>
    <w:pPr>
      <w:spacing w:line="360" w:lineRule="auto"/>
      <w:ind w:firstLine="200" w:firstLineChars="200"/>
    </w:pPr>
    <w:rPr>
      <w:rFonts w:ascii="宋体" w:hAnsi="宋体" w:cs="宋体"/>
      <w:sz w:val="24"/>
      <w:szCs w:val="24"/>
    </w:rPr>
  </w:style>
  <w:style w:type="paragraph" w:customStyle="1" w:styleId="537">
    <w:name w:val="puce"/>
    <w:basedOn w:val="1"/>
    <w:autoRedefine/>
    <w:qFormat/>
    <w:uiPriority w:val="0"/>
    <w:pPr>
      <w:widowControl/>
      <w:tabs>
        <w:tab w:val="left" w:pos="1040"/>
      </w:tabs>
      <w:adjustRightInd w:val="0"/>
      <w:snapToGrid w:val="0"/>
      <w:spacing w:before="120" w:after="120" w:line="360" w:lineRule="auto"/>
      <w:ind w:left="1020" w:hanging="340"/>
    </w:pPr>
    <w:rPr>
      <w:rFonts w:ascii="Arial" w:hAnsi="Arial"/>
      <w:kern w:val="0"/>
      <w:sz w:val="24"/>
      <w:szCs w:val="24"/>
    </w:rPr>
  </w:style>
  <w:style w:type="paragraph" w:customStyle="1" w:styleId="538">
    <w:name w:val="正文（缩进）"/>
    <w:basedOn w:val="1"/>
    <w:autoRedefine/>
    <w:qFormat/>
    <w:uiPriority w:val="0"/>
    <w:pPr>
      <w:adjustRightInd w:val="0"/>
      <w:snapToGrid w:val="0"/>
      <w:spacing w:line="360" w:lineRule="auto"/>
      <w:ind w:firstLine="200" w:firstLineChars="200"/>
    </w:pPr>
    <w:rPr>
      <w:kern w:val="0"/>
      <w:sz w:val="24"/>
      <w:szCs w:val="24"/>
    </w:rPr>
  </w:style>
  <w:style w:type="paragraph" w:customStyle="1" w:styleId="539">
    <w:name w:val="xl33"/>
    <w:basedOn w:val="1"/>
    <w:autoRedefine/>
    <w:qFormat/>
    <w:uiPriority w:val="0"/>
    <w:pPr>
      <w:widowControl/>
      <w:pBdr>
        <w:bottom w:val="single" w:color="000000" w:sz="4" w:space="0"/>
        <w:right w:val="single" w:color="000000" w:sz="4" w:space="0"/>
      </w:pBdr>
      <w:spacing w:before="100" w:beforeAutospacing="1" w:after="100" w:afterAutospacing="1" w:line="360" w:lineRule="auto"/>
      <w:jc w:val="center"/>
    </w:pPr>
    <w:rPr>
      <w:rFonts w:ascii="宋体" w:hAnsi="宋体" w:cs="宋体"/>
      <w:color w:val="000000"/>
      <w:kern w:val="0"/>
      <w:sz w:val="32"/>
      <w:szCs w:val="32"/>
    </w:rPr>
  </w:style>
  <w:style w:type="paragraph" w:customStyle="1" w:styleId="540">
    <w:name w:val="Char Char Char Char Char Char Char Char Char Char Char1 Char Char Char Char Char Char Char"/>
    <w:basedOn w:val="1"/>
    <w:autoRedefine/>
    <w:qFormat/>
    <w:uiPriority w:val="0"/>
    <w:pPr>
      <w:spacing w:line="360" w:lineRule="auto"/>
    </w:pPr>
    <w:rPr>
      <w:sz w:val="24"/>
      <w:szCs w:val="24"/>
    </w:rPr>
  </w:style>
  <w:style w:type="paragraph" w:customStyle="1" w:styleId="541">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kern w:val="0"/>
      <w:sz w:val="24"/>
      <w:szCs w:val="21"/>
    </w:rPr>
  </w:style>
  <w:style w:type="paragraph" w:customStyle="1" w:styleId="542">
    <w:name w:val="ENUM"/>
    <w:basedOn w:val="1"/>
    <w:autoRedefine/>
    <w:qFormat/>
    <w:uiPriority w:val="0"/>
    <w:pPr>
      <w:widowControl/>
      <w:tabs>
        <w:tab w:val="left" w:pos="1418"/>
      </w:tabs>
      <w:spacing w:before="60" w:after="60" w:line="360" w:lineRule="auto"/>
      <w:ind w:left="1418" w:hanging="284" w:firstLineChars="200"/>
    </w:pPr>
    <w:rPr>
      <w:rFonts w:ascii="Arial" w:hAnsi="Arial"/>
      <w:kern w:val="0"/>
      <w:sz w:val="22"/>
      <w:lang w:val="en-GB"/>
    </w:rPr>
  </w:style>
  <w:style w:type="paragraph" w:customStyle="1" w:styleId="543">
    <w:name w:val="表体"/>
    <w:basedOn w:val="1"/>
    <w:autoRedefine/>
    <w:qFormat/>
    <w:uiPriority w:val="0"/>
    <w:pPr>
      <w:overflowPunct w:val="0"/>
      <w:adjustRightInd w:val="0"/>
      <w:spacing w:line="240" w:lineRule="atLeast"/>
      <w:ind w:left="-57" w:right="-57"/>
      <w:jc w:val="center"/>
    </w:pPr>
    <w:rPr>
      <w:rFonts w:ascii="黑体" w:eastAsia="黑体"/>
      <w:color w:val="000080"/>
      <w:kern w:val="24"/>
      <w:sz w:val="24"/>
      <w:szCs w:val="24"/>
    </w:rPr>
  </w:style>
  <w:style w:type="paragraph" w:customStyle="1" w:styleId="544">
    <w:name w:val="Char Char Char Char Char Char Char Char Char Char"/>
    <w:basedOn w:val="1"/>
    <w:autoRedefine/>
    <w:qFormat/>
    <w:uiPriority w:val="0"/>
    <w:pPr>
      <w:spacing w:line="360" w:lineRule="auto"/>
      <w:ind w:firstLine="200" w:firstLineChars="200"/>
    </w:pPr>
    <w:rPr>
      <w:rFonts w:ascii="宋体" w:hAnsi="宋体" w:cs="宋体"/>
      <w:sz w:val="24"/>
      <w:szCs w:val="24"/>
    </w:rPr>
  </w:style>
  <w:style w:type="character" w:customStyle="1" w:styleId="545">
    <w:name w:val="表格正文 Char"/>
    <w:link w:val="546"/>
    <w:autoRedefine/>
    <w:qFormat/>
    <w:locked/>
    <w:uiPriority w:val="0"/>
    <w:rPr>
      <w:b/>
      <w:bCs/>
      <w:color w:val="000000"/>
      <w:sz w:val="24"/>
      <w:szCs w:val="21"/>
    </w:rPr>
  </w:style>
  <w:style w:type="paragraph" w:customStyle="1" w:styleId="546">
    <w:name w:val="表格正文"/>
    <w:link w:val="545"/>
    <w:autoRedefine/>
    <w:qFormat/>
    <w:uiPriority w:val="0"/>
    <w:pPr>
      <w:widowControl w:val="0"/>
      <w:spacing w:line="340" w:lineRule="exact"/>
      <w:jc w:val="both"/>
    </w:pPr>
    <w:rPr>
      <w:rFonts w:ascii="Times New Roman" w:hAnsi="Times New Roman" w:eastAsia="宋体" w:cs="Times New Roman"/>
      <w:b/>
      <w:bCs/>
      <w:color w:val="000000"/>
      <w:sz w:val="24"/>
      <w:szCs w:val="21"/>
      <w:lang w:val="en-US" w:eastAsia="zh-CN" w:bidi="ar-SA"/>
    </w:rPr>
  </w:style>
  <w:style w:type="paragraph" w:customStyle="1" w:styleId="547">
    <w:name w:val="00 2级"/>
    <w:basedOn w:val="98"/>
    <w:autoRedefine/>
    <w:qFormat/>
    <w:uiPriority w:val="0"/>
    <w:pPr>
      <w:spacing w:line="520" w:lineRule="exact"/>
    </w:pPr>
  </w:style>
  <w:style w:type="paragraph" w:customStyle="1" w:styleId="548">
    <w:name w:val="3-1"/>
    <w:basedOn w:val="1"/>
    <w:autoRedefine/>
    <w:qFormat/>
    <w:uiPriority w:val="0"/>
    <w:pPr>
      <w:widowControl/>
      <w:numPr>
        <w:ilvl w:val="0"/>
        <w:numId w:val="4"/>
      </w:numPr>
      <w:tabs>
        <w:tab w:val="left" w:pos="1015"/>
      </w:tabs>
      <w:spacing w:line="360" w:lineRule="auto"/>
      <w:ind w:right="34" w:firstLine="0"/>
      <w:jc w:val="left"/>
    </w:pPr>
    <w:rPr>
      <w:rFonts w:ascii="宋体" w:hAnsi="宋体"/>
      <w:kern w:val="0"/>
      <w:sz w:val="24"/>
      <w:szCs w:val="24"/>
    </w:rPr>
  </w:style>
  <w:style w:type="paragraph" w:customStyle="1" w:styleId="549">
    <w:name w:val="Char Char1 Char Char Char Char Char Char Char Char Char Char"/>
    <w:basedOn w:val="1"/>
    <w:autoRedefine/>
    <w:qFormat/>
    <w:uiPriority w:val="0"/>
    <w:pPr>
      <w:adjustRightInd w:val="0"/>
      <w:spacing w:line="360" w:lineRule="atLeast"/>
    </w:pPr>
    <w:rPr>
      <w:rFonts w:eastAsia="黑体"/>
      <w:b/>
      <w:kern w:val="28"/>
      <w:sz w:val="28"/>
      <w:szCs w:val="20"/>
    </w:rPr>
  </w:style>
  <w:style w:type="paragraph" w:customStyle="1" w:styleId="550">
    <w:name w:val="Char Char Char1 Char1"/>
    <w:basedOn w:val="1"/>
    <w:autoRedefine/>
    <w:qFormat/>
    <w:uiPriority w:val="0"/>
    <w:pPr>
      <w:spacing w:line="360" w:lineRule="auto"/>
      <w:ind w:firstLine="200" w:firstLineChars="200"/>
    </w:pPr>
    <w:rPr>
      <w:rFonts w:ascii="宋体" w:hAnsi="宋体" w:eastAsia="楷体_GB2312" w:cs="宋体"/>
      <w:b/>
      <w:bCs/>
      <w:sz w:val="24"/>
      <w:szCs w:val="24"/>
    </w:rPr>
  </w:style>
  <w:style w:type="paragraph" w:customStyle="1" w:styleId="551">
    <w:name w:val="reader-word-layer reader-word-s2-0"/>
    <w:basedOn w:val="1"/>
    <w:autoRedefine/>
    <w:qFormat/>
    <w:uiPriority w:val="0"/>
    <w:pPr>
      <w:widowControl/>
      <w:spacing w:before="100" w:beforeAutospacing="1" w:after="100" w:afterAutospacing="1" w:line="360" w:lineRule="auto"/>
      <w:jc w:val="left"/>
    </w:pPr>
    <w:rPr>
      <w:rFonts w:ascii="宋体" w:hAnsi="宋体" w:cs="宋体"/>
      <w:kern w:val="0"/>
      <w:sz w:val="24"/>
      <w:szCs w:val="24"/>
    </w:rPr>
  </w:style>
  <w:style w:type="paragraph" w:customStyle="1" w:styleId="552">
    <w:name w:val="我的正文"/>
    <w:basedOn w:val="1"/>
    <w:autoRedefine/>
    <w:qFormat/>
    <w:uiPriority w:val="0"/>
    <w:pPr>
      <w:spacing w:line="400" w:lineRule="exact"/>
      <w:ind w:firstLine="200" w:firstLineChars="200"/>
    </w:pPr>
    <w:rPr>
      <w:rFonts w:ascii="Calibri" w:hAnsi="Calibri"/>
      <w:sz w:val="24"/>
    </w:rPr>
  </w:style>
  <w:style w:type="paragraph" w:customStyle="1" w:styleId="553">
    <w:name w:val="论文正文"/>
    <w:basedOn w:val="5"/>
    <w:autoRedefine/>
    <w:qFormat/>
    <w:uiPriority w:val="0"/>
    <w:pPr>
      <w:adjustRightInd/>
      <w:spacing w:line="240" w:lineRule="auto"/>
      <w:ind w:firstLine="480" w:firstLineChars="200"/>
      <w:textAlignment w:val="auto"/>
    </w:pPr>
    <w:rPr>
      <w:rFonts w:hint="eastAsia" w:ascii="宋体" w:hAnsi="宋体"/>
      <w:kern w:val="2"/>
      <w:szCs w:val="24"/>
      <w:lang w:val="en-US"/>
    </w:rPr>
  </w:style>
  <w:style w:type="paragraph" w:customStyle="1" w:styleId="554">
    <w:name w:val="reader-word-layer reader-word-s1-10"/>
    <w:basedOn w:val="1"/>
    <w:autoRedefine/>
    <w:qFormat/>
    <w:uiPriority w:val="0"/>
    <w:pPr>
      <w:widowControl/>
      <w:spacing w:before="100" w:beforeAutospacing="1" w:after="100" w:afterAutospacing="1" w:line="360" w:lineRule="auto"/>
      <w:jc w:val="left"/>
    </w:pPr>
    <w:rPr>
      <w:rFonts w:ascii="宋体" w:hAnsi="宋体" w:cs="宋体"/>
      <w:kern w:val="0"/>
      <w:sz w:val="24"/>
      <w:szCs w:val="24"/>
    </w:rPr>
  </w:style>
  <w:style w:type="paragraph" w:customStyle="1" w:styleId="555">
    <w:name w:val="_Style 3"/>
    <w:basedOn w:val="1"/>
    <w:autoRedefine/>
    <w:semiHidden/>
    <w:qFormat/>
    <w:uiPriority w:val="0"/>
    <w:pPr>
      <w:spacing w:line="360" w:lineRule="auto"/>
    </w:pPr>
    <w:rPr>
      <w:sz w:val="24"/>
      <w:szCs w:val="20"/>
    </w:rPr>
  </w:style>
  <w:style w:type="paragraph" w:customStyle="1" w:styleId="556">
    <w:name w:val="正文文字 3"/>
    <w:basedOn w:val="1"/>
    <w:autoRedefine/>
    <w:qFormat/>
    <w:uiPriority w:val="0"/>
    <w:pPr>
      <w:spacing w:line="360" w:lineRule="auto"/>
      <w:jc w:val="center"/>
    </w:pPr>
    <w:rPr>
      <w:rFonts w:ascii="Calibri" w:hAnsi="Calibri"/>
      <w:sz w:val="24"/>
      <w:szCs w:val="21"/>
    </w:rPr>
  </w:style>
  <w:style w:type="character" w:customStyle="1" w:styleId="557">
    <w:name w:val="报告正文 Char Char"/>
    <w:autoRedefine/>
    <w:qFormat/>
    <w:uiPriority w:val="0"/>
    <w:rPr>
      <w:sz w:val="24"/>
      <w:szCs w:val="21"/>
    </w:rPr>
  </w:style>
  <w:style w:type="character" w:customStyle="1" w:styleId="558">
    <w:name w:val="报告书正文 Char Char Char"/>
    <w:link w:val="559"/>
    <w:autoRedefine/>
    <w:qFormat/>
    <w:locked/>
    <w:uiPriority w:val="0"/>
    <w:rPr>
      <w:sz w:val="24"/>
      <w:szCs w:val="24"/>
    </w:rPr>
  </w:style>
  <w:style w:type="paragraph" w:customStyle="1" w:styleId="559">
    <w:name w:val="报告书正文 Char Char"/>
    <w:basedOn w:val="1"/>
    <w:link w:val="558"/>
    <w:autoRedefine/>
    <w:qFormat/>
    <w:uiPriority w:val="0"/>
    <w:pPr>
      <w:widowControl/>
      <w:spacing w:line="300" w:lineRule="auto"/>
      <w:ind w:firstLine="480"/>
      <w:jc w:val="left"/>
    </w:pPr>
    <w:rPr>
      <w:kern w:val="0"/>
      <w:sz w:val="24"/>
      <w:szCs w:val="24"/>
    </w:rPr>
  </w:style>
  <w:style w:type="paragraph" w:customStyle="1" w:styleId="560">
    <w:name w:val="样式 样式 首行缩进:  2 字符 + 两端对齐 首行缩进:  2 字符 行距: 1.5 倍行距"/>
    <w:basedOn w:val="372"/>
    <w:autoRedefine/>
    <w:qFormat/>
    <w:uiPriority w:val="0"/>
    <w:pPr>
      <w:widowControl/>
      <w:adjustRightInd/>
      <w:snapToGrid/>
      <w:spacing w:line="300" w:lineRule="auto"/>
      <w:ind w:firstLine="0" w:firstLineChars="0"/>
    </w:pPr>
    <w:rPr>
      <w:rFonts w:ascii="宋体" w:cs="宋体"/>
      <w:kern w:val="0"/>
      <w:sz w:val="21"/>
    </w:rPr>
  </w:style>
  <w:style w:type="character" w:customStyle="1" w:styleId="561">
    <w:name w:val="font31"/>
    <w:autoRedefine/>
    <w:qFormat/>
    <w:uiPriority w:val="0"/>
    <w:rPr>
      <w:rFonts w:hint="default" w:ascii="Times New Roman" w:hAnsi="Times New Roman" w:cs="Times New Roman"/>
      <w:color w:val="000000"/>
      <w:sz w:val="21"/>
      <w:szCs w:val="21"/>
      <w:u w:val="none"/>
    </w:rPr>
  </w:style>
  <w:style w:type="character" w:customStyle="1" w:styleId="562">
    <w:name w:val="section-number-3"/>
    <w:autoRedefine/>
    <w:qFormat/>
    <w:uiPriority w:val="0"/>
  </w:style>
  <w:style w:type="character" w:customStyle="1" w:styleId="563">
    <w:name w:val="section-number-4"/>
    <w:autoRedefine/>
    <w:qFormat/>
    <w:uiPriority w:val="0"/>
  </w:style>
  <w:style w:type="character" w:customStyle="1" w:styleId="564">
    <w:name w:val="section-number-2"/>
    <w:autoRedefine/>
    <w:qFormat/>
    <w:uiPriority w:val="0"/>
  </w:style>
  <w:style w:type="character" w:customStyle="1" w:styleId="565">
    <w:name w:val="页脚 Char2"/>
    <w:autoRedefine/>
    <w:semiHidden/>
    <w:qFormat/>
    <w:uiPriority w:val="99"/>
    <w:rPr>
      <w:rFonts w:ascii="等线" w:hAnsi="等线" w:eastAsia="宋体"/>
      <w:sz w:val="18"/>
      <w:szCs w:val="18"/>
    </w:rPr>
  </w:style>
  <w:style w:type="character" w:customStyle="1" w:styleId="566">
    <w:name w:val="font11"/>
    <w:autoRedefine/>
    <w:qFormat/>
    <w:uiPriority w:val="0"/>
    <w:rPr>
      <w:rFonts w:hint="default" w:ascii="Times New Roman" w:hAnsi="Times New Roman" w:cs="Times New Roman"/>
      <w:color w:val="000000"/>
      <w:sz w:val="21"/>
      <w:szCs w:val="21"/>
      <w:u w:val="none"/>
      <w:vertAlign w:val="subscript"/>
    </w:rPr>
  </w:style>
  <w:style w:type="character" w:customStyle="1" w:styleId="567">
    <w:name w:val="表格标题 Char3"/>
    <w:autoRedefine/>
    <w:qFormat/>
    <w:uiPriority w:val="0"/>
    <w:rPr>
      <w:rFonts w:hint="eastAsia" w:ascii="仿宋_GB2312" w:eastAsia="仿宋_GB2312"/>
      <w:kern w:val="2"/>
      <w:sz w:val="24"/>
      <w:szCs w:val="24"/>
      <w:lang w:val="en-US" w:eastAsia="zh-CN" w:bidi="ar-SA"/>
    </w:rPr>
  </w:style>
  <w:style w:type="character" w:customStyle="1" w:styleId="568">
    <w:name w:val="textbig"/>
    <w:autoRedefine/>
    <w:qFormat/>
    <w:uiPriority w:val="0"/>
  </w:style>
  <w:style w:type="character" w:customStyle="1" w:styleId="569">
    <w:name w:val="fontstyle31"/>
    <w:autoRedefine/>
    <w:qFormat/>
    <w:uiPriority w:val="0"/>
    <w:rPr>
      <w:rFonts w:hint="default" w:ascii="Times New Roman" w:hAnsi="Times New Roman" w:cs="Times New Roman"/>
      <w:b/>
      <w:bCs/>
      <w:color w:val="000000"/>
      <w:sz w:val="24"/>
      <w:szCs w:val="24"/>
    </w:rPr>
  </w:style>
  <w:style w:type="character" w:customStyle="1" w:styleId="570">
    <w:name w:val="Char Char36"/>
    <w:autoRedefine/>
    <w:qFormat/>
    <w:uiPriority w:val="0"/>
    <w:rPr>
      <w:rFonts w:hint="eastAsia" w:ascii="宋体" w:hAnsi="宋体" w:eastAsia="宋体"/>
      <w:kern w:val="2"/>
      <w:sz w:val="24"/>
      <w:lang w:val="en-US" w:eastAsia="zh-CN" w:bidi="ar-SA"/>
    </w:rPr>
  </w:style>
  <w:style w:type="character" w:customStyle="1" w:styleId="571">
    <w:name w:val="even Char Char1"/>
    <w:autoRedefine/>
    <w:semiHidden/>
    <w:qFormat/>
    <w:uiPriority w:val="0"/>
    <w:rPr>
      <w:rFonts w:hint="eastAsia" w:ascii="宋体" w:hAnsi="宋体" w:eastAsia="宋体"/>
      <w:kern w:val="2"/>
      <w:sz w:val="18"/>
      <w:szCs w:val="18"/>
      <w:lang w:val="en-US" w:eastAsia="zh-CN" w:bidi="ar-SA"/>
    </w:rPr>
  </w:style>
  <w:style w:type="character" w:customStyle="1" w:styleId="572">
    <w:name w:val="Header Char"/>
    <w:autoRedefine/>
    <w:semiHidden/>
    <w:qFormat/>
    <w:uiPriority w:val="0"/>
    <w:rPr>
      <w:rFonts w:hint="default" w:ascii="Times New Roman" w:hAnsi="Times New Roman" w:cs="Times New Roman"/>
      <w:sz w:val="18"/>
      <w:szCs w:val="18"/>
    </w:rPr>
  </w:style>
  <w:style w:type="character" w:customStyle="1" w:styleId="573">
    <w:name w:val="正文缩进 Char3"/>
    <w:autoRedefine/>
    <w:qFormat/>
    <w:uiPriority w:val="0"/>
    <w:rPr>
      <w:rFonts w:hint="eastAsia" w:ascii="宋体" w:hAnsi="宋体" w:eastAsia="宋体"/>
      <w:kern w:val="2"/>
      <w:sz w:val="24"/>
      <w:szCs w:val="24"/>
      <w:lang w:val="en-US" w:eastAsia="zh-CN" w:bidi="ar-SA"/>
    </w:rPr>
  </w:style>
  <w:style w:type="character" w:customStyle="1" w:styleId="574">
    <w:name w:val="普通(网站) 字符"/>
    <w:autoRedefine/>
    <w:qFormat/>
    <w:uiPriority w:val="0"/>
    <w:rPr>
      <w:rFonts w:hint="eastAsia" w:ascii="宋体" w:hAnsi="宋体" w:eastAsia="宋体"/>
      <w:kern w:val="2"/>
      <w:sz w:val="24"/>
      <w:szCs w:val="24"/>
      <w:lang w:val="en-US" w:eastAsia="zh-CN" w:bidi="ar-SA"/>
    </w:rPr>
  </w:style>
  <w:style w:type="character" w:customStyle="1" w:styleId="575">
    <w:name w:val="副标题 字符1"/>
    <w:autoRedefine/>
    <w:qFormat/>
    <w:uiPriority w:val="0"/>
    <w:rPr>
      <w:rFonts w:hint="default" w:ascii="Calibri" w:hAnsi="Calibri" w:eastAsia="宋体" w:cs="Times New Roman"/>
      <w:b/>
      <w:bCs/>
      <w:kern w:val="28"/>
      <w:sz w:val="32"/>
      <w:szCs w:val="32"/>
    </w:rPr>
  </w:style>
  <w:style w:type="character" w:customStyle="1" w:styleId="576">
    <w:name w:val="font61"/>
    <w:autoRedefine/>
    <w:qFormat/>
    <w:uiPriority w:val="0"/>
    <w:rPr>
      <w:rFonts w:hint="eastAsia" w:ascii="宋体" w:hAnsi="宋体" w:eastAsia="宋体" w:cs="宋体"/>
      <w:color w:val="000000"/>
      <w:sz w:val="21"/>
      <w:szCs w:val="21"/>
      <w:u w:val="none"/>
    </w:rPr>
  </w:style>
  <w:style w:type="paragraph" w:customStyle="1" w:styleId="577">
    <w:name w:val="正文_30"/>
    <w:autoRedefine/>
    <w:qFormat/>
    <w:uiPriority w:val="0"/>
    <w:pPr>
      <w:widowControl w:val="0"/>
      <w:jc w:val="both"/>
    </w:pPr>
    <w:rPr>
      <w:rFonts w:ascii="Times New Roman" w:hAnsi="Times New Roman" w:eastAsia="宋体" w:cs="Times New Roman"/>
      <w:kern w:val="2"/>
      <w:sz w:val="21"/>
      <w:lang w:val="en-US" w:eastAsia="zh-CN" w:bidi="ar-SA"/>
    </w:rPr>
  </w:style>
  <w:style w:type="table" w:customStyle="1" w:styleId="578">
    <w:name w:val="专业网格2"/>
    <w:basedOn w:val="4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79">
    <w:name w:val="亚行正文"/>
    <w:basedOn w:val="1"/>
    <w:autoRedefine/>
    <w:qFormat/>
    <w:uiPriority w:val="0"/>
    <w:pPr>
      <w:tabs>
        <w:tab w:val="left" w:pos="840"/>
      </w:tabs>
      <w:wordWrap w:val="0"/>
      <w:ind w:left="839" w:hanging="419"/>
    </w:pPr>
    <w:rPr>
      <w:color w:val="0000FF"/>
      <w:spacing w:val="-3"/>
      <w:sz w:val="24"/>
      <w:szCs w:val="20"/>
    </w:rPr>
  </w:style>
  <w:style w:type="paragraph" w:customStyle="1" w:styleId="580">
    <w:name w:val="修订3"/>
    <w:autoRedefine/>
    <w:semiHidden/>
    <w:qFormat/>
    <w:uiPriority w:val="99"/>
    <w:rPr>
      <w:rFonts w:ascii="Times New Roman" w:hAnsi="Times New Roman" w:eastAsia="宋体" w:cs="Times New Roman"/>
      <w:kern w:val="2"/>
      <w:sz w:val="21"/>
      <w:lang w:val="en-US" w:eastAsia="zh-CN" w:bidi="ar-SA"/>
    </w:rPr>
  </w:style>
  <w:style w:type="paragraph" w:customStyle="1" w:styleId="581">
    <w:name w:val="TOC 标题2"/>
    <w:basedOn w:val="2"/>
    <w:next w:val="1"/>
    <w:autoRedefine/>
    <w:semiHidden/>
    <w:unhideWhenUsed/>
    <w:qFormat/>
    <w:uiPriority w:val="0"/>
    <w:pPr>
      <w:pageBreakBefore/>
      <w:widowControl/>
      <w:tabs>
        <w:tab w:val="left" w:pos="360"/>
        <w:tab w:val="clear" w:pos="1275"/>
      </w:tabs>
      <w:spacing w:before="0" w:after="0" w:line="256" w:lineRule="auto"/>
      <w:ind w:left="0" w:firstLine="0"/>
      <w:jc w:val="left"/>
      <w:outlineLvl w:val="9"/>
    </w:pPr>
    <w:rPr>
      <w:rFonts w:ascii="等线 Light" w:hAnsi="等线 Light" w:eastAsia="等线 Light"/>
      <w:b w:val="0"/>
      <w:bCs w:val="0"/>
      <w:color w:val="2E74B5"/>
      <w:kern w:val="0"/>
      <w:sz w:val="32"/>
      <w:szCs w:val="32"/>
      <w:lang w:val="en-US"/>
    </w:rPr>
  </w:style>
  <w:style w:type="paragraph" w:customStyle="1" w:styleId="582">
    <w:name w:val="font0"/>
    <w:basedOn w:val="1"/>
    <w:autoRedefine/>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583">
    <w:name w:val="et3"/>
    <w:basedOn w:val="1"/>
    <w:autoRedefine/>
    <w:qFormat/>
    <w:uiPriority w:val="0"/>
    <w:pPr>
      <w:widowControl/>
      <w:spacing w:before="100" w:beforeAutospacing="1" w:after="100" w:afterAutospacing="1"/>
      <w:jc w:val="center"/>
    </w:pPr>
    <w:rPr>
      <w:rFonts w:ascii="宋体" w:hAnsi="宋体" w:cs="宋体"/>
      <w:kern w:val="0"/>
      <w:sz w:val="24"/>
      <w:szCs w:val="24"/>
    </w:rPr>
  </w:style>
  <w:style w:type="character" w:customStyle="1" w:styleId="584">
    <w:name w:val="不明显强调2"/>
    <w:autoRedefine/>
    <w:qFormat/>
    <w:uiPriority w:val="19"/>
    <w:rPr>
      <w:i/>
      <w:iCs/>
      <w:color w:val="808080"/>
    </w:rPr>
  </w:style>
  <w:style w:type="character" w:customStyle="1" w:styleId="585">
    <w:name w:val="明显强调2"/>
    <w:autoRedefine/>
    <w:qFormat/>
    <w:uiPriority w:val="21"/>
    <w:rPr>
      <w:b/>
      <w:bCs/>
      <w:i/>
      <w:iCs/>
      <w:color w:val="4F81BD"/>
    </w:rPr>
  </w:style>
  <w:style w:type="character" w:customStyle="1" w:styleId="586">
    <w:name w:val="不明显参考2"/>
    <w:autoRedefine/>
    <w:qFormat/>
    <w:uiPriority w:val="31"/>
    <w:rPr>
      <w:smallCaps/>
      <w:color w:val="C0504D"/>
      <w:u w:val="single"/>
    </w:rPr>
  </w:style>
  <w:style w:type="character" w:customStyle="1" w:styleId="587">
    <w:name w:val="明显参考2"/>
    <w:autoRedefine/>
    <w:qFormat/>
    <w:uiPriority w:val="32"/>
    <w:rPr>
      <w:b/>
      <w:bCs/>
      <w:smallCaps/>
      <w:color w:val="C0504D"/>
      <w:spacing w:val="5"/>
      <w:u w:val="single"/>
    </w:rPr>
  </w:style>
  <w:style w:type="character" w:customStyle="1" w:styleId="588">
    <w:name w:val="正文文本首行缩进 2 字符1"/>
    <w:autoRedefine/>
    <w:semiHidden/>
    <w:qFormat/>
    <w:uiPriority w:val="99"/>
    <w:rPr>
      <w:rFonts w:hint="default" w:ascii="Times New Roman" w:hAnsi="Times New Roman" w:cs="Times New Roman"/>
      <w:sz w:val="24"/>
    </w:rPr>
  </w:style>
  <w:style w:type="table" w:customStyle="1" w:styleId="589">
    <w:name w:val="列表型 31"/>
    <w:basedOn w:val="49"/>
    <w:autoRedefine/>
    <w:semiHidden/>
    <w:unhideWhenUsed/>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590">
    <w:name w:val="列表型 51"/>
    <w:basedOn w:val="49"/>
    <w:autoRedefine/>
    <w:semiHidden/>
    <w:unhideWhenUsed/>
    <w:qFormat/>
    <w:uiPriority w:val="0"/>
    <w:pPr>
      <w:widowControl w:val="0"/>
      <w:spacing w:line="52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591">
    <w:name w:val="浅色列表 - 着色 31"/>
    <w:basedOn w:val="49"/>
    <w:autoRedefine/>
    <w:semiHidden/>
    <w:unhideWhenUsed/>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0" w:afterLines="0" w:afterAutospacing="0" w:line="240" w:lineRule="auto"/>
      </w:pPr>
      <w:rPr>
        <w:b/>
        <w:bCs/>
        <w:color w:val="FFFFFF"/>
      </w:rPr>
      <w:tcPr>
        <w:shd w:val="clear" w:color="auto" w:fill="9BBB59"/>
      </w:tcPr>
    </w:tblStylePr>
    <w:tblStylePr w:type="lastRow">
      <w:pPr>
        <w:spacing w:beforeLines="0" w:beforeAutospacing="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592">
    <w:name w:val="专业网格11"/>
    <w:basedOn w:val="4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3">
    <w:name w:val="三线1"/>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594">
    <w:name w:val="Table Normal1"/>
    <w:autoRedefine/>
    <w:qFormat/>
    <w:uiPriority w:val="0"/>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table" w:customStyle="1" w:styleId="595">
    <w:name w:val="专业网格21"/>
    <w:basedOn w:val="4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6">
    <w:name w:val="浅色列表 - 着色 311"/>
    <w:basedOn w:val="49"/>
    <w:autoRedefine/>
    <w:semiHidden/>
    <w:unhideWhenUsed/>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0" w:afterLines="0" w:afterAutospacing="0" w:line="240" w:lineRule="auto"/>
      </w:pPr>
      <w:rPr>
        <w:b/>
        <w:bCs/>
        <w:color w:val="FFFFFF"/>
      </w:rPr>
      <w:tcPr>
        <w:shd w:val="clear" w:color="auto" w:fill="9BBB59"/>
      </w:tcPr>
    </w:tblStylePr>
    <w:tblStylePr w:type="lastRow">
      <w:pPr>
        <w:spacing w:beforeLines="0" w:beforeAutospacing="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character" w:customStyle="1" w:styleId="597">
    <w:name w:val="表内 定 Char"/>
    <w:link w:val="598"/>
    <w:autoRedefine/>
    <w:qFormat/>
    <w:locked/>
    <w:uiPriority w:val="0"/>
    <w:rPr>
      <w:rFonts w:eastAsia="仿宋"/>
      <w:color w:val="000000"/>
      <w:szCs w:val="22"/>
    </w:rPr>
  </w:style>
  <w:style w:type="paragraph" w:customStyle="1" w:styleId="598">
    <w:name w:val="表内 定"/>
    <w:basedOn w:val="1"/>
    <w:link w:val="597"/>
    <w:autoRedefine/>
    <w:qFormat/>
    <w:uiPriority w:val="0"/>
    <w:pPr>
      <w:snapToGrid w:val="0"/>
      <w:jc w:val="left"/>
    </w:pPr>
    <w:rPr>
      <w:rFonts w:eastAsia="仿宋"/>
      <w:color w:val="000000"/>
      <w:kern w:val="0"/>
      <w:sz w:val="20"/>
    </w:rPr>
  </w:style>
  <w:style w:type="table" w:customStyle="1" w:styleId="599">
    <w:name w:val="列表型 32"/>
    <w:basedOn w:val="49"/>
    <w:autoRedefine/>
    <w:semiHidden/>
    <w:unhideWhenUsed/>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600">
    <w:name w:val="列表型 52"/>
    <w:basedOn w:val="49"/>
    <w:autoRedefine/>
    <w:semiHidden/>
    <w:unhideWhenUsed/>
    <w:qFormat/>
    <w:uiPriority w:val="0"/>
    <w:pPr>
      <w:widowControl w:val="0"/>
      <w:spacing w:line="52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601">
    <w:name w:val="浅色列表 - 着色 32"/>
    <w:basedOn w:val="49"/>
    <w:autoRedefine/>
    <w:semiHidden/>
    <w:unhideWhenUsed/>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0" w:afterLines="0" w:afterAutospacing="0" w:line="240" w:lineRule="auto"/>
      </w:pPr>
      <w:rPr>
        <w:b/>
        <w:bCs/>
        <w:color w:val="FFFFFF"/>
      </w:rPr>
      <w:tcPr>
        <w:shd w:val="clear" w:color="auto" w:fill="9BBB59"/>
      </w:tcPr>
    </w:tblStylePr>
    <w:tblStylePr w:type="lastRow">
      <w:pPr>
        <w:spacing w:beforeLines="0" w:beforeAutospacing="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02">
    <w:name w:val="三线2"/>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603">
    <w:name w:val="列表型 311"/>
    <w:basedOn w:val="49"/>
    <w:autoRedefine/>
    <w:semiHidden/>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604">
    <w:name w:val="列表型 511"/>
    <w:basedOn w:val="49"/>
    <w:autoRedefine/>
    <w:semiHidden/>
    <w:qFormat/>
    <w:uiPriority w:val="0"/>
    <w:pPr>
      <w:widowControl w:val="0"/>
      <w:spacing w:line="52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605">
    <w:name w:val="浅色列表 - 着色 312"/>
    <w:basedOn w:val="49"/>
    <w:autoRedefine/>
    <w:semiHidden/>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06">
    <w:name w:val="三线11"/>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607">
    <w:name w:val="浅色列表 - 着色 3111"/>
    <w:basedOn w:val="49"/>
    <w:autoRedefine/>
    <w:semiHidden/>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08">
    <w:name w:val="列表型 33"/>
    <w:basedOn w:val="49"/>
    <w:autoRedefine/>
    <w:semiHidden/>
    <w:unhideWhenUsed/>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609">
    <w:name w:val="列表型 53"/>
    <w:basedOn w:val="49"/>
    <w:autoRedefine/>
    <w:semiHidden/>
    <w:unhideWhenUsed/>
    <w:qFormat/>
    <w:uiPriority w:val="0"/>
    <w:pPr>
      <w:widowControl w:val="0"/>
      <w:spacing w:line="52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610">
    <w:name w:val="网格型3"/>
    <w:basedOn w:val="49"/>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1">
    <w:name w:val="浅色列表 - 着色 33"/>
    <w:basedOn w:val="49"/>
    <w:autoRedefine/>
    <w:semiHidden/>
    <w:unhideWhenUsed/>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0" w:afterLines="0" w:afterAutospacing="0" w:line="240" w:lineRule="auto"/>
      </w:pPr>
      <w:rPr>
        <w:b/>
        <w:bCs/>
        <w:color w:val="FFFFFF"/>
      </w:rPr>
      <w:tcPr>
        <w:shd w:val="clear" w:color="auto" w:fill="9BBB59"/>
      </w:tcPr>
    </w:tblStylePr>
    <w:tblStylePr w:type="lastRow">
      <w:pPr>
        <w:spacing w:beforeLines="0" w:beforeAutospacing="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12">
    <w:name w:val="专业网格12"/>
    <w:basedOn w:val="4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3">
    <w:name w:val="三线3"/>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614">
    <w:name w:val="专业网格22"/>
    <w:basedOn w:val="4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5">
    <w:name w:val="列表型 312"/>
    <w:basedOn w:val="49"/>
    <w:autoRedefine/>
    <w:semiHidden/>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616">
    <w:name w:val="列表型 512"/>
    <w:basedOn w:val="49"/>
    <w:autoRedefine/>
    <w:semiHidden/>
    <w:qFormat/>
    <w:uiPriority w:val="0"/>
    <w:pPr>
      <w:widowControl w:val="0"/>
      <w:spacing w:line="52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617">
    <w:name w:val="网格型11"/>
    <w:basedOn w:val="49"/>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8">
    <w:name w:val="浅色列表 - 着色 313"/>
    <w:basedOn w:val="49"/>
    <w:autoRedefine/>
    <w:semiHidden/>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19">
    <w:name w:val="专业网格111"/>
    <w:basedOn w:val="4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0">
    <w:name w:val="三线12"/>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621">
    <w:name w:val="Table Normal11"/>
    <w:autoRedefine/>
    <w:semiHidden/>
    <w:qFormat/>
    <w:uiPriority w:val="0"/>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table" w:customStyle="1" w:styleId="622">
    <w:name w:val="专业网格211"/>
    <w:basedOn w:val="4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3">
    <w:name w:val="浅色列表 - 着色 3112"/>
    <w:basedOn w:val="49"/>
    <w:autoRedefine/>
    <w:semiHidden/>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624">
    <w:name w:val="网格型21"/>
    <w:basedOn w:val="49"/>
    <w:autoRedefine/>
    <w:qFormat/>
    <w:uiPriority w:val="0"/>
    <w:rPr>
      <w:rFonts w:ascii="Calibri" w:hAnsi="Calibri"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25">
    <w:name w:val="ref"/>
    <w:basedOn w:val="55"/>
    <w:autoRedefine/>
    <w:qFormat/>
    <w:uiPriority w:val="0"/>
  </w:style>
  <w:style w:type="paragraph" w:customStyle="1" w:styleId="626">
    <w:name w:val="报告表格"/>
    <w:basedOn w:val="1"/>
    <w:autoRedefine/>
    <w:qFormat/>
    <w:uiPriority w:val="0"/>
    <w:pPr>
      <w:autoSpaceDE w:val="0"/>
      <w:autoSpaceDN w:val="0"/>
      <w:adjustRightInd w:val="0"/>
      <w:spacing w:before="40" w:after="40"/>
      <w:textAlignment w:val="bottom"/>
    </w:pPr>
    <w:rPr>
      <w:kern w:val="0"/>
      <w:szCs w:val="20"/>
    </w:rPr>
  </w:style>
  <w:style w:type="paragraph" w:customStyle="1" w:styleId="627">
    <w:name w:val="样式 样式 首行缩进:  2 字符 + 首行缩进:  2 字符"/>
    <w:basedOn w:val="1"/>
    <w:autoRedefine/>
    <w:qFormat/>
    <w:uiPriority w:val="0"/>
    <w:pPr>
      <w:spacing w:line="360" w:lineRule="auto"/>
      <w:ind w:firstLine="480" w:firstLineChars="200"/>
      <w:jc w:val="left"/>
    </w:pPr>
    <w:rPr>
      <w:rFonts w:ascii="Calibri" w:hAnsi="Calibri" w:cs="宋体"/>
      <w:sz w:val="24"/>
      <w:szCs w:val="20"/>
    </w:rPr>
  </w:style>
  <w:style w:type="paragraph" w:customStyle="1" w:styleId="628">
    <w:name w:val="样式 段后: 0.5 行"/>
    <w:basedOn w:val="1"/>
    <w:autoRedefine/>
    <w:qFormat/>
    <w:uiPriority w:val="0"/>
    <w:pPr>
      <w:spacing w:afterLines="50" w:line="360" w:lineRule="auto"/>
      <w:ind w:firstLine="200" w:firstLineChars="200"/>
    </w:pPr>
    <w:rPr>
      <w:rFonts w:ascii="Calibri" w:hAnsi="Calibri" w:cs="宋体"/>
      <w:sz w:val="24"/>
      <w:szCs w:val="20"/>
    </w:rPr>
  </w:style>
  <w:style w:type="paragraph" w:customStyle="1" w:styleId="629">
    <w:name w:val="样式 正文文本 + 首行缩进:  2 字符"/>
    <w:autoRedefine/>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customStyle="1" w:styleId="630">
    <w:name w:val="正文_18"/>
    <w:autoRedefine/>
    <w:qFormat/>
    <w:uiPriority w:val="0"/>
    <w:pPr>
      <w:widowControl w:val="0"/>
      <w:jc w:val="both"/>
    </w:pPr>
    <w:rPr>
      <w:rFonts w:ascii="Calibri" w:hAnsi="Calibri" w:eastAsia="宋体" w:cs="Times New Roman"/>
      <w:kern w:val="2"/>
      <w:sz w:val="21"/>
      <w:lang w:val="en-US" w:eastAsia="zh-CN" w:bidi="ar-SA"/>
    </w:rPr>
  </w:style>
  <w:style w:type="paragraph" w:customStyle="1" w:styleId="631">
    <w:name w:val="TOC2"/>
    <w:basedOn w:val="1"/>
    <w:next w:val="1"/>
    <w:autoRedefine/>
    <w:qFormat/>
    <w:uiPriority w:val="0"/>
    <w:pPr>
      <w:widowControl/>
      <w:ind w:left="420" w:leftChars="200"/>
      <w:textAlignment w:val="baseline"/>
    </w:pPr>
    <w:rPr>
      <w:kern w:val="0"/>
      <w:sz w:val="20"/>
      <w:szCs w:val="20"/>
    </w:rPr>
  </w:style>
  <w:style w:type="paragraph" w:customStyle="1" w:styleId="632">
    <w:name w:val="00 表头"/>
    <w:basedOn w:val="1"/>
    <w:autoRedefine/>
    <w:qFormat/>
    <w:uiPriority w:val="0"/>
    <w:pPr>
      <w:spacing w:line="520" w:lineRule="exact"/>
      <w:ind w:firstLine="482"/>
    </w:pPr>
    <w:rPr>
      <w:rFonts w:eastAsia="黑体"/>
      <w:bCs/>
      <w:sz w:val="24"/>
      <w:szCs w:val="24"/>
    </w:rPr>
  </w:style>
  <w:style w:type="paragraph" w:customStyle="1" w:styleId="633">
    <w:name w:val="xl24"/>
    <w:basedOn w:val="1"/>
    <w:autoRedefine/>
    <w:qFormat/>
    <w:uiPriority w:val="0"/>
    <w:pPr>
      <w:widowControl/>
      <w:spacing w:before="100" w:beforeAutospacing="1" w:after="100" w:afterAutospacing="1"/>
      <w:jc w:val="center"/>
    </w:pPr>
    <w:rPr>
      <w:kern w:val="0"/>
      <w:sz w:val="24"/>
      <w:szCs w:val="20"/>
    </w:rPr>
  </w:style>
  <w:style w:type="paragraph" w:customStyle="1" w:styleId="634">
    <w:name w:val="修订4"/>
    <w:autoRedefine/>
    <w:unhideWhenUsed/>
    <w:qFormat/>
    <w:uiPriority w:val="99"/>
    <w:rPr>
      <w:rFonts w:ascii="Times New Roman" w:hAnsi="Times New Roman" w:eastAsia="宋体" w:cs="Times New Roman"/>
      <w:lang w:val="en-US" w:eastAsia="zh-CN" w:bidi="ar-SA"/>
    </w:rPr>
  </w:style>
  <w:style w:type="paragraph" w:customStyle="1" w:styleId="635">
    <w:name w:val="表文字"/>
    <w:basedOn w:val="1"/>
    <w:autoRedefine/>
    <w:qFormat/>
    <w:uiPriority w:val="0"/>
    <w:pPr>
      <w:widowControl/>
      <w:topLinePunct/>
      <w:adjustRightInd w:val="0"/>
      <w:spacing w:line="240" w:lineRule="exact"/>
      <w:ind w:firstLine="200" w:firstLineChars="200"/>
      <w:jc w:val="center"/>
      <w:textAlignment w:val="baseline"/>
    </w:pPr>
    <w:rPr>
      <w:kern w:val="0"/>
      <w:sz w:val="24"/>
      <w:szCs w:val="21"/>
    </w:rPr>
  </w:style>
  <w:style w:type="character" w:customStyle="1" w:styleId="636">
    <w:name w:val="hover27"/>
    <w:autoRedefine/>
    <w:qFormat/>
    <w:uiPriority w:val="0"/>
    <w:rPr>
      <w:color w:val="315EFB"/>
    </w:rPr>
  </w:style>
  <w:style w:type="character" w:customStyle="1" w:styleId="637">
    <w:name w:val="c-icon28"/>
    <w:basedOn w:val="55"/>
    <w:autoRedefine/>
    <w:qFormat/>
    <w:uiPriority w:val="0"/>
  </w:style>
  <w:style w:type="character" w:customStyle="1" w:styleId="638">
    <w:name w:val="hover25"/>
    <w:basedOn w:val="55"/>
    <w:autoRedefine/>
    <w:qFormat/>
    <w:uiPriority w:val="0"/>
  </w:style>
  <w:style w:type="character" w:customStyle="1" w:styleId="639">
    <w:name w:val="hover26"/>
    <w:autoRedefine/>
    <w:qFormat/>
    <w:uiPriority w:val="0"/>
    <w:rPr>
      <w:color w:val="315EFB"/>
    </w:rPr>
  </w:style>
  <w:style w:type="character" w:customStyle="1" w:styleId="640">
    <w:name w:val="font71"/>
    <w:autoRedefine/>
    <w:qFormat/>
    <w:uiPriority w:val="0"/>
    <w:rPr>
      <w:rFonts w:hint="eastAsia" w:ascii="宋体" w:hAnsi="宋体" w:eastAsia="宋体" w:cs="宋体"/>
      <w:color w:val="000000"/>
      <w:sz w:val="21"/>
      <w:szCs w:val="21"/>
      <w:u w:val="none"/>
    </w:rPr>
  </w:style>
  <w:style w:type="character" w:customStyle="1" w:styleId="641">
    <w:name w:val="正文首行缩进 Char1"/>
    <w:autoRedefine/>
    <w:qFormat/>
    <w:uiPriority w:val="99"/>
    <w:rPr>
      <w:rFonts w:ascii="Times New Roman" w:hAnsi="Times New Roman" w:eastAsia="宋体" w:cs="Times New Roman"/>
      <w:kern w:val="0"/>
      <w:sz w:val="24"/>
      <w:szCs w:val="20"/>
    </w:rPr>
  </w:style>
  <w:style w:type="character" w:customStyle="1" w:styleId="642">
    <w:name w:val="正文文本缩进 Char3"/>
    <w:autoRedefine/>
    <w:semiHidden/>
    <w:qFormat/>
    <w:uiPriority w:val="99"/>
    <w:rPr>
      <w:rFonts w:ascii="Times New Roman" w:hAnsi="Times New Roman" w:eastAsia="宋体" w:cs="Times New Roman"/>
      <w:kern w:val="0"/>
      <w:sz w:val="24"/>
      <w:szCs w:val="20"/>
    </w:rPr>
  </w:style>
  <w:style w:type="character" w:customStyle="1" w:styleId="643">
    <w:name w:val="批注文字 Char2"/>
    <w:autoRedefine/>
    <w:qFormat/>
    <w:uiPriority w:val="99"/>
    <w:rPr>
      <w:rFonts w:ascii="Times New Roman" w:hAnsi="Times New Roman"/>
      <w:sz w:val="24"/>
    </w:rPr>
  </w:style>
  <w:style w:type="character" w:customStyle="1" w:styleId="644">
    <w:name w:val="正文首行缩进 2 Char2"/>
    <w:autoRedefine/>
    <w:qFormat/>
    <w:uiPriority w:val="99"/>
    <w:rPr>
      <w:rFonts w:hint="default" w:ascii="Times New Roman" w:hAnsi="Times New Roman" w:eastAsia="宋体" w:cs="Times New Roman"/>
      <w:kern w:val="2"/>
      <w:sz w:val="24"/>
      <w:szCs w:val="24"/>
    </w:rPr>
  </w:style>
  <w:style w:type="paragraph" w:customStyle="1" w:styleId="645">
    <w:name w:val="Definition List"/>
    <w:basedOn w:val="1"/>
    <w:next w:val="646"/>
    <w:autoRedefine/>
    <w:qFormat/>
    <w:uiPriority w:val="0"/>
    <w:pPr>
      <w:autoSpaceDE w:val="0"/>
      <w:autoSpaceDN w:val="0"/>
      <w:adjustRightInd w:val="0"/>
      <w:ind w:left="360"/>
      <w:jc w:val="left"/>
    </w:pPr>
    <w:rPr>
      <w:kern w:val="0"/>
      <w:sz w:val="24"/>
      <w:szCs w:val="20"/>
    </w:rPr>
  </w:style>
  <w:style w:type="paragraph" w:customStyle="1" w:styleId="646">
    <w:name w:val="Definition Term"/>
    <w:basedOn w:val="1"/>
    <w:next w:val="645"/>
    <w:autoRedefine/>
    <w:qFormat/>
    <w:uiPriority w:val="0"/>
    <w:pPr>
      <w:autoSpaceDE w:val="0"/>
      <w:autoSpaceDN w:val="0"/>
      <w:adjustRightInd w:val="0"/>
      <w:jc w:val="left"/>
    </w:pPr>
    <w:rPr>
      <w:kern w:val="0"/>
      <w:sz w:val="24"/>
      <w:szCs w:val="20"/>
    </w:rPr>
  </w:style>
  <w:style w:type="paragraph" w:customStyle="1" w:styleId="647">
    <w:name w:val="font6"/>
    <w:basedOn w:val="1"/>
    <w:autoRedefine/>
    <w:qFormat/>
    <w:uiPriority w:val="0"/>
    <w:pPr>
      <w:widowControl/>
      <w:spacing w:before="100" w:beforeAutospacing="1" w:after="100" w:afterAutospacing="1"/>
      <w:jc w:val="left"/>
    </w:pPr>
    <w:rPr>
      <w:kern w:val="0"/>
      <w:sz w:val="24"/>
      <w:szCs w:val="24"/>
    </w:rPr>
  </w:style>
  <w:style w:type="paragraph" w:customStyle="1" w:styleId="648">
    <w:name w:val="正文首行缩进1"/>
    <w:basedOn w:val="19"/>
    <w:autoRedefine/>
    <w:qFormat/>
    <w:uiPriority w:val="99"/>
    <w:pPr>
      <w:ind w:firstLine="420" w:firstLineChars="100"/>
    </w:pPr>
    <w:rPr>
      <w:kern w:val="0"/>
      <w:sz w:val="20"/>
      <w:szCs w:val="20"/>
      <w:lang w:val="en-US"/>
    </w:rPr>
  </w:style>
  <w:style w:type="paragraph" w:customStyle="1" w:styleId="649">
    <w:name w:val="font7"/>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650">
    <w:name w:val="xl29"/>
    <w:basedOn w:val="1"/>
    <w:autoRedefine/>
    <w:qFormat/>
    <w:uiPriority w:val="0"/>
    <w:pPr>
      <w:widowControl/>
      <w:spacing w:before="100" w:beforeAutospacing="1" w:after="100" w:afterAutospacing="1"/>
      <w:jc w:val="right"/>
    </w:pPr>
    <w:rPr>
      <w:rFonts w:ascii="宋体" w:hAnsi="宋体"/>
      <w:kern w:val="0"/>
      <w:sz w:val="24"/>
      <w:szCs w:val="24"/>
    </w:rPr>
  </w:style>
  <w:style w:type="character" w:customStyle="1" w:styleId="651">
    <w:name w:val="正文01 Char1"/>
    <w:autoRedefine/>
    <w:qFormat/>
    <w:uiPriority w:val="0"/>
    <w:rPr>
      <w:sz w:val="24"/>
    </w:rPr>
  </w:style>
  <w:style w:type="paragraph" w:customStyle="1" w:styleId="652">
    <w:name w:val="font8"/>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653">
    <w:name w:val="xl27"/>
    <w:basedOn w:val="1"/>
    <w:autoRedefine/>
    <w:qFormat/>
    <w:uiPriority w:val="0"/>
    <w:pPr>
      <w:widowControl/>
      <w:spacing w:before="100" w:beforeAutospacing="1" w:after="100" w:afterAutospacing="1"/>
      <w:jc w:val="center"/>
    </w:pPr>
    <w:rPr>
      <w:rFonts w:ascii="宋体" w:hAnsi="宋体"/>
      <w:kern w:val="0"/>
      <w:sz w:val="24"/>
      <w:szCs w:val="24"/>
    </w:rPr>
  </w:style>
  <w:style w:type="paragraph" w:customStyle="1" w:styleId="654">
    <w:name w:val="目录 31"/>
    <w:basedOn w:val="1"/>
    <w:next w:val="1"/>
    <w:autoRedefine/>
    <w:semiHidden/>
    <w:qFormat/>
    <w:uiPriority w:val="0"/>
    <w:pPr>
      <w:ind w:left="840" w:leftChars="400"/>
    </w:pPr>
    <w:rPr>
      <w:szCs w:val="24"/>
    </w:rPr>
  </w:style>
  <w:style w:type="paragraph" w:customStyle="1" w:styleId="655">
    <w:name w:val="font10"/>
    <w:basedOn w:val="1"/>
    <w:autoRedefine/>
    <w:qFormat/>
    <w:uiPriority w:val="0"/>
    <w:pPr>
      <w:widowControl/>
      <w:spacing w:before="100" w:beforeAutospacing="1" w:after="100" w:afterAutospacing="1"/>
      <w:jc w:val="left"/>
    </w:pPr>
    <w:rPr>
      <w:rFonts w:ascii="宋体" w:hAnsi="宋体"/>
      <w:kern w:val="0"/>
      <w:sz w:val="22"/>
    </w:rPr>
  </w:style>
  <w:style w:type="paragraph" w:customStyle="1" w:styleId="656">
    <w:name w:val="目录 11"/>
    <w:basedOn w:val="1"/>
    <w:next w:val="1"/>
    <w:autoRedefine/>
    <w:semiHidden/>
    <w:qFormat/>
    <w:uiPriority w:val="0"/>
    <w:pPr>
      <w:spacing w:line="320" w:lineRule="exact"/>
      <w:jc w:val="center"/>
    </w:pPr>
    <w:rPr>
      <w:szCs w:val="21"/>
    </w:rPr>
  </w:style>
  <w:style w:type="paragraph" w:customStyle="1" w:styleId="657">
    <w:name w:val="正文001"/>
    <w:basedOn w:val="1"/>
    <w:autoRedefine/>
    <w:qFormat/>
    <w:uiPriority w:val="0"/>
    <w:pPr>
      <w:spacing w:before="60" w:line="500" w:lineRule="atLeast"/>
      <w:ind w:firstLine="482"/>
    </w:pPr>
    <w:rPr>
      <w:sz w:val="24"/>
      <w:szCs w:val="24"/>
    </w:rPr>
  </w:style>
  <w:style w:type="paragraph" w:customStyle="1" w:styleId="658">
    <w:name w:val="font9"/>
    <w:basedOn w:val="1"/>
    <w:autoRedefine/>
    <w:qFormat/>
    <w:uiPriority w:val="0"/>
    <w:pPr>
      <w:widowControl/>
      <w:spacing w:before="100" w:beforeAutospacing="1" w:after="100" w:afterAutospacing="1"/>
      <w:jc w:val="left"/>
    </w:pPr>
    <w:rPr>
      <w:kern w:val="0"/>
      <w:sz w:val="22"/>
    </w:rPr>
  </w:style>
  <w:style w:type="paragraph" w:customStyle="1" w:styleId="659">
    <w:name w:val="xl28"/>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660">
    <w:name w:val="目录 91"/>
    <w:basedOn w:val="1"/>
    <w:next w:val="1"/>
    <w:autoRedefine/>
    <w:qFormat/>
    <w:uiPriority w:val="0"/>
    <w:pPr>
      <w:ind w:left="3360" w:leftChars="1600"/>
    </w:pPr>
    <w:rPr>
      <w:szCs w:val="24"/>
    </w:rPr>
  </w:style>
  <w:style w:type="paragraph" w:customStyle="1" w:styleId="661">
    <w:name w:val="xl30"/>
    <w:basedOn w:val="1"/>
    <w:autoRedefine/>
    <w:qFormat/>
    <w:uiPriority w:val="0"/>
    <w:pPr>
      <w:widowControl/>
      <w:spacing w:before="100" w:beforeAutospacing="1" w:after="100" w:afterAutospacing="1"/>
      <w:jc w:val="right"/>
    </w:pPr>
    <w:rPr>
      <w:rFonts w:ascii="宋体" w:hAnsi="宋体"/>
      <w:kern w:val="0"/>
      <w:sz w:val="24"/>
      <w:szCs w:val="24"/>
    </w:rPr>
  </w:style>
  <w:style w:type="paragraph" w:customStyle="1" w:styleId="662">
    <w:name w:val="xl22"/>
    <w:basedOn w:val="1"/>
    <w:autoRedefine/>
    <w:qFormat/>
    <w:uiPriority w:val="0"/>
    <w:pPr>
      <w:widowControl/>
      <w:pBdr>
        <w:bottom w:val="single" w:color="auto" w:sz="4" w:space="0"/>
        <w:right w:val="single" w:color="auto" w:sz="4" w:space="0"/>
      </w:pBdr>
      <w:spacing w:before="100" w:beforeAutospacing="1" w:after="100" w:afterAutospacing="1"/>
    </w:pPr>
    <w:rPr>
      <w:kern w:val="0"/>
      <w:sz w:val="24"/>
      <w:szCs w:val="24"/>
    </w:rPr>
  </w:style>
  <w:style w:type="paragraph" w:customStyle="1" w:styleId="663">
    <w:name w:val="xl34"/>
    <w:basedOn w:val="1"/>
    <w:autoRedefine/>
    <w:qFormat/>
    <w:uiPriority w:val="0"/>
    <w:pPr>
      <w:widowControl/>
      <w:pBdr>
        <w:left w:val="single" w:color="auto" w:sz="4" w:space="0"/>
      </w:pBdr>
      <w:spacing w:before="100" w:beforeAutospacing="1" w:after="100" w:afterAutospacing="1"/>
      <w:jc w:val="center"/>
    </w:pPr>
    <w:rPr>
      <w:rFonts w:ascii="宋体" w:hAnsi="宋体"/>
      <w:kern w:val="0"/>
      <w:sz w:val="24"/>
      <w:szCs w:val="24"/>
    </w:rPr>
  </w:style>
  <w:style w:type="paragraph" w:customStyle="1" w:styleId="664">
    <w:name w:val="xl32"/>
    <w:basedOn w:val="1"/>
    <w:autoRedefine/>
    <w:qFormat/>
    <w:uiPriority w:val="0"/>
    <w:pPr>
      <w:widowControl/>
      <w:spacing w:before="100" w:beforeAutospacing="1" w:after="100" w:afterAutospacing="1"/>
      <w:jc w:val="right"/>
    </w:pPr>
    <w:rPr>
      <w:rFonts w:ascii="宋体" w:hAnsi="宋体"/>
      <w:kern w:val="0"/>
      <w:sz w:val="24"/>
      <w:szCs w:val="24"/>
    </w:rPr>
  </w:style>
  <w:style w:type="paragraph" w:customStyle="1" w:styleId="665">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666">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66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kern w:val="0"/>
      <w:sz w:val="24"/>
      <w:szCs w:val="24"/>
    </w:rPr>
  </w:style>
  <w:style w:type="paragraph" w:customStyle="1" w:styleId="668">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szCs w:val="24"/>
    </w:rPr>
  </w:style>
  <w:style w:type="paragraph" w:customStyle="1" w:styleId="669">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szCs w:val="24"/>
    </w:rPr>
  </w:style>
  <w:style w:type="paragraph" w:customStyle="1" w:styleId="670">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671">
    <w:name w:val="xl44"/>
    <w:basedOn w:val="1"/>
    <w:qFormat/>
    <w:uiPriority w:val="0"/>
    <w:pPr>
      <w:widowControl/>
      <w:spacing w:before="100" w:beforeAutospacing="1" w:after="100" w:afterAutospacing="1"/>
      <w:jc w:val="right"/>
    </w:pPr>
    <w:rPr>
      <w:rFonts w:ascii="宋体" w:hAnsi="宋体"/>
      <w:color w:val="FF0000"/>
      <w:kern w:val="0"/>
      <w:sz w:val="24"/>
      <w:szCs w:val="24"/>
    </w:rPr>
  </w:style>
  <w:style w:type="paragraph" w:customStyle="1" w:styleId="672">
    <w:name w:val="xl4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kern w:val="0"/>
      <w:sz w:val="24"/>
      <w:szCs w:val="24"/>
    </w:rPr>
  </w:style>
  <w:style w:type="paragraph" w:customStyle="1" w:styleId="673">
    <w:name w:val="xl4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rPr>
  </w:style>
  <w:style w:type="paragraph" w:customStyle="1" w:styleId="674">
    <w:name w:val="xl4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2"/>
    </w:rPr>
  </w:style>
  <w:style w:type="paragraph" w:customStyle="1" w:styleId="675">
    <w:name w:val="xl48"/>
    <w:basedOn w:val="1"/>
    <w:autoRedefine/>
    <w:qFormat/>
    <w:uiPriority w:val="0"/>
    <w:pPr>
      <w:widowControl/>
      <w:spacing w:before="100" w:beforeAutospacing="1" w:after="100" w:afterAutospacing="1"/>
      <w:jc w:val="right"/>
    </w:pPr>
    <w:rPr>
      <w:rFonts w:ascii="宋体" w:hAnsi="宋体"/>
      <w:kern w:val="0"/>
      <w:sz w:val="24"/>
      <w:szCs w:val="24"/>
    </w:rPr>
  </w:style>
  <w:style w:type="paragraph" w:customStyle="1" w:styleId="676">
    <w:name w:val="xl49"/>
    <w:basedOn w:val="1"/>
    <w:autoRedefine/>
    <w:qFormat/>
    <w:uiPriority w:val="0"/>
    <w:pPr>
      <w:widowControl/>
      <w:spacing w:before="100" w:beforeAutospacing="1" w:after="100" w:afterAutospacing="1"/>
      <w:jc w:val="right"/>
    </w:pPr>
    <w:rPr>
      <w:rFonts w:ascii="宋体" w:hAnsi="宋体"/>
      <w:kern w:val="0"/>
      <w:sz w:val="24"/>
      <w:szCs w:val="24"/>
    </w:rPr>
  </w:style>
  <w:style w:type="paragraph" w:customStyle="1" w:styleId="677">
    <w:name w:val="xl50"/>
    <w:basedOn w:val="1"/>
    <w:autoRedefine/>
    <w:qFormat/>
    <w:uiPriority w:val="0"/>
    <w:pPr>
      <w:widowControl/>
      <w:spacing w:before="100" w:beforeAutospacing="1" w:after="100" w:afterAutospacing="1"/>
      <w:jc w:val="center"/>
    </w:pPr>
    <w:rPr>
      <w:kern w:val="0"/>
      <w:sz w:val="24"/>
      <w:szCs w:val="24"/>
    </w:rPr>
  </w:style>
  <w:style w:type="paragraph" w:customStyle="1" w:styleId="678">
    <w:name w:val="正文4"/>
    <w:basedOn w:val="1"/>
    <w:autoRedefine/>
    <w:qFormat/>
    <w:uiPriority w:val="0"/>
    <w:pPr>
      <w:adjustRightInd w:val="0"/>
      <w:spacing w:before="60" w:after="60" w:line="480" w:lineRule="atLeast"/>
      <w:ind w:firstLine="567"/>
    </w:pPr>
    <w:rPr>
      <w:kern w:val="0"/>
      <w:sz w:val="28"/>
      <w:szCs w:val="20"/>
    </w:rPr>
  </w:style>
  <w:style w:type="paragraph" w:customStyle="1" w:styleId="679">
    <w:name w:val="1 Char"/>
    <w:basedOn w:val="1"/>
    <w:autoRedefine/>
    <w:qFormat/>
    <w:uiPriority w:val="0"/>
    <w:pPr>
      <w:spacing w:line="360" w:lineRule="auto"/>
    </w:pPr>
    <w:rPr>
      <w:rFonts w:ascii="仿宋_GB2312" w:eastAsia="仿宋_GB2312"/>
      <w:b/>
      <w:sz w:val="32"/>
      <w:szCs w:val="32"/>
    </w:rPr>
  </w:style>
  <w:style w:type="paragraph" w:customStyle="1" w:styleId="680">
    <w:name w:val="样式 小四 左 首行缩进:  0.85 厘米 段前: 5 磅 段后: 5 磅 行距: 固定值 25 磅"/>
    <w:basedOn w:val="1"/>
    <w:autoRedefine/>
    <w:qFormat/>
    <w:uiPriority w:val="0"/>
    <w:pPr>
      <w:spacing w:before="100" w:after="100" w:line="500" w:lineRule="exact"/>
      <w:ind w:firstLine="480"/>
      <w:jc w:val="left"/>
    </w:pPr>
    <w:rPr>
      <w:szCs w:val="20"/>
    </w:rPr>
  </w:style>
  <w:style w:type="character" w:customStyle="1" w:styleId="681">
    <w:name w:val="段 Char"/>
    <w:link w:val="358"/>
    <w:qFormat/>
    <w:locked/>
    <w:uiPriority w:val="0"/>
    <w:rPr>
      <w:rFonts w:ascii="宋体"/>
      <w:sz w:val="21"/>
    </w:rPr>
  </w:style>
  <w:style w:type="paragraph" w:customStyle="1" w:styleId="682">
    <w:name w:val="正文表标题"/>
    <w:next w:val="358"/>
    <w:autoRedefine/>
    <w:qFormat/>
    <w:uiPriority w:val="0"/>
    <w:pPr>
      <w:tabs>
        <w:tab w:val="left" w:pos="1077"/>
      </w:tabs>
      <w:ind w:left="1400" w:hanging="493"/>
      <w:jc w:val="center"/>
    </w:pPr>
    <w:rPr>
      <w:rFonts w:ascii="黑体" w:hAnsi="Times New Roman" w:eastAsia="黑体" w:cs="Times New Roman"/>
      <w:sz w:val="21"/>
      <w:lang w:val="en-US" w:eastAsia="zh-CN" w:bidi="ar-SA"/>
    </w:rPr>
  </w:style>
  <w:style w:type="paragraph" w:customStyle="1" w:styleId="683">
    <w:name w:val="正文文本 21"/>
    <w:basedOn w:val="1"/>
    <w:autoRedefine/>
    <w:qFormat/>
    <w:uiPriority w:val="0"/>
    <w:pPr>
      <w:adjustRightInd w:val="0"/>
      <w:spacing w:after="120"/>
      <w:ind w:left="420"/>
    </w:pPr>
    <w:rPr>
      <w:szCs w:val="20"/>
    </w:rPr>
  </w:style>
  <w:style w:type="paragraph" w:customStyle="1" w:styleId="684">
    <w:name w:val="List Paragraph1"/>
    <w:basedOn w:val="1"/>
    <w:qFormat/>
    <w:uiPriority w:val="0"/>
    <w:pPr>
      <w:ind w:firstLine="420" w:firstLineChars="200"/>
    </w:pPr>
    <w:rPr>
      <w:rFonts w:ascii="Calibri" w:hAnsi="Calibri"/>
    </w:rPr>
  </w:style>
  <w:style w:type="paragraph" w:customStyle="1" w:styleId="685">
    <w:name w:val="Char Char Char Char Char Char Char Char Char Char Char Char Char Char Char Char Char Char Char Char Char Char"/>
    <w:basedOn w:val="1"/>
    <w:autoRedefine/>
    <w:qFormat/>
    <w:uiPriority w:val="0"/>
    <w:pPr>
      <w:widowControl/>
      <w:spacing w:after="160" w:line="240" w:lineRule="exact"/>
      <w:jc w:val="left"/>
    </w:pPr>
    <w:rPr>
      <w:rFonts w:ascii="Verdana" w:hAnsi="Verdana" w:eastAsia="MS Mincho" w:cs="Verdana"/>
      <w:kern w:val="0"/>
      <w:sz w:val="20"/>
      <w:szCs w:val="20"/>
      <w:lang w:eastAsia="en-US"/>
    </w:rPr>
  </w:style>
  <w:style w:type="paragraph" w:customStyle="1" w:styleId="686">
    <w:name w:val="正文首行缩进 21"/>
    <w:basedOn w:val="20"/>
    <w:autoRedefine/>
    <w:qFormat/>
    <w:uiPriority w:val="99"/>
    <w:pPr>
      <w:spacing w:after="120"/>
      <w:ind w:left="420" w:leftChars="200" w:firstLine="420" w:firstLineChars="200"/>
    </w:pPr>
    <w:rPr>
      <w:spacing w:val="0"/>
      <w:kern w:val="0"/>
      <w:sz w:val="21"/>
      <w:szCs w:val="24"/>
    </w:rPr>
  </w:style>
  <w:style w:type="paragraph" w:customStyle="1" w:styleId="687">
    <w:name w:val="Char Char Char Char Char Char1"/>
    <w:basedOn w:val="1"/>
    <w:autoRedefine/>
    <w:qFormat/>
    <w:uiPriority w:val="0"/>
    <w:pPr>
      <w:snapToGrid w:val="0"/>
      <w:spacing w:line="360" w:lineRule="auto"/>
      <w:ind w:firstLine="200" w:firstLineChars="200"/>
    </w:pPr>
    <w:rPr>
      <w:rFonts w:ascii="宋体" w:hAnsi="宋体" w:eastAsia="仿宋_GB2312"/>
      <w:sz w:val="24"/>
      <w:szCs w:val="21"/>
    </w:rPr>
  </w:style>
  <w:style w:type="paragraph" w:customStyle="1" w:styleId="688">
    <w:name w:val="正文文本 22"/>
    <w:basedOn w:val="1"/>
    <w:autoRedefine/>
    <w:qFormat/>
    <w:uiPriority w:val="0"/>
    <w:pPr>
      <w:adjustRightInd w:val="0"/>
      <w:spacing w:after="120"/>
      <w:ind w:left="420"/>
    </w:pPr>
    <w:rPr>
      <w:szCs w:val="20"/>
    </w:rPr>
  </w:style>
  <w:style w:type="character" w:customStyle="1" w:styleId="689">
    <w:name w:val="big1"/>
    <w:autoRedefine/>
    <w:qFormat/>
    <w:uiPriority w:val="0"/>
    <w:rPr>
      <w:sz w:val="22"/>
    </w:rPr>
  </w:style>
  <w:style w:type="character" w:customStyle="1" w:styleId="690">
    <w:name w:val="已访问的超链接1"/>
    <w:autoRedefine/>
    <w:qFormat/>
    <w:uiPriority w:val="0"/>
    <w:rPr>
      <w:color w:val="800080"/>
      <w:u w:val="single"/>
    </w:rPr>
  </w:style>
  <w:style w:type="character" w:customStyle="1" w:styleId="691">
    <w:name w:val="style161"/>
    <w:autoRedefine/>
    <w:qFormat/>
    <w:uiPriority w:val="0"/>
    <w:rPr>
      <w:rFonts w:hint="default" w:ascii="Times New Roman" w:hAnsi="Times New Roman" w:cs="Times New Roman"/>
    </w:rPr>
  </w:style>
  <w:style w:type="character" w:customStyle="1" w:styleId="692">
    <w:name w:val="style591"/>
    <w:autoRedefine/>
    <w:qFormat/>
    <w:uiPriority w:val="0"/>
    <w:rPr>
      <w:rFonts w:hint="default" w:ascii="Times New Roman" w:hAnsi="Times New Roman" w:cs="Times New Roman"/>
    </w:rPr>
  </w:style>
  <w:style w:type="character" w:customStyle="1" w:styleId="693">
    <w:name w:val="正文01 Char"/>
    <w:autoRedefine/>
    <w:qFormat/>
    <w:uiPriority w:val="0"/>
    <w:rPr>
      <w:rFonts w:hint="default" w:ascii="Arial" w:hAnsi="Arial" w:eastAsia="宋体" w:cs="Arial"/>
      <w:color w:val="000000"/>
      <w:kern w:val="2"/>
      <w:sz w:val="24"/>
      <w:lang w:val="en-US" w:eastAsia="zh-CN"/>
    </w:rPr>
  </w:style>
  <w:style w:type="character" w:customStyle="1" w:styleId="694">
    <w:name w:val="px14"/>
    <w:autoRedefine/>
    <w:qFormat/>
    <w:uiPriority w:val="0"/>
    <w:rPr>
      <w:rFonts w:hint="default" w:ascii="Times New Roman" w:hAnsi="Times New Roman" w:cs="Times New Roman"/>
    </w:rPr>
  </w:style>
  <w:style w:type="character" w:customStyle="1" w:styleId="695">
    <w:name w:val="Char Char2"/>
    <w:autoRedefine/>
    <w:qFormat/>
    <w:uiPriority w:val="0"/>
    <w:rPr>
      <w:rFonts w:hint="eastAsia" w:ascii="宋体" w:hAnsi="宋体" w:eastAsia="宋体"/>
      <w:kern w:val="2"/>
      <w:sz w:val="18"/>
      <w:lang w:val="en-US" w:eastAsia="zh-CN"/>
    </w:rPr>
  </w:style>
  <w:style w:type="character" w:customStyle="1" w:styleId="696">
    <w:name w:val="Char Char15"/>
    <w:autoRedefine/>
    <w:qFormat/>
    <w:uiPriority w:val="0"/>
    <w:rPr>
      <w:rFonts w:hint="default" w:ascii="Times New Roman" w:hAnsi="Times New Roman" w:cs="Times New Roman"/>
      <w:kern w:val="2"/>
      <w:sz w:val="22"/>
    </w:rPr>
  </w:style>
  <w:style w:type="character" w:customStyle="1" w:styleId="697">
    <w:name w:val="w201"/>
    <w:autoRedefine/>
    <w:qFormat/>
    <w:uiPriority w:val="0"/>
    <w:rPr>
      <w:sz w:val="18"/>
    </w:rPr>
  </w:style>
  <w:style w:type="character" w:customStyle="1" w:styleId="698">
    <w:name w:val="tcss01"/>
    <w:qFormat/>
    <w:uiPriority w:val="0"/>
    <w:rPr>
      <w:rFonts w:hint="default" w:ascii="Times New Roman" w:hAnsi="Times New Roman" w:cs="Times New Roman"/>
    </w:rPr>
  </w:style>
  <w:style w:type="character" w:customStyle="1" w:styleId="699">
    <w:name w:val="Char Char4"/>
    <w:autoRedefine/>
    <w:qFormat/>
    <w:uiPriority w:val="0"/>
    <w:rPr>
      <w:rFonts w:hint="eastAsia" w:ascii="宋体" w:hAnsi="宋体" w:eastAsia="宋体"/>
      <w:b/>
      <w:kern w:val="2"/>
      <w:sz w:val="28"/>
      <w:lang w:val="en-US" w:eastAsia="zh-CN"/>
    </w:rPr>
  </w:style>
  <w:style w:type="character" w:customStyle="1" w:styleId="700">
    <w:name w:val="txt11"/>
    <w:autoRedefine/>
    <w:qFormat/>
    <w:uiPriority w:val="0"/>
    <w:rPr>
      <w:sz w:val="21"/>
      <w:u w:val="none"/>
    </w:rPr>
  </w:style>
  <w:style w:type="character" w:customStyle="1" w:styleId="701">
    <w:name w:val="p4"/>
    <w:autoRedefine/>
    <w:qFormat/>
    <w:uiPriority w:val="0"/>
    <w:rPr>
      <w:rFonts w:hint="default" w:ascii="Times New Roman" w:hAnsi="Times New Roman" w:cs="Times New Roman"/>
    </w:rPr>
  </w:style>
  <w:style w:type="character" w:customStyle="1" w:styleId="702">
    <w:name w:val="red_f30_12"/>
    <w:uiPriority w:val="0"/>
    <w:rPr>
      <w:rFonts w:hint="default" w:ascii="Times New Roman" w:hAnsi="Times New Roman" w:cs="Times New Roman"/>
    </w:rPr>
  </w:style>
  <w:style w:type="character" w:customStyle="1" w:styleId="703">
    <w:name w:val="Char Char7"/>
    <w:autoRedefine/>
    <w:qFormat/>
    <w:uiPriority w:val="0"/>
    <w:rPr>
      <w:rFonts w:hint="eastAsia" w:ascii="宋体" w:hAnsi="宋体" w:eastAsia="宋体"/>
      <w:kern w:val="2"/>
      <w:sz w:val="24"/>
      <w:lang w:val="en-US" w:eastAsia="zh-CN"/>
    </w:rPr>
  </w:style>
  <w:style w:type="table" w:customStyle="1" w:styleId="704">
    <w:name w:val="网格型4"/>
    <w:basedOn w:val="49"/>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05">
    <w:name w:val="目录 21"/>
    <w:basedOn w:val="654"/>
    <w:next w:val="654"/>
    <w:semiHidden/>
    <w:qFormat/>
    <w:uiPriority w:val="0"/>
    <w:pPr>
      <w:tabs>
        <w:tab w:val="right" w:leader="dot" w:pos="8947"/>
      </w:tabs>
      <w:ind w:left="400"/>
      <w:jc w:val="right"/>
    </w:pPr>
    <w:rPr>
      <w:b/>
      <w:smallCaps/>
      <w:sz w:val="30"/>
    </w:rPr>
  </w:style>
  <w:style w:type="paragraph" w:customStyle="1" w:styleId="706">
    <w:name w:val="列出段落11"/>
    <w:basedOn w:val="1"/>
    <w:autoRedefine/>
    <w:qFormat/>
    <w:uiPriority w:val="0"/>
    <w:pPr>
      <w:ind w:firstLine="420" w:firstLineChars="200"/>
    </w:pPr>
    <w:rPr>
      <w:rFonts w:ascii="Calibri" w:hAnsi="Calibri"/>
      <w:kern w:val="0"/>
      <w:sz w:val="34"/>
    </w:rPr>
  </w:style>
  <w:style w:type="paragraph" w:customStyle="1" w:styleId="707">
    <w:name w:val="列表段落2"/>
    <w:basedOn w:val="1"/>
    <w:autoRedefine/>
    <w:qFormat/>
    <w:uiPriority w:val="0"/>
    <w:pPr>
      <w:ind w:firstLine="420" w:firstLineChars="200"/>
    </w:pPr>
    <w:rPr>
      <w:rFonts w:ascii="Calibri" w:hAnsi="Calibri"/>
    </w:rPr>
  </w:style>
  <w:style w:type="paragraph" w:customStyle="1" w:styleId="708">
    <w:name w:val="正文5"/>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709">
    <w:name w:val="正文文本 23"/>
    <w:basedOn w:val="1"/>
    <w:qFormat/>
    <w:uiPriority w:val="0"/>
    <w:pPr>
      <w:adjustRightInd w:val="0"/>
      <w:spacing w:after="120"/>
      <w:ind w:left="420"/>
    </w:pPr>
    <w:rPr>
      <w:szCs w:val="20"/>
    </w:rPr>
  </w:style>
  <w:style w:type="character" w:customStyle="1" w:styleId="710">
    <w:name w:val="正文文本缩进 字符1"/>
    <w:semiHidden/>
    <w:uiPriority w:val="99"/>
    <w:rPr>
      <w:rFonts w:ascii="Times New Roman" w:hAnsi="Times New Roman"/>
      <w:sz w:val="24"/>
      <w:szCs w:val="24"/>
    </w:rPr>
  </w:style>
  <w:style w:type="character" w:customStyle="1" w:styleId="711">
    <w:name w:val="正文缩进 字符1"/>
    <w:autoRedefine/>
    <w:qFormat/>
    <w:uiPriority w:val="0"/>
    <w:rPr>
      <w:rFonts w:hint="eastAsia" w:ascii="宋体" w:hAnsi="宋体" w:eastAsia="宋体"/>
      <w:kern w:val="2"/>
      <w:sz w:val="21"/>
      <w:lang w:val="en-US" w:eastAsia="zh-CN"/>
    </w:rPr>
  </w:style>
  <w:style w:type="character" w:customStyle="1" w:styleId="712">
    <w:name w:val="批注文字 字符1"/>
    <w:autoRedefine/>
    <w:semiHidden/>
    <w:qFormat/>
    <w:uiPriority w:val="0"/>
    <w:rPr>
      <w:rFonts w:ascii="Times New Roman" w:hAnsi="Times New Roman"/>
      <w:sz w:val="24"/>
      <w:szCs w:val="24"/>
    </w:rPr>
  </w:style>
  <w:style w:type="character" w:customStyle="1" w:styleId="713">
    <w:name w:val="批注主题 字符1"/>
    <w:semiHidden/>
    <w:uiPriority w:val="99"/>
    <w:rPr>
      <w:rFonts w:ascii="Times New Roman" w:hAnsi="Times New Roman"/>
      <w:b/>
      <w:bCs/>
      <w:sz w:val="24"/>
      <w:szCs w:val="24"/>
    </w:rPr>
  </w:style>
  <w:style w:type="character" w:customStyle="1" w:styleId="714">
    <w:name w:val="HTML 预设格式 字符1"/>
    <w:autoRedefine/>
    <w:semiHidden/>
    <w:qFormat/>
    <w:uiPriority w:val="99"/>
    <w:rPr>
      <w:rFonts w:ascii="Arial" w:hAnsi="Arial"/>
      <w:sz w:val="21"/>
      <w:szCs w:val="21"/>
    </w:rPr>
  </w:style>
  <w:style w:type="character" w:customStyle="1" w:styleId="715">
    <w:name w:val="正文文本 字符1"/>
    <w:autoRedefine/>
    <w:qFormat/>
    <w:uiPriority w:val="99"/>
    <w:rPr>
      <w:rFonts w:ascii="Times New Roman" w:hAnsi="Times New Roman"/>
      <w:sz w:val="24"/>
      <w:szCs w:val="24"/>
    </w:rPr>
  </w:style>
  <w:style w:type="character" w:customStyle="1" w:styleId="716">
    <w:name w:val="文档结构图 字符1"/>
    <w:autoRedefine/>
    <w:qFormat/>
    <w:uiPriority w:val="99"/>
    <w:rPr>
      <w:rFonts w:ascii="Times New Roman" w:hAnsi="Times New Roman"/>
      <w:sz w:val="24"/>
      <w:szCs w:val="24"/>
      <w:shd w:val="clear" w:color="auto" w:fill="000080"/>
    </w:rPr>
  </w:style>
  <w:style w:type="character" w:customStyle="1" w:styleId="717">
    <w:name w:val="正文文本 3 字符1"/>
    <w:autoRedefine/>
    <w:semiHidden/>
    <w:qFormat/>
    <w:uiPriority w:val="99"/>
    <w:rPr>
      <w:rFonts w:ascii="Times New Roman" w:hAnsi="Times New Roman"/>
      <w:sz w:val="16"/>
      <w:szCs w:val="16"/>
    </w:rPr>
  </w:style>
  <w:style w:type="character" w:customStyle="1" w:styleId="718">
    <w:name w:val="正文文本 2 字符1"/>
    <w:autoRedefine/>
    <w:semiHidden/>
    <w:qFormat/>
    <w:uiPriority w:val="99"/>
    <w:rPr>
      <w:rFonts w:ascii="Times New Roman" w:hAnsi="Times New Roman"/>
      <w:sz w:val="24"/>
      <w:szCs w:val="24"/>
    </w:rPr>
  </w:style>
  <w:style w:type="character" w:customStyle="1" w:styleId="719">
    <w:name w:val="日期 字符1"/>
    <w:autoRedefine/>
    <w:semiHidden/>
    <w:qFormat/>
    <w:uiPriority w:val="99"/>
    <w:rPr>
      <w:rFonts w:ascii="Times New Roman" w:hAnsi="Times New Roman"/>
      <w:sz w:val="24"/>
      <w:szCs w:val="24"/>
    </w:rPr>
  </w:style>
  <w:style w:type="character" w:customStyle="1" w:styleId="720">
    <w:name w:val="正文文本缩进 2 字符1"/>
    <w:autoRedefine/>
    <w:semiHidden/>
    <w:uiPriority w:val="99"/>
    <w:rPr>
      <w:rFonts w:ascii="Times New Roman" w:hAnsi="Times New Roman"/>
    </w:rPr>
  </w:style>
  <w:style w:type="character" w:customStyle="1" w:styleId="721">
    <w:name w:val="批注框文本 字符1"/>
    <w:autoRedefine/>
    <w:qFormat/>
    <w:uiPriority w:val="0"/>
    <w:rPr>
      <w:rFonts w:ascii="Times New Roman" w:hAnsi="Times New Roman"/>
      <w:sz w:val="18"/>
      <w:szCs w:val="18"/>
    </w:rPr>
  </w:style>
  <w:style w:type="character" w:customStyle="1" w:styleId="722">
    <w:name w:val="正文文本缩进 3 字符1"/>
    <w:semiHidden/>
    <w:qFormat/>
    <w:uiPriority w:val="99"/>
    <w:rPr>
      <w:rFonts w:ascii="Arial" w:hAnsi="Arial"/>
      <w:sz w:val="16"/>
      <w:szCs w:val="16"/>
      <w:lang w:eastAsia="en-US"/>
    </w:rPr>
  </w:style>
  <w:style w:type="table" w:customStyle="1" w:styleId="723">
    <w:name w:val="网格型5"/>
    <w:basedOn w:val="49"/>
    <w:autoRedefine/>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24">
    <w:name w:val="正文A"/>
    <w:basedOn w:val="1"/>
    <w:autoRedefine/>
    <w:qFormat/>
    <w:uiPriority w:val="0"/>
    <w:pPr>
      <w:adjustRightInd w:val="0"/>
      <w:snapToGrid w:val="0"/>
      <w:spacing w:beforeLines="50" w:afterLines="50" w:line="360" w:lineRule="auto"/>
      <w:ind w:firstLine="560" w:firstLineChars="200"/>
    </w:pPr>
    <w:rPr>
      <w:rFonts w:cs="宋体"/>
      <w:sz w:val="28"/>
      <w:szCs w:val="20"/>
    </w:rPr>
  </w:style>
  <w:style w:type="paragraph" w:customStyle="1" w:styleId="725">
    <w:name w:val="0.18"/>
    <w:basedOn w:val="1"/>
    <w:autoRedefine/>
    <w:qFormat/>
    <w:uiPriority w:val="0"/>
    <w:pPr>
      <w:jc w:val="center"/>
    </w:pPr>
    <w:rPr>
      <w:szCs w:val="28"/>
    </w:rPr>
  </w:style>
  <w:style w:type="paragraph" w:customStyle="1" w:styleId="726">
    <w:name w:val="Char Char1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727">
    <w:name w:val="00 3级"/>
    <w:basedOn w:val="98"/>
    <w:autoRedefine/>
    <w:qFormat/>
    <w:uiPriority w:val="0"/>
    <w:pPr>
      <w:spacing w:line="520" w:lineRule="exact"/>
      <w:outlineLvl w:val="2"/>
    </w:pPr>
  </w:style>
  <w:style w:type="paragraph" w:customStyle="1" w:styleId="728">
    <w:name w:val="CM77"/>
    <w:basedOn w:val="1"/>
    <w:next w:val="1"/>
    <w:qFormat/>
    <w:uiPriority w:val="0"/>
    <w:pPr>
      <w:autoSpaceDE w:val="0"/>
      <w:autoSpaceDN w:val="0"/>
      <w:adjustRightInd w:val="0"/>
      <w:spacing w:after="205"/>
      <w:jc w:val="left"/>
    </w:pPr>
    <w:rPr>
      <w:rFonts w:ascii="IINFIO+TimesNewRoman" w:eastAsia="IINFIO+TimesNewRoman"/>
      <w:kern w:val="0"/>
      <w:sz w:val="24"/>
      <w:szCs w:val="24"/>
    </w:rPr>
  </w:style>
  <w:style w:type="paragraph" w:customStyle="1" w:styleId="729">
    <w:name w:val="样式 样式 标题 3 + 段前: 0.3 行 + 首行缩进:  0 厘米"/>
    <w:basedOn w:val="1"/>
    <w:autoRedefine/>
    <w:qFormat/>
    <w:uiPriority w:val="0"/>
    <w:pPr>
      <w:keepLines/>
      <w:spacing w:before="60" w:after="60" w:line="360" w:lineRule="auto"/>
      <w:jc w:val="left"/>
      <w:outlineLvl w:val="2"/>
    </w:pPr>
    <w:rPr>
      <w:rFonts w:cs="宋体"/>
      <w:b/>
      <w:spacing w:val="16"/>
      <w:w w:val="95"/>
      <w:kern w:val="0"/>
      <w:sz w:val="24"/>
      <w:szCs w:val="20"/>
    </w:rPr>
  </w:style>
  <w:style w:type="paragraph" w:customStyle="1" w:styleId="730">
    <w:name w:val="列表段落3"/>
    <w:basedOn w:val="1"/>
    <w:autoRedefine/>
    <w:qFormat/>
    <w:uiPriority w:val="0"/>
    <w:pPr>
      <w:ind w:firstLine="420" w:firstLineChars="200"/>
    </w:pPr>
    <w:rPr>
      <w:rFonts w:ascii="Calibri" w:hAnsi="Calibri"/>
    </w:rPr>
  </w:style>
  <w:style w:type="paragraph" w:customStyle="1" w:styleId="731">
    <w:name w:val="正文6"/>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732">
    <w:name w:val="正文文本 24"/>
    <w:basedOn w:val="1"/>
    <w:qFormat/>
    <w:uiPriority w:val="0"/>
    <w:pPr>
      <w:adjustRightInd w:val="0"/>
      <w:spacing w:after="120"/>
      <w:ind w:left="420"/>
    </w:pPr>
    <w:rPr>
      <w:szCs w:val="20"/>
    </w:rPr>
  </w:style>
  <w:style w:type="paragraph" w:customStyle="1" w:styleId="733">
    <w:name w:val="王军波目录"/>
    <w:basedOn w:val="1"/>
    <w:autoRedefine/>
    <w:qFormat/>
    <w:uiPriority w:val="0"/>
    <w:rPr>
      <w:sz w:val="24"/>
      <w:szCs w:val="20"/>
    </w:rPr>
  </w:style>
  <w:style w:type="character" w:customStyle="1" w:styleId="734">
    <w:name w:val="正文文本首行缩进 字符1"/>
    <w:autoRedefine/>
    <w:semiHidden/>
    <w:uiPriority w:val="99"/>
    <w:rPr>
      <w:rFonts w:hint="default" w:ascii="Times New Roman" w:hAnsi="Times New Roman" w:cs="Times New Roman"/>
      <w:sz w:val="24"/>
    </w:rPr>
  </w:style>
  <w:style w:type="character" w:customStyle="1" w:styleId="735">
    <w:name w:val="页脚 字符2"/>
    <w:autoRedefine/>
    <w:semiHidden/>
    <w:qFormat/>
    <w:uiPriority w:val="99"/>
    <w:rPr>
      <w:rFonts w:hint="default" w:ascii="Times New Roman" w:hAnsi="Times New Roman" w:cs="Times New Roman"/>
      <w:sz w:val="18"/>
      <w:szCs w:val="18"/>
    </w:rPr>
  </w:style>
  <w:style w:type="character" w:customStyle="1" w:styleId="736">
    <w:name w:val="ca-122"/>
    <w:basedOn w:val="55"/>
    <w:autoRedefine/>
    <w:qFormat/>
    <w:uiPriority w:val="0"/>
  </w:style>
  <w:style w:type="character" w:customStyle="1" w:styleId="737">
    <w:name w:val="Comment Text Char1"/>
    <w:autoRedefine/>
    <w:semiHidden/>
    <w:qFormat/>
    <w:uiPriority w:val="99"/>
    <w:rPr>
      <w:kern w:val="2"/>
      <w:sz w:val="21"/>
      <w:szCs w:val="24"/>
    </w:rPr>
  </w:style>
  <w:style w:type="character" w:customStyle="1" w:styleId="738">
    <w:name w:val="opt js-edittext"/>
    <w:basedOn w:val="55"/>
    <w:autoRedefine/>
    <w:qFormat/>
    <w:uiPriority w:val="0"/>
  </w:style>
  <w:style w:type="table" w:customStyle="1" w:styleId="739">
    <w:name w:val="列表型 34"/>
    <w:basedOn w:val="49"/>
    <w:autoRedefine/>
    <w:semiHidden/>
    <w:unhideWhenUsed/>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740">
    <w:name w:val="列表型 54"/>
    <w:basedOn w:val="49"/>
    <w:autoRedefine/>
    <w:semiHidden/>
    <w:unhideWhenUsed/>
    <w:qFormat/>
    <w:uiPriority w:val="0"/>
    <w:pPr>
      <w:widowControl w:val="0"/>
      <w:spacing w:line="52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741">
    <w:name w:val="浅色列表 - 着色 34"/>
    <w:basedOn w:val="49"/>
    <w:autoRedefine/>
    <w:semiHidden/>
    <w:unhideWhenUsed/>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0" w:afterLines="0" w:afterAutospacing="0" w:line="240" w:lineRule="auto"/>
      </w:pPr>
      <w:rPr>
        <w:b/>
        <w:bCs/>
        <w:color w:val="FFFFFF"/>
      </w:rPr>
      <w:tcPr>
        <w:shd w:val="clear" w:color="auto" w:fill="9BBB59"/>
      </w:tcPr>
    </w:tblStylePr>
    <w:tblStylePr w:type="lastRow">
      <w:pPr>
        <w:spacing w:beforeLines="0" w:beforeAutospacing="0" w:afterLines="0" w:afterAutospacing="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42">
    <w:name w:val="三线4"/>
    <w:basedOn w:val="52"/>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743">
    <w:name w:val="列表型 313"/>
    <w:basedOn w:val="49"/>
    <w:autoRedefine/>
    <w:semiHidden/>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744">
    <w:name w:val="列表型 513"/>
    <w:basedOn w:val="49"/>
    <w:semiHidden/>
    <w:qFormat/>
    <w:uiPriority w:val="0"/>
    <w:pPr>
      <w:widowControl w:val="0"/>
      <w:spacing w:line="52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745">
    <w:name w:val="浅色列表 - 着色 314"/>
    <w:basedOn w:val="49"/>
    <w:autoRedefine/>
    <w:semiHidden/>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46">
    <w:name w:val="三线13"/>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747">
    <w:name w:val="浅色列表 - 着色 3113"/>
    <w:basedOn w:val="49"/>
    <w:autoRedefine/>
    <w:semiHidden/>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48">
    <w:name w:val="列表型 321"/>
    <w:basedOn w:val="49"/>
    <w:autoRedefine/>
    <w:semiHidden/>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749">
    <w:name w:val="列表型 521"/>
    <w:basedOn w:val="49"/>
    <w:autoRedefine/>
    <w:semiHidden/>
    <w:qFormat/>
    <w:uiPriority w:val="0"/>
    <w:pPr>
      <w:widowControl w:val="0"/>
      <w:spacing w:line="52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750">
    <w:name w:val="浅色列表 - 着色 321"/>
    <w:basedOn w:val="49"/>
    <w:semiHidden/>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51">
    <w:name w:val="三线21"/>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752">
    <w:name w:val="列表型 3111"/>
    <w:basedOn w:val="49"/>
    <w:semiHidden/>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753">
    <w:name w:val="列表型 5111"/>
    <w:basedOn w:val="49"/>
    <w:semiHidden/>
    <w:qFormat/>
    <w:uiPriority w:val="0"/>
    <w:pPr>
      <w:widowControl w:val="0"/>
      <w:spacing w:line="52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754">
    <w:name w:val="浅色列表 - 着色 3121"/>
    <w:basedOn w:val="49"/>
    <w:autoRedefine/>
    <w:semiHidden/>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55">
    <w:name w:val="三线111"/>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756">
    <w:name w:val="浅色列表 - 着色 31111"/>
    <w:basedOn w:val="49"/>
    <w:autoRedefine/>
    <w:semiHidden/>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57">
    <w:name w:val="列表型 331"/>
    <w:basedOn w:val="49"/>
    <w:semiHidden/>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758">
    <w:name w:val="列表型 531"/>
    <w:basedOn w:val="49"/>
    <w:autoRedefine/>
    <w:semiHidden/>
    <w:qFormat/>
    <w:uiPriority w:val="0"/>
    <w:pPr>
      <w:widowControl w:val="0"/>
      <w:spacing w:line="52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759">
    <w:name w:val="浅色列表 - 着色 331"/>
    <w:basedOn w:val="49"/>
    <w:autoRedefine/>
    <w:semiHidden/>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60">
    <w:name w:val="三线31"/>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761">
    <w:name w:val="列表型 3121"/>
    <w:basedOn w:val="49"/>
    <w:autoRedefine/>
    <w:semiHidden/>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762">
    <w:name w:val="列表型 5121"/>
    <w:basedOn w:val="49"/>
    <w:autoRedefine/>
    <w:semiHidden/>
    <w:qFormat/>
    <w:uiPriority w:val="0"/>
    <w:pPr>
      <w:widowControl w:val="0"/>
      <w:spacing w:line="52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763">
    <w:name w:val="浅色列表 - 着色 3131"/>
    <w:basedOn w:val="49"/>
    <w:autoRedefine/>
    <w:semiHidden/>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64">
    <w:name w:val="三线121"/>
    <w:basedOn w:val="52"/>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765">
    <w:name w:val="浅色列表 - 着色 31121"/>
    <w:basedOn w:val="49"/>
    <w:semiHidden/>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66">
    <w:name w:val="浅色列表 - 着色 341"/>
    <w:basedOn w:val="49"/>
    <w:semiHidden/>
    <w:qFormat/>
    <w:uiPriority w:val="61"/>
    <w:rPr>
      <w:rFonts w:ascii="Calibri" w:hAnsi="Calibri"/>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Lines="0" w:beforeAutospacing="1" w:afterLines="0" w:afterAutospacing="1" w:line="240" w:lineRule="auto"/>
      </w:pPr>
      <w:rPr>
        <w:b/>
        <w:bCs/>
        <w:color w:val="FFFFFF"/>
      </w:rPr>
      <w:tcPr>
        <w:shd w:val="clear" w:color="auto" w:fill="9BBB59"/>
      </w:tcPr>
    </w:tblStylePr>
    <w:tblStylePr w:type="lastRow">
      <w:pPr>
        <w:spacing w:beforeLines="0" w:beforeAutospacing="1" w:afterLines="0" w:afterAutospacing="1"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767">
    <w:name w:val="图表格1"/>
    <w:basedOn w:val="49"/>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68">
    <w:name w:val="0正文"/>
    <w:autoRedefine/>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styleId="769">
    <w:name w:val="List Paragraph"/>
    <w:basedOn w:val="1"/>
    <w:autoRedefine/>
    <w:qFormat/>
    <w:uiPriority w:val="1"/>
    <w:pPr>
      <w:adjustRightInd w:val="0"/>
      <w:snapToGrid w:val="0"/>
      <w:spacing w:line="520" w:lineRule="exact"/>
      <w:ind w:firstLine="420" w:firstLineChars="200"/>
      <w:textAlignment w:val="baseline"/>
    </w:pPr>
    <w:rPr>
      <w:kern w:val="0"/>
      <w:sz w:val="24"/>
      <w:szCs w:val="20"/>
    </w:rPr>
  </w:style>
  <w:style w:type="character" w:customStyle="1" w:styleId="770">
    <w:name w:val="题注 Char2"/>
    <w:autoRedefine/>
    <w:uiPriority w:val="0"/>
    <w:rPr>
      <w:rFonts w:ascii="Times New Roman" w:hAnsi="Times New Roman"/>
      <w:i/>
      <w:spacing w:val="5"/>
    </w:rPr>
  </w:style>
  <w:style w:type="paragraph" w:customStyle="1" w:styleId="771">
    <w:name w:val="正文格式42"/>
    <w:basedOn w:val="1"/>
    <w:autoRedefine/>
    <w:qFormat/>
    <w:uiPriority w:val="0"/>
    <w:pPr>
      <w:spacing w:line="360" w:lineRule="auto"/>
      <w:ind w:firstLine="482" w:firstLineChars="200"/>
    </w:pPr>
    <w:rPr>
      <w:rFonts w:ascii="宋体" w:hAnsi="宋体"/>
      <w:sz w:val="24"/>
      <w:szCs w:val="24"/>
    </w:rPr>
  </w:style>
  <w:style w:type="character" w:customStyle="1" w:styleId="772">
    <w:name w:val="正文文本 Char"/>
    <w:autoRedefine/>
    <w:qFormat/>
    <w:locked/>
    <w:uiPriority w:val="0"/>
    <w:rPr>
      <w:kern w:val="2"/>
      <w:sz w:val="21"/>
      <w:szCs w:val="24"/>
    </w:rPr>
  </w:style>
  <w:style w:type="character" w:customStyle="1" w:styleId="773">
    <w:name w:val="新正文 Char Char"/>
    <w:basedOn w:val="55"/>
    <w:link w:val="774"/>
    <w:autoRedefine/>
    <w:semiHidden/>
    <w:qFormat/>
    <w:uiPriority w:val="0"/>
    <w:rPr>
      <w:rFonts w:ascii="仿宋_GB2312" w:eastAsia="仿宋_GB2312"/>
      <w:sz w:val="28"/>
      <w:szCs w:val="21"/>
    </w:rPr>
  </w:style>
  <w:style w:type="paragraph" w:customStyle="1" w:styleId="774">
    <w:name w:val="新正文"/>
    <w:basedOn w:val="1"/>
    <w:link w:val="773"/>
    <w:autoRedefine/>
    <w:semiHidden/>
    <w:qFormat/>
    <w:uiPriority w:val="0"/>
    <w:pPr>
      <w:spacing w:line="480" w:lineRule="exact"/>
      <w:ind w:firstLine="567"/>
    </w:pPr>
    <w:rPr>
      <w:rFonts w:ascii="仿宋_GB2312" w:eastAsia="仿宋_GB2312"/>
      <w:kern w:val="0"/>
      <w:sz w:val="28"/>
      <w:szCs w:val="21"/>
    </w:rPr>
  </w:style>
  <w:style w:type="character" w:customStyle="1" w:styleId="775">
    <w:name w:val="正文文本 2 Char"/>
    <w:autoRedefine/>
    <w:qFormat/>
    <w:locked/>
    <w:uiPriority w:val="0"/>
    <w:rPr>
      <w:kern w:val="2"/>
      <w:sz w:val="21"/>
      <w:szCs w:val="24"/>
    </w:rPr>
  </w:style>
  <w:style w:type="character" w:customStyle="1" w:styleId="776">
    <w:name w:val="表格标题 Char1"/>
    <w:semiHidden/>
    <w:qFormat/>
    <w:locked/>
    <w:uiPriority w:val="0"/>
    <w:rPr>
      <w:kern w:val="2"/>
      <w:sz w:val="21"/>
    </w:rPr>
  </w:style>
  <w:style w:type="paragraph" w:customStyle="1" w:styleId="777">
    <w:name w:val="正文居中"/>
    <w:basedOn w:val="1"/>
    <w:qFormat/>
    <w:uiPriority w:val="0"/>
    <w:pPr>
      <w:snapToGrid w:val="0"/>
      <w:jc w:val="center"/>
    </w:pPr>
    <w:rPr>
      <w:szCs w:val="24"/>
    </w:rPr>
  </w:style>
  <w:style w:type="paragraph" w:customStyle="1" w:styleId="778">
    <w:name w:val="表内头"/>
    <w:basedOn w:val="1"/>
    <w:autoRedefine/>
    <w:qFormat/>
    <w:uiPriority w:val="0"/>
    <w:pPr>
      <w:spacing w:line="360" w:lineRule="exact"/>
      <w:jc w:val="center"/>
    </w:pPr>
    <w:rPr>
      <w:b/>
      <w:szCs w:val="20"/>
    </w:rPr>
  </w:style>
  <w:style w:type="paragraph" w:customStyle="1" w:styleId="779">
    <w:name w:val="表内容中"/>
    <w:basedOn w:val="27"/>
    <w:qFormat/>
    <w:uiPriority w:val="0"/>
    <w:pPr>
      <w:widowControl/>
      <w:jc w:val="center"/>
    </w:pPr>
    <w:rPr>
      <w:rFonts w:ascii="宋体" w:hAnsi="宋体" w:eastAsia="宋体"/>
      <w:b w:val="0"/>
      <w:kern w:val="0"/>
      <w:sz w:val="21"/>
      <w:szCs w:val="21"/>
    </w:rPr>
  </w:style>
  <w:style w:type="paragraph" w:customStyle="1" w:styleId="780">
    <w:name w:val="RH-1正文"/>
    <w:autoRedefine/>
    <w:qFormat/>
    <w:uiPriority w:val="0"/>
    <w:pPr>
      <w:spacing w:line="480" w:lineRule="exact"/>
      <w:ind w:firstLine="200" w:firstLineChars="200"/>
    </w:pPr>
    <w:rPr>
      <w:rFonts w:ascii="Times New Roman" w:hAnsi="Times New Roman" w:eastAsia="宋体" w:cs="Times New Roman"/>
      <w:color w:val="000000"/>
      <w:kern w:val="2"/>
      <w:sz w:val="24"/>
      <w:szCs w:val="24"/>
      <w:lang w:val="en-US" w:eastAsia="zh-CN" w:bidi="ar-SA"/>
    </w:rPr>
  </w:style>
  <w:style w:type="character" w:customStyle="1" w:styleId="781">
    <w:name w:val="页眉 Char"/>
    <w:autoRedefine/>
    <w:qFormat/>
    <w:uiPriority w:val="99"/>
    <w:rPr>
      <w:sz w:val="18"/>
      <w:szCs w:val="18"/>
    </w:rPr>
  </w:style>
  <w:style w:type="character" w:customStyle="1" w:styleId="782">
    <w:name w:val="三浦 表"/>
    <w:autoRedefine/>
    <w:qFormat/>
    <w:uiPriority w:val="99"/>
    <w:rPr>
      <w:rFonts w:eastAsia="Times New Roman"/>
      <w:bCs/>
      <w:sz w:val="21"/>
    </w:rPr>
  </w:style>
  <w:style w:type="character" w:customStyle="1" w:styleId="783">
    <w:name w:val="文档结构图 Char"/>
    <w:autoRedefine/>
    <w:semiHidden/>
    <w:qFormat/>
    <w:uiPriority w:val="99"/>
    <w:rPr>
      <w:rFonts w:ascii="宋体" w:eastAsia="宋体"/>
      <w:sz w:val="18"/>
      <w:szCs w:val="18"/>
    </w:rPr>
  </w:style>
  <w:style w:type="character" w:customStyle="1" w:styleId="784">
    <w:name w:val="不明显强调3"/>
    <w:autoRedefine/>
    <w:qFormat/>
    <w:uiPriority w:val="19"/>
    <w:rPr>
      <w:rFonts w:eastAsia="黑体"/>
      <w:bCs/>
      <w:sz w:val="30"/>
      <w:szCs w:val="30"/>
    </w:rPr>
  </w:style>
  <w:style w:type="character" w:customStyle="1" w:styleId="785">
    <w:name w:val="明显强调3"/>
    <w:autoRedefine/>
    <w:qFormat/>
    <w:uiPriority w:val="21"/>
    <w:rPr>
      <w:rFonts w:eastAsia="黑体"/>
      <w:bCs/>
      <w:sz w:val="30"/>
      <w:szCs w:val="30"/>
    </w:rPr>
  </w:style>
  <w:style w:type="paragraph" w:customStyle="1" w:styleId="786">
    <w:name w:val="三浦 表第一行"/>
    <w:basedOn w:val="1"/>
    <w:link w:val="787"/>
    <w:autoRedefine/>
    <w:qFormat/>
    <w:uiPriority w:val="0"/>
    <w:pPr>
      <w:spacing w:line="320" w:lineRule="exact"/>
      <w:jc w:val="center"/>
    </w:pPr>
    <w:rPr>
      <w:b/>
    </w:rPr>
  </w:style>
  <w:style w:type="character" w:customStyle="1" w:styleId="787">
    <w:name w:val="三浦 表第一行 字符"/>
    <w:basedOn w:val="55"/>
    <w:link w:val="786"/>
    <w:autoRedefine/>
    <w:qFormat/>
    <w:uiPriority w:val="0"/>
    <w:rPr>
      <w:b/>
      <w:kern w:val="2"/>
      <w:sz w:val="21"/>
      <w:szCs w:val="22"/>
    </w:rPr>
  </w:style>
  <w:style w:type="character" w:customStyle="1" w:styleId="788">
    <w:name w:val="content-right_8zs40"/>
    <w:basedOn w:val="55"/>
    <w:autoRedefine/>
    <w:qFormat/>
    <w:uiPriority w:val="0"/>
  </w:style>
  <w:style w:type="paragraph" w:customStyle="1" w:styleId="789">
    <w:name w:val="表格 1"/>
    <w:basedOn w:val="1"/>
    <w:link w:val="790"/>
    <w:autoRedefine/>
    <w:qFormat/>
    <w:uiPriority w:val="0"/>
    <w:pPr>
      <w:spacing w:line="360" w:lineRule="exact"/>
      <w:jc w:val="center"/>
    </w:pPr>
    <w:rPr>
      <w:rFonts w:eastAsiaTheme="minorEastAsia" w:cstheme="minorBidi"/>
      <w:szCs w:val="21"/>
    </w:rPr>
  </w:style>
  <w:style w:type="character" w:customStyle="1" w:styleId="790">
    <w:name w:val="表格 1 字符"/>
    <w:link w:val="789"/>
    <w:autoRedefine/>
    <w:qFormat/>
    <w:uiPriority w:val="0"/>
    <w:rPr>
      <w:rFonts w:eastAsiaTheme="minorEastAsia" w:cstheme="minorBidi"/>
      <w:kern w:val="2"/>
      <w:sz w:val="21"/>
      <w:szCs w:val="21"/>
    </w:rPr>
  </w:style>
  <w:style w:type="paragraph" w:customStyle="1" w:styleId="791">
    <w:name w:val="1.表头"/>
    <w:basedOn w:val="1"/>
    <w:autoRedefine/>
    <w:qFormat/>
    <w:uiPriority w:val="0"/>
    <w:pPr>
      <w:spacing w:line="520" w:lineRule="exact"/>
      <w:ind w:firstLine="200" w:firstLineChars="200"/>
    </w:pPr>
    <w:rPr>
      <w:rFonts w:cs="宋体" w:eastAsiaTheme="minorEastAsia"/>
      <w:b/>
      <w:sz w:val="24"/>
      <w:szCs w:val="24"/>
    </w:rPr>
  </w:style>
  <w:style w:type="character" w:customStyle="1" w:styleId="792">
    <w:name w:val="正文文本首行缩进 字符2"/>
    <w:basedOn w:val="74"/>
    <w:autoRedefine/>
    <w:semiHidden/>
    <w:qFormat/>
    <w:uiPriority w:val="99"/>
    <w:rPr>
      <w:rFonts w:ascii="Times New Roman" w:hAnsi="Times New Roman"/>
      <w:kern w:val="2"/>
      <w:sz w:val="21"/>
      <w:szCs w:val="22"/>
    </w:rPr>
  </w:style>
  <w:style w:type="character" w:customStyle="1" w:styleId="793">
    <w:name w:val="表格 Char"/>
    <w:autoRedefine/>
    <w:qFormat/>
    <w:uiPriority w:val="0"/>
    <w:rPr>
      <w:sz w:val="21"/>
      <w:szCs w:val="21"/>
    </w:rPr>
  </w:style>
  <w:style w:type="paragraph" w:customStyle="1" w:styleId="794">
    <w:name w:val="A标题3"/>
    <w:basedOn w:val="4"/>
    <w:link w:val="795"/>
    <w:autoRedefine/>
    <w:qFormat/>
    <w:uiPriority w:val="0"/>
    <w:pPr>
      <w:numPr>
        <w:ilvl w:val="0"/>
        <w:numId w:val="5"/>
      </w:numPr>
      <w:spacing w:before="0" w:after="0" w:line="520" w:lineRule="exact"/>
    </w:pPr>
    <w:rPr>
      <w:bCs/>
      <w:sz w:val="28"/>
      <w:szCs w:val="24"/>
      <w:lang w:val="en-US"/>
    </w:rPr>
  </w:style>
  <w:style w:type="character" w:customStyle="1" w:styleId="795">
    <w:name w:val="A标题3 Char"/>
    <w:link w:val="794"/>
    <w:autoRedefine/>
    <w:qFormat/>
    <w:uiPriority w:val="0"/>
    <w:rPr>
      <w:b/>
      <w:bCs/>
      <w:kern w:val="2"/>
      <w:sz w:val="28"/>
      <w:szCs w:val="24"/>
    </w:rPr>
  </w:style>
  <w:style w:type="character" w:customStyle="1" w:styleId="796">
    <w:name w:val="电子邮件签名 字符"/>
    <w:basedOn w:val="55"/>
    <w:link w:val="13"/>
    <w:autoRedefine/>
    <w:semiHidden/>
    <w:qFormat/>
    <w:uiPriority w:val="99"/>
    <w:rPr>
      <w:kern w:val="2"/>
      <w:sz w:val="21"/>
      <w:szCs w:val="22"/>
    </w:rPr>
  </w:style>
  <w:style w:type="character" w:customStyle="1" w:styleId="797">
    <w:name w:val="未处理的提及1"/>
    <w:basedOn w:val="55"/>
    <w:autoRedefine/>
    <w:semiHidden/>
    <w:unhideWhenUsed/>
    <w:qFormat/>
    <w:uiPriority w:val="99"/>
    <w:rPr>
      <w:color w:val="605E5C"/>
      <w:shd w:val="clear" w:color="auto" w:fill="E1DFDD"/>
    </w:rPr>
  </w:style>
  <w:style w:type="paragraph" w:customStyle="1" w:styleId="798">
    <w:name w:val="A标题2"/>
    <w:basedOn w:val="3"/>
    <w:autoRedefine/>
    <w:qFormat/>
    <w:uiPriority w:val="0"/>
    <w:pPr>
      <w:tabs>
        <w:tab w:val="left" w:pos="0"/>
      </w:tabs>
      <w:spacing w:before="0" w:after="0" w:line="520" w:lineRule="exact"/>
    </w:pPr>
    <w:rPr>
      <w:rFonts w:ascii="Times New Roman" w:hAnsi="Times New Roman"/>
      <w:sz w:val="28"/>
      <w:szCs w:val="28"/>
      <w:lang w:val="en-US"/>
    </w:rPr>
  </w:style>
  <w:style w:type="paragraph" w:customStyle="1" w:styleId="799">
    <w:name w:val="A标题4"/>
    <w:basedOn w:val="6"/>
    <w:link w:val="800"/>
    <w:autoRedefine/>
    <w:qFormat/>
    <w:uiPriority w:val="0"/>
    <w:pPr>
      <w:spacing w:before="0" w:after="0" w:line="520" w:lineRule="exact"/>
      <w:ind w:left="851" w:hanging="851"/>
    </w:pPr>
    <w:rPr>
      <w:rFonts w:ascii="Times New Roman" w:hAnsi="Times New Roman" w:eastAsia="宋体" w:cs="Times New Roman"/>
      <w:sz w:val="24"/>
      <w:szCs w:val="24"/>
    </w:rPr>
  </w:style>
  <w:style w:type="character" w:customStyle="1" w:styleId="800">
    <w:name w:val="A标题4 Char"/>
    <w:link w:val="799"/>
    <w:qFormat/>
    <w:uiPriority w:val="0"/>
    <w:rPr>
      <w:b/>
      <w:bCs/>
      <w:kern w:val="2"/>
      <w:sz w:val="24"/>
      <w:szCs w:val="24"/>
    </w:rPr>
  </w:style>
  <w:style w:type="paragraph" w:customStyle="1" w:styleId="801">
    <w:name w:val="图表名称"/>
    <w:basedOn w:val="1"/>
    <w:autoRedefine/>
    <w:qFormat/>
    <w:uiPriority w:val="0"/>
    <w:pPr>
      <w:jc w:val="center"/>
    </w:pPr>
    <w:rPr>
      <w:rFonts w:ascii="Calibri" w:hAnsi="Calibri"/>
      <w:szCs w:val="24"/>
    </w:rPr>
  </w:style>
  <w:style w:type="character" w:customStyle="1" w:styleId="802">
    <w:name w:val="NormalCharacter"/>
    <w:autoRedefine/>
    <w:semiHidden/>
    <w:qFormat/>
    <w:uiPriority w:val="0"/>
    <w:rPr>
      <w:rFonts w:ascii="Times New Roman" w:hAnsi="Times New Roman"/>
      <w:kern w:val="2"/>
      <w:sz w:val="24"/>
      <w:szCs w:val="24"/>
      <w:lang w:val="en-US" w:eastAsia="zh-CN" w:bidi="ar-SA"/>
    </w:rPr>
  </w:style>
  <w:style w:type="paragraph" w:customStyle="1" w:styleId="803">
    <w:name w:val="Table Paragraph"/>
    <w:basedOn w:val="1"/>
    <w:autoRedefine/>
    <w:qFormat/>
    <w:uiPriority w:val="1"/>
    <w:pPr>
      <w:adjustRightInd w:val="0"/>
      <w:snapToGrid w:val="0"/>
      <w:jc w:val="center"/>
      <w:textAlignment w:val="baseline"/>
    </w:pPr>
    <w:rPr>
      <w:rFonts w:cs="宋体"/>
      <w:kern w:val="0"/>
      <w:szCs w:val="20"/>
      <w:lang w:val="zh-CN" w:bidi="zh-CN"/>
    </w:rPr>
  </w:style>
  <w:style w:type="paragraph" w:customStyle="1" w:styleId="804">
    <w:name w:val="表内5S"/>
    <w:basedOn w:val="1"/>
    <w:qFormat/>
    <w:uiPriority w:val="0"/>
    <w:pPr>
      <w:spacing w:line="300" w:lineRule="exact"/>
      <w:jc w:val="center"/>
    </w:pPr>
    <w:rPr>
      <w:rFonts w:eastAsia="方正宋三简体"/>
      <w:szCs w:val="20"/>
    </w:rPr>
  </w:style>
  <w:style w:type="paragraph" w:customStyle="1" w:styleId="805">
    <w:name w:val="样式 样式 样式 样式 首行缩进:  2 字符 + 居中 + (中文) 黑体 五号 首行缩进:  2 字符 + 首行缩进:  2..."/>
    <w:basedOn w:val="1"/>
    <w:uiPriority w:val="0"/>
    <w:pPr>
      <w:adjustRightInd w:val="0"/>
      <w:snapToGrid w:val="0"/>
      <w:spacing w:beforeLines="50" w:line="360" w:lineRule="auto"/>
      <w:jc w:val="center"/>
    </w:pPr>
    <w:rPr>
      <w:rFonts w:eastAsia="黑体" w:cs="宋体"/>
      <w:sz w:val="24"/>
      <w:szCs w:val="20"/>
    </w:rPr>
  </w:style>
  <w:style w:type="paragraph" w:customStyle="1" w:styleId="806">
    <w:name w:val="样式 样式 样式 首行缩进:  2 字符 + 居中 + 行距: 固定值 17 磅"/>
    <w:basedOn w:val="1"/>
    <w:uiPriority w:val="0"/>
    <w:pPr>
      <w:adjustRightInd w:val="0"/>
      <w:snapToGrid w:val="0"/>
      <w:spacing w:line="340" w:lineRule="exact"/>
      <w:jc w:val="center"/>
      <w:outlineLvl w:val="2"/>
    </w:pPr>
    <w:rPr>
      <w:rFonts w:cs="宋体"/>
      <w:color w:val="000000"/>
      <w:szCs w:val="20"/>
    </w:rPr>
  </w:style>
  <w:style w:type="character" w:customStyle="1" w:styleId="807">
    <w:name w:val="纯文本 Char1"/>
    <w:autoRedefine/>
    <w:qFormat/>
    <w:uiPriority w:val="0"/>
    <w:rPr>
      <w:rFonts w:ascii="宋体" w:hAnsi="Courier New" w:cs="Courier New"/>
      <w:kern w:val="2"/>
      <w:sz w:val="21"/>
      <w:szCs w:val="21"/>
    </w:rPr>
  </w:style>
  <w:style w:type="paragraph" w:customStyle="1" w:styleId="808">
    <w:name w:val="武正文"/>
    <w:basedOn w:val="1"/>
    <w:autoRedefine/>
    <w:qFormat/>
    <w:uiPriority w:val="0"/>
    <w:pPr>
      <w:spacing w:line="460" w:lineRule="exact"/>
      <w:ind w:firstLine="200" w:firstLineChars="200"/>
    </w:pPr>
    <w:rPr>
      <w:color w:val="000000"/>
      <w:sz w:val="24"/>
      <w:szCs w:val="20"/>
    </w:rPr>
  </w:style>
  <w:style w:type="table" w:customStyle="1" w:styleId="809">
    <w:name w:val="网格型（pxg）1"/>
    <w:basedOn w:val="4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0">
    <w:name w:val="三浦 3级 字符"/>
    <w:qFormat/>
    <w:locked/>
    <w:uiPriority w:val="0"/>
    <w:rPr>
      <w:rFonts w:ascii="Times New Roman" w:hAnsi="Times New Roman" w:eastAsia="黑体"/>
      <w:bCs/>
      <w:kern w:val="2"/>
      <w:sz w:val="28"/>
      <w:szCs w:val="28"/>
    </w:rPr>
  </w:style>
  <w:style w:type="character" w:customStyle="1" w:styleId="811">
    <w:name w:val="表头、图名 Char"/>
    <w:link w:val="812"/>
    <w:autoRedefine/>
    <w:qFormat/>
    <w:uiPriority w:val="0"/>
    <w:rPr>
      <w:rFonts w:eastAsia="黑体"/>
      <w:sz w:val="21"/>
      <w:szCs w:val="21"/>
    </w:rPr>
  </w:style>
  <w:style w:type="paragraph" w:customStyle="1" w:styleId="812">
    <w:name w:val="表头、图名"/>
    <w:basedOn w:val="1"/>
    <w:next w:val="107"/>
    <w:link w:val="811"/>
    <w:autoRedefine/>
    <w:qFormat/>
    <w:uiPriority w:val="0"/>
    <w:pPr>
      <w:spacing w:line="360" w:lineRule="auto"/>
      <w:jc w:val="center"/>
    </w:pPr>
    <w:rPr>
      <w:rFonts w:eastAsia="黑体"/>
      <w:kern w:val="0"/>
      <w:szCs w:val="21"/>
    </w:rPr>
  </w:style>
  <w:style w:type="character" w:customStyle="1" w:styleId="813">
    <w:name w:val="表格内容 样式 Char"/>
    <w:link w:val="814"/>
    <w:autoRedefine/>
    <w:qFormat/>
    <w:locked/>
    <w:uiPriority w:val="0"/>
    <w:rPr>
      <w:bCs/>
      <w:color w:val="000000"/>
      <w:kern w:val="2"/>
      <w:sz w:val="21"/>
      <w:szCs w:val="21"/>
    </w:rPr>
  </w:style>
  <w:style w:type="paragraph" w:customStyle="1" w:styleId="814">
    <w:name w:val="表格内容 样式"/>
    <w:basedOn w:val="1"/>
    <w:link w:val="813"/>
    <w:autoRedefine/>
    <w:qFormat/>
    <w:uiPriority w:val="0"/>
    <w:pPr>
      <w:adjustRightInd w:val="0"/>
      <w:snapToGrid w:val="0"/>
      <w:spacing w:line="360" w:lineRule="exact"/>
      <w:jc w:val="center"/>
    </w:pPr>
    <w:rPr>
      <w:bCs/>
      <w:color w:val="000000"/>
      <w:szCs w:val="21"/>
    </w:rPr>
  </w:style>
  <w:style w:type="table" w:customStyle="1" w:styleId="815">
    <w:name w:val="灰度表格1"/>
    <w:basedOn w:val="4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16">
    <w:name w:val="三线5"/>
    <w:basedOn w:val="52"/>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17">
    <w:name w:val="三线14"/>
    <w:basedOn w:val="52"/>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18">
    <w:name w:val="三线22"/>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19">
    <w:name w:val="三线112"/>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20">
    <w:name w:val="三线32"/>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21">
    <w:name w:val="三线122"/>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22">
    <w:name w:val="三线41"/>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23">
    <w:name w:val="三线131"/>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24">
    <w:name w:val="三线211"/>
    <w:basedOn w:val="52"/>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25">
    <w:name w:val="三线1111"/>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26">
    <w:name w:val="三线311"/>
    <w:basedOn w:val="52"/>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27">
    <w:name w:val="三线1211"/>
    <w:basedOn w:val="52"/>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character" w:customStyle="1" w:styleId="828">
    <w:name w:val="正文 宋体 Char"/>
    <w:link w:val="829"/>
    <w:autoRedefine/>
    <w:locked/>
    <w:uiPriority w:val="0"/>
    <w:rPr>
      <w:szCs w:val="21"/>
    </w:rPr>
  </w:style>
  <w:style w:type="paragraph" w:customStyle="1" w:styleId="829">
    <w:name w:val="正文 宋体"/>
    <w:basedOn w:val="1"/>
    <w:link w:val="828"/>
    <w:autoRedefine/>
    <w:qFormat/>
    <w:uiPriority w:val="0"/>
    <w:pPr>
      <w:adjustRightInd w:val="0"/>
      <w:snapToGrid w:val="0"/>
      <w:spacing w:line="360" w:lineRule="auto"/>
      <w:ind w:firstLine="420" w:firstLineChars="200"/>
    </w:pPr>
    <w:rPr>
      <w:kern w:val="0"/>
      <w:sz w:val="20"/>
      <w:szCs w:val="21"/>
    </w:rPr>
  </w:style>
  <w:style w:type="table" w:customStyle="1" w:styleId="830">
    <w:name w:val="网格型6"/>
    <w:basedOn w:val="49"/>
    <w:qFormat/>
    <w:uiPriority w:val="0"/>
    <w:pPr>
      <w:jc w:val="both"/>
    </w:pPr>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31">
    <w:name w:val="标题 1 Char"/>
    <w:autoRedefine/>
    <w:qFormat/>
    <w:uiPriority w:val="9"/>
    <w:rPr>
      <w:rFonts w:ascii="Times New Roman" w:hAnsi="Times New Roman"/>
      <w:b/>
      <w:bCs/>
      <w:kern w:val="44"/>
      <w:sz w:val="44"/>
      <w:szCs w:val="44"/>
    </w:rPr>
  </w:style>
  <w:style w:type="character" w:customStyle="1" w:styleId="832">
    <w:name w:val="标题 5 Char"/>
    <w:autoRedefine/>
    <w:semiHidden/>
    <w:qFormat/>
    <w:uiPriority w:val="9"/>
    <w:rPr>
      <w:rFonts w:ascii="Times New Roman" w:hAnsi="Times New Roman"/>
      <w:b/>
      <w:bCs/>
      <w:kern w:val="2"/>
      <w:sz w:val="28"/>
      <w:szCs w:val="28"/>
    </w:rPr>
  </w:style>
  <w:style w:type="character" w:customStyle="1" w:styleId="833">
    <w:name w:val="标题 6 Char"/>
    <w:autoRedefine/>
    <w:semiHidden/>
    <w:qFormat/>
    <w:uiPriority w:val="9"/>
    <w:rPr>
      <w:rFonts w:ascii="Cambria" w:hAnsi="Cambria" w:eastAsia="宋体" w:cs="Times New Roman"/>
      <w:b/>
      <w:bCs/>
      <w:kern w:val="2"/>
      <w:sz w:val="24"/>
      <w:szCs w:val="24"/>
    </w:rPr>
  </w:style>
  <w:style w:type="character" w:customStyle="1" w:styleId="834">
    <w:name w:val="标题 7 Char"/>
    <w:autoRedefine/>
    <w:semiHidden/>
    <w:qFormat/>
    <w:uiPriority w:val="9"/>
    <w:rPr>
      <w:rFonts w:ascii="Times New Roman" w:hAnsi="Times New Roman"/>
      <w:b/>
      <w:bCs/>
      <w:kern w:val="2"/>
      <w:sz w:val="24"/>
      <w:szCs w:val="24"/>
    </w:rPr>
  </w:style>
  <w:style w:type="character" w:customStyle="1" w:styleId="835">
    <w:name w:val="标题 8 Char"/>
    <w:semiHidden/>
    <w:qFormat/>
    <w:uiPriority w:val="9"/>
    <w:rPr>
      <w:rFonts w:ascii="Cambria" w:hAnsi="Cambria" w:eastAsia="宋体" w:cs="Times New Roman"/>
      <w:kern w:val="2"/>
      <w:sz w:val="24"/>
      <w:szCs w:val="24"/>
    </w:rPr>
  </w:style>
  <w:style w:type="character" w:customStyle="1" w:styleId="836">
    <w:name w:val="标题 9 Char"/>
    <w:semiHidden/>
    <w:uiPriority w:val="9"/>
    <w:rPr>
      <w:rFonts w:ascii="Cambria" w:hAnsi="Cambria" w:eastAsia="宋体" w:cs="Times New Roman"/>
      <w:kern w:val="2"/>
      <w:sz w:val="21"/>
      <w:szCs w:val="21"/>
    </w:rPr>
  </w:style>
  <w:style w:type="character" w:customStyle="1" w:styleId="837">
    <w:name w:val="批注文字 Char"/>
    <w:autoRedefine/>
    <w:semiHidden/>
    <w:qFormat/>
    <w:uiPriority w:val="99"/>
    <w:rPr>
      <w:rFonts w:ascii="Times New Roman" w:hAnsi="Times New Roman"/>
      <w:kern w:val="2"/>
      <w:sz w:val="28"/>
      <w:szCs w:val="24"/>
    </w:rPr>
  </w:style>
  <w:style w:type="character" w:customStyle="1" w:styleId="838">
    <w:name w:val="页脚 Char"/>
    <w:autoRedefine/>
    <w:semiHidden/>
    <w:qFormat/>
    <w:uiPriority w:val="99"/>
    <w:rPr>
      <w:rFonts w:ascii="Times New Roman" w:hAnsi="Times New Roman"/>
      <w:kern w:val="2"/>
      <w:sz w:val="18"/>
      <w:szCs w:val="18"/>
    </w:rPr>
  </w:style>
  <w:style w:type="character" w:customStyle="1" w:styleId="839">
    <w:name w:val="正文文本缩进 Char"/>
    <w:autoRedefine/>
    <w:qFormat/>
    <w:uiPriority w:val="99"/>
    <w:rPr>
      <w:rFonts w:ascii="Times New Roman" w:hAnsi="Times New Roman"/>
      <w:kern w:val="2"/>
      <w:sz w:val="28"/>
      <w:szCs w:val="24"/>
    </w:rPr>
  </w:style>
  <w:style w:type="character" w:customStyle="1" w:styleId="840">
    <w:name w:val="日期 Char"/>
    <w:autoRedefine/>
    <w:semiHidden/>
    <w:qFormat/>
    <w:uiPriority w:val="99"/>
    <w:rPr>
      <w:rFonts w:ascii="Times New Roman" w:hAnsi="Times New Roman"/>
      <w:kern w:val="2"/>
      <w:sz w:val="28"/>
      <w:szCs w:val="24"/>
    </w:rPr>
  </w:style>
  <w:style w:type="character" w:customStyle="1" w:styleId="841">
    <w:name w:val="正文文本 3 Char"/>
    <w:semiHidden/>
    <w:uiPriority w:val="99"/>
    <w:rPr>
      <w:rFonts w:ascii="Times New Roman" w:hAnsi="Times New Roman"/>
      <w:kern w:val="2"/>
      <w:sz w:val="16"/>
      <w:szCs w:val="16"/>
    </w:rPr>
  </w:style>
  <w:style w:type="character" w:customStyle="1" w:styleId="842">
    <w:name w:val="正文文本缩进 2 Char"/>
    <w:semiHidden/>
    <w:uiPriority w:val="99"/>
    <w:rPr>
      <w:rFonts w:ascii="Times New Roman" w:hAnsi="Times New Roman"/>
      <w:kern w:val="2"/>
      <w:sz w:val="28"/>
      <w:szCs w:val="24"/>
    </w:rPr>
  </w:style>
  <w:style w:type="character" w:customStyle="1" w:styleId="843">
    <w:name w:val="正文文本缩进 3 Char"/>
    <w:autoRedefine/>
    <w:semiHidden/>
    <w:qFormat/>
    <w:uiPriority w:val="99"/>
    <w:rPr>
      <w:rFonts w:ascii="Times New Roman" w:hAnsi="Times New Roman"/>
      <w:kern w:val="2"/>
      <w:sz w:val="16"/>
      <w:szCs w:val="16"/>
    </w:rPr>
  </w:style>
  <w:style w:type="character" w:customStyle="1" w:styleId="844">
    <w:name w:val="批注主题 Char"/>
    <w:autoRedefine/>
    <w:semiHidden/>
    <w:qFormat/>
    <w:uiPriority w:val="99"/>
    <w:rPr>
      <w:rFonts w:ascii="Times New Roman" w:hAnsi="Times New Roman"/>
      <w:b/>
      <w:bCs/>
      <w:kern w:val="2"/>
      <w:sz w:val="28"/>
      <w:szCs w:val="24"/>
    </w:rPr>
  </w:style>
  <w:style w:type="character" w:customStyle="1" w:styleId="845">
    <w:name w:val="表格正文 Char1"/>
    <w:autoRedefine/>
    <w:qFormat/>
    <w:locked/>
    <w:uiPriority w:val="0"/>
    <w:rPr>
      <w:szCs w:val="24"/>
    </w:rPr>
  </w:style>
  <w:style w:type="character" w:customStyle="1" w:styleId="846">
    <w:name w:val="表头文字 Char"/>
    <w:link w:val="847"/>
    <w:autoRedefine/>
    <w:qFormat/>
    <w:locked/>
    <w:uiPriority w:val="0"/>
    <w:rPr>
      <w:b/>
      <w:sz w:val="21"/>
    </w:rPr>
  </w:style>
  <w:style w:type="paragraph" w:customStyle="1" w:styleId="847">
    <w:name w:val="表头文字"/>
    <w:basedOn w:val="1"/>
    <w:link w:val="846"/>
    <w:uiPriority w:val="0"/>
    <w:pPr>
      <w:widowControl/>
      <w:adjustRightInd w:val="0"/>
      <w:snapToGrid w:val="0"/>
      <w:spacing w:line="360" w:lineRule="exact"/>
    </w:pPr>
    <w:rPr>
      <w:b/>
      <w:kern w:val="0"/>
      <w:szCs w:val="20"/>
    </w:rPr>
  </w:style>
  <w:style w:type="paragraph" w:customStyle="1" w:styleId="848">
    <w:name w:val="表内式样"/>
    <w:uiPriority w:val="0"/>
    <w:pPr>
      <w:widowControl w:val="0"/>
      <w:jc w:val="center"/>
    </w:pPr>
    <w:rPr>
      <w:rFonts w:ascii="宋体" w:hAnsi="宋体" w:eastAsia="宋体" w:cs="Times New Roman"/>
      <w:kern w:val="2"/>
      <w:sz w:val="21"/>
      <w:szCs w:val="24"/>
      <w:lang w:val="en-US" w:eastAsia="zh-CN" w:bidi="ar-SA"/>
    </w:rPr>
  </w:style>
  <w:style w:type="character" w:customStyle="1" w:styleId="849">
    <w:name w:val="t_tag"/>
    <w:basedOn w:val="55"/>
    <w:qFormat/>
    <w:uiPriority w:val="0"/>
  </w:style>
  <w:style w:type="character" w:customStyle="1" w:styleId="850">
    <w:name w:val="正文文本 Char1"/>
    <w:autoRedefine/>
    <w:semiHidden/>
    <w:qFormat/>
    <w:locked/>
    <w:uiPriority w:val="0"/>
    <w:rPr>
      <w:rFonts w:ascii="Times New Roman" w:hAnsi="Times New Roman"/>
      <w:kern w:val="2"/>
      <w:sz w:val="24"/>
      <w:lang w:val="zh-CN" w:eastAsia="zh-CN"/>
    </w:rPr>
  </w:style>
  <w:style w:type="character" w:customStyle="1" w:styleId="851">
    <w:name w:val="Char Char8"/>
    <w:uiPriority w:val="0"/>
    <w:rPr>
      <w:kern w:val="2"/>
      <w:sz w:val="28"/>
      <w:szCs w:val="24"/>
    </w:rPr>
  </w:style>
  <w:style w:type="paragraph" w:customStyle="1" w:styleId="852">
    <w:name w:val="TableStyle10.5"/>
    <w:basedOn w:val="1"/>
    <w:autoRedefine/>
    <w:qFormat/>
    <w:uiPriority w:val="0"/>
    <w:pPr>
      <w:jc w:val="center"/>
    </w:pPr>
    <w:rPr>
      <w:kern w:val="0"/>
    </w:rPr>
  </w:style>
  <w:style w:type="character" w:customStyle="1" w:styleId="853">
    <w:name w:val="样式 左侧:  1.11 厘米 Char Char"/>
    <w:link w:val="854"/>
    <w:autoRedefine/>
    <w:locked/>
    <w:uiPriority w:val="0"/>
    <w:rPr>
      <w:kern w:val="2"/>
      <w:sz w:val="24"/>
    </w:rPr>
  </w:style>
  <w:style w:type="paragraph" w:customStyle="1" w:styleId="854">
    <w:name w:val="样式 左侧:  1.11 厘米"/>
    <w:basedOn w:val="1"/>
    <w:link w:val="853"/>
    <w:autoRedefine/>
    <w:qFormat/>
    <w:uiPriority w:val="0"/>
    <w:pPr>
      <w:tabs>
        <w:tab w:val="left" w:pos="0"/>
      </w:tabs>
      <w:spacing w:line="360" w:lineRule="auto"/>
      <w:ind w:left="629" w:firstLine="200" w:firstLineChars="200"/>
    </w:pPr>
    <w:rPr>
      <w:sz w:val="24"/>
      <w:szCs w:val="20"/>
    </w:rPr>
  </w:style>
  <w:style w:type="paragraph" w:customStyle="1" w:styleId="855">
    <w:name w:val="TableStyleNoCenter10.5"/>
    <w:basedOn w:val="1"/>
    <w:autoRedefine/>
    <w:qFormat/>
    <w:uiPriority w:val="0"/>
    <w:rPr>
      <w:kern w:val="0"/>
    </w:rPr>
  </w:style>
  <w:style w:type="character" w:customStyle="1" w:styleId="856">
    <w:name w:val="标题 3 Char Char Char"/>
    <w:autoRedefine/>
    <w:qFormat/>
    <w:uiPriority w:val="0"/>
    <w:rPr>
      <w:rFonts w:ascii="Times New Roman" w:hAnsi="Times New Roman"/>
      <w:b/>
      <w:bCs/>
      <w:sz w:val="32"/>
      <w:szCs w:val="32"/>
    </w:rPr>
  </w:style>
  <w:style w:type="character" w:customStyle="1" w:styleId="857">
    <w:name w:val="正文文本首行缩进 2 字符2"/>
    <w:basedOn w:val="156"/>
    <w:autoRedefine/>
    <w:semiHidden/>
    <w:qFormat/>
    <w:uiPriority w:val="99"/>
    <w:rPr>
      <w:spacing w:val="4"/>
      <w:kern w:val="2"/>
      <w:sz w:val="21"/>
      <w:szCs w:val="22"/>
    </w:rPr>
  </w:style>
  <w:style w:type="paragraph" w:customStyle="1" w:styleId="858">
    <w:name w:val="5正文"/>
    <w:link w:val="859"/>
    <w:qFormat/>
    <w:uiPriority w:val="0"/>
    <w:pPr>
      <w:widowControl w:val="0"/>
      <w:spacing w:line="520" w:lineRule="exact"/>
      <w:ind w:firstLine="200" w:firstLineChars="200"/>
      <w:jc w:val="both"/>
    </w:pPr>
    <w:rPr>
      <w:rFonts w:ascii="Times New Roman" w:hAnsi="Times New Roman" w:eastAsia="宋体" w:cs="Times New Roman"/>
      <w:kern w:val="2"/>
      <w:sz w:val="24"/>
      <w:lang w:val="en-US" w:eastAsia="zh-CN" w:bidi="ar-SA"/>
    </w:rPr>
  </w:style>
  <w:style w:type="character" w:customStyle="1" w:styleId="859">
    <w:name w:val="5正文 Char Char"/>
    <w:link w:val="858"/>
    <w:autoRedefine/>
    <w:qFormat/>
    <w:uiPriority w:val="0"/>
    <w:rPr>
      <w:kern w:val="2"/>
      <w:sz w:val="24"/>
    </w:rPr>
  </w:style>
  <w:style w:type="character" w:customStyle="1" w:styleId="860">
    <w:name w:val="Body text|1_"/>
    <w:link w:val="861"/>
    <w:autoRedefine/>
    <w:qFormat/>
    <w:uiPriority w:val="0"/>
    <w:rPr>
      <w:rFonts w:ascii="宋体" w:hAnsi="宋体" w:cs="宋体"/>
      <w:sz w:val="22"/>
      <w:szCs w:val="22"/>
      <w:lang w:val="zh-TW" w:eastAsia="zh-TW" w:bidi="zh-TW"/>
    </w:rPr>
  </w:style>
  <w:style w:type="paragraph" w:customStyle="1" w:styleId="861">
    <w:name w:val="Body text|1"/>
    <w:basedOn w:val="1"/>
    <w:link w:val="860"/>
    <w:autoRedefine/>
    <w:qFormat/>
    <w:uiPriority w:val="0"/>
    <w:pPr>
      <w:spacing w:line="480" w:lineRule="auto"/>
      <w:ind w:firstLine="400"/>
      <w:jc w:val="left"/>
    </w:pPr>
    <w:rPr>
      <w:rFonts w:ascii="宋体" w:hAnsi="宋体" w:cs="宋体"/>
      <w:kern w:val="0"/>
      <w:sz w:val="22"/>
      <w:lang w:val="zh-TW" w:eastAsia="zh-TW" w:bidi="zh-TW"/>
    </w:rPr>
  </w:style>
  <w:style w:type="character" w:customStyle="1" w:styleId="862">
    <w:name w:val="Char Char Char"/>
    <w:qFormat/>
    <w:locked/>
    <w:uiPriority w:val="0"/>
    <w:rPr>
      <w:rFonts w:eastAsia="宋体"/>
      <w:kern w:val="2"/>
      <w:sz w:val="28"/>
      <w:lang w:val="en-US" w:eastAsia="zh-CN" w:bidi="ar-SA"/>
    </w:rPr>
  </w:style>
  <w:style w:type="table" w:customStyle="1" w:styleId="863">
    <w:name w:val="三线6"/>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paragraph" w:customStyle="1" w:styleId="864">
    <w:name w:val="BG1"/>
    <w:basedOn w:val="1"/>
    <w:autoRedefine/>
    <w:qFormat/>
    <w:uiPriority w:val="0"/>
    <w:pPr>
      <w:overflowPunct w:val="0"/>
      <w:adjustRightInd w:val="0"/>
      <w:spacing w:line="360" w:lineRule="auto"/>
      <w:ind w:right="-57"/>
      <w:jc w:val="center"/>
    </w:pPr>
    <w:rPr>
      <w:spacing w:val="20"/>
      <w:sz w:val="24"/>
      <w:szCs w:val="21"/>
    </w:rPr>
  </w:style>
  <w:style w:type="paragraph" w:customStyle="1" w:styleId="865">
    <w:name w:val="brdrw15brsp20 tqctx4153t"/>
    <w:qFormat/>
    <w:uiPriority w:val="0"/>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character" w:customStyle="1" w:styleId="866">
    <w:name w:val="标题 3 Char2"/>
    <w:autoRedefine/>
    <w:semiHidden/>
    <w:qFormat/>
    <w:locked/>
    <w:uiPriority w:val="0"/>
    <w:rPr>
      <w:rFonts w:ascii="宋体" w:hAnsi="宋体"/>
      <w:b/>
      <w:bCs/>
      <w:sz w:val="27"/>
      <w:szCs w:val="27"/>
    </w:rPr>
  </w:style>
  <w:style w:type="table" w:customStyle="1" w:styleId="867">
    <w:name w:val="三线15"/>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68">
    <w:name w:val="三线23"/>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69">
    <w:name w:val="三线113"/>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70">
    <w:name w:val="三线33"/>
    <w:basedOn w:val="52"/>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71">
    <w:name w:val="三线123"/>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paragraph" w:customStyle="1" w:styleId="872">
    <w:name w:val="BodyText2"/>
    <w:basedOn w:val="1"/>
    <w:autoRedefine/>
    <w:qFormat/>
    <w:uiPriority w:val="0"/>
    <w:pPr>
      <w:widowControl/>
      <w:spacing w:line="312" w:lineRule="auto"/>
      <w:jc w:val="left"/>
      <w:textAlignment w:val="baseline"/>
    </w:pPr>
    <w:rPr>
      <w:rFonts w:ascii="宋体"/>
      <w:kern w:val="0"/>
      <w:sz w:val="28"/>
      <w:szCs w:val="20"/>
    </w:rPr>
  </w:style>
  <w:style w:type="paragraph" w:customStyle="1" w:styleId="873">
    <w:name w:val="正式文"/>
    <w:basedOn w:val="5"/>
    <w:autoRedefine/>
    <w:qFormat/>
    <w:uiPriority w:val="0"/>
    <w:pPr>
      <w:adjustRightInd/>
      <w:spacing w:line="620" w:lineRule="exact"/>
      <w:ind w:firstLine="560" w:firstLineChars="200"/>
      <w:textAlignment w:val="auto"/>
    </w:pPr>
    <w:rPr>
      <w:sz w:val="20"/>
      <w:lang w:val="en-US"/>
    </w:rPr>
  </w:style>
  <w:style w:type="paragraph" w:customStyle="1" w:styleId="874">
    <w:name w:val="body"/>
    <w:basedOn w:val="1"/>
    <w:qFormat/>
    <w:uiPriority w:val="0"/>
    <w:pPr>
      <w:spacing w:line="360" w:lineRule="auto"/>
      <w:ind w:firstLine="480" w:firstLineChars="200"/>
    </w:pPr>
    <w:rPr>
      <w:rFonts w:ascii="宋体" w:hAnsi="宋体"/>
      <w:sz w:val="24"/>
      <w:szCs w:val="24"/>
    </w:rPr>
  </w:style>
  <w:style w:type="character" w:customStyle="1" w:styleId="875">
    <w:name w:val="标题 2 Char"/>
    <w:autoRedefine/>
    <w:qFormat/>
    <w:uiPriority w:val="0"/>
    <w:rPr>
      <w:rFonts w:hint="eastAsia" w:ascii="宋体" w:hAnsi="宋体" w:eastAsia="宋体"/>
      <w:b/>
      <w:kern w:val="2"/>
      <w:sz w:val="28"/>
      <w:lang w:val="en-US" w:eastAsia="zh-CN"/>
    </w:rPr>
  </w:style>
  <w:style w:type="table" w:customStyle="1" w:styleId="876">
    <w:name w:val="三线42"/>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77">
    <w:name w:val="三线132"/>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78">
    <w:name w:val="三线212"/>
    <w:basedOn w:val="52"/>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79">
    <w:name w:val="三线1112"/>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80">
    <w:name w:val="三线312"/>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81">
    <w:name w:val="三线1212"/>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character" w:customStyle="1" w:styleId="882">
    <w:name w:val="A 正文 Char"/>
    <w:link w:val="883"/>
    <w:autoRedefine/>
    <w:qFormat/>
    <w:uiPriority w:val="0"/>
    <w:rPr>
      <w:bCs/>
      <w:sz w:val="24"/>
    </w:rPr>
  </w:style>
  <w:style w:type="paragraph" w:customStyle="1" w:styleId="883">
    <w:name w:val="A 正文"/>
    <w:basedOn w:val="1"/>
    <w:link w:val="882"/>
    <w:autoRedefine/>
    <w:qFormat/>
    <w:uiPriority w:val="0"/>
    <w:pPr>
      <w:spacing w:line="520" w:lineRule="exact"/>
      <w:ind w:firstLine="480" w:firstLineChars="200"/>
    </w:pPr>
    <w:rPr>
      <w:bCs/>
      <w:kern w:val="0"/>
      <w:sz w:val="24"/>
      <w:szCs w:val="20"/>
    </w:rPr>
  </w:style>
  <w:style w:type="paragraph" w:customStyle="1" w:styleId="884">
    <w:name w:val="样式 四号 首行缩进:  2 字符"/>
    <w:basedOn w:val="1"/>
    <w:autoRedefine/>
    <w:qFormat/>
    <w:uiPriority w:val="0"/>
    <w:pPr>
      <w:spacing w:line="480" w:lineRule="atLeast"/>
      <w:ind w:firstLine="200" w:firstLineChars="200"/>
    </w:pPr>
    <w:rPr>
      <w:sz w:val="24"/>
      <w:szCs w:val="24"/>
    </w:rPr>
  </w:style>
  <w:style w:type="table" w:customStyle="1" w:styleId="885">
    <w:name w:val="灰度表格2"/>
    <w:basedOn w:val="4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三线7"/>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87">
    <w:name w:val="三线16"/>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88">
    <w:name w:val="三线24"/>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89">
    <w:name w:val="三线114"/>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90">
    <w:name w:val="三线34"/>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91">
    <w:name w:val="三线124"/>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92">
    <w:name w:val="三线43"/>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93">
    <w:name w:val="三线133"/>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94">
    <w:name w:val="三线213"/>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95">
    <w:name w:val="三线1113"/>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96">
    <w:name w:val="三线313"/>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97">
    <w:name w:val="三线1213"/>
    <w:basedOn w:val="52"/>
    <w:autoRedefine/>
    <w:qFormat/>
    <w:uiPriority w:val="0"/>
    <w:pPr>
      <w:snapToGrid w:val="0"/>
    </w:pPr>
    <w:rPr>
      <w:sz w:val="21"/>
    </w:rPr>
    <w:tblPr>
      <w:tblBorders>
        <w:top w:val="single" w:color="auto" w:sz="12" w:space="0"/>
        <w:bottom w:val="single" w:color="auto" w:sz="12" w:space="0"/>
        <w:insideH w:val="single" w:color="auto" w:sz="2" w:space="0"/>
        <w:insideV w:val="single" w:color="auto" w:sz="2" w:space="0"/>
      </w:tblBorders>
    </w:tblPr>
    <w:tcPr>
      <w:shd w:val="clear" w:color="auto" w:fill="FFFFFF"/>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character" w:customStyle="1" w:styleId="898">
    <w:name w:val="font91"/>
    <w:autoRedefine/>
    <w:qFormat/>
    <w:uiPriority w:val="0"/>
    <w:rPr>
      <w:rFonts w:hint="default" w:ascii="Times New Roman" w:hAnsi="Times New Roman" w:cs="Times New Roman"/>
      <w:color w:val="000000"/>
      <w:sz w:val="21"/>
      <w:szCs w:val="21"/>
      <w:u w:val="none"/>
      <w:vertAlign w:val="superscript"/>
    </w:rPr>
  </w:style>
  <w:style w:type="paragraph" w:customStyle="1" w:styleId="899">
    <w:name w:val="表格1"/>
    <w:basedOn w:val="25"/>
    <w:autoRedefine/>
    <w:qFormat/>
    <w:uiPriority w:val="0"/>
    <w:pPr>
      <w:jc w:val="center"/>
    </w:pPr>
    <w:rPr>
      <w:rFonts w:ascii="Times New Roman" w:hAnsi="Times New Roman"/>
      <w:szCs w:val="24"/>
      <w:lang w:val="en-US"/>
    </w:rPr>
  </w:style>
  <w:style w:type="table" w:customStyle="1" w:styleId="900">
    <w:name w:val="网格型7"/>
    <w:basedOn w:val="49"/>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Table Normal2"/>
    <w:basedOn w:val="49"/>
    <w:autoRedefine/>
    <w:qFormat/>
    <w:uiPriority w:val="0"/>
    <w:rPr>
      <w:rFonts w:eastAsia="Times New Roman"/>
    </w:rPr>
    <w:tblPr>
      <w:tblCellMar>
        <w:left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61.png"/><Relationship Id="rId98" Type="http://schemas.openxmlformats.org/officeDocument/2006/relationships/image" Target="media/image60.png"/><Relationship Id="rId97" Type="http://schemas.openxmlformats.org/officeDocument/2006/relationships/image" Target="media/image59.png"/><Relationship Id="rId96" Type="http://schemas.openxmlformats.org/officeDocument/2006/relationships/image" Target="media/image58.png"/><Relationship Id="rId95" Type="http://schemas.openxmlformats.org/officeDocument/2006/relationships/image" Target="media/image57.png"/><Relationship Id="rId94" Type="http://schemas.openxmlformats.org/officeDocument/2006/relationships/image" Target="media/image56.png"/><Relationship Id="rId93" Type="http://schemas.openxmlformats.org/officeDocument/2006/relationships/image" Target="media/image55.png"/><Relationship Id="rId92" Type="http://schemas.openxmlformats.org/officeDocument/2006/relationships/image" Target="media/image54.png"/><Relationship Id="rId91" Type="http://schemas.openxmlformats.org/officeDocument/2006/relationships/image" Target="media/image53.png"/><Relationship Id="rId90" Type="http://schemas.openxmlformats.org/officeDocument/2006/relationships/image" Target="media/image52.png"/><Relationship Id="rId9" Type="http://schemas.openxmlformats.org/officeDocument/2006/relationships/footer" Target="footer3.xml"/><Relationship Id="rId89" Type="http://schemas.openxmlformats.org/officeDocument/2006/relationships/image" Target="media/image51.png"/><Relationship Id="rId88" Type="http://schemas.openxmlformats.org/officeDocument/2006/relationships/image" Target="media/image50.png"/><Relationship Id="rId87" Type="http://schemas.openxmlformats.org/officeDocument/2006/relationships/image" Target="media/image49.jpeg"/><Relationship Id="rId86" Type="http://schemas.openxmlformats.org/officeDocument/2006/relationships/image" Target="media/image48.png"/><Relationship Id="rId85" Type="http://schemas.openxmlformats.org/officeDocument/2006/relationships/image" Target="media/image47.png"/><Relationship Id="rId84" Type="http://schemas.openxmlformats.org/officeDocument/2006/relationships/image" Target="media/image46.png"/><Relationship Id="rId83" Type="http://schemas.openxmlformats.org/officeDocument/2006/relationships/image" Target="media/image45.jpeg"/><Relationship Id="rId82" Type="http://schemas.openxmlformats.org/officeDocument/2006/relationships/image" Target="media/image44.png"/><Relationship Id="rId81" Type="http://schemas.openxmlformats.org/officeDocument/2006/relationships/image" Target="media/image43.png"/><Relationship Id="rId80" Type="http://schemas.openxmlformats.org/officeDocument/2006/relationships/image" Target="media/image42.jpeg"/><Relationship Id="rId8" Type="http://schemas.openxmlformats.org/officeDocument/2006/relationships/footer" Target="footer2.xml"/><Relationship Id="rId79" Type="http://schemas.openxmlformats.org/officeDocument/2006/relationships/image" Target="media/image41.jpeg"/><Relationship Id="rId78" Type="http://schemas.openxmlformats.org/officeDocument/2006/relationships/image" Target="media/image40.jpeg"/><Relationship Id="rId77" Type="http://schemas.openxmlformats.org/officeDocument/2006/relationships/image" Target="media/image39.jpeg"/><Relationship Id="rId76" Type="http://schemas.openxmlformats.org/officeDocument/2006/relationships/image" Target="media/image38.jpeg"/><Relationship Id="rId75" Type="http://schemas.openxmlformats.org/officeDocument/2006/relationships/image" Target="media/image37.jpeg"/><Relationship Id="rId74" Type="http://schemas.openxmlformats.org/officeDocument/2006/relationships/image" Target="media/image36.jpeg"/><Relationship Id="rId73" Type="http://schemas.openxmlformats.org/officeDocument/2006/relationships/image" Target="media/image35.jpeg"/><Relationship Id="rId72" Type="http://schemas.openxmlformats.org/officeDocument/2006/relationships/image" Target="media/image34.png"/><Relationship Id="rId71" Type="http://schemas.openxmlformats.org/officeDocument/2006/relationships/image" Target="media/image33.png"/><Relationship Id="rId70" Type="http://schemas.openxmlformats.org/officeDocument/2006/relationships/image" Target="media/image32.png"/><Relationship Id="rId7" Type="http://schemas.openxmlformats.org/officeDocument/2006/relationships/header" Target="header4.xml"/><Relationship Id="rId69" Type="http://schemas.openxmlformats.org/officeDocument/2006/relationships/image" Target="media/image31.jpeg"/><Relationship Id="rId68" Type="http://schemas.openxmlformats.org/officeDocument/2006/relationships/image" Target="media/image30.jpeg"/><Relationship Id="rId67" Type="http://schemas.openxmlformats.org/officeDocument/2006/relationships/image" Target="media/image29.jpeg"/><Relationship Id="rId66" Type="http://schemas.openxmlformats.org/officeDocument/2006/relationships/image" Target="media/image28.png"/><Relationship Id="rId65" Type="http://schemas.openxmlformats.org/officeDocument/2006/relationships/oleObject" Target="embeddings/oleObject5.bin"/><Relationship Id="rId64" Type="http://schemas.openxmlformats.org/officeDocument/2006/relationships/image" Target="media/image27.png"/><Relationship Id="rId63" Type="http://schemas.openxmlformats.org/officeDocument/2006/relationships/oleObject" Target="embeddings/oleObject4.bin"/><Relationship Id="rId62" Type="http://schemas.openxmlformats.org/officeDocument/2006/relationships/image" Target="media/image26.png"/><Relationship Id="rId61" Type="http://schemas.openxmlformats.org/officeDocument/2006/relationships/oleObject" Target="embeddings/oleObject3.bin"/><Relationship Id="rId60" Type="http://schemas.openxmlformats.org/officeDocument/2006/relationships/image" Target="media/image25.png"/><Relationship Id="rId6" Type="http://schemas.openxmlformats.org/officeDocument/2006/relationships/header" Target="header3.xml"/><Relationship Id="rId59" Type="http://schemas.openxmlformats.org/officeDocument/2006/relationships/oleObject" Target="embeddings/oleObject2.bin"/><Relationship Id="rId58" Type="http://schemas.openxmlformats.org/officeDocument/2006/relationships/image" Target="media/image24.jpeg"/><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jpeg"/><Relationship Id="rId54" Type="http://schemas.openxmlformats.org/officeDocument/2006/relationships/image" Target="media/image20.png"/><Relationship Id="rId53" Type="http://schemas.openxmlformats.org/officeDocument/2006/relationships/image" Target="media/image19.jpeg"/><Relationship Id="rId52" Type="http://schemas.openxmlformats.org/officeDocument/2006/relationships/image" Target="media/image18.jpeg"/><Relationship Id="rId51" Type="http://schemas.openxmlformats.org/officeDocument/2006/relationships/image" Target="media/image17.jpeg"/><Relationship Id="rId50" Type="http://schemas.openxmlformats.org/officeDocument/2006/relationships/image" Target="media/image16.png"/><Relationship Id="rId5" Type="http://schemas.openxmlformats.org/officeDocument/2006/relationships/header" Target="header2.xml"/><Relationship Id="rId49" Type="http://schemas.openxmlformats.org/officeDocument/2006/relationships/oleObject" Target="embeddings/oleObject1.bin"/><Relationship Id="rId48" Type="http://schemas.openxmlformats.org/officeDocument/2006/relationships/image" Target="media/image15.png"/><Relationship Id="rId47" Type="http://schemas.openxmlformats.org/officeDocument/2006/relationships/package" Target="embeddings/Microsoft_Visio___3.vsdx"/><Relationship Id="rId46" Type="http://schemas.openxmlformats.org/officeDocument/2006/relationships/image" Target="media/image14.png"/><Relationship Id="rId45" Type="http://schemas.openxmlformats.org/officeDocument/2006/relationships/image" Target="media/image13.png"/><Relationship Id="rId44" Type="http://schemas.openxmlformats.org/officeDocument/2006/relationships/package" Target="embeddings/Microsoft_Visio___2.vsdx"/><Relationship Id="rId43" Type="http://schemas.openxmlformats.org/officeDocument/2006/relationships/image" Target="media/image12.png"/><Relationship Id="rId42" Type="http://schemas.openxmlformats.org/officeDocument/2006/relationships/package" Target="embeddings/Microsoft_Visio___1.vsdx"/><Relationship Id="rId41" Type="http://schemas.openxmlformats.org/officeDocument/2006/relationships/image" Target="media/image11.jpeg"/><Relationship Id="rId40" Type="http://schemas.openxmlformats.org/officeDocument/2006/relationships/image" Target="media/image10.jpeg"/><Relationship Id="rId4" Type="http://schemas.openxmlformats.org/officeDocument/2006/relationships/footer" Target="footer1.xml"/><Relationship Id="rId39" Type="http://schemas.openxmlformats.org/officeDocument/2006/relationships/image" Target="media/image9.jpeg"/><Relationship Id="rId38" Type="http://schemas.openxmlformats.org/officeDocument/2006/relationships/image" Target="media/image8.jpe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header" Target="header1.xml"/><Relationship Id="rId293" Type="http://schemas.openxmlformats.org/officeDocument/2006/relationships/fontTable" Target="fontTable.xml"/><Relationship Id="rId292" Type="http://schemas.openxmlformats.org/officeDocument/2006/relationships/customXml" Target="../customXml/item2.xml"/><Relationship Id="rId291" Type="http://schemas.openxmlformats.org/officeDocument/2006/relationships/numbering" Target="numbering.xml"/><Relationship Id="rId290" Type="http://schemas.openxmlformats.org/officeDocument/2006/relationships/customXml" Target="../customXml/item1.xml"/><Relationship Id="rId29" Type="http://schemas.openxmlformats.org/officeDocument/2006/relationships/footer" Target="footer16.xml"/><Relationship Id="rId289" Type="http://schemas.openxmlformats.org/officeDocument/2006/relationships/image" Target="media/image225.png"/><Relationship Id="rId288" Type="http://schemas.openxmlformats.org/officeDocument/2006/relationships/image" Target="media/image224.png"/><Relationship Id="rId287" Type="http://schemas.openxmlformats.org/officeDocument/2006/relationships/image" Target="media/image223.png"/><Relationship Id="rId286" Type="http://schemas.openxmlformats.org/officeDocument/2006/relationships/image" Target="media/image222.png"/><Relationship Id="rId285" Type="http://schemas.openxmlformats.org/officeDocument/2006/relationships/image" Target="media/image221.png"/><Relationship Id="rId284" Type="http://schemas.openxmlformats.org/officeDocument/2006/relationships/image" Target="media/image220.png"/><Relationship Id="rId283" Type="http://schemas.openxmlformats.org/officeDocument/2006/relationships/image" Target="media/image219.png"/><Relationship Id="rId282" Type="http://schemas.openxmlformats.org/officeDocument/2006/relationships/image" Target="media/image218.png"/><Relationship Id="rId281" Type="http://schemas.openxmlformats.org/officeDocument/2006/relationships/image" Target="media/image217.png"/><Relationship Id="rId280" Type="http://schemas.openxmlformats.org/officeDocument/2006/relationships/image" Target="media/image216.png"/><Relationship Id="rId28" Type="http://schemas.openxmlformats.org/officeDocument/2006/relationships/footer" Target="footer15.xml"/><Relationship Id="rId279" Type="http://schemas.openxmlformats.org/officeDocument/2006/relationships/image" Target="media/image215.png"/><Relationship Id="rId278" Type="http://schemas.openxmlformats.org/officeDocument/2006/relationships/image" Target="media/image214.png"/><Relationship Id="rId277" Type="http://schemas.openxmlformats.org/officeDocument/2006/relationships/image" Target="media/image213.png"/><Relationship Id="rId276" Type="http://schemas.openxmlformats.org/officeDocument/2006/relationships/image" Target="media/image212.png"/><Relationship Id="rId275" Type="http://schemas.openxmlformats.org/officeDocument/2006/relationships/image" Target="media/image211.png"/><Relationship Id="rId274" Type="http://schemas.openxmlformats.org/officeDocument/2006/relationships/image" Target="media/image210.png"/><Relationship Id="rId273" Type="http://schemas.openxmlformats.org/officeDocument/2006/relationships/image" Target="media/image209.png"/><Relationship Id="rId272" Type="http://schemas.openxmlformats.org/officeDocument/2006/relationships/image" Target="media/image208.png"/><Relationship Id="rId271" Type="http://schemas.openxmlformats.org/officeDocument/2006/relationships/image" Target="media/image207.png"/><Relationship Id="rId270" Type="http://schemas.openxmlformats.org/officeDocument/2006/relationships/image" Target="media/image206.png"/><Relationship Id="rId27" Type="http://schemas.openxmlformats.org/officeDocument/2006/relationships/footer" Target="footer14.xml"/><Relationship Id="rId269" Type="http://schemas.openxmlformats.org/officeDocument/2006/relationships/image" Target="media/image205.png"/><Relationship Id="rId268" Type="http://schemas.openxmlformats.org/officeDocument/2006/relationships/image" Target="media/image204.png"/><Relationship Id="rId267" Type="http://schemas.openxmlformats.org/officeDocument/2006/relationships/image" Target="media/image203.png"/><Relationship Id="rId266" Type="http://schemas.openxmlformats.org/officeDocument/2006/relationships/image" Target="media/image202.png"/><Relationship Id="rId265" Type="http://schemas.openxmlformats.org/officeDocument/2006/relationships/image" Target="media/image201.png"/><Relationship Id="rId264" Type="http://schemas.openxmlformats.org/officeDocument/2006/relationships/image" Target="media/image200.png"/><Relationship Id="rId263" Type="http://schemas.openxmlformats.org/officeDocument/2006/relationships/image" Target="media/image199.png"/><Relationship Id="rId262" Type="http://schemas.openxmlformats.org/officeDocument/2006/relationships/image" Target="media/image198.png"/><Relationship Id="rId261" Type="http://schemas.openxmlformats.org/officeDocument/2006/relationships/image" Target="media/image197.png"/><Relationship Id="rId260" Type="http://schemas.openxmlformats.org/officeDocument/2006/relationships/image" Target="media/image196.png"/><Relationship Id="rId26" Type="http://schemas.openxmlformats.org/officeDocument/2006/relationships/footer" Target="footer13.xml"/><Relationship Id="rId259" Type="http://schemas.openxmlformats.org/officeDocument/2006/relationships/image" Target="media/image195.png"/><Relationship Id="rId258" Type="http://schemas.openxmlformats.org/officeDocument/2006/relationships/image" Target="media/image194.png"/><Relationship Id="rId257" Type="http://schemas.openxmlformats.org/officeDocument/2006/relationships/image" Target="media/image193.png"/><Relationship Id="rId256" Type="http://schemas.openxmlformats.org/officeDocument/2006/relationships/image" Target="media/image192.jpeg"/><Relationship Id="rId255" Type="http://schemas.openxmlformats.org/officeDocument/2006/relationships/image" Target="media/image191.png"/><Relationship Id="rId254" Type="http://schemas.openxmlformats.org/officeDocument/2006/relationships/image" Target="media/image190.png"/><Relationship Id="rId253" Type="http://schemas.openxmlformats.org/officeDocument/2006/relationships/image" Target="media/image189.png"/><Relationship Id="rId252" Type="http://schemas.openxmlformats.org/officeDocument/2006/relationships/image" Target="media/image188.png"/><Relationship Id="rId251" Type="http://schemas.openxmlformats.org/officeDocument/2006/relationships/image" Target="media/image187.png"/><Relationship Id="rId250" Type="http://schemas.openxmlformats.org/officeDocument/2006/relationships/image" Target="media/image186.png"/><Relationship Id="rId25" Type="http://schemas.openxmlformats.org/officeDocument/2006/relationships/header" Target="header11.xml"/><Relationship Id="rId249" Type="http://schemas.openxmlformats.org/officeDocument/2006/relationships/image" Target="media/image185.png"/><Relationship Id="rId248" Type="http://schemas.openxmlformats.org/officeDocument/2006/relationships/image" Target="media/image184.png"/><Relationship Id="rId247" Type="http://schemas.openxmlformats.org/officeDocument/2006/relationships/image" Target="media/image183.png"/><Relationship Id="rId246" Type="http://schemas.openxmlformats.org/officeDocument/2006/relationships/image" Target="media/image182.png"/><Relationship Id="rId245" Type="http://schemas.openxmlformats.org/officeDocument/2006/relationships/image" Target="media/image181.png"/><Relationship Id="rId244" Type="http://schemas.openxmlformats.org/officeDocument/2006/relationships/image" Target="media/image180.png"/><Relationship Id="rId243" Type="http://schemas.openxmlformats.org/officeDocument/2006/relationships/image" Target="media/image179.png"/><Relationship Id="rId242" Type="http://schemas.openxmlformats.org/officeDocument/2006/relationships/image" Target="media/image178.png"/><Relationship Id="rId241" Type="http://schemas.openxmlformats.org/officeDocument/2006/relationships/image" Target="media/image177.png"/><Relationship Id="rId240" Type="http://schemas.openxmlformats.org/officeDocument/2006/relationships/image" Target="media/image176.png"/><Relationship Id="rId24" Type="http://schemas.openxmlformats.org/officeDocument/2006/relationships/footer" Target="footer12.xml"/><Relationship Id="rId239" Type="http://schemas.openxmlformats.org/officeDocument/2006/relationships/image" Target="media/image175.jpeg"/><Relationship Id="rId238" Type="http://schemas.openxmlformats.org/officeDocument/2006/relationships/image" Target="media/image174.png"/><Relationship Id="rId237" Type="http://schemas.openxmlformats.org/officeDocument/2006/relationships/image" Target="media/image173.png"/><Relationship Id="rId236" Type="http://schemas.openxmlformats.org/officeDocument/2006/relationships/image" Target="media/image172.png"/><Relationship Id="rId235" Type="http://schemas.openxmlformats.org/officeDocument/2006/relationships/image" Target="media/image171.png"/><Relationship Id="rId234" Type="http://schemas.openxmlformats.org/officeDocument/2006/relationships/image" Target="media/image170.png"/><Relationship Id="rId233" Type="http://schemas.openxmlformats.org/officeDocument/2006/relationships/image" Target="media/image169.png"/><Relationship Id="rId232" Type="http://schemas.openxmlformats.org/officeDocument/2006/relationships/image" Target="media/image168.png"/><Relationship Id="rId231" Type="http://schemas.openxmlformats.org/officeDocument/2006/relationships/image" Target="media/image167.png"/><Relationship Id="rId230" Type="http://schemas.openxmlformats.org/officeDocument/2006/relationships/image" Target="media/image166.png"/><Relationship Id="rId23" Type="http://schemas.openxmlformats.org/officeDocument/2006/relationships/footer" Target="footer11.xml"/><Relationship Id="rId229" Type="http://schemas.openxmlformats.org/officeDocument/2006/relationships/image" Target="media/image165.png"/><Relationship Id="rId228" Type="http://schemas.openxmlformats.org/officeDocument/2006/relationships/image" Target="media/image164.png"/><Relationship Id="rId227" Type="http://schemas.openxmlformats.org/officeDocument/2006/relationships/image" Target="media/image163.png"/><Relationship Id="rId226" Type="http://schemas.openxmlformats.org/officeDocument/2006/relationships/image" Target="media/image162.png"/><Relationship Id="rId225" Type="http://schemas.openxmlformats.org/officeDocument/2006/relationships/image" Target="media/image161.png"/><Relationship Id="rId224" Type="http://schemas.openxmlformats.org/officeDocument/2006/relationships/image" Target="media/image160.png"/><Relationship Id="rId223" Type="http://schemas.openxmlformats.org/officeDocument/2006/relationships/image" Target="media/image159.png"/><Relationship Id="rId222" Type="http://schemas.openxmlformats.org/officeDocument/2006/relationships/image" Target="media/image158.png"/><Relationship Id="rId221" Type="http://schemas.openxmlformats.org/officeDocument/2006/relationships/image" Target="media/image157.png"/><Relationship Id="rId220" Type="http://schemas.openxmlformats.org/officeDocument/2006/relationships/image" Target="media/image156.png"/><Relationship Id="rId22" Type="http://schemas.openxmlformats.org/officeDocument/2006/relationships/header" Target="header10.xml"/><Relationship Id="rId219" Type="http://schemas.openxmlformats.org/officeDocument/2006/relationships/image" Target="media/image155.png"/><Relationship Id="rId218" Type="http://schemas.openxmlformats.org/officeDocument/2006/relationships/image" Target="media/image154.jpeg"/><Relationship Id="rId217" Type="http://schemas.openxmlformats.org/officeDocument/2006/relationships/image" Target="media/image153.jpeg"/><Relationship Id="rId216" Type="http://schemas.openxmlformats.org/officeDocument/2006/relationships/image" Target="media/image152.png"/><Relationship Id="rId215" Type="http://schemas.openxmlformats.org/officeDocument/2006/relationships/image" Target="media/image151.png"/><Relationship Id="rId214" Type="http://schemas.openxmlformats.org/officeDocument/2006/relationships/image" Target="media/image150.png"/><Relationship Id="rId213" Type="http://schemas.openxmlformats.org/officeDocument/2006/relationships/image" Target="media/image149.jpeg"/><Relationship Id="rId212" Type="http://schemas.openxmlformats.org/officeDocument/2006/relationships/image" Target="media/image148.png"/><Relationship Id="rId211" Type="http://schemas.openxmlformats.org/officeDocument/2006/relationships/image" Target="media/image147.png"/><Relationship Id="rId210" Type="http://schemas.openxmlformats.org/officeDocument/2006/relationships/image" Target="media/image146.png"/><Relationship Id="rId21" Type="http://schemas.openxmlformats.org/officeDocument/2006/relationships/footer" Target="footer10.xml"/><Relationship Id="rId209" Type="http://schemas.openxmlformats.org/officeDocument/2006/relationships/image" Target="media/image145.png"/><Relationship Id="rId208" Type="http://schemas.openxmlformats.org/officeDocument/2006/relationships/image" Target="media/image144.png"/><Relationship Id="rId207" Type="http://schemas.openxmlformats.org/officeDocument/2006/relationships/image" Target="media/image143.jpeg"/><Relationship Id="rId206" Type="http://schemas.openxmlformats.org/officeDocument/2006/relationships/image" Target="media/image142.png"/><Relationship Id="rId205" Type="http://schemas.openxmlformats.org/officeDocument/2006/relationships/image" Target="media/image141.png"/><Relationship Id="rId204" Type="http://schemas.openxmlformats.org/officeDocument/2006/relationships/package" Target="embeddings/Microsoft_Visio___4.vsdx"/><Relationship Id="rId203" Type="http://schemas.openxmlformats.org/officeDocument/2006/relationships/image" Target="media/image140.jpeg"/><Relationship Id="rId202" Type="http://schemas.openxmlformats.org/officeDocument/2006/relationships/image" Target="media/image139.jpeg"/><Relationship Id="rId201" Type="http://schemas.openxmlformats.org/officeDocument/2006/relationships/image" Target="media/image138.png"/><Relationship Id="rId200" Type="http://schemas.openxmlformats.org/officeDocument/2006/relationships/image" Target="media/image137.jpeg"/><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image" Target="media/image136.png"/><Relationship Id="rId198" Type="http://schemas.openxmlformats.org/officeDocument/2006/relationships/image" Target="media/image135.png"/><Relationship Id="rId197" Type="http://schemas.openxmlformats.org/officeDocument/2006/relationships/image" Target="media/image134.png"/><Relationship Id="rId196" Type="http://schemas.openxmlformats.org/officeDocument/2006/relationships/image" Target="media/image133.png"/><Relationship Id="rId195" Type="http://schemas.openxmlformats.org/officeDocument/2006/relationships/image" Target="media/image132.png"/><Relationship Id="rId194" Type="http://schemas.openxmlformats.org/officeDocument/2006/relationships/image" Target="media/image131.png"/><Relationship Id="rId193" Type="http://schemas.openxmlformats.org/officeDocument/2006/relationships/image" Target="media/image130.png"/><Relationship Id="rId192" Type="http://schemas.openxmlformats.org/officeDocument/2006/relationships/image" Target="media/image129.png"/><Relationship Id="rId191" Type="http://schemas.openxmlformats.org/officeDocument/2006/relationships/image" Target="media/image128.png"/><Relationship Id="rId190" Type="http://schemas.openxmlformats.org/officeDocument/2006/relationships/image" Target="media/image127.png"/><Relationship Id="rId19" Type="http://schemas.openxmlformats.org/officeDocument/2006/relationships/footer" Target="footer9.xml"/><Relationship Id="rId189" Type="http://schemas.openxmlformats.org/officeDocument/2006/relationships/image" Target="media/image126.png"/><Relationship Id="rId188" Type="http://schemas.openxmlformats.org/officeDocument/2006/relationships/image" Target="media/image125.png"/><Relationship Id="rId187" Type="http://schemas.openxmlformats.org/officeDocument/2006/relationships/chart" Target="charts/chart2.xml"/><Relationship Id="rId186" Type="http://schemas.openxmlformats.org/officeDocument/2006/relationships/chart" Target="charts/chart1.xml"/><Relationship Id="rId185" Type="http://schemas.openxmlformats.org/officeDocument/2006/relationships/image" Target="media/image124.png"/><Relationship Id="rId184" Type="http://schemas.openxmlformats.org/officeDocument/2006/relationships/image" Target="media/image123.png"/><Relationship Id="rId183" Type="http://schemas.openxmlformats.org/officeDocument/2006/relationships/image" Target="media/image122.png"/><Relationship Id="rId182" Type="http://schemas.openxmlformats.org/officeDocument/2006/relationships/image" Target="media/image121.png"/><Relationship Id="rId181" Type="http://schemas.openxmlformats.org/officeDocument/2006/relationships/image" Target="media/image120.png"/><Relationship Id="rId180" Type="http://schemas.openxmlformats.org/officeDocument/2006/relationships/image" Target="media/image119.png"/><Relationship Id="rId18" Type="http://schemas.openxmlformats.org/officeDocument/2006/relationships/header" Target="header8.xml"/><Relationship Id="rId179" Type="http://schemas.openxmlformats.org/officeDocument/2006/relationships/image" Target="media/image118.png"/><Relationship Id="rId178" Type="http://schemas.openxmlformats.org/officeDocument/2006/relationships/image" Target="media/image117.png"/><Relationship Id="rId177" Type="http://schemas.openxmlformats.org/officeDocument/2006/relationships/image" Target="media/image116.png"/><Relationship Id="rId176" Type="http://schemas.openxmlformats.org/officeDocument/2006/relationships/image" Target="media/image115.png"/><Relationship Id="rId175" Type="http://schemas.openxmlformats.org/officeDocument/2006/relationships/image" Target="media/image114.png"/><Relationship Id="rId174" Type="http://schemas.openxmlformats.org/officeDocument/2006/relationships/image" Target="media/image113.png"/><Relationship Id="rId173" Type="http://schemas.openxmlformats.org/officeDocument/2006/relationships/image" Target="media/image112.png"/><Relationship Id="rId172" Type="http://schemas.openxmlformats.org/officeDocument/2006/relationships/image" Target="media/image111.png"/><Relationship Id="rId171" Type="http://schemas.openxmlformats.org/officeDocument/2006/relationships/image" Target="media/image110.png"/><Relationship Id="rId170" Type="http://schemas.openxmlformats.org/officeDocument/2006/relationships/image" Target="media/image109.png"/><Relationship Id="rId17" Type="http://schemas.openxmlformats.org/officeDocument/2006/relationships/footer" Target="footer8.xml"/><Relationship Id="rId169" Type="http://schemas.openxmlformats.org/officeDocument/2006/relationships/image" Target="media/image108.png"/><Relationship Id="rId168" Type="http://schemas.openxmlformats.org/officeDocument/2006/relationships/image" Target="media/image107.png"/><Relationship Id="rId167" Type="http://schemas.openxmlformats.org/officeDocument/2006/relationships/image" Target="media/image106.png"/><Relationship Id="rId166" Type="http://schemas.openxmlformats.org/officeDocument/2006/relationships/oleObject" Target="embeddings/oleObject28.bin"/><Relationship Id="rId165" Type="http://schemas.openxmlformats.org/officeDocument/2006/relationships/image" Target="media/image105.png"/><Relationship Id="rId164" Type="http://schemas.openxmlformats.org/officeDocument/2006/relationships/oleObject" Target="embeddings/oleObject27.bin"/><Relationship Id="rId163" Type="http://schemas.openxmlformats.org/officeDocument/2006/relationships/image" Target="media/image104.png"/><Relationship Id="rId162" Type="http://schemas.openxmlformats.org/officeDocument/2006/relationships/oleObject" Target="embeddings/oleObject26.bin"/><Relationship Id="rId161" Type="http://schemas.openxmlformats.org/officeDocument/2006/relationships/image" Target="media/image103.png"/><Relationship Id="rId160" Type="http://schemas.openxmlformats.org/officeDocument/2006/relationships/oleObject" Target="embeddings/oleObject25.bin"/><Relationship Id="rId16" Type="http://schemas.openxmlformats.org/officeDocument/2006/relationships/header" Target="header7.xml"/><Relationship Id="rId159" Type="http://schemas.openxmlformats.org/officeDocument/2006/relationships/image" Target="media/image102.png"/><Relationship Id="rId158" Type="http://schemas.openxmlformats.org/officeDocument/2006/relationships/oleObject" Target="embeddings/oleObject24.bin"/><Relationship Id="rId157" Type="http://schemas.openxmlformats.org/officeDocument/2006/relationships/image" Target="media/image101.jpeg"/><Relationship Id="rId156" Type="http://schemas.openxmlformats.org/officeDocument/2006/relationships/image" Target="media/image100.png"/><Relationship Id="rId155" Type="http://schemas.openxmlformats.org/officeDocument/2006/relationships/oleObject" Target="embeddings/oleObject23.bin"/><Relationship Id="rId154" Type="http://schemas.openxmlformats.org/officeDocument/2006/relationships/image" Target="media/image99.png"/><Relationship Id="rId153" Type="http://schemas.openxmlformats.org/officeDocument/2006/relationships/oleObject" Target="embeddings/oleObject22.bin"/><Relationship Id="rId152" Type="http://schemas.openxmlformats.org/officeDocument/2006/relationships/image" Target="media/image98.png"/><Relationship Id="rId151" Type="http://schemas.openxmlformats.org/officeDocument/2006/relationships/oleObject" Target="embeddings/oleObject21.bin"/><Relationship Id="rId150" Type="http://schemas.openxmlformats.org/officeDocument/2006/relationships/image" Target="media/image97.png"/><Relationship Id="rId15" Type="http://schemas.openxmlformats.org/officeDocument/2006/relationships/footer" Target="footer7.xml"/><Relationship Id="rId149" Type="http://schemas.openxmlformats.org/officeDocument/2006/relationships/oleObject" Target="embeddings/oleObject20.bin"/><Relationship Id="rId148" Type="http://schemas.openxmlformats.org/officeDocument/2006/relationships/image" Target="media/image96.png"/><Relationship Id="rId147" Type="http://schemas.openxmlformats.org/officeDocument/2006/relationships/oleObject" Target="embeddings/oleObject19.bin"/><Relationship Id="rId146" Type="http://schemas.openxmlformats.org/officeDocument/2006/relationships/image" Target="media/image95.png"/><Relationship Id="rId145" Type="http://schemas.openxmlformats.org/officeDocument/2006/relationships/oleObject" Target="embeddings/oleObject18.bin"/><Relationship Id="rId144" Type="http://schemas.openxmlformats.org/officeDocument/2006/relationships/image" Target="media/image94.png"/><Relationship Id="rId143" Type="http://schemas.openxmlformats.org/officeDocument/2006/relationships/oleObject" Target="embeddings/oleObject17.bin"/><Relationship Id="rId142" Type="http://schemas.openxmlformats.org/officeDocument/2006/relationships/image" Target="media/image93.png"/><Relationship Id="rId141" Type="http://schemas.openxmlformats.org/officeDocument/2006/relationships/oleObject" Target="embeddings/oleObject16.bin"/><Relationship Id="rId140" Type="http://schemas.openxmlformats.org/officeDocument/2006/relationships/image" Target="media/image92.png"/><Relationship Id="rId14" Type="http://schemas.openxmlformats.org/officeDocument/2006/relationships/header" Target="header6.xml"/><Relationship Id="rId139" Type="http://schemas.openxmlformats.org/officeDocument/2006/relationships/oleObject" Target="embeddings/oleObject15.bin"/><Relationship Id="rId138" Type="http://schemas.openxmlformats.org/officeDocument/2006/relationships/image" Target="media/image91.png"/><Relationship Id="rId137" Type="http://schemas.openxmlformats.org/officeDocument/2006/relationships/oleObject" Target="embeddings/oleObject14.bin"/><Relationship Id="rId136" Type="http://schemas.openxmlformats.org/officeDocument/2006/relationships/image" Target="media/image90.png"/><Relationship Id="rId135" Type="http://schemas.openxmlformats.org/officeDocument/2006/relationships/oleObject" Target="embeddings/oleObject13.bin"/><Relationship Id="rId134" Type="http://schemas.openxmlformats.org/officeDocument/2006/relationships/image" Target="media/image89.png"/><Relationship Id="rId133" Type="http://schemas.openxmlformats.org/officeDocument/2006/relationships/oleObject" Target="embeddings/oleObject12.bin"/><Relationship Id="rId132" Type="http://schemas.openxmlformats.org/officeDocument/2006/relationships/image" Target="media/image88.png"/><Relationship Id="rId131" Type="http://schemas.openxmlformats.org/officeDocument/2006/relationships/oleObject" Target="embeddings/oleObject11.bin"/><Relationship Id="rId130" Type="http://schemas.openxmlformats.org/officeDocument/2006/relationships/image" Target="media/image87.png"/><Relationship Id="rId13" Type="http://schemas.openxmlformats.org/officeDocument/2006/relationships/footer" Target="footer6.xml"/><Relationship Id="rId129" Type="http://schemas.openxmlformats.org/officeDocument/2006/relationships/oleObject" Target="embeddings/oleObject10.bin"/><Relationship Id="rId128" Type="http://schemas.openxmlformats.org/officeDocument/2006/relationships/image" Target="media/image86.png"/><Relationship Id="rId127" Type="http://schemas.openxmlformats.org/officeDocument/2006/relationships/oleObject" Target="embeddings/oleObject9.bin"/><Relationship Id="rId126" Type="http://schemas.openxmlformats.org/officeDocument/2006/relationships/image" Target="media/image85.png"/><Relationship Id="rId125" Type="http://schemas.openxmlformats.org/officeDocument/2006/relationships/oleObject" Target="embeddings/oleObject8.bin"/><Relationship Id="rId124" Type="http://schemas.openxmlformats.org/officeDocument/2006/relationships/image" Target="media/image84.png"/><Relationship Id="rId123" Type="http://schemas.openxmlformats.org/officeDocument/2006/relationships/oleObject" Target="embeddings/oleObject7.bin"/><Relationship Id="rId122" Type="http://schemas.openxmlformats.org/officeDocument/2006/relationships/image" Target="media/image83.png"/><Relationship Id="rId121" Type="http://schemas.openxmlformats.org/officeDocument/2006/relationships/oleObject" Target="embeddings/oleObject6.bin"/><Relationship Id="rId120" Type="http://schemas.openxmlformats.org/officeDocument/2006/relationships/image" Target="media/image82.png"/><Relationship Id="rId12" Type="http://schemas.openxmlformats.org/officeDocument/2006/relationships/header" Target="header5.xml"/><Relationship Id="rId119" Type="http://schemas.openxmlformats.org/officeDocument/2006/relationships/image" Target="media/image81.png"/><Relationship Id="rId118" Type="http://schemas.openxmlformats.org/officeDocument/2006/relationships/image" Target="media/image80.png"/><Relationship Id="rId117" Type="http://schemas.openxmlformats.org/officeDocument/2006/relationships/image" Target="media/image79.png"/><Relationship Id="rId116" Type="http://schemas.openxmlformats.org/officeDocument/2006/relationships/image" Target="media/image78.png"/><Relationship Id="rId115" Type="http://schemas.openxmlformats.org/officeDocument/2006/relationships/image" Target="media/image77.png"/><Relationship Id="rId114" Type="http://schemas.openxmlformats.org/officeDocument/2006/relationships/image" Target="media/image76.png"/><Relationship Id="rId113" Type="http://schemas.openxmlformats.org/officeDocument/2006/relationships/image" Target="media/image75.png"/><Relationship Id="rId112" Type="http://schemas.openxmlformats.org/officeDocument/2006/relationships/image" Target="media/image74.png"/><Relationship Id="rId111" Type="http://schemas.openxmlformats.org/officeDocument/2006/relationships/image" Target="media/image73.png"/><Relationship Id="rId110" Type="http://schemas.openxmlformats.org/officeDocument/2006/relationships/image" Target="media/image72.png"/><Relationship Id="rId11" Type="http://schemas.openxmlformats.org/officeDocument/2006/relationships/footer" Target="footer5.xml"/><Relationship Id="rId109" Type="http://schemas.openxmlformats.org/officeDocument/2006/relationships/image" Target="media/image71.png"/><Relationship Id="rId108" Type="http://schemas.openxmlformats.org/officeDocument/2006/relationships/image" Target="media/image70.png"/><Relationship Id="rId107" Type="http://schemas.openxmlformats.org/officeDocument/2006/relationships/image" Target="media/image69.png"/><Relationship Id="rId106" Type="http://schemas.openxmlformats.org/officeDocument/2006/relationships/image" Target="media/image68.png"/><Relationship Id="rId105" Type="http://schemas.openxmlformats.org/officeDocument/2006/relationships/image" Target="media/image67.png"/><Relationship Id="rId104" Type="http://schemas.openxmlformats.org/officeDocument/2006/relationships/image" Target="media/image66.png"/><Relationship Id="rId103" Type="http://schemas.openxmlformats.org/officeDocument/2006/relationships/image" Target="media/image65.png"/><Relationship Id="rId102" Type="http://schemas.openxmlformats.org/officeDocument/2006/relationships/image" Target="media/image64.png"/><Relationship Id="rId101" Type="http://schemas.openxmlformats.org/officeDocument/2006/relationships/image" Target="media/image63.png"/><Relationship Id="rId100" Type="http://schemas.openxmlformats.org/officeDocument/2006/relationships/image" Target="media/image62.png"/><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d.docs.live.net/dd50373d0bae584a/&#29615;&#35780;/2023/&#27827;&#21335;&#32701;&#20339;&#37329;&#38376;&#23454;&#19994;&#26377;&#38480;&#20844;&#21496;/&#39044;&#27979;/&#22320;&#19979;&#27700;/2/&#26032;&#24314;%20Microsoft%20Excel%20&#24037;&#20316;&#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d.docs.live.net/dd50373d0bae584a/&#29615;&#35780;/2023/&#27827;&#21335;&#32701;&#20339;&#37329;&#38376;&#23454;&#19994;&#26377;&#38480;&#20844;&#21496;/&#39044;&#27979;/&#22320;&#19979;&#27700;/2/&#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zh-CN" altLang="en-US"/>
              <a:t>耗氧量</a:t>
            </a:r>
            <a:r>
              <a:rPr lang="en-US"/>
              <a:t>（mg/L）</a:t>
            </a:r>
            <a:endParaRPr lang="en-US" altLang="zh-CN"/>
          </a:p>
        </c:rich>
      </c:tx>
      <c:layout/>
      <c:overlay val="0"/>
      <c:spPr>
        <a:noFill/>
        <a:ln>
          <a:noFill/>
        </a:ln>
        <a:effectLst/>
      </c:spPr>
    </c:title>
    <c:autoTitleDeleted val="0"/>
    <c:plotArea>
      <c:layout/>
      <c:scatterChart>
        <c:scatterStyle val="smoothMarker"/>
        <c:varyColors val="0"/>
        <c:ser>
          <c:idx val="0"/>
          <c:order val="0"/>
          <c:tx>
            <c:strRef>
              <c:f>[厂界.xlsx]COD!$B$1</c:f>
              <c:strCache>
                <c:ptCount val="1"/>
                <c:pt idx="0">
                  <c:v>c（mg/l）</c:v>
                </c:pt>
              </c:strCache>
            </c:strRef>
          </c:tx>
          <c:spPr>
            <a:ln w="19050" cap="rnd">
              <a:solidFill>
                <a:schemeClr val="accent1"/>
              </a:solidFill>
              <a:round/>
            </a:ln>
            <a:effectLst/>
          </c:spPr>
          <c:marker>
            <c:symbol val="none"/>
          </c:marker>
          <c:dLbls>
            <c:delete val="1"/>
          </c:dLbls>
          <c:xVal>
            <c:numRef>
              <c:f>[厂界.xlsx]COD!$A$2:$A$366</c:f>
              <c:numCache>
                <c:formatCode>General</c:formatCode>
                <c:ptCount val="365"/>
                <c:pt idx="0">
                  <c:v>20</c:v>
                </c:pt>
                <c:pt idx="1">
                  <c:v>40</c:v>
                </c:pt>
                <c:pt idx="2">
                  <c:v>60</c:v>
                </c:pt>
                <c:pt idx="3">
                  <c:v>80</c:v>
                </c:pt>
                <c:pt idx="4">
                  <c:v>100</c:v>
                </c:pt>
                <c:pt idx="5">
                  <c:v>120</c:v>
                </c:pt>
                <c:pt idx="6">
                  <c:v>140</c:v>
                </c:pt>
                <c:pt idx="7">
                  <c:v>160</c:v>
                </c:pt>
                <c:pt idx="8">
                  <c:v>180</c:v>
                </c:pt>
                <c:pt idx="9">
                  <c:v>200</c:v>
                </c:pt>
                <c:pt idx="10">
                  <c:v>220</c:v>
                </c:pt>
                <c:pt idx="11">
                  <c:v>240</c:v>
                </c:pt>
                <c:pt idx="12">
                  <c:v>260</c:v>
                </c:pt>
                <c:pt idx="13">
                  <c:v>280</c:v>
                </c:pt>
                <c:pt idx="14">
                  <c:v>300</c:v>
                </c:pt>
                <c:pt idx="15">
                  <c:v>320</c:v>
                </c:pt>
                <c:pt idx="16">
                  <c:v>340</c:v>
                </c:pt>
                <c:pt idx="17">
                  <c:v>360</c:v>
                </c:pt>
                <c:pt idx="18">
                  <c:v>380</c:v>
                </c:pt>
                <c:pt idx="19">
                  <c:v>400</c:v>
                </c:pt>
                <c:pt idx="20">
                  <c:v>420</c:v>
                </c:pt>
                <c:pt idx="21">
                  <c:v>440</c:v>
                </c:pt>
                <c:pt idx="22">
                  <c:v>460</c:v>
                </c:pt>
                <c:pt idx="23">
                  <c:v>480</c:v>
                </c:pt>
                <c:pt idx="24">
                  <c:v>500</c:v>
                </c:pt>
                <c:pt idx="25">
                  <c:v>520</c:v>
                </c:pt>
                <c:pt idx="26">
                  <c:v>540</c:v>
                </c:pt>
                <c:pt idx="27">
                  <c:v>560</c:v>
                </c:pt>
                <c:pt idx="28">
                  <c:v>580</c:v>
                </c:pt>
                <c:pt idx="29">
                  <c:v>600</c:v>
                </c:pt>
                <c:pt idx="30">
                  <c:v>620</c:v>
                </c:pt>
                <c:pt idx="31">
                  <c:v>640</c:v>
                </c:pt>
                <c:pt idx="32">
                  <c:v>660</c:v>
                </c:pt>
                <c:pt idx="33">
                  <c:v>680</c:v>
                </c:pt>
                <c:pt idx="34">
                  <c:v>700</c:v>
                </c:pt>
                <c:pt idx="35">
                  <c:v>720</c:v>
                </c:pt>
                <c:pt idx="36">
                  <c:v>740</c:v>
                </c:pt>
                <c:pt idx="37">
                  <c:v>760</c:v>
                </c:pt>
                <c:pt idx="38">
                  <c:v>780</c:v>
                </c:pt>
                <c:pt idx="39">
                  <c:v>800</c:v>
                </c:pt>
                <c:pt idx="40">
                  <c:v>820</c:v>
                </c:pt>
                <c:pt idx="41">
                  <c:v>840</c:v>
                </c:pt>
                <c:pt idx="42">
                  <c:v>860</c:v>
                </c:pt>
                <c:pt idx="43">
                  <c:v>880</c:v>
                </c:pt>
                <c:pt idx="44">
                  <c:v>900</c:v>
                </c:pt>
                <c:pt idx="45">
                  <c:v>920</c:v>
                </c:pt>
                <c:pt idx="46">
                  <c:v>940</c:v>
                </c:pt>
                <c:pt idx="47">
                  <c:v>960</c:v>
                </c:pt>
                <c:pt idx="48">
                  <c:v>980</c:v>
                </c:pt>
                <c:pt idx="49">
                  <c:v>1000</c:v>
                </c:pt>
                <c:pt idx="50">
                  <c:v>1020</c:v>
                </c:pt>
                <c:pt idx="51">
                  <c:v>1040</c:v>
                </c:pt>
                <c:pt idx="52">
                  <c:v>1060</c:v>
                </c:pt>
                <c:pt idx="53">
                  <c:v>1080</c:v>
                </c:pt>
                <c:pt idx="54">
                  <c:v>1100</c:v>
                </c:pt>
                <c:pt idx="55">
                  <c:v>1120</c:v>
                </c:pt>
                <c:pt idx="56">
                  <c:v>1140</c:v>
                </c:pt>
                <c:pt idx="57">
                  <c:v>1160</c:v>
                </c:pt>
                <c:pt idx="58">
                  <c:v>1180</c:v>
                </c:pt>
                <c:pt idx="59">
                  <c:v>1200</c:v>
                </c:pt>
                <c:pt idx="60">
                  <c:v>1220</c:v>
                </c:pt>
                <c:pt idx="61">
                  <c:v>1240</c:v>
                </c:pt>
                <c:pt idx="62">
                  <c:v>1260</c:v>
                </c:pt>
                <c:pt idx="63">
                  <c:v>1280</c:v>
                </c:pt>
                <c:pt idx="64">
                  <c:v>1300</c:v>
                </c:pt>
                <c:pt idx="65">
                  <c:v>1320</c:v>
                </c:pt>
                <c:pt idx="66">
                  <c:v>1340</c:v>
                </c:pt>
                <c:pt idx="67">
                  <c:v>1360</c:v>
                </c:pt>
                <c:pt idx="68">
                  <c:v>1380</c:v>
                </c:pt>
                <c:pt idx="69">
                  <c:v>1400</c:v>
                </c:pt>
                <c:pt idx="70">
                  <c:v>1420</c:v>
                </c:pt>
                <c:pt idx="71">
                  <c:v>1440</c:v>
                </c:pt>
                <c:pt idx="72">
                  <c:v>1460</c:v>
                </c:pt>
                <c:pt idx="73">
                  <c:v>1480</c:v>
                </c:pt>
                <c:pt idx="74">
                  <c:v>1500</c:v>
                </c:pt>
                <c:pt idx="75">
                  <c:v>1520</c:v>
                </c:pt>
                <c:pt idx="76">
                  <c:v>1540</c:v>
                </c:pt>
                <c:pt idx="77">
                  <c:v>1560</c:v>
                </c:pt>
                <c:pt idx="78">
                  <c:v>1580</c:v>
                </c:pt>
                <c:pt idx="79">
                  <c:v>1600</c:v>
                </c:pt>
                <c:pt idx="80">
                  <c:v>1620</c:v>
                </c:pt>
                <c:pt idx="81">
                  <c:v>1640</c:v>
                </c:pt>
                <c:pt idx="82">
                  <c:v>1660</c:v>
                </c:pt>
                <c:pt idx="83">
                  <c:v>1680</c:v>
                </c:pt>
                <c:pt idx="84">
                  <c:v>1700</c:v>
                </c:pt>
                <c:pt idx="85">
                  <c:v>1720</c:v>
                </c:pt>
                <c:pt idx="86">
                  <c:v>1740</c:v>
                </c:pt>
                <c:pt idx="87">
                  <c:v>1760</c:v>
                </c:pt>
                <c:pt idx="88">
                  <c:v>1780</c:v>
                </c:pt>
                <c:pt idx="89">
                  <c:v>1800</c:v>
                </c:pt>
                <c:pt idx="90">
                  <c:v>1820</c:v>
                </c:pt>
                <c:pt idx="91">
                  <c:v>1840</c:v>
                </c:pt>
                <c:pt idx="92">
                  <c:v>1860</c:v>
                </c:pt>
                <c:pt idx="93">
                  <c:v>1880</c:v>
                </c:pt>
                <c:pt idx="94">
                  <c:v>1900</c:v>
                </c:pt>
                <c:pt idx="95">
                  <c:v>1920</c:v>
                </c:pt>
                <c:pt idx="96">
                  <c:v>1940</c:v>
                </c:pt>
                <c:pt idx="97">
                  <c:v>1960</c:v>
                </c:pt>
                <c:pt idx="98">
                  <c:v>1980</c:v>
                </c:pt>
                <c:pt idx="99">
                  <c:v>2000</c:v>
                </c:pt>
                <c:pt idx="100">
                  <c:v>2020</c:v>
                </c:pt>
                <c:pt idx="101">
                  <c:v>2040</c:v>
                </c:pt>
                <c:pt idx="102">
                  <c:v>2060</c:v>
                </c:pt>
                <c:pt idx="103">
                  <c:v>2080</c:v>
                </c:pt>
                <c:pt idx="104">
                  <c:v>2100</c:v>
                </c:pt>
                <c:pt idx="105">
                  <c:v>2120</c:v>
                </c:pt>
                <c:pt idx="106">
                  <c:v>2140</c:v>
                </c:pt>
                <c:pt idx="107">
                  <c:v>2160</c:v>
                </c:pt>
                <c:pt idx="108">
                  <c:v>2180</c:v>
                </c:pt>
                <c:pt idx="109">
                  <c:v>2200</c:v>
                </c:pt>
                <c:pt idx="110">
                  <c:v>2220</c:v>
                </c:pt>
                <c:pt idx="111">
                  <c:v>2240</c:v>
                </c:pt>
                <c:pt idx="112">
                  <c:v>2260</c:v>
                </c:pt>
                <c:pt idx="113">
                  <c:v>2280</c:v>
                </c:pt>
                <c:pt idx="114">
                  <c:v>2300</c:v>
                </c:pt>
                <c:pt idx="115">
                  <c:v>2320</c:v>
                </c:pt>
                <c:pt idx="116">
                  <c:v>2340</c:v>
                </c:pt>
                <c:pt idx="117">
                  <c:v>2360</c:v>
                </c:pt>
                <c:pt idx="118">
                  <c:v>2380</c:v>
                </c:pt>
                <c:pt idx="119">
                  <c:v>2400</c:v>
                </c:pt>
                <c:pt idx="120">
                  <c:v>2420</c:v>
                </c:pt>
                <c:pt idx="121">
                  <c:v>2440</c:v>
                </c:pt>
                <c:pt idx="122">
                  <c:v>2460</c:v>
                </c:pt>
                <c:pt idx="123">
                  <c:v>2480</c:v>
                </c:pt>
                <c:pt idx="124">
                  <c:v>2500</c:v>
                </c:pt>
                <c:pt idx="125">
                  <c:v>2520</c:v>
                </c:pt>
                <c:pt idx="126">
                  <c:v>2540</c:v>
                </c:pt>
                <c:pt idx="127">
                  <c:v>2560</c:v>
                </c:pt>
                <c:pt idx="128">
                  <c:v>2580</c:v>
                </c:pt>
                <c:pt idx="129">
                  <c:v>2600</c:v>
                </c:pt>
                <c:pt idx="130">
                  <c:v>2620</c:v>
                </c:pt>
                <c:pt idx="131">
                  <c:v>2640</c:v>
                </c:pt>
                <c:pt idx="132">
                  <c:v>2660</c:v>
                </c:pt>
                <c:pt idx="133">
                  <c:v>2680</c:v>
                </c:pt>
                <c:pt idx="134">
                  <c:v>2700</c:v>
                </c:pt>
                <c:pt idx="135">
                  <c:v>2720</c:v>
                </c:pt>
                <c:pt idx="136">
                  <c:v>2740</c:v>
                </c:pt>
                <c:pt idx="137">
                  <c:v>2760</c:v>
                </c:pt>
                <c:pt idx="138">
                  <c:v>2780</c:v>
                </c:pt>
                <c:pt idx="139">
                  <c:v>2800</c:v>
                </c:pt>
                <c:pt idx="140">
                  <c:v>2820</c:v>
                </c:pt>
                <c:pt idx="141">
                  <c:v>2840</c:v>
                </c:pt>
                <c:pt idx="142">
                  <c:v>2860</c:v>
                </c:pt>
                <c:pt idx="143">
                  <c:v>2880</c:v>
                </c:pt>
                <c:pt idx="144">
                  <c:v>2900</c:v>
                </c:pt>
                <c:pt idx="145">
                  <c:v>2920</c:v>
                </c:pt>
                <c:pt idx="146">
                  <c:v>2940</c:v>
                </c:pt>
                <c:pt idx="147">
                  <c:v>2960</c:v>
                </c:pt>
                <c:pt idx="148">
                  <c:v>2980</c:v>
                </c:pt>
                <c:pt idx="149">
                  <c:v>3000</c:v>
                </c:pt>
                <c:pt idx="150">
                  <c:v>3020</c:v>
                </c:pt>
                <c:pt idx="151">
                  <c:v>3040</c:v>
                </c:pt>
                <c:pt idx="152">
                  <c:v>3060</c:v>
                </c:pt>
                <c:pt idx="153">
                  <c:v>3080</c:v>
                </c:pt>
                <c:pt idx="154">
                  <c:v>3100</c:v>
                </c:pt>
                <c:pt idx="155">
                  <c:v>3120</c:v>
                </c:pt>
                <c:pt idx="156">
                  <c:v>3140</c:v>
                </c:pt>
                <c:pt idx="157">
                  <c:v>3160</c:v>
                </c:pt>
                <c:pt idx="158">
                  <c:v>3180</c:v>
                </c:pt>
                <c:pt idx="159">
                  <c:v>3200</c:v>
                </c:pt>
                <c:pt idx="160">
                  <c:v>3220</c:v>
                </c:pt>
                <c:pt idx="161">
                  <c:v>3240</c:v>
                </c:pt>
                <c:pt idx="162">
                  <c:v>3260</c:v>
                </c:pt>
                <c:pt idx="163">
                  <c:v>3280</c:v>
                </c:pt>
                <c:pt idx="164">
                  <c:v>3300</c:v>
                </c:pt>
                <c:pt idx="165">
                  <c:v>3320</c:v>
                </c:pt>
                <c:pt idx="166">
                  <c:v>3340</c:v>
                </c:pt>
                <c:pt idx="167">
                  <c:v>3360</c:v>
                </c:pt>
                <c:pt idx="168">
                  <c:v>3380</c:v>
                </c:pt>
                <c:pt idx="169">
                  <c:v>3400</c:v>
                </c:pt>
                <c:pt idx="170">
                  <c:v>3420</c:v>
                </c:pt>
                <c:pt idx="171">
                  <c:v>3440</c:v>
                </c:pt>
                <c:pt idx="172">
                  <c:v>3460</c:v>
                </c:pt>
                <c:pt idx="173">
                  <c:v>3480</c:v>
                </c:pt>
                <c:pt idx="174">
                  <c:v>3500</c:v>
                </c:pt>
                <c:pt idx="175">
                  <c:v>3520</c:v>
                </c:pt>
                <c:pt idx="176">
                  <c:v>3540</c:v>
                </c:pt>
                <c:pt idx="177">
                  <c:v>3560</c:v>
                </c:pt>
                <c:pt idx="178">
                  <c:v>3580</c:v>
                </c:pt>
                <c:pt idx="179">
                  <c:v>3600</c:v>
                </c:pt>
                <c:pt idx="180">
                  <c:v>3620</c:v>
                </c:pt>
                <c:pt idx="181">
                  <c:v>3640</c:v>
                </c:pt>
                <c:pt idx="182">
                  <c:v>3660</c:v>
                </c:pt>
                <c:pt idx="183">
                  <c:v>3680</c:v>
                </c:pt>
                <c:pt idx="184">
                  <c:v>3700</c:v>
                </c:pt>
                <c:pt idx="185">
                  <c:v>3720</c:v>
                </c:pt>
                <c:pt idx="186">
                  <c:v>3740</c:v>
                </c:pt>
                <c:pt idx="187">
                  <c:v>3760</c:v>
                </c:pt>
                <c:pt idx="188">
                  <c:v>3780</c:v>
                </c:pt>
                <c:pt idx="189">
                  <c:v>3800</c:v>
                </c:pt>
                <c:pt idx="190">
                  <c:v>3820</c:v>
                </c:pt>
                <c:pt idx="191">
                  <c:v>3840</c:v>
                </c:pt>
                <c:pt idx="192">
                  <c:v>3860</c:v>
                </c:pt>
                <c:pt idx="193">
                  <c:v>3880</c:v>
                </c:pt>
                <c:pt idx="194">
                  <c:v>3900</c:v>
                </c:pt>
                <c:pt idx="195">
                  <c:v>3920</c:v>
                </c:pt>
                <c:pt idx="196">
                  <c:v>3940</c:v>
                </c:pt>
                <c:pt idx="197">
                  <c:v>3960</c:v>
                </c:pt>
                <c:pt idx="198">
                  <c:v>3980</c:v>
                </c:pt>
                <c:pt idx="199">
                  <c:v>4000</c:v>
                </c:pt>
                <c:pt idx="200">
                  <c:v>4020</c:v>
                </c:pt>
                <c:pt idx="201">
                  <c:v>4040</c:v>
                </c:pt>
                <c:pt idx="202">
                  <c:v>4060</c:v>
                </c:pt>
                <c:pt idx="203">
                  <c:v>4080</c:v>
                </c:pt>
                <c:pt idx="204">
                  <c:v>4100</c:v>
                </c:pt>
                <c:pt idx="205">
                  <c:v>4120</c:v>
                </c:pt>
                <c:pt idx="206">
                  <c:v>4140</c:v>
                </c:pt>
                <c:pt idx="207">
                  <c:v>4160</c:v>
                </c:pt>
                <c:pt idx="208">
                  <c:v>4180</c:v>
                </c:pt>
                <c:pt idx="209">
                  <c:v>4200</c:v>
                </c:pt>
                <c:pt idx="210">
                  <c:v>4220</c:v>
                </c:pt>
                <c:pt idx="211">
                  <c:v>4240</c:v>
                </c:pt>
                <c:pt idx="212">
                  <c:v>4260</c:v>
                </c:pt>
                <c:pt idx="213">
                  <c:v>4280</c:v>
                </c:pt>
                <c:pt idx="214">
                  <c:v>4300</c:v>
                </c:pt>
                <c:pt idx="215">
                  <c:v>4320</c:v>
                </c:pt>
                <c:pt idx="216">
                  <c:v>4340</c:v>
                </c:pt>
                <c:pt idx="217">
                  <c:v>4360</c:v>
                </c:pt>
                <c:pt idx="218">
                  <c:v>4380</c:v>
                </c:pt>
                <c:pt idx="219">
                  <c:v>4400</c:v>
                </c:pt>
                <c:pt idx="220">
                  <c:v>4420</c:v>
                </c:pt>
                <c:pt idx="221">
                  <c:v>4440</c:v>
                </c:pt>
                <c:pt idx="222">
                  <c:v>4460</c:v>
                </c:pt>
                <c:pt idx="223">
                  <c:v>4480</c:v>
                </c:pt>
                <c:pt idx="224">
                  <c:v>4500</c:v>
                </c:pt>
                <c:pt idx="225">
                  <c:v>4520</c:v>
                </c:pt>
                <c:pt idx="226">
                  <c:v>4540</c:v>
                </c:pt>
                <c:pt idx="227">
                  <c:v>4560</c:v>
                </c:pt>
                <c:pt idx="228">
                  <c:v>4580</c:v>
                </c:pt>
                <c:pt idx="229">
                  <c:v>4600</c:v>
                </c:pt>
                <c:pt idx="230">
                  <c:v>4620</c:v>
                </c:pt>
                <c:pt idx="231">
                  <c:v>4640</c:v>
                </c:pt>
                <c:pt idx="232">
                  <c:v>4660</c:v>
                </c:pt>
                <c:pt idx="233">
                  <c:v>4680</c:v>
                </c:pt>
                <c:pt idx="234">
                  <c:v>4700</c:v>
                </c:pt>
                <c:pt idx="235">
                  <c:v>4720</c:v>
                </c:pt>
                <c:pt idx="236">
                  <c:v>4740</c:v>
                </c:pt>
                <c:pt idx="237">
                  <c:v>4760</c:v>
                </c:pt>
                <c:pt idx="238">
                  <c:v>4780</c:v>
                </c:pt>
                <c:pt idx="239">
                  <c:v>4800</c:v>
                </c:pt>
                <c:pt idx="240">
                  <c:v>4820</c:v>
                </c:pt>
                <c:pt idx="241">
                  <c:v>4840</c:v>
                </c:pt>
                <c:pt idx="242">
                  <c:v>4860</c:v>
                </c:pt>
                <c:pt idx="243">
                  <c:v>4880</c:v>
                </c:pt>
                <c:pt idx="244">
                  <c:v>4900</c:v>
                </c:pt>
                <c:pt idx="245">
                  <c:v>4920</c:v>
                </c:pt>
                <c:pt idx="246">
                  <c:v>4940</c:v>
                </c:pt>
                <c:pt idx="247">
                  <c:v>4960</c:v>
                </c:pt>
                <c:pt idx="248">
                  <c:v>4980</c:v>
                </c:pt>
                <c:pt idx="249">
                  <c:v>5000</c:v>
                </c:pt>
                <c:pt idx="250">
                  <c:v>5020</c:v>
                </c:pt>
                <c:pt idx="251">
                  <c:v>5040</c:v>
                </c:pt>
                <c:pt idx="252">
                  <c:v>5060</c:v>
                </c:pt>
                <c:pt idx="253">
                  <c:v>5080</c:v>
                </c:pt>
                <c:pt idx="254">
                  <c:v>5100</c:v>
                </c:pt>
                <c:pt idx="255">
                  <c:v>5120</c:v>
                </c:pt>
                <c:pt idx="256">
                  <c:v>5140</c:v>
                </c:pt>
                <c:pt idx="257">
                  <c:v>5160</c:v>
                </c:pt>
                <c:pt idx="258">
                  <c:v>5180</c:v>
                </c:pt>
                <c:pt idx="259">
                  <c:v>5200</c:v>
                </c:pt>
                <c:pt idx="260">
                  <c:v>5220</c:v>
                </c:pt>
                <c:pt idx="261">
                  <c:v>5240</c:v>
                </c:pt>
                <c:pt idx="262">
                  <c:v>5260</c:v>
                </c:pt>
                <c:pt idx="263">
                  <c:v>5280</c:v>
                </c:pt>
                <c:pt idx="264">
                  <c:v>5300</c:v>
                </c:pt>
                <c:pt idx="265">
                  <c:v>5320</c:v>
                </c:pt>
                <c:pt idx="266">
                  <c:v>5340</c:v>
                </c:pt>
                <c:pt idx="267">
                  <c:v>5360</c:v>
                </c:pt>
                <c:pt idx="268">
                  <c:v>5380</c:v>
                </c:pt>
                <c:pt idx="269">
                  <c:v>5400</c:v>
                </c:pt>
                <c:pt idx="270">
                  <c:v>5420</c:v>
                </c:pt>
                <c:pt idx="271">
                  <c:v>5440</c:v>
                </c:pt>
                <c:pt idx="272">
                  <c:v>5460</c:v>
                </c:pt>
                <c:pt idx="273">
                  <c:v>5480</c:v>
                </c:pt>
                <c:pt idx="274">
                  <c:v>5500</c:v>
                </c:pt>
                <c:pt idx="275">
                  <c:v>5520</c:v>
                </c:pt>
                <c:pt idx="276">
                  <c:v>5540</c:v>
                </c:pt>
                <c:pt idx="277">
                  <c:v>5560</c:v>
                </c:pt>
                <c:pt idx="278">
                  <c:v>5580</c:v>
                </c:pt>
                <c:pt idx="279">
                  <c:v>5600</c:v>
                </c:pt>
                <c:pt idx="280">
                  <c:v>5620</c:v>
                </c:pt>
                <c:pt idx="281">
                  <c:v>5640</c:v>
                </c:pt>
                <c:pt idx="282">
                  <c:v>5660</c:v>
                </c:pt>
                <c:pt idx="283">
                  <c:v>5680</c:v>
                </c:pt>
                <c:pt idx="284">
                  <c:v>5700</c:v>
                </c:pt>
                <c:pt idx="285">
                  <c:v>5720</c:v>
                </c:pt>
                <c:pt idx="286">
                  <c:v>5740</c:v>
                </c:pt>
                <c:pt idx="287">
                  <c:v>5760</c:v>
                </c:pt>
                <c:pt idx="288">
                  <c:v>5780</c:v>
                </c:pt>
                <c:pt idx="289">
                  <c:v>5800</c:v>
                </c:pt>
                <c:pt idx="290">
                  <c:v>5820</c:v>
                </c:pt>
                <c:pt idx="291">
                  <c:v>5840</c:v>
                </c:pt>
                <c:pt idx="292">
                  <c:v>5860</c:v>
                </c:pt>
                <c:pt idx="293">
                  <c:v>5880</c:v>
                </c:pt>
                <c:pt idx="294">
                  <c:v>5900</c:v>
                </c:pt>
                <c:pt idx="295">
                  <c:v>5920</c:v>
                </c:pt>
                <c:pt idx="296">
                  <c:v>5940</c:v>
                </c:pt>
                <c:pt idx="297">
                  <c:v>5960</c:v>
                </c:pt>
                <c:pt idx="298">
                  <c:v>5980</c:v>
                </c:pt>
                <c:pt idx="299">
                  <c:v>6000</c:v>
                </c:pt>
                <c:pt idx="300">
                  <c:v>6020</c:v>
                </c:pt>
                <c:pt idx="301">
                  <c:v>6040</c:v>
                </c:pt>
                <c:pt idx="302">
                  <c:v>6060</c:v>
                </c:pt>
                <c:pt idx="303">
                  <c:v>6080</c:v>
                </c:pt>
                <c:pt idx="304">
                  <c:v>6100</c:v>
                </c:pt>
                <c:pt idx="305">
                  <c:v>6120</c:v>
                </c:pt>
                <c:pt idx="306">
                  <c:v>6140</c:v>
                </c:pt>
                <c:pt idx="307">
                  <c:v>6160</c:v>
                </c:pt>
                <c:pt idx="308">
                  <c:v>6180</c:v>
                </c:pt>
                <c:pt idx="309">
                  <c:v>6200</c:v>
                </c:pt>
                <c:pt idx="310">
                  <c:v>6220</c:v>
                </c:pt>
                <c:pt idx="311">
                  <c:v>6240</c:v>
                </c:pt>
                <c:pt idx="312">
                  <c:v>6260</c:v>
                </c:pt>
                <c:pt idx="313">
                  <c:v>6280</c:v>
                </c:pt>
                <c:pt idx="314">
                  <c:v>6300</c:v>
                </c:pt>
                <c:pt idx="315">
                  <c:v>6320</c:v>
                </c:pt>
                <c:pt idx="316">
                  <c:v>6340</c:v>
                </c:pt>
                <c:pt idx="317">
                  <c:v>6360</c:v>
                </c:pt>
                <c:pt idx="318">
                  <c:v>6380</c:v>
                </c:pt>
                <c:pt idx="319">
                  <c:v>6400</c:v>
                </c:pt>
                <c:pt idx="320">
                  <c:v>6420</c:v>
                </c:pt>
                <c:pt idx="321">
                  <c:v>6440</c:v>
                </c:pt>
                <c:pt idx="322">
                  <c:v>6460</c:v>
                </c:pt>
                <c:pt idx="323">
                  <c:v>6480</c:v>
                </c:pt>
                <c:pt idx="324">
                  <c:v>6500</c:v>
                </c:pt>
                <c:pt idx="325">
                  <c:v>6520</c:v>
                </c:pt>
                <c:pt idx="326">
                  <c:v>6540</c:v>
                </c:pt>
                <c:pt idx="327">
                  <c:v>6560</c:v>
                </c:pt>
                <c:pt idx="328">
                  <c:v>6580</c:v>
                </c:pt>
                <c:pt idx="329">
                  <c:v>6600</c:v>
                </c:pt>
                <c:pt idx="330">
                  <c:v>6620</c:v>
                </c:pt>
                <c:pt idx="331">
                  <c:v>6640</c:v>
                </c:pt>
                <c:pt idx="332">
                  <c:v>6660</c:v>
                </c:pt>
                <c:pt idx="333">
                  <c:v>6680</c:v>
                </c:pt>
                <c:pt idx="334">
                  <c:v>6700</c:v>
                </c:pt>
                <c:pt idx="335">
                  <c:v>6720</c:v>
                </c:pt>
                <c:pt idx="336">
                  <c:v>6740</c:v>
                </c:pt>
                <c:pt idx="337">
                  <c:v>6760</c:v>
                </c:pt>
                <c:pt idx="338">
                  <c:v>6780</c:v>
                </c:pt>
                <c:pt idx="339">
                  <c:v>6800</c:v>
                </c:pt>
                <c:pt idx="340">
                  <c:v>6820</c:v>
                </c:pt>
                <c:pt idx="341">
                  <c:v>6840</c:v>
                </c:pt>
                <c:pt idx="342">
                  <c:v>6860</c:v>
                </c:pt>
                <c:pt idx="343">
                  <c:v>6880</c:v>
                </c:pt>
                <c:pt idx="344">
                  <c:v>6900</c:v>
                </c:pt>
                <c:pt idx="345">
                  <c:v>6920</c:v>
                </c:pt>
                <c:pt idx="346">
                  <c:v>6940</c:v>
                </c:pt>
                <c:pt idx="347">
                  <c:v>6960</c:v>
                </c:pt>
                <c:pt idx="348">
                  <c:v>6980</c:v>
                </c:pt>
                <c:pt idx="349">
                  <c:v>7000</c:v>
                </c:pt>
                <c:pt idx="350">
                  <c:v>7020</c:v>
                </c:pt>
                <c:pt idx="351">
                  <c:v>7040</c:v>
                </c:pt>
                <c:pt idx="352">
                  <c:v>7060</c:v>
                </c:pt>
                <c:pt idx="353">
                  <c:v>7080</c:v>
                </c:pt>
                <c:pt idx="354">
                  <c:v>7100</c:v>
                </c:pt>
                <c:pt idx="355">
                  <c:v>7120</c:v>
                </c:pt>
                <c:pt idx="356">
                  <c:v>7140</c:v>
                </c:pt>
                <c:pt idx="357">
                  <c:v>7160</c:v>
                </c:pt>
                <c:pt idx="358">
                  <c:v>7180</c:v>
                </c:pt>
                <c:pt idx="359">
                  <c:v>7200</c:v>
                </c:pt>
                <c:pt idx="360">
                  <c:v>7220</c:v>
                </c:pt>
                <c:pt idx="361">
                  <c:v>7240</c:v>
                </c:pt>
                <c:pt idx="362">
                  <c:v>7260</c:v>
                </c:pt>
                <c:pt idx="363">
                  <c:v>7280</c:v>
                </c:pt>
                <c:pt idx="364">
                  <c:v>7300</c:v>
                </c:pt>
              </c:numCache>
            </c:numRef>
          </c:xVal>
          <c:yVal>
            <c:numRef>
              <c:f>[厂界.xlsx]COD!$B$2:$B$366</c:f>
              <c:numCache>
                <c:formatCode>0.00E+00</c:formatCode>
                <c:ptCount val="365"/>
                <c:pt idx="0">
                  <c:v>0.000444</c:v>
                </c:pt>
                <c:pt idx="1">
                  <c:v>0.0569</c:v>
                </c:pt>
                <c:pt idx="2">
                  <c:v>0.322</c:v>
                </c:pt>
                <c:pt idx="3">
                  <c:v>0.803</c:v>
                </c:pt>
                <c:pt idx="4">
                  <c:v>1.42</c:v>
                </c:pt>
                <c:pt idx="5">
                  <c:v>2.1</c:v>
                </c:pt>
                <c:pt idx="6">
                  <c:v>2.67</c:v>
                </c:pt>
                <c:pt idx="7">
                  <c:v>2.99</c:v>
                </c:pt>
                <c:pt idx="8">
                  <c:v>3.12</c:v>
                </c:pt>
                <c:pt idx="9">
                  <c:v>3.11</c:v>
                </c:pt>
                <c:pt idx="10">
                  <c:v>3.03</c:v>
                </c:pt>
                <c:pt idx="11">
                  <c:v>2.9</c:v>
                </c:pt>
                <c:pt idx="12">
                  <c:v>2.75</c:v>
                </c:pt>
                <c:pt idx="13">
                  <c:v>2.59</c:v>
                </c:pt>
                <c:pt idx="14">
                  <c:v>2.43</c:v>
                </c:pt>
                <c:pt idx="15">
                  <c:v>2.28</c:v>
                </c:pt>
                <c:pt idx="16">
                  <c:v>2.13</c:v>
                </c:pt>
                <c:pt idx="17">
                  <c:v>1.99</c:v>
                </c:pt>
                <c:pt idx="18">
                  <c:v>1.86</c:v>
                </c:pt>
                <c:pt idx="19">
                  <c:v>1.73</c:v>
                </c:pt>
                <c:pt idx="20">
                  <c:v>1.62</c:v>
                </c:pt>
                <c:pt idx="21">
                  <c:v>1.51</c:v>
                </c:pt>
                <c:pt idx="22">
                  <c:v>1.41</c:v>
                </c:pt>
                <c:pt idx="23">
                  <c:v>1.32</c:v>
                </c:pt>
                <c:pt idx="24">
                  <c:v>1.23</c:v>
                </c:pt>
                <c:pt idx="25">
                  <c:v>1.15</c:v>
                </c:pt>
                <c:pt idx="26">
                  <c:v>1.08</c:v>
                </c:pt>
                <c:pt idx="27">
                  <c:v>1.01</c:v>
                </c:pt>
                <c:pt idx="28">
                  <c:v>0.943</c:v>
                </c:pt>
                <c:pt idx="29">
                  <c:v>0.884</c:v>
                </c:pt>
                <c:pt idx="30">
                  <c:v>0.828</c:v>
                </c:pt>
                <c:pt idx="31">
                  <c:v>0.777</c:v>
                </c:pt>
                <c:pt idx="32">
                  <c:v>0.729</c:v>
                </c:pt>
                <c:pt idx="33">
                  <c:v>0.684</c:v>
                </c:pt>
                <c:pt idx="34">
                  <c:v>0.642</c:v>
                </c:pt>
                <c:pt idx="35">
                  <c:v>0.604</c:v>
                </c:pt>
                <c:pt idx="36">
                  <c:v>0.567</c:v>
                </c:pt>
                <c:pt idx="37">
                  <c:v>0.533</c:v>
                </c:pt>
                <c:pt idx="38">
                  <c:v>0.502</c:v>
                </c:pt>
                <c:pt idx="39">
                  <c:v>0.472</c:v>
                </c:pt>
                <c:pt idx="40">
                  <c:v>0.445</c:v>
                </c:pt>
                <c:pt idx="41">
                  <c:v>0.419</c:v>
                </c:pt>
                <c:pt idx="42">
                  <c:v>0.394</c:v>
                </c:pt>
                <c:pt idx="43">
                  <c:v>0.372</c:v>
                </c:pt>
                <c:pt idx="44">
                  <c:v>0.35</c:v>
                </c:pt>
                <c:pt idx="45">
                  <c:v>0.331</c:v>
                </c:pt>
                <c:pt idx="46">
                  <c:v>0.312</c:v>
                </c:pt>
                <c:pt idx="47">
                  <c:v>0.294</c:v>
                </c:pt>
                <c:pt idx="48">
                  <c:v>0.278</c:v>
                </c:pt>
                <c:pt idx="49">
                  <c:v>0.262</c:v>
                </c:pt>
                <c:pt idx="50">
                  <c:v>0.248</c:v>
                </c:pt>
                <c:pt idx="51">
                  <c:v>0.234</c:v>
                </c:pt>
                <c:pt idx="52">
                  <c:v>0.221</c:v>
                </c:pt>
                <c:pt idx="53">
                  <c:v>0.209</c:v>
                </c:pt>
                <c:pt idx="54">
                  <c:v>0.198</c:v>
                </c:pt>
                <c:pt idx="55">
                  <c:v>0.187</c:v>
                </c:pt>
                <c:pt idx="56">
                  <c:v>0.177</c:v>
                </c:pt>
                <c:pt idx="57">
                  <c:v>0.167</c:v>
                </c:pt>
                <c:pt idx="58">
                  <c:v>0.158</c:v>
                </c:pt>
                <c:pt idx="59">
                  <c:v>0.15</c:v>
                </c:pt>
                <c:pt idx="60">
                  <c:v>0.142</c:v>
                </c:pt>
                <c:pt idx="61">
                  <c:v>0.134</c:v>
                </c:pt>
                <c:pt idx="62">
                  <c:v>0.127</c:v>
                </c:pt>
                <c:pt idx="63">
                  <c:v>0.121</c:v>
                </c:pt>
                <c:pt idx="64">
                  <c:v>0.114</c:v>
                </c:pt>
                <c:pt idx="65">
                  <c:v>0.108</c:v>
                </c:pt>
                <c:pt idx="66">
                  <c:v>0.103</c:v>
                </c:pt>
                <c:pt idx="67">
                  <c:v>0.0973</c:v>
                </c:pt>
                <c:pt idx="68">
                  <c:v>0.0923</c:v>
                </c:pt>
                <c:pt idx="69">
                  <c:v>0.0875</c:v>
                </c:pt>
                <c:pt idx="70">
                  <c:v>0.083</c:v>
                </c:pt>
                <c:pt idx="71">
                  <c:v>0.0788</c:v>
                </c:pt>
                <c:pt idx="72">
                  <c:v>0.0747</c:v>
                </c:pt>
                <c:pt idx="73">
                  <c:v>0.0709</c:v>
                </c:pt>
                <c:pt idx="74">
                  <c:v>0.0673</c:v>
                </c:pt>
                <c:pt idx="75">
                  <c:v>0.0639</c:v>
                </c:pt>
                <c:pt idx="76">
                  <c:v>0.0607</c:v>
                </c:pt>
                <c:pt idx="77">
                  <c:v>0.0576</c:v>
                </c:pt>
                <c:pt idx="78">
                  <c:v>0.0547</c:v>
                </c:pt>
                <c:pt idx="79">
                  <c:v>0.052</c:v>
                </c:pt>
                <c:pt idx="80">
                  <c:v>0.0493</c:v>
                </c:pt>
                <c:pt idx="81">
                  <c:v>0.0469</c:v>
                </c:pt>
                <c:pt idx="82">
                  <c:v>0.0445</c:v>
                </c:pt>
                <c:pt idx="83">
                  <c:v>0.0423</c:v>
                </c:pt>
                <c:pt idx="84">
                  <c:v>0.0402</c:v>
                </c:pt>
                <c:pt idx="85">
                  <c:v>0.0382</c:v>
                </c:pt>
                <c:pt idx="86">
                  <c:v>0.0363</c:v>
                </c:pt>
                <c:pt idx="87">
                  <c:v>0.0346</c:v>
                </c:pt>
                <c:pt idx="88">
                  <c:v>0.0329</c:v>
                </c:pt>
                <c:pt idx="89">
                  <c:v>0.0312</c:v>
                </c:pt>
                <c:pt idx="90">
                  <c:v>0.0297</c:v>
                </c:pt>
                <c:pt idx="91">
                  <c:v>0.0283</c:v>
                </c:pt>
                <c:pt idx="92">
                  <c:v>0.0269</c:v>
                </c:pt>
                <c:pt idx="93">
                  <c:v>0.0256</c:v>
                </c:pt>
                <c:pt idx="94">
                  <c:v>0.0243</c:v>
                </c:pt>
                <c:pt idx="95">
                  <c:v>0.0231</c:v>
                </c:pt>
                <c:pt idx="96">
                  <c:v>0.022</c:v>
                </c:pt>
                <c:pt idx="97">
                  <c:v>0.021</c:v>
                </c:pt>
                <c:pt idx="98">
                  <c:v>0.0199</c:v>
                </c:pt>
                <c:pt idx="99">
                  <c:v>0.019</c:v>
                </c:pt>
                <c:pt idx="100">
                  <c:v>0.0181</c:v>
                </c:pt>
                <c:pt idx="101">
                  <c:v>0.0172</c:v>
                </c:pt>
                <c:pt idx="102">
                  <c:v>0.0164</c:v>
                </c:pt>
                <c:pt idx="103">
                  <c:v>0.0156</c:v>
                </c:pt>
                <c:pt idx="104">
                  <c:v>0.0149</c:v>
                </c:pt>
                <c:pt idx="105">
                  <c:v>0.0141</c:v>
                </c:pt>
                <c:pt idx="106">
                  <c:v>0.0135</c:v>
                </c:pt>
                <c:pt idx="107">
                  <c:v>0.0128</c:v>
                </c:pt>
                <c:pt idx="108">
                  <c:v>0.0122</c:v>
                </c:pt>
                <c:pt idx="109">
                  <c:v>0.0116</c:v>
                </c:pt>
                <c:pt idx="110">
                  <c:v>0.0111</c:v>
                </c:pt>
                <c:pt idx="111">
                  <c:v>0.0106</c:v>
                </c:pt>
                <c:pt idx="112">
                  <c:v>0.0101</c:v>
                </c:pt>
                <c:pt idx="113">
                  <c:v>0.00959</c:v>
                </c:pt>
                <c:pt idx="114">
                  <c:v>0.00914</c:v>
                </c:pt>
                <c:pt idx="115">
                  <c:v>0.00871</c:v>
                </c:pt>
                <c:pt idx="116">
                  <c:v>0.0083</c:v>
                </c:pt>
                <c:pt idx="117">
                  <c:v>0.00791</c:v>
                </c:pt>
                <c:pt idx="118">
                  <c:v>0.00754</c:v>
                </c:pt>
                <c:pt idx="119">
                  <c:v>0.00719</c:v>
                </c:pt>
                <c:pt idx="120">
                  <c:v>0.00685</c:v>
                </c:pt>
                <c:pt idx="121">
                  <c:v>0.00653</c:v>
                </c:pt>
                <c:pt idx="122">
                  <c:v>0.00623</c:v>
                </c:pt>
                <c:pt idx="123">
                  <c:v>0.00594</c:v>
                </c:pt>
                <c:pt idx="124">
                  <c:v>0.00566</c:v>
                </c:pt>
                <c:pt idx="125">
                  <c:v>0.0054</c:v>
                </c:pt>
                <c:pt idx="126">
                  <c:v>0.00515</c:v>
                </c:pt>
                <c:pt idx="127">
                  <c:v>0.00491</c:v>
                </c:pt>
                <c:pt idx="128">
                  <c:v>0.00468</c:v>
                </c:pt>
                <c:pt idx="129">
                  <c:v>0.00447</c:v>
                </c:pt>
                <c:pt idx="130">
                  <c:v>0.00426</c:v>
                </c:pt>
                <c:pt idx="131">
                  <c:v>0.00406</c:v>
                </c:pt>
                <c:pt idx="132">
                  <c:v>0.00388</c:v>
                </c:pt>
                <c:pt idx="133">
                  <c:v>0.0037</c:v>
                </c:pt>
                <c:pt idx="134">
                  <c:v>0.00353</c:v>
                </c:pt>
                <c:pt idx="135">
                  <c:v>0.00337</c:v>
                </c:pt>
                <c:pt idx="136">
                  <c:v>0.00321</c:v>
                </c:pt>
                <c:pt idx="137">
                  <c:v>0.00306</c:v>
                </c:pt>
                <c:pt idx="138">
                  <c:v>0.00292</c:v>
                </c:pt>
                <c:pt idx="139">
                  <c:v>0.00279</c:v>
                </c:pt>
                <c:pt idx="140">
                  <c:v>0.00266</c:v>
                </c:pt>
                <c:pt idx="141">
                  <c:v>0.00254</c:v>
                </c:pt>
                <c:pt idx="142">
                  <c:v>0.00242</c:v>
                </c:pt>
                <c:pt idx="143">
                  <c:v>0.00231</c:v>
                </c:pt>
                <c:pt idx="144">
                  <c:v>0.00221</c:v>
                </c:pt>
                <c:pt idx="145">
                  <c:v>0.00211</c:v>
                </c:pt>
                <c:pt idx="146">
                  <c:v>0.00201</c:v>
                </c:pt>
                <c:pt idx="147">
                  <c:v>0.00192</c:v>
                </c:pt>
                <c:pt idx="148">
                  <c:v>0.00183</c:v>
                </c:pt>
                <c:pt idx="149">
                  <c:v>0.00175</c:v>
                </c:pt>
                <c:pt idx="150">
                  <c:v>0.00167</c:v>
                </c:pt>
                <c:pt idx="151">
                  <c:v>0.0016</c:v>
                </c:pt>
                <c:pt idx="152">
                  <c:v>0.00152</c:v>
                </c:pt>
                <c:pt idx="153">
                  <c:v>0.00145</c:v>
                </c:pt>
                <c:pt idx="154">
                  <c:v>0.00139</c:v>
                </c:pt>
                <c:pt idx="155">
                  <c:v>0.00133</c:v>
                </c:pt>
                <c:pt idx="156">
                  <c:v>0.00127</c:v>
                </c:pt>
                <c:pt idx="157">
                  <c:v>0.00121</c:v>
                </c:pt>
                <c:pt idx="158">
                  <c:v>0.00115</c:v>
                </c:pt>
                <c:pt idx="159">
                  <c:v>0.0011</c:v>
                </c:pt>
                <c:pt idx="160">
                  <c:v>0.00105</c:v>
                </c:pt>
                <c:pt idx="161">
                  <c:v>0.00101</c:v>
                </c:pt>
                <c:pt idx="162">
                  <c:v>0.000961</c:v>
                </c:pt>
                <c:pt idx="163">
                  <c:v>0.000918</c:v>
                </c:pt>
                <c:pt idx="164">
                  <c:v>0.000877</c:v>
                </c:pt>
                <c:pt idx="165">
                  <c:v>0.000837</c:v>
                </c:pt>
                <c:pt idx="166">
                  <c:v>0.0008</c:v>
                </c:pt>
                <c:pt idx="167">
                  <c:v>0.000764</c:v>
                </c:pt>
                <c:pt idx="168">
                  <c:v>0.00073</c:v>
                </c:pt>
                <c:pt idx="169">
                  <c:v>0.000698</c:v>
                </c:pt>
                <c:pt idx="170">
                  <c:v>0.000666</c:v>
                </c:pt>
                <c:pt idx="171">
                  <c:v>0.000637</c:v>
                </c:pt>
                <c:pt idx="172">
                  <c:v>0.000608</c:v>
                </c:pt>
                <c:pt idx="173">
                  <c:v>0.000581</c:v>
                </c:pt>
                <c:pt idx="174">
                  <c:v>0.000555</c:v>
                </c:pt>
                <c:pt idx="175">
                  <c:v>0.000531</c:v>
                </c:pt>
                <c:pt idx="176">
                  <c:v>0.000507</c:v>
                </c:pt>
                <c:pt idx="177">
                  <c:v>0.000485</c:v>
                </c:pt>
                <c:pt idx="178">
                  <c:v>0.000463</c:v>
                </c:pt>
                <c:pt idx="179">
                  <c:v>0.000443</c:v>
                </c:pt>
                <c:pt idx="180">
                  <c:v>0.000423</c:v>
                </c:pt>
                <c:pt idx="181">
                  <c:v>0.000404</c:v>
                </c:pt>
                <c:pt idx="182">
                  <c:v>0.000386</c:v>
                </c:pt>
                <c:pt idx="183">
                  <c:v>0.000369</c:v>
                </c:pt>
                <c:pt idx="184">
                  <c:v>0.000353</c:v>
                </c:pt>
                <c:pt idx="185">
                  <c:v>0.000337</c:v>
                </c:pt>
                <c:pt idx="186">
                  <c:v>0.000322</c:v>
                </c:pt>
                <c:pt idx="187">
                  <c:v>0.000308</c:v>
                </c:pt>
                <c:pt idx="188">
                  <c:v>0.000295</c:v>
                </c:pt>
                <c:pt idx="189">
                  <c:v>0.000282</c:v>
                </c:pt>
                <c:pt idx="190">
                  <c:v>0.000269</c:v>
                </c:pt>
                <c:pt idx="191">
                  <c:v>0.000257</c:v>
                </c:pt>
                <c:pt idx="192">
                  <c:v>0.000246</c:v>
                </c:pt>
                <c:pt idx="193">
                  <c:v>0.000235</c:v>
                </c:pt>
                <c:pt idx="194">
                  <c:v>0.000225</c:v>
                </c:pt>
                <c:pt idx="195">
                  <c:v>0.000215</c:v>
                </c:pt>
                <c:pt idx="196">
                  <c:v>0.000205</c:v>
                </c:pt>
                <c:pt idx="197">
                  <c:v>0.000196</c:v>
                </c:pt>
                <c:pt idx="198">
                  <c:v>0.000188</c:v>
                </c:pt>
                <c:pt idx="199">
                  <c:v>0.00018</c:v>
                </c:pt>
                <c:pt idx="200">
                  <c:v>0.000172</c:v>
                </c:pt>
                <c:pt idx="201">
                  <c:v>0.000164</c:v>
                </c:pt>
                <c:pt idx="202">
                  <c:v>0.000157</c:v>
                </c:pt>
                <c:pt idx="203">
                  <c:v>0.00015</c:v>
                </c:pt>
                <c:pt idx="204">
                  <c:v>0.000144</c:v>
                </c:pt>
                <c:pt idx="205">
                  <c:v>0.000137</c:v>
                </c:pt>
                <c:pt idx="206">
                  <c:v>0.000131</c:v>
                </c:pt>
                <c:pt idx="207">
                  <c:v>0.000126</c:v>
                </c:pt>
                <c:pt idx="208">
                  <c:v>0.00012</c:v>
                </c:pt>
                <c:pt idx="209">
                  <c:v>0.000115</c:v>
                </c:pt>
                <c:pt idx="210">
                  <c:v>0.00011</c:v>
                </c:pt>
                <c:pt idx="211">
                  <c:v>0.000105</c:v>
                </c:pt>
                <c:pt idx="212">
                  <c:v>0.0001</c:v>
                </c:pt>
                <c:pt idx="213">
                  <c:v>9.61e-5</c:v>
                </c:pt>
                <c:pt idx="214">
                  <c:v>9.19e-5</c:v>
                </c:pt>
                <c:pt idx="215">
                  <c:v>8.79e-5</c:v>
                </c:pt>
                <c:pt idx="216">
                  <c:v>8.41e-5</c:v>
                </c:pt>
                <c:pt idx="217">
                  <c:v>8.04e-5</c:v>
                </c:pt>
                <c:pt idx="218">
                  <c:v>7.69e-5</c:v>
                </c:pt>
                <c:pt idx="219">
                  <c:v>7.36e-5</c:v>
                </c:pt>
                <c:pt idx="220">
                  <c:v>7.04e-5</c:v>
                </c:pt>
                <c:pt idx="221">
                  <c:v>6.73e-5</c:v>
                </c:pt>
                <c:pt idx="222">
                  <c:v>6.44e-5</c:v>
                </c:pt>
                <c:pt idx="223">
                  <c:v>6.16e-5</c:v>
                </c:pt>
                <c:pt idx="224">
                  <c:v>5.89e-5</c:v>
                </c:pt>
                <c:pt idx="225">
                  <c:v>5.64e-5</c:v>
                </c:pt>
                <c:pt idx="226">
                  <c:v>5.39e-5</c:v>
                </c:pt>
                <c:pt idx="227">
                  <c:v>5.16e-5</c:v>
                </c:pt>
                <c:pt idx="228">
                  <c:v>4.94e-5</c:v>
                </c:pt>
                <c:pt idx="229">
                  <c:v>4.72e-5</c:v>
                </c:pt>
                <c:pt idx="230">
                  <c:v>4.52e-5</c:v>
                </c:pt>
                <c:pt idx="231">
                  <c:v>4.32e-5</c:v>
                </c:pt>
                <c:pt idx="232">
                  <c:v>4.14e-5</c:v>
                </c:pt>
                <c:pt idx="233">
                  <c:v>3.96e-5</c:v>
                </c:pt>
                <c:pt idx="234">
                  <c:v>3.79e-5</c:v>
                </c:pt>
                <c:pt idx="235">
                  <c:v>3.62e-5</c:v>
                </c:pt>
                <c:pt idx="236">
                  <c:v>3.47e-5</c:v>
                </c:pt>
                <c:pt idx="237">
                  <c:v>3.32e-5</c:v>
                </c:pt>
                <c:pt idx="238">
                  <c:v>3.17e-5</c:v>
                </c:pt>
                <c:pt idx="239">
                  <c:v>3.04e-5</c:v>
                </c:pt>
                <c:pt idx="240">
                  <c:v>2.91e-5</c:v>
                </c:pt>
                <c:pt idx="241">
                  <c:v>2.78e-5</c:v>
                </c:pt>
                <c:pt idx="242">
                  <c:v>2.66e-5</c:v>
                </c:pt>
                <c:pt idx="243">
                  <c:v>2.55e-5</c:v>
                </c:pt>
                <c:pt idx="244">
                  <c:v>2.44e-5</c:v>
                </c:pt>
                <c:pt idx="245">
                  <c:v>2.33e-5</c:v>
                </c:pt>
                <c:pt idx="246">
                  <c:v>2.23e-5</c:v>
                </c:pt>
                <c:pt idx="247">
                  <c:v>2.14e-5</c:v>
                </c:pt>
                <c:pt idx="248">
                  <c:v>2.04e-5</c:v>
                </c:pt>
                <c:pt idx="249">
                  <c:v>1.96e-5</c:v>
                </c:pt>
                <c:pt idx="250">
                  <c:v>1.87e-5</c:v>
                </c:pt>
                <c:pt idx="251">
                  <c:v>1.79e-5</c:v>
                </c:pt>
                <c:pt idx="252">
                  <c:v>1.72e-5</c:v>
                </c:pt>
                <c:pt idx="253">
                  <c:v>1.64e-5</c:v>
                </c:pt>
                <c:pt idx="254">
                  <c:v>1.57e-5</c:v>
                </c:pt>
                <c:pt idx="255">
                  <c:v>1.5e-5</c:v>
                </c:pt>
                <c:pt idx="256">
                  <c:v>1.44e-5</c:v>
                </c:pt>
                <c:pt idx="257">
                  <c:v>1.38e-5</c:v>
                </c:pt>
                <c:pt idx="258">
                  <c:v>1.32e-5</c:v>
                </c:pt>
                <c:pt idx="259">
                  <c:v>1.26e-5</c:v>
                </c:pt>
                <c:pt idx="260">
                  <c:v>1.21e-5</c:v>
                </c:pt>
                <c:pt idx="261">
                  <c:v>1.16e-5</c:v>
                </c:pt>
                <c:pt idx="262">
                  <c:v>1.11e-5</c:v>
                </c:pt>
                <c:pt idx="263">
                  <c:v>1.06e-5</c:v>
                </c:pt>
                <c:pt idx="264">
                  <c:v>1.01e-5</c:v>
                </c:pt>
                <c:pt idx="265">
                  <c:v>9.71e-6</c:v>
                </c:pt>
                <c:pt idx="266">
                  <c:v>9.3e-6</c:v>
                </c:pt>
                <c:pt idx="267">
                  <c:v>8.9e-6</c:v>
                </c:pt>
                <c:pt idx="268">
                  <c:v>8.52e-6</c:v>
                </c:pt>
                <c:pt idx="269">
                  <c:v>8.16e-6</c:v>
                </c:pt>
                <c:pt idx="270">
                  <c:v>7.81e-6</c:v>
                </c:pt>
                <c:pt idx="271">
                  <c:v>7.48e-6</c:v>
                </c:pt>
                <c:pt idx="272">
                  <c:v>7.16e-6</c:v>
                </c:pt>
                <c:pt idx="273">
                  <c:v>6.85e-6</c:v>
                </c:pt>
                <c:pt idx="274">
                  <c:v>6.56e-6</c:v>
                </c:pt>
                <c:pt idx="275">
                  <c:v>6.28e-6</c:v>
                </c:pt>
                <c:pt idx="276">
                  <c:v>6.01e-6</c:v>
                </c:pt>
                <c:pt idx="277">
                  <c:v>5.76e-6</c:v>
                </c:pt>
                <c:pt idx="278">
                  <c:v>5.51e-6</c:v>
                </c:pt>
                <c:pt idx="279">
                  <c:v>5.28e-6</c:v>
                </c:pt>
                <c:pt idx="280">
                  <c:v>5.05e-6</c:v>
                </c:pt>
                <c:pt idx="281">
                  <c:v>4.84e-6</c:v>
                </c:pt>
                <c:pt idx="282">
                  <c:v>4.63e-6</c:v>
                </c:pt>
                <c:pt idx="283">
                  <c:v>4.43e-6</c:v>
                </c:pt>
                <c:pt idx="284">
                  <c:v>4.25e-6</c:v>
                </c:pt>
                <c:pt idx="285">
                  <c:v>4.07e-6</c:v>
                </c:pt>
                <c:pt idx="286">
                  <c:v>3.89e-6</c:v>
                </c:pt>
                <c:pt idx="287">
                  <c:v>3.73e-6</c:v>
                </c:pt>
                <c:pt idx="288">
                  <c:v>3.57e-6</c:v>
                </c:pt>
                <c:pt idx="289">
                  <c:v>3.42e-6</c:v>
                </c:pt>
                <c:pt idx="290">
                  <c:v>3.27e-6</c:v>
                </c:pt>
                <c:pt idx="291">
                  <c:v>3.13e-6</c:v>
                </c:pt>
                <c:pt idx="292">
                  <c:v>3e-6</c:v>
                </c:pt>
                <c:pt idx="293">
                  <c:v>2.87e-6</c:v>
                </c:pt>
                <c:pt idx="294">
                  <c:v>2.75e-6</c:v>
                </c:pt>
                <c:pt idx="295">
                  <c:v>2.64e-6</c:v>
                </c:pt>
                <c:pt idx="296">
                  <c:v>2.52e-6</c:v>
                </c:pt>
                <c:pt idx="297">
                  <c:v>2.42e-6</c:v>
                </c:pt>
                <c:pt idx="298">
                  <c:v>2.31e-6</c:v>
                </c:pt>
                <c:pt idx="299">
                  <c:v>2.22e-6</c:v>
                </c:pt>
                <c:pt idx="300">
                  <c:v>2.12e-6</c:v>
                </c:pt>
                <c:pt idx="301">
                  <c:v>2.03e-6</c:v>
                </c:pt>
                <c:pt idx="302">
                  <c:v>1.95e-6</c:v>
                </c:pt>
                <c:pt idx="303">
                  <c:v>1.86e-6</c:v>
                </c:pt>
                <c:pt idx="304">
                  <c:v>1.79e-6</c:v>
                </c:pt>
                <c:pt idx="305">
                  <c:v>1.71e-6</c:v>
                </c:pt>
                <c:pt idx="306">
                  <c:v>1.64e-6</c:v>
                </c:pt>
                <c:pt idx="307">
                  <c:v>1.57e-6</c:v>
                </c:pt>
                <c:pt idx="308">
                  <c:v>1.5e-6</c:v>
                </c:pt>
                <c:pt idx="309">
                  <c:v>1.44e-6</c:v>
                </c:pt>
                <c:pt idx="310">
                  <c:v>1.38e-6</c:v>
                </c:pt>
                <c:pt idx="311">
                  <c:v>1.32e-6</c:v>
                </c:pt>
                <c:pt idx="312">
                  <c:v>1.26e-6</c:v>
                </c:pt>
                <c:pt idx="313">
                  <c:v>1.21e-6</c:v>
                </c:pt>
                <c:pt idx="314">
                  <c:v>1.16e-6</c:v>
                </c:pt>
                <c:pt idx="315">
                  <c:v>1.11e-6</c:v>
                </c:pt>
                <c:pt idx="316">
                  <c:v>1.06e-6</c:v>
                </c:pt>
                <c:pt idx="317">
                  <c:v>1.02e-6</c:v>
                </c:pt>
                <c:pt idx="318">
                  <c:v>9.76e-7</c:v>
                </c:pt>
                <c:pt idx="319">
                  <c:v>9.35e-7</c:v>
                </c:pt>
                <c:pt idx="320">
                  <c:v>8.95e-7</c:v>
                </c:pt>
                <c:pt idx="321">
                  <c:v>8.58e-7</c:v>
                </c:pt>
                <c:pt idx="322">
                  <c:v>8.22e-7</c:v>
                </c:pt>
                <c:pt idx="323">
                  <c:v>7.87e-7</c:v>
                </c:pt>
                <c:pt idx="324">
                  <c:v>7.54e-7</c:v>
                </c:pt>
                <c:pt idx="325">
                  <c:v>7.22e-7</c:v>
                </c:pt>
                <c:pt idx="326">
                  <c:v>6.92e-7</c:v>
                </c:pt>
                <c:pt idx="327">
                  <c:v>6.63e-7</c:v>
                </c:pt>
                <c:pt idx="328">
                  <c:v>6.35e-7</c:v>
                </c:pt>
                <c:pt idx="329">
                  <c:v>6.08e-7</c:v>
                </c:pt>
                <c:pt idx="330">
                  <c:v>5.82e-7</c:v>
                </c:pt>
                <c:pt idx="331">
                  <c:v>5.58e-7</c:v>
                </c:pt>
                <c:pt idx="332">
                  <c:v>5.34e-7</c:v>
                </c:pt>
                <c:pt idx="333">
                  <c:v>5.12e-7</c:v>
                </c:pt>
                <c:pt idx="334">
                  <c:v>4.9e-7</c:v>
                </c:pt>
                <c:pt idx="335">
                  <c:v>4.7e-7</c:v>
                </c:pt>
                <c:pt idx="336">
                  <c:v>4.5e-7</c:v>
                </c:pt>
                <c:pt idx="337">
                  <c:v>4.31e-7</c:v>
                </c:pt>
                <c:pt idx="338">
                  <c:v>4.13e-7</c:v>
                </c:pt>
                <c:pt idx="339">
                  <c:v>3.96e-7</c:v>
                </c:pt>
                <c:pt idx="340">
                  <c:v>3.79e-7</c:v>
                </c:pt>
                <c:pt idx="341">
                  <c:v>3.63e-7</c:v>
                </c:pt>
                <c:pt idx="342">
                  <c:v>3.48e-7</c:v>
                </c:pt>
                <c:pt idx="343">
                  <c:v>3.33e-7</c:v>
                </c:pt>
                <c:pt idx="344">
                  <c:v>3.19e-7</c:v>
                </c:pt>
                <c:pt idx="345">
                  <c:v>3.06e-7</c:v>
                </c:pt>
                <c:pt idx="346">
                  <c:v>2.93e-7</c:v>
                </c:pt>
                <c:pt idx="347">
                  <c:v>2.81e-7</c:v>
                </c:pt>
                <c:pt idx="348">
                  <c:v>2.69e-7</c:v>
                </c:pt>
                <c:pt idx="349">
                  <c:v>2.58e-7</c:v>
                </c:pt>
                <c:pt idx="350">
                  <c:v>2.47e-7</c:v>
                </c:pt>
                <c:pt idx="351">
                  <c:v>2.37e-7</c:v>
                </c:pt>
                <c:pt idx="352">
                  <c:v>2.27e-7</c:v>
                </c:pt>
                <c:pt idx="353">
                  <c:v>2.17e-7</c:v>
                </c:pt>
                <c:pt idx="354">
                  <c:v>2.08e-7</c:v>
                </c:pt>
                <c:pt idx="355">
                  <c:v>1.99e-7</c:v>
                </c:pt>
                <c:pt idx="356">
                  <c:v>1.91e-7</c:v>
                </c:pt>
                <c:pt idx="357">
                  <c:v>1.83e-7</c:v>
                </c:pt>
                <c:pt idx="358">
                  <c:v>1.75e-7</c:v>
                </c:pt>
                <c:pt idx="359">
                  <c:v>1.68e-7</c:v>
                </c:pt>
                <c:pt idx="360">
                  <c:v>1.61e-7</c:v>
                </c:pt>
                <c:pt idx="361">
                  <c:v>1.54e-7</c:v>
                </c:pt>
                <c:pt idx="362">
                  <c:v>1.48e-7</c:v>
                </c:pt>
                <c:pt idx="363">
                  <c:v>1.42e-7</c:v>
                </c:pt>
                <c:pt idx="364">
                  <c:v>1.36e-7</c:v>
                </c:pt>
              </c:numCache>
            </c:numRef>
          </c:yVal>
          <c:smooth val="1"/>
        </c:ser>
        <c:dLbls>
          <c:showLegendKey val="0"/>
          <c:showVal val="0"/>
          <c:showCatName val="0"/>
          <c:showSerName val="0"/>
          <c:showPercent val="0"/>
          <c:showBubbleSize val="0"/>
        </c:dLbls>
        <c:axId val="1658244175"/>
        <c:axId val="1658258095"/>
      </c:scatterChart>
      <c:valAx>
        <c:axId val="16582441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658258095"/>
        <c:crosses val="autoZero"/>
        <c:crossBetween val="midCat"/>
      </c:valAx>
      <c:valAx>
        <c:axId val="1658258095"/>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65824417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zh-CN"/>
              <a:t>氨氮</a:t>
            </a:r>
            <a:r>
              <a:rPr lang="en-US"/>
              <a:t>（mg/L）</a:t>
            </a:r>
            <a:endParaRPr lang="en-US"/>
          </a:p>
        </c:rich>
      </c:tx>
      <c:layout/>
      <c:overlay val="0"/>
      <c:spPr>
        <a:noFill/>
        <a:ln>
          <a:noFill/>
        </a:ln>
        <a:effectLst/>
      </c:spPr>
    </c:title>
    <c:autoTitleDeleted val="0"/>
    <c:plotArea>
      <c:layout/>
      <c:scatterChart>
        <c:scatterStyle val="smoothMarker"/>
        <c:varyColors val="0"/>
        <c:ser>
          <c:idx val="0"/>
          <c:order val="0"/>
          <c:tx>
            <c:strRef>
              <c:f>[厂界.xlsx]氨氮!$B$1</c:f>
              <c:strCache>
                <c:ptCount val="1"/>
                <c:pt idx="0">
                  <c:v>c（mg/l）</c:v>
                </c:pt>
              </c:strCache>
            </c:strRef>
          </c:tx>
          <c:spPr>
            <a:ln w="19050" cap="rnd">
              <a:solidFill>
                <a:schemeClr val="accent1"/>
              </a:solidFill>
              <a:round/>
            </a:ln>
            <a:effectLst/>
          </c:spPr>
          <c:marker>
            <c:symbol val="none"/>
          </c:marker>
          <c:dLbls>
            <c:delete val="1"/>
          </c:dLbls>
          <c:xVal>
            <c:numRef>
              <c:f>[厂界.xlsx]氨氮!$A$2:$A$366</c:f>
              <c:numCache>
                <c:formatCode>General</c:formatCode>
                <c:ptCount val="365"/>
                <c:pt idx="0">
                  <c:v>20</c:v>
                </c:pt>
                <c:pt idx="1">
                  <c:v>40</c:v>
                </c:pt>
                <c:pt idx="2">
                  <c:v>60</c:v>
                </c:pt>
                <c:pt idx="3">
                  <c:v>80</c:v>
                </c:pt>
                <c:pt idx="4">
                  <c:v>100</c:v>
                </c:pt>
                <c:pt idx="5">
                  <c:v>120</c:v>
                </c:pt>
                <c:pt idx="6">
                  <c:v>140</c:v>
                </c:pt>
                <c:pt idx="7">
                  <c:v>160</c:v>
                </c:pt>
                <c:pt idx="8">
                  <c:v>180</c:v>
                </c:pt>
                <c:pt idx="9">
                  <c:v>200</c:v>
                </c:pt>
                <c:pt idx="10">
                  <c:v>220</c:v>
                </c:pt>
                <c:pt idx="11">
                  <c:v>240</c:v>
                </c:pt>
                <c:pt idx="12">
                  <c:v>260</c:v>
                </c:pt>
                <c:pt idx="13">
                  <c:v>280</c:v>
                </c:pt>
                <c:pt idx="14">
                  <c:v>300</c:v>
                </c:pt>
                <c:pt idx="15">
                  <c:v>320</c:v>
                </c:pt>
                <c:pt idx="16">
                  <c:v>340</c:v>
                </c:pt>
                <c:pt idx="17">
                  <c:v>360</c:v>
                </c:pt>
                <c:pt idx="18">
                  <c:v>380</c:v>
                </c:pt>
                <c:pt idx="19">
                  <c:v>400</c:v>
                </c:pt>
                <c:pt idx="20">
                  <c:v>420</c:v>
                </c:pt>
                <c:pt idx="21">
                  <c:v>440</c:v>
                </c:pt>
                <c:pt idx="22">
                  <c:v>460</c:v>
                </c:pt>
                <c:pt idx="23">
                  <c:v>480</c:v>
                </c:pt>
                <c:pt idx="24">
                  <c:v>500</c:v>
                </c:pt>
                <c:pt idx="25">
                  <c:v>520</c:v>
                </c:pt>
                <c:pt idx="26">
                  <c:v>540</c:v>
                </c:pt>
                <c:pt idx="27">
                  <c:v>560</c:v>
                </c:pt>
                <c:pt idx="28">
                  <c:v>580</c:v>
                </c:pt>
                <c:pt idx="29">
                  <c:v>600</c:v>
                </c:pt>
                <c:pt idx="30">
                  <c:v>620</c:v>
                </c:pt>
                <c:pt idx="31">
                  <c:v>640</c:v>
                </c:pt>
                <c:pt idx="32">
                  <c:v>660</c:v>
                </c:pt>
                <c:pt idx="33">
                  <c:v>680</c:v>
                </c:pt>
                <c:pt idx="34">
                  <c:v>700</c:v>
                </c:pt>
                <c:pt idx="35">
                  <c:v>720</c:v>
                </c:pt>
                <c:pt idx="36">
                  <c:v>740</c:v>
                </c:pt>
                <c:pt idx="37">
                  <c:v>760</c:v>
                </c:pt>
                <c:pt idx="38">
                  <c:v>780</c:v>
                </c:pt>
                <c:pt idx="39">
                  <c:v>800</c:v>
                </c:pt>
                <c:pt idx="40">
                  <c:v>820</c:v>
                </c:pt>
                <c:pt idx="41">
                  <c:v>840</c:v>
                </c:pt>
                <c:pt idx="42">
                  <c:v>860</c:v>
                </c:pt>
                <c:pt idx="43">
                  <c:v>880</c:v>
                </c:pt>
                <c:pt idx="44">
                  <c:v>900</c:v>
                </c:pt>
                <c:pt idx="45">
                  <c:v>920</c:v>
                </c:pt>
                <c:pt idx="46">
                  <c:v>940</c:v>
                </c:pt>
                <c:pt idx="47">
                  <c:v>960</c:v>
                </c:pt>
                <c:pt idx="48">
                  <c:v>980</c:v>
                </c:pt>
                <c:pt idx="49">
                  <c:v>1000</c:v>
                </c:pt>
                <c:pt idx="50">
                  <c:v>1020</c:v>
                </c:pt>
                <c:pt idx="51">
                  <c:v>1040</c:v>
                </c:pt>
                <c:pt idx="52">
                  <c:v>1060</c:v>
                </c:pt>
                <c:pt idx="53">
                  <c:v>1080</c:v>
                </c:pt>
                <c:pt idx="54">
                  <c:v>1100</c:v>
                </c:pt>
                <c:pt idx="55">
                  <c:v>1120</c:v>
                </c:pt>
                <c:pt idx="56">
                  <c:v>1140</c:v>
                </c:pt>
                <c:pt idx="57">
                  <c:v>1160</c:v>
                </c:pt>
                <c:pt idx="58">
                  <c:v>1180</c:v>
                </c:pt>
                <c:pt idx="59">
                  <c:v>1200</c:v>
                </c:pt>
                <c:pt idx="60">
                  <c:v>1220</c:v>
                </c:pt>
                <c:pt idx="61">
                  <c:v>1240</c:v>
                </c:pt>
                <c:pt idx="62">
                  <c:v>1260</c:v>
                </c:pt>
                <c:pt idx="63">
                  <c:v>1280</c:v>
                </c:pt>
                <c:pt idx="64">
                  <c:v>1300</c:v>
                </c:pt>
                <c:pt idx="65">
                  <c:v>1320</c:v>
                </c:pt>
                <c:pt idx="66">
                  <c:v>1340</c:v>
                </c:pt>
                <c:pt idx="67">
                  <c:v>1360</c:v>
                </c:pt>
                <c:pt idx="68">
                  <c:v>1380</c:v>
                </c:pt>
                <c:pt idx="69">
                  <c:v>1400</c:v>
                </c:pt>
                <c:pt idx="70">
                  <c:v>1420</c:v>
                </c:pt>
                <c:pt idx="71">
                  <c:v>1440</c:v>
                </c:pt>
                <c:pt idx="72">
                  <c:v>1460</c:v>
                </c:pt>
                <c:pt idx="73">
                  <c:v>1480</c:v>
                </c:pt>
                <c:pt idx="74">
                  <c:v>1500</c:v>
                </c:pt>
                <c:pt idx="75">
                  <c:v>1520</c:v>
                </c:pt>
                <c:pt idx="76">
                  <c:v>1540</c:v>
                </c:pt>
                <c:pt idx="77">
                  <c:v>1560</c:v>
                </c:pt>
                <c:pt idx="78">
                  <c:v>1580</c:v>
                </c:pt>
                <c:pt idx="79">
                  <c:v>1600</c:v>
                </c:pt>
                <c:pt idx="80">
                  <c:v>1620</c:v>
                </c:pt>
                <c:pt idx="81">
                  <c:v>1640</c:v>
                </c:pt>
                <c:pt idx="82">
                  <c:v>1660</c:v>
                </c:pt>
                <c:pt idx="83">
                  <c:v>1680</c:v>
                </c:pt>
                <c:pt idx="84">
                  <c:v>1700</c:v>
                </c:pt>
                <c:pt idx="85">
                  <c:v>1720</c:v>
                </c:pt>
                <c:pt idx="86">
                  <c:v>1740</c:v>
                </c:pt>
                <c:pt idx="87">
                  <c:v>1760</c:v>
                </c:pt>
                <c:pt idx="88">
                  <c:v>1780</c:v>
                </c:pt>
                <c:pt idx="89">
                  <c:v>1800</c:v>
                </c:pt>
                <c:pt idx="90">
                  <c:v>1820</c:v>
                </c:pt>
                <c:pt idx="91">
                  <c:v>1840</c:v>
                </c:pt>
                <c:pt idx="92">
                  <c:v>1860</c:v>
                </c:pt>
                <c:pt idx="93">
                  <c:v>1880</c:v>
                </c:pt>
                <c:pt idx="94">
                  <c:v>1900</c:v>
                </c:pt>
                <c:pt idx="95">
                  <c:v>1920</c:v>
                </c:pt>
                <c:pt idx="96">
                  <c:v>1940</c:v>
                </c:pt>
                <c:pt idx="97">
                  <c:v>1960</c:v>
                </c:pt>
                <c:pt idx="98">
                  <c:v>1980</c:v>
                </c:pt>
                <c:pt idx="99">
                  <c:v>2000</c:v>
                </c:pt>
                <c:pt idx="100">
                  <c:v>2020</c:v>
                </c:pt>
                <c:pt idx="101">
                  <c:v>2040</c:v>
                </c:pt>
                <c:pt idx="102">
                  <c:v>2060</c:v>
                </c:pt>
                <c:pt idx="103">
                  <c:v>2080</c:v>
                </c:pt>
                <c:pt idx="104">
                  <c:v>2100</c:v>
                </c:pt>
                <c:pt idx="105">
                  <c:v>2120</c:v>
                </c:pt>
                <c:pt idx="106">
                  <c:v>2140</c:v>
                </c:pt>
                <c:pt idx="107">
                  <c:v>2160</c:v>
                </c:pt>
                <c:pt idx="108">
                  <c:v>2180</c:v>
                </c:pt>
                <c:pt idx="109">
                  <c:v>2200</c:v>
                </c:pt>
                <c:pt idx="110">
                  <c:v>2220</c:v>
                </c:pt>
                <c:pt idx="111">
                  <c:v>2240</c:v>
                </c:pt>
                <c:pt idx="112">
                  <c:v>2260</c:v>
                </c:pt>
                <c:pt idx="113">
                  <c:v>2280</c:v>
                </c:pt>
                <c:pt idx="114">
                  <c:v>2300</c:v>
                </c:pt>
                <c:pt idx="115">
                  <c:v>2320</c:v>
                </c:pt>
                <c:pt idx="116">
                  <c:v>2340</c:v>
                </c:pt>
                <c:pt idx="117">
                  <c:v>2360</c:v>
                </c:pt>
                <c:pt idx="118">
                  <c:v>2380</c:v>
                </c:pt>
                <c:pt idx="119">
                  <c:v>2400</c:v>
                </c:pt>
                <c:pt idx="120">
                  <c:v>2420</c:v>
                </c:pt>
                <c:pt idx="121">
                  <c:v>2440</c:v>
                </c:pt>
                <c:pt idx="122">
                  <c:v>2460</c:v>
                </c:pt>
                <c:pt idx="123">
                  <c:v>2480</c:v>
                </c:pt>
                <c:pt idx="124">
                  <c:v>2500</c:v>
                </c:pt>
                <c:pt idx="125">
                  <c:v>2520</c:v>
                </c:pt>
                <c:pt idx="126">
                  <c:v>2540</c:v>
                </c:pt>
                <c:pt idx="127">
                  <c:v>2560</c:v>
                </c:pt>
                <c:pt idx="128">
                  <c:v>2580</c:v>
                </c:pt>
                <c:pt idx="129">
                  <c:v>2600</c:v>
                </c:pt>
                <c:pt idx="130">
                  <c:v>2620</c:v>
                </c:pt>
                <c:pt idx="131">
                  <c:v>2640</c:v>
                </c:pt>
                <c:pt idx="132">
                  <c:v>2660</c:v>
                </c:pt>
                <c:pt idx="133">
                  <c:v>2680</c:v>
                </c:pt>
                <c:pt idx="134">
                  <c:v>2700</c:v>
                </c:pt>
                <c:pt idx="135">
                  <c:v>2720</c:v>
                </c:pt>
                <c:pt idx="136">
                  <c:v>2740</c:v>
                </c:pt>
                <c:pt idx="137">
                  <c:v>2760</c:v>
                </c:pt>
                <c:pt idx="138">
                  <c:v>2780</c:v>
                </c:pt>
                <c:pt idx="139">
                  <c:v>2800</c:v>
                </c:pt>
                <c:pt idx="140">
                  <c:v>2820</c:v>
                </c:pt>
                <c:pt idx="141">
                  <c:v>2840</c:v>
                </c:pt>
                <c:pt idx="142">
                  <c:v>2860</c:v>
                </c:pt>
                <c:pt idx="143">
                  <c:v>2880</c:v>
                </c:pt>
                <c:pt idx="144">
                  <c:v>2900</c:v>
                </c:pt>
                <c:pt idx="145">
                  <c:v>2920</c:v>
                </c:pt>
                <c:pt idx="146">
                  <c:v>2940</c:v>
                </c:pt>
                <c:pt idx="147">
                  <c:v>2960</c:v>
                </c:pt>
                <c:pt idx="148">
                  <c:v>2980</c:v>
                </c:pt>
                <c:pt idx="149">
                  <c:v>3000</c:v>
                </c:pt>
                <c:pt idx="150">
                  <c:v>3020</c:v>
                </c:pt>
                <c:pt idx="151">
                  <c:v>3040</c:v>
                </c:pt>
                <c:pt idx="152">
                  <c:v>3060</c:v>
                </c:pt>
                <c:pt idx="153">
                  <c:v>3080</c:v>
                </c:pt>
                <c:pt idx="154">
                  <c:v>3100</c:v>
                </c:pt>
                <c:pt idx="155">
                  <c:v>3120</c:v>
                </c:pt>
                <c:pt idx="156">
                  <c:v>3140</c:v>
                </c:pt>
                <c:pt idx="157">
                  <c:v>3160</c:v>
                </c:pt>
                <c:pt idx="158">
                  <c:v>3180</c:v>
                </c:pt>
                <c:pt idx="159">
                  <c:v>3200</c:v>
                </c:pt>
                <c:pt idx="160">
                  <c:v>3220</c:v>
                </c:pt>
                <c:pt idx="161">
                  <c:v>3240</c:v>
                </c:pt>
                <c:pt idx="162">
                  <c:v>3260</c:v>
                </c:pt>
                <c:pt idx="163">
                  <c:v>3280</c:v>
                </c:pt>
                <c:pt idx="164">
                  <c:v>3300</c:v>
                </c:pt>
                <c:pt idx="165">
                  <c:v>3320</c:v>
                </c:pt>
                <c:pt idx="166">
                  <c:v>3340</c:v>
                </c:pt>
                <c:pt idx="167">
                  <c:v>3360</c:v>
                </c:pt>
                <c:pt idx="168">
                  <c:v>3380</c:v>
                </c:pt>
                <c:pt idx="169">
                  <c:v>3400</c:v>
                </c:pt>
                <c:pt idx="170">
                  <c:v>3420</c:v>
                </c:pt>
                <c:pt idx="171">
                  <c:v>3440</c:v>
                </c:pt>
                <c:pt idx="172">
                  <c:v>3460</c:v>
                </c:pt>
                <c:pt idx="173">
                  <c:v>3480</c:v>
                </c:pt>
                <c:pt idx="174">
                  <c:v>3500</c:v>
                </c:pt>
                <c:pt idx="175">
                  <c:v>3520</c:v>
                </c:pt>
                <c:pt idx="176">
                  <c:v>3540</c:v>
                </c:pt>
                <c:pt idx="177">
                  <c:v>3560</c:v>
                </c:pt>
                <c:pt idx="178">
                  <c:v>3580</c:v>
                </c:pt>
                <c:pt idx="179">
                  <c:v>3600</c:v>
                </c:pt>
                <c:pt idx="180">
                  <c:v>3620</c:v>
                </c:pt>
                <c:pt idx="181">
                  <c:v>3640</c:v>
                </c:pt>
                <c:pt idx="182">
                  <c:v>3660</c:v>
                </c:pt>
                <c:pt idx="183">
                  <c:v>3680</c:v>
                </c:pt>
                <c:pt idx="184">
                  <c:v>3700</c:v>
                </c:pt>
                <c:pt idx="185">
                  <c:v>3720</c:v>
                </c:pt>
                <c:pt idx="186">
                  <c:v>3740</c:v>
                </c:pt>
                <c:pt idx="187">
                  <c:v>3760</c:v>
                </c:pt>
                <c:pt idx="188">
                  <c:v>3780</c:v>
                </c:pt>
                <c:pt idx="189">
                  <c:v>3800</c:v>
                </c:pt>
                <c:pt idx="190">
                  <c:v>3820</c:v>
                </c:pt>
                <c:pt idx="191">
                  <c:v>3840</c:v>
                </c:pt>
                <c:pt idx="192">
                  <c:v>3860</c:v>
                </c:pt>
                <c:pt idx="193">
                  <c:v>3880</c:v>
                </c:pt>
                <c:pt idx="194">
                  <c:v>3900</c:v>
                </c:pt>
                <c:pt idx="195">
                  <c:v>3920</c:v>
                </c:pt>
                <c:pt idx="196">
                  <c:v>3940</c:v>
                </c:pt>
                <c:pt idx="197">
                  <c:v>3960</c:v>
                </c:pt>
                <c:pt idx="198">
                  <c:v>3980</c:v>
                </c:pt>
                <c:pt idx="199">
                  <c:v>4000</c:v>
                </c:pt>
                <c:pt idx="200">
                  <c:v>4020</c:v>
                </c:pt>
                <c:pt idx="201">
                  <c:v>4040</c:v>
                </c:pt>
                <c:pt idx="202">
                  <c:v>4060</c:v>
                </c:pt>
                <c:pt idx="203">
                  <c:v>4080</c:v>
                </c:pt>
                <c:pt idx="204">
                  <c:v>4100</c:v>
                </c:pt>
                <c:pt idx="205">
                  <c:v>4120</c:v>
                </c:pt>
                <c:pt idx="206">
                  <c:v>4140</c:v>
                </c:pt>
                <c:pt idx="207">
                  <c:v>4160</c:v>
                </c:pt>
                <c:pt idx="208">
                  <c:v>4180</c:v>
                </c:pt>
                <c:pt idx="209">
                  <c:v>4200</c:v>
                </c:pt>
                <c:pt idx="210">
                  <c:v>4220</c:v>
                </c:pt>
                <c:pt idx="211">
                  <c:v>4240</c:v>
                </c:pt>
                <c:pt idx="212">
                  <c:v>4260</c:v>
                </c:pt>
                <c:pt idx="213">
                  <c:v>4280</c:v>
                </c:pt>
                <c:pt idx="214">
                  <c:v>4300</c:v>
                </c:pt>
                <c:pt idx="215">
                  <c:v>4320</c:v>
                </c:pt>
                <c:pt idx="216">
                  <c:v>4340</c:v>
                </c:pt>
                <c:pt idx="217">
                  <c:v>4360</c:v>
                </c:pt>
                <c:pt idx="218">
                  <c:v>4380</c:v>
                </c:pt>
                <c:pt idx="219">
                  <c:v>4400</c:v>
                </c:pt>
                <c:pt idx="220">
                  <c:v>4420</c:v>
                </c:pt>
                <c:pt idx="221">
                  <c:v>4440</c:v>
                </c:pt>
                <c:pt idx="222">
                  <c:v>4460</c:v>
                </c:pt>
                <c:pt idx="223">
                  <c:v>4480</c:v>
                </c:pt>
                <c:pt idx="224">
                  <c:v>4500</c:v>
                </c:pt>
                <c:pt idx="225">
                  <c:v>4520</c:v>
                </c:pt>
                <c:pt idx="226">
                  <c:v>4540</c:v>
                </c:pt>
                <c:pt idx="227">
                  <c:v>4560</c:v>
                </c:pt>
                <c:pt idx="228">
                  <c:v>4580</c:v>
                </c:pt>
                <c:pt idx="229">
                  <c:v>4600</c:v>
                </c:pt>
                <c:pt idx="230">
                  <c:v>4620</c:v>
                </c:pt>
                <c:pt idx="231">
                  <c:v>4640</c:v>
                </c:pt>
                <c:pt idx="232">
                  <c:v>4660</c:v>
                </c:pt>
                <c:pt idx="233">
                  <c:v>4680</c:v>
                </c:pt>
                <c:pt idx="234">
                  <c:v>4700</c:v>
                </c:pt>
                <c:pt idx="235">
                  <c:v>4720</c:v>
                </c:pt>
                <c:pt idx="236">
                  <c:v>4740</c:v>
                </c:pt>
                <c:pt idx="237">
                  <c:v>4760</c:v>
                </c:pt>
                <c:pt idx="238">
                  <c:v>4780</c:v>
                </c:pt>
                <c:pt idx="239">
                  <c:v>4800</c:v>
                </c:pt>
                <c:pt idx="240">
                  <c:v>4820</c:v>
                </c:pt>
                <c:pt idx="241">
                  <c:v>4840</c:v>
                </c:pt>
                <c:pt idx="242">
                  <c:v>4860</c:v>
                </c:pt>
                <c:pt idx="243">
                  <c:v>4880</c:v>
                </c:pt>
                <c:pt idx="244">
                  <c:v>4900</c:v>
                </c:pt>
                <c:pt idx="245">
                  <c:v>4920</c:v>
                </c:pt>
                <c:pt idx="246">
                  <c:v>4940</c:v>
                </c:pt>
                <c:pt idx="247">
                  <c:v>4960</c:v>
                </c:pt>
                <c:pt idx="248">
                  <c:v>4980</c:v>
                </c:pt>
                <c:pt idx="249">
                  <c:v>5000</c:v>
                </c:pt>
                <c:pt idx="250">
                  <c:v>5020</c:v>
                </c:pt>
                <c:pt idx="251">
                  <c:v>5040</c:v>
                </c:pt>
                <c:pt idx="252">
                  <c:v>5060</c:v>
                </c:pt>
                <c:pt idx="253">
                  <c:v>5080</c:v>
                </c:pt>
                <c:pt idx="254">
                  <c:v>5100</c:v>
                </c:pt>
                <c:pt idx="255">
                  <c:v>5120</c:v>
                </c:pt>
                <c:pt idx="256">
                  <c:v>5140</c:v>
                </c:pt>
                <c:pt idx="257">
                  <c:v>5160</c:v>
                </c:pt>
                <c:pt idx="258">
                  <c:v>5180</c:v>
                </c:pt>
                <c:pt idx="259">
                  <c:v>5200</c:v>
                </c:pt>
                <c:pt idx="260">
                  <c:v>5220</c:v>
                </c:pt>
                <c:pt idx="261">
                  <c:v>5240</c:v>
                </c:pt>
                <c:pt idx="262">
                  <c:v>5260</c:v>
                </c:pt>
                <c:pt idx="263">
                  <c:v>5280</c:v>
                </c:pt>
                <c:pt idx="264">
                  <c:v>5300</c:v>
                </c:pt>
                <c:pt idx="265">
                  <c:v>5320</c:v>
                </c:pt>
                <c:pt idx="266">
                  <c:v>5340</c:v>
                </c:pt>
                <c:pt idx="267">
                  <c:v>5360</c:v>
                </c:pt>
                <c:pt idx="268">
                  <c:v>5380</c:v>
                </c:pt>
                <c:pt idx="269">
                  <c:v>5400</c:v>
                </c:pt>
                <c:pt idx="270">
                  <c:v>5420</c:v>
                </c:pt>
                <c:pt idx="271">
                  <c:v>5440</c:v>
                </c:pt>
                <c:pt idx="272">
                  <c:v>5460</c:v>
                </c:pt>
                <c:pt idx="273">
                  <c:v>5480</c:v>
                </c:pt>
                <c:pt idx="274">
                  <c:v>5500</c:v>
                </c:pt>
                <c:pt idx="275">
                  <c:v>5520</c:v>
                </c:pt>
                <c:pt idx="276">
                  <c:v>5540</c:v>
                </c:pt>
                <c:pt idx="277">
                  <c:v>5560</c:v>
                </c:pt>
                <c:pt idx="278">
                  <c:v>5580</c:v>
                </c:pt>
                <c:pt idx="279">
                  <c:v>5600</c:v>
                </c:pt>
                <c:pt idx="280">
                  <c:v>5620</c:v>
                </c:pt>
                <c:pt idx="281">
                  <c:v>5640</c:v>
                </c:pt>
                <c:pt idx="282">
                  <c:v>5660</c:v>
                </c:pt>
                <c:pt idx="283">
                  <c:v>5680</c:v>
                </c:pt>
                <c:pt idx="284">
                  <c:v>5700</c:v>
                </c:pt>
                <c:pt idx="285">
                  <c:v>5720</c:v>
                </c:pt>
                <c:pt idx="286">
                  <c:v>5740</c:v>
                </c:pt>
                <c:pt idx="287">
                  <c:v>5760</c:v>
                </c:pt>
                <c:pt idx="288">
                  <c:v>5780</c:v>
                </c:pt>
                <c:pt idx="289">
                  <c:v>5800</c:v>
                </c:pt>
                <c:pt idx="290">
                  <c:v>5820</c:v>
                </c:pt>
                <c:pt idx="291">
                  <c:v>5840</c:v>
                </c:pt>
                <c:pt idx="292">
                  <c:v>5860</c:v>
                </c:pt>
                <c:pt idx="293">
                  <c:v>5880</c:v>
                </c:pt>
                <c:pt idx="294">
                  <c:v>5900</c:v>
                </c:pt>
                <c:pt idx="295">
                  <c:v>5920</c:v>
                </c:pt>
                <c:pt idx="296">
                  <c:v>5940</c:v>
                </c:pt>
                <c:pt idx="297">
                  <c:v>5960</c:v>
                </c:pt>
                <c:pt idx="298">
                  <c:v>5980</c:v>
                </c:pt>
                <c:pt idx="299">
                  <c:v>6000</c:v>
                </c:pt>
                <c:pt idx="300">
                  <c:v>6020</c:v>
                </c:pt>
                <c:pt idx="301">
                  <c:v>6040</c:v>
                </c:pt>
                <c:pt idx="302">
                  <c:v>6060</c:v>
                </c:pt>
                <c:pt idx="303">
                  <c:v>6080</c:v>
                </c:pt>
                <c:pt idx="304">
                  <c:v>6100</c:v>
                </c:pt>
                <c:pt idx="305">
                  <c:v>6120</c:v>
                </c:pt>
                <c:pt idx="306">
                  <c:v>6140</c:v>
                </c:pt>
                <c:pt idx="307">
                  <c:v>6160</c:v>
                </c:pt>
                <c:pt idx="308">
                  <c:v>6180</c:v>
                </c:pt>
                <c:pt idx="309">
                  <c:v>6200</c:v>
                </c:pt>
                <c:pt idx="310">
                  <c:v>6220</c:v>
                </c:pt>
                <c:pt idx="311">
                  <c:v>6240</c:v>
                </c:pt>
                <c:pt idx="312">
                  <c:v>6260</c:v>
                </c:pt>
                <c:pt idx="313">
                  <c:v>6280</c:v>
                </c:pt>
                <c:pt idx="314">
                  <c:v>6300</c:v>
                </c:pt>
                <c:pt idx="315">
                  <c:v>6320</c:v>
                </c:pt>
                <c:pt idx="316">
                  <c:v>6340</c:v>
                </c:pt>
                <c:pt idx="317">
                  <c:v>6360</c:v>
                </c:pt>
                <c:pt idx="318">
                  <c:v>6380</c:v>
                </c:pt>
                <c:pt idx="319">
                  <c:v>6400</c:v>
                </c:pt>
                <c:pt idx="320">
                  <c:v>6420</c:v>
                </c:pt>
                <c:pt idx="321">
                  <c:v>6440</c:v>
                </c:pt>
                <c:pt idx="322">
                  <c:v>6460</c:v>
                </c:pt>
                <c:pt idx="323">
                  <c:v>6480</c:v>
                </c:pt>
                <c:pt idx="324">
                  <c:v>6500</c:v>
                </c:pt>
                <c:pt idx="325">
                  <c:v>6520</c:v>
                </c:pt>
                <c:pt idx="326">
                  <c:v>6540</c:v>
                </c:pt>
                <c:pt idx="327">
                  <c:v>6560</c:v>
                </c:pt>
                <c:pt idx="328">
                  <c:v>6580</c:v>
                </c:pt>
                <c:pt idx="329">
                  <c:v>6600</c:v>
                </c:pt>
                <c:pt idx="330">
                  <c:v>6620</c:v>
                </c:pt>
                <c:pt idx="331">
                  <c:v>6640</c:v>
                </c:pt>
                <c:pt idx="332">
                  <c:v>6660</c:v>
                </c:pt>
                <c:pt idx="333">
                  <c:v>6680</c:v>
                </c:pt>
                <c:pt idx="334">
                  <c:v>6700</c:v>
                </c:pt>
                <c:pt idx="335">
                  <c:v>6720</c:v>
                </c:pt>
                <c:pt idx="336">
                  <c:v>6740</c:v>
                </c:pt>
                <c:pt idx="337">
                  <c:v>6760</c:v>
                </c:pt>
                <c:pt idx="338">
                  <c:v>6780</c:v>
                </c:pt>
                <c:pt idx="339">
                  <c:v>6800</c:v>
                </c:pt>
                <c:pt idx="340">
                  <c:v>6820</c:v>
                </c:pt>
                <c:pt idx="341">
                  <c:v>6840</c:v>
                </c:pt>
                <c:pt idx="342">
                  <c:v>6860</c:v>
                </c:pt>
                <c:pt idx="343">
                  <c:v>6880</c:v>
                </c:pt>
                <c:pt idx="344">
                  <c:v>6900</c:v>
                </c:pt>
                <c:pt idx="345">
                  <c:v>6920</c:v>
                </c:pt>
                <c:pt idx="346">
                  <c:v>6940</c:v>
                </c:pt>
                <c:pt idx="347">
                  <c:v>6960</c:v>
                </c:pt>
                <c:pt idx="348">
                  <c:v>6980</c:v>
                </c:pt>
                <c:pt idx="349">
                  <c:v>7000</c:v>
                </c:pt>
                <c:pt idx="350">
                  <c:v>7020</c:v>
                </c:pt>
                <c:pt idx="351">
                  <c:v>7040</c:v>
                </c:pt>
                <c:pt idx="352">
                  <c:v>7060</c:v>
                </c:pt>
                <c:pt idx="353">
                  <c:v>7080</c:v>
                </c:pt>
                <c:pt idx="354">
                  <c:v>7100</c:v>
                </c:pt>
                <c:pt idx="355">
                  <c:v>7120</c:v>
                </c:pt>
                <c:pt idx="356">
                  <c:v>7140</c:v>
                </c:pt>
                <c:pt idx="357">
                  <c:v>7160</c:v>
                </c:pt>
                <c:pt idx="358">
                  <c:v>7180</c:v>
                </c:pt>
                <c:pt idx="359">
                  <c:v>7200</c:v>
                </c:pt>
                <c:pt idx="360">
                  <c:v>7220</c:v>
                </c:pt>
                <c:pt idx="361">
                  <c:v>7240</c:v>
                </c:pt>
                <c:pt idx="362">
                  <c:v>7260</c:v>
                </c:pt>
                <c:pt idx="363">
                  <c:v>7280</c:v>
                </c:pt>
                <c:pt idx="364">
                  <c:v>7300</c:v>
                </c:pt>
              </c:numCache>
            </c:numRef>
          </c:xVal>
          <c:yVal>
            <c:numRef>
              <c:f>[厂界.xlsx]氨氮!$B$2:$B$366</c:f>
              <c:numCache>
                <c:formatCode>0.00E+00</c:formatCode>
                <c:ptCount val="365"/>
                <c:pt idx="0">
                  <c:v>7.05e-5</c:v>
                </c:pt>
                <c:pt idx="1">
                  <c:v>0.00904</c:v>
                </c:pt>
                <c:pt idx="2">
                  <c:v>0.0511</c:v>
                </c:pt>
                <c:pt idx="3">
                  <c:v>0.127</c:v>
                </c:pt>
                <c:pt idx="4">
                  <c:v>0.226</c:v>
                </c:pt>
                <c:pt idx="5">
                  <c:v>0.334</c:v>
                </c:pt>
                <c:pt idx="6">
                  <c:v>0.423</c:v>
                </c:pt>
                <c:pt idx="7">
                  <c:v>0.475</c:v>
                </c:pt>
                <c:pt idx="8">
                  <c:v>0.495</c:v>
                </c:pt>
                <c:pt idx="9">
                  <c:v>0.494</c:v>
                </c:pt>
                <c:pt idx="10">
                  <c:v>0.481</c:v>
                </c:pt>
                <c:pt idx="11">
                  <c:v>0.461</c:v>
                </c:pt>
                <c:pt idx="12">
                  <c:v>0.437</c:v>
                </c:pt>
                <c:pt idx="13">
                  <c:v>0.412</c:v>
                </c:pt>
                <c:pt idx="14">
                  <c:v>0.387</c:v>
                </c:pt>
                <c:pt idx="15">
                  <c:v>0.362</c:v>
                </c:pt>
                <c:pt idx="16">
                  <c:v>0.338</c:v>
                </c:pt>
                <c:pt idx="17">
                  <c:v>0.316</c:v>
                </c:pt>
                <c:pt idx="18">
                  <c:v>0.295</c:v>
                </c:pt>
                <c:pt idx="19">
                  <c:v>0.275</c:v>
                </c:pt>
                <c:pt idx="20">
                  <c:v>0.257</c:v>
                </c:pt>
                <c:pt idx="21">
                  <c:v>0.24</c:v>
                </c:pt>
                <c:pt idx="22">
                  <c:v>0.224</c:v>
                </c:pt>
                <c:pt idx="23">
                  <c:v>0.209</c:v>
                </c:pt>
                <c:pt idx="24">
                  <c:v>0.195</c:v>
                </c:pt>
                <c:pt idx="25">
                  <c:v>0.183</c:v>
                </c:pt>
                <c:pt idx="26">
                  <c:v>0.171</c:v>
                </c:pt>
                <c:pt idx="27">
                  <c:v>0.16</c:v>
                </c:pt>
                <c:pt idx="28">
                  <c:v>0.15</c:v>
                </c:pt>
                <c:pt idx="29">
                  <c:v>0.14</c:v>
                </c:pt>
                <c:pt idx="30">
                  <c:v>0.132</c:v>
                </c:pt>
                <c:pt idx="31">
                  <c:v>0.123</c:v>
                </c:pt>
                <c:pt idx="32">
                  <c:v>0.116</c:v>
                </c:pt>
                <c:pt idx="33">
                  <c:v>0.109</c:v>
                </c:pt>
                <c:pt idx="34">
                  <c:v>0.102</c:v>
                </c:pt>
                <c:pt idx="35">
                  <c:v>0.0959</c:v>
                </c:pt>
                <c:pt idx="36">
                  <c:v>0.0901</c:v>
                </c:pt>
                <c:pt idx="37">
                  <c:v>0.0847</c:v>
                </c:pt>
                <c:pt idx="38">
                  <c:v>0.0797</c:v>
                </c:pt>
                <c:pt idx="39">
                  <c:v>0.075</c:v>
                </c:pt>
                <c:pt idx="40">
                  <c:v>0.0706</c:v>
                </c:pt>
                <c:pt idx="41">
                  <c:v>0.0665</c:v>
                </c:pt>
                <c:pt idx="42">
                  <c:v>0.0627</c:v>
                </c:pt>
                <c:pt idx="43">
                  <c:v>0.059</c:v>
                </c:pt>
                <c:pt idx="44">
                  <c:v>0.0557</c:v>
                </c:pt>
                <c:pt idx="45">
                  <c:v>0.0525</c:v>
                </c:pt>
                <c:pt idx="46">
                  <c:v>0.0495</c:v>
                </c:pt>
                <c:pt idx="47">
                  <c:v>0.0467</c:v>
                </c:pt>
                <c:pt idx="48">
                  <c:v>0.0441</c:v>
                </c:pt>
                <c:pt idx="49">
                  <c:v>0.0417</c:v>
                </c:pt>
                <c:pt idx="50">
                  <c:v>0.0393</c:v>
                </c:pt>
                <c:pt idx="51">
                  <c:v>0.0372</c:v>
                </c:pt>
                <c:pt idx="52">
                  <c:v>0.0351</c:v>
                </c:pt>
                <c:pt idx="53">
                  <c:v>0.0332</c:v>
                </c:pt>
                <c:pt idx="54">
                  <c:v>0.0314</c:v>
                </c:pt>
                <c:pt idx="55">
                  <c:v>0.0297</c:v>
                </c:pt>
                <c:pt idx="56">
                  <c:v>0.0281</c:v>
                </c:pt>
                <c:pt idx="57">
                  <c:v>0.0266</c:v>
                </c:pt>
                <c:pt idx="58">
                  <c:v>0.0252</c:v>
                </c:pt>
                <c:pt idx="59">
                  <c:v>0.0238</c:v>
                </c:pt>
                <c:pt idx="60">
                  <c:v>0.0225</c:v>
                </c:pt>
                <c:pt idx="61">
                  <c:v>0.0213</c:v>
                </c:pt>
                <c:pt idx="62">
                  <c:v>0.0202</c:v>
                </c:pt>
                <c:pt idx="63">
                  <c:v>0.0192</c:v>
                </c:pt>
                <c:pt idx="64">
                  <c:v>0.0182</c:v>
                </c:pt>
                <c:pt idx="65">
                  <c:v>0.0172</c:v>
                </c:pt>
                <c:pt idx="66">
                  <c:v>0.0163</c:v>
                </c:pt>
                <c:pt idx="67">
                  <c:v>0.0155</c:v>
                </c:pt>
                <c:pt idx="68">
                  <c:v>0.0147</c:v>
                </c:pt>
                <c:pt idx="69">
                  <c:v>0.0139</c:v>
                </c:pt>
                <c:pt idx="70">
                  <c:v>0.0132</c:v>
                </c:pt>
                <c:pt idx="71">
                  <c:v>0.0125</c:v>
                </c:pt>
                <c:pt idx="72">
                  <c:v>0.0119</c:v>
                </c:pt>
                <c:pt idx="73">
                  <c:v>0.0113</c:v>
                </c:pt>
                <c:pt idx="74">
                  <c:v>0.0107</c:v>
                </c:pt>
                <c:pt idx="75">
                  <c:v>0.0101</c:v>
                </c:pt>
                <c:pt idx="76">
                  <c:v>0.00964</c:v>
                </c:pt>
                <c:pt idx="77">
                  <c:v>0.00915</c:v>
                </c:pt>
                <c:pt idx="78">
                  <c:v>0.00869</c:v>
                </c:pt>
                <c:pt idx="79">
                  <c:v>0.00825</c:v>
                </c:pt>
                <c:pt idx="80">
                  <c:v>0.00784</c:v>
                </c:pt>
                <c:pt idx="81">
                  <c:v>0.00745</c:v>
                </c:pt>
                <c:pt idx="82">
                  <c:v>0.00708</c:v>
                </c:pt>
                <c:pt idx="83">
                  <c:v>0.00672</c:v>
                </c:pt>
                <c:pt idx="84">
                  <c:v>0.00639</c:v>
                </c:pt>
                <c:pt idx="85">
                  <c:v>0.00607</c:v>
                </c:pt>
                <c:pt idx="86">
                  <c:v>0.00577</c:v>
                </c:pt>
                <c:pt idx="87">
                  <c:v>0.00549</c:v>
                </c:pt>
                <c:pt idx="88">
                  <c:v>0.00522</c:v>
                </c:pt>
                <c:pt idx="89">
                  <c:v>0.00496</c:v>
                </c:pt>
                <c:pt idx="90">
                  <c:v>0.00472</c:v>
                </c:pt>
                <c:pt idx="91">
                  <c:v>0.00449</c:v>
                </c:pt>
                <c:pt idx="92">
                  <c:v>0.00427</c:v>
                </c:pt>
                <c:pt idx="93">
                  <c:v>0.00406</c:v>
                </c:pt>
                <c:pt idx="94">
                  <c:v>0.00386</c:v>
                </c:pt>
                <c:pt idx="95">
                  <c:v>0.00368</c:v>
                </c:pt>
                <c:pt idx="96">
                  <c:v>0.0035</c:v>
                </c:pt>
                <c:pt idx="97">
                  <c:v>0.00333</c:v>
                </c:pt>
                <c:pt idx="98">
                  <c:v>0.00317</c:v>
                </c:pt>
                <c:pt idx="99">
                  <c:v>0.00302</c:v>
                </c:pt>
                <c:pt idx="100">
                  <c:v>0.00287</c:v>
                </c:pt>
                <c:pt idx="101">
                  <c:v>0.00273</c:v>
                </c:pt>
                <c:pt idx="102">
                  <c:v>0.0026</c:v>
                </c:pt>
                <c:pt idx="103">
                  <c:v>0.00248</c:v>
                </c:pt>
                <c:pt idx="104">
                  <c:v>0.00236</c:v>
                </c:pt>
                <c:pt idx="105">
                  <c:v>0.00225</c:v>
                </c:pt>
                <c:pt idx="106">
                  <c:v>0.00214</c:v>
                </c:pt>
                <c:pt idx="107">
                  <c:v>0.00204</c:v>
                </c:pt>
                <c:pt idx="108">
                  <c:v>0.00194</c:v>
                </c:pt>
                <c:pt idx="109">
                  <c:v>0.00185</c:v>
                </c:pt>
                <c:pt idx="110">
                  <c:v>0.00176</c:v>
                </c:pt>
                <c:pt idx="111">
                  <c:v>0.00168</c:v>
                </c:pt>
                <c:pt idx="112">
                  <c:v>0.0016</c:v>
                </c:pt>
                <c:pt idx="113">
                  <c:v>0.00152</c:v>
                </c:pt>
                <c:pt idx="114">
                  <c:v>0.00145</c:v>
                </c:pt>
                <c:pt idx="115">
                  <c:v>0.00138</c:v>
                </c:pt>
                <c:pt idx="116">
                  <c:v>0.00132</c:v>
                </c:pt>
                <c:pt idx="117">
                  <c:v>0.00126</c:v>
                </c:pt>
                <c:pt idx="118">
                  <c:v>0.0012</c:v>
                </c:pt>
                <c:pt idx="119">
                  <c:v>0.00114</c:v>
                </c:pt>
                <c:pt idx="120">
                  <c:v>0.00109</c:v>
                </c:pt>
                <c:pt idx="121">
                  <c:v>0.00104</c:v>
                </c:pt>
                <c:pt idx="122">
                  <c:v>0.000989</c:v>
                </c:pt>
                <c:pt idx="123">
                  <c:v>0.000943</c:v>
                </c:pt>
                <c:pt idx="124">
                  <c:v>0.000899</c:v>
                </c:pt>
                <c:pt idx="125">
                  <c:v>0.000857</c:v>
                </c:pt>
                <c:pt idx="126">
                  <c:v>0.000818</c:v>
                </c:pt>
                <c:pt idx="127">
                  <c:v>0.00078</c:v>
                </c:pt>
                <c:pt idx="128">
                  <c:v>0.000744</c:v>
                </c:pt>
                <c:pt idx="129">
                  <c:v>0.000709</c:v>
                </c:pt>
                <c:pt idx="130">
                  <c:v>0.000677</c:v>
                </c:pt>
                <c:pt idx="131">
                  <c:v>0.000645</c:v>
                </c:pt>
                <c:pt idx="132">
                  <c:v>0.000616</c:v>
                </c:pt>
                <c:pt idx="133">
                  <c:v>0.000587</c:v>
                </c:pt>
                <c:pt idx="134">
                  <c:v>0.00056</c:v>
                </c:pt>
                <c:pt idx="135">
                  <c:v>0.000534</c:v>
                </c:pt>
                <c:pt idx="136">
                  <c:v>0.00051</c:v>
                </c:pt>
                <c:pt idx="137">
                  <c:v>0.000487</c:v>
                </c:pt>
                <c:pt idx="138">
                  <c:v>0.000464</c:v>
                </c:pt>
                <c:pt idx="139">
                  <c:v>0.000443</c:v>
                </c:pt>
                <c:pt idx="140">
                  <c:v>0.000423</c:v>
                </c:pt>
                <c:pt idx="141">
                  <c:v>0.000403</c:v>
                </c:pt>
                <c:pt idx="142">
                  <c:v>0.000385</c:v>
                </c:pt>
                <c:pt idx="143">
                  <c:v>0.000368</c:v>
                </c:pt>
                <c:pt idx="144">
                  <c:v>0.000351</c:v>
                </c:pt>
                <c:pt idx="145">
                  <c:v>0.000335</c:v>
                </c:pt>
                <c:pt idx="146">
                  <c:v>0.00032</c:v>
                </c:pt>
                <c:pt idx="147">
                  <c:v>0.000305</c:v>
                </c:pt>
                <c:pt idx="148">
                  <c:v>0.000291</c:v>
                </c:pt>
                <c:pt idx="149">
                  <c:v>0.000278</c:v>
                </c:pt>
                <c:pt idx="150">
                  <c:v>0.000265</c:v>
                </c:pt>
                <c:pt idx="151">
                  <c:v>0.000253</c:v>
                </c:pt>
                <c:pt idx="152">
                  <c:v>0.000242</c:v>
                </c:pt>
                <c:pt idx="153">
                  <c:v>0.000231</c:v>
                </c:pt>
                <c:pt idx="154">
                  <c:v>0.000221</c:v>
                </c:pt>
                <c:pt idx="155">
                  <c:v>0.000211</c:v>
                </c:pt>
                <c:pt idx="156">
                  <c:v>0.000201</c:v>
                </c:pt>
                <c:pt idx="157">
                  <c:v>0.000192</c:v>
                </c:pt>
                <c:pt idx="158">
                  <c:v>0.000183</c:v>
                </c:pt>
                <c:pt idx="159">
                  <c:v>0.000175</c:v>
                </c:pt>
                <c:pt idx="160">
                  <c:v>0.000167</c:v>
                </c:pt>
                <c:pt idx="161">
                  <c:v>0.00016</c:v>
                </c:pt>
                <c:pt idx="162">
                  <c:v>0.000153</c:v>
                </c:pt>
                <c:pt idx="163">
                  <c:v>0.000146</c:v>
                </c:pt>
                <c:pt idx="164">
                  <c:v>0.000139</c:v>
                </c:pt>
                <c:pt idx="165">
                  <c:v>0.000133</c:v>
                </c:pt>
                <c:pt idx="166">
                  <c:v>0.000127</c:v>
                </c:pt>
                <c:pt idx="167">
                  <c:v>0.000121</c:v>
                </c:pt>
                <c:pt idx="168">
                  <c:v>0.000116</c:v>
                </c:pt>
                <c:pt idx="169">
                  <c:v>0.000111</c:v>
                </c:pt>
                <c:pt idx="170">
                  <c:v>0.000106</c:v>
                </c:pt>
                <c:pt idx="171">
                  <c:v>0.000101</c:v>
                </c:pt>
                <c:pt idx="172">
                  <c:v>9.66e-5</c:v>
                </c:pt>
                <c:pt idx="173">
                  <c:v>9.23e-5</c:v>
                </c:pt>
                <c:pt idx="174">
                  <c:v>8.82e-5</c:v>
                </c:pt>
                <c:pt idx="175">
                  <c:v>8.43e-5</c:v>
                </c:pt>
                <c:pt idx="176">
                  <c:v>8.05e-5</c:v>
                </c:pt>
                <c:pt idx="177">
                  <c:v>7.7e-5</c:v>
                </c:pt>
                <c:pt idx="178">
                  <c:v>7.35e-5</c:v>
                </c:pt>
                <c:pt idx="179">
                  <c:v>7.03e-5</c:v>
                </c:pt>
                <c:pt idx="180">
                  <c:v>6.72e-5</c:v>
                </c:pt>
                <c:pt idx="181">
                  <c:v>6.42e-5</c:v>
                </c:pt>
                <c:pt idx="182">
                  <c:v>6.14e-5</c:v>
                </c:pt>
                <c:pt idx="183">
                  <c:v>5.86e-5</c:v>
                </c:pt>
                <c:pt idx="184">
                  <c:v>5.6e-5</c:v>
                </c:pt>
                <c:pt idx="185">
                  <c:v>5.36e-5</c:v>
                </c:pt>
                <c:pt idx="186">
                  <c:v>5.12e-5</c:v>
                </c:pt>
                <c:pt idx="187">
                  <c:v>4.89e-5</c:v>
                </c:pt>
                <c:pt idx="188">
                  <c:v>4.68e-5</c:v>
                </c:pt>
                <c:pt idx="189">
                  <c:v>4.47e-5</c:v>
                </c:pt>
                <c:pt idx="190">
                  <c:v>4.27e-5</c:v>
                </c:pt>
                <c:pt idx="191">
                  <c:v>4.09e-5</c:v>
                </c:pt>
                <c:pt idx="192">
                  <c:v>3.91e-5</c:v>
                </c:pt>
                <c:pt idx="193">
                  <c:v>3.73e-5</c:v>
                </c:pt>
                <c:pt idx="194">
                  <c:v>3.57e-5</c:v>
                </c:pt>
                <c:pt idx="195">
                  <c:v>3.41e-5</c:v>
                </c:pt>
                <c:pt idx="196">
                  <c:v>3.26e-5</c:v>
                </c:pt>
                <c:pt idx="197">
                  <c:v>3.12e-5</c:v>
                </c:pt>
                <c:pt idx="198">
                  <c:v>2.98e-5</c:v>
                </c:pt>
                <c:pt idx="199">
                  <c:v>2.85e-5</c:v>
                </c:pt>
                <c:pt idx="200">
                  <c:v>2.73e-5</c:v>
                </c:pt>
                <c:pt idx="201">
                  <c:v>2.61e-5</c:v>
                </c:pt>
                <c:pt idx="202">
                  <c:v>2.49e-5</c:v>
                </c:pt>
                <c:pt idx="203">
                  <c:v>2.38e-5</c:v>
                </c:pt>
                <c:pt idx="204">
                  <c:v>2.28e-5</c:v>
                </c:pt>
                <c:pt idx="205">
                  <c:v>2.18e-5</c:v>
                </c:pt>
                <c:pt idx="206">
                  <c:v>2.09e-5</c:v>
                </c:pt>
                <c:pt idx="207">
                  <c:v>1.99e-5</c:v>
                </c:pt>
                <c:pt idx="208">
                  <c:v>1.91e-5</c:v>
                </c:pt>
                <c:pt idx="209">
                  <c:v>1.82e-5</c:v>
                </c:pt>
                <c:pt idx="210">
                  <c:v>1.74e-5</c:v>
                </c:pt>
                <c:pt idx="211">
                  <c:v>1.67e-5</c:v>
                </c:pt>
                <c:pt idx="212">
                  <c:v>1.6e-5</c:v>
                </c:pt>
                <c:pt idx="213">
                  <c:v>1.53e-5</c:v>
                </c:pt>
                <c:pt idx="214">
                  <c:v>1.46e-5</c:v>
                </c:pt>
                <c:pt idx="215">
                  <c:v>1.4e-5</c:v>
                </c:pt>
                <c:pt idx="216">
                  <c:v>1.34e-5</c:v>
                </c:pt>
                <c:pt idx="217">
                  <c:v>1.28e-5</c:v>
                </c:pt>
                <c:pt idx="218">
                  <c:v>1.22e-5</c:v>
                </c:pt>
                <c:pt idx="219">
                  <c:v>1.17e-5</c:v>
                </c:pt>
                <c:pt idx="220">
                  <c:v>1.12e-5</c:v>
                </c:pt>
                <c:pt idx="221">
                  <c:v>1.07e-5</c:v>
                </c:pt>
                <c:pt idx="222">
                  <c:v>1.02e-5</c:v>
                </c:pt>
                <c:pt idx="223">
                  <c:v>9.79e-6</c:v>
                </c:pt>
                <c:pt idx="224">
                  <c:v>9.36e-6</c:v>
                </c:pt>
                <c:pt idx="225">
                  <c:v>8.96e-6</c:v>
                </c:pt>
                <c:pt idx="226">
                  <c:v>8.57e-6</c:v>
                </c:pt>
                <c:pt idx="227">
                  <c:v>8.2e-6</c:v>
                </c:pt>
                <c:pt idx="228">
                  <c:v>7.84e-6</c:v>
                </c:pt>
                <c:pt idx="229">
                  <c:v>7.5e-6</c:v>
                </c:pt>
                <c:pt idx="230">
                  <c:v>7.18e-6</c:v>
                </c:pt>
                <c:pt idx="231">
                  <c:v>6.87e-6</c:v>
                </c:pt>
                <c:pt idx="232">
                  <c:v>6.57e-6</c:v>
                </c:pt>
                <c:pt idx="233">
                  <c:v>6.29e-6</c:v>
                </c:pt>
                <c:pt idx="234">
                  <c:v>6.01e-6</c:v>
                </c:pt>
                <c:pt idx="235">
                  <c:v>5.76e-6</c:v>
                </c:pt>
                <c:pt idx="236">
                  <c:v>5.51e-6</c:v>
                </c:pt>
                <c:pt idx="237">
                  <c:v>5.27e-6</c:v>
                </c:pt>
                <c:pt idx="238">
                  <c:v>5.04e-6</c:v>
                </c:pt>
                <c:pt idx="239">
                  <c:v>4.82e-6</c:v>
                </c:pt>
                <c:pt idx="240">
                  <c:v>4.62e-6</c:v>
                </c:pt>
                <c:pt idx="241">
                  <c:v>4.42e-6</c:v>
                </c:pt>
                <c:pt idx="242">
                  <c:v>4.23e-6</c:v>
                </c:pt>
                <c:pt idx="243">
                  <c:v>4.05e-6</c:v>
                </c:pt>
                <c:pt idx="244">
                  <c:v>3.87e-6</c:v>
                </c:pt>
                <c:pt idx="245">
                  <c:v>3.71e-6</c:v>
                </c:pt>
                <c:pt idx="246">
                  <c:v>3.55e-6</c:v>
                </c:pt>
                <c:pt idx="247">
                  <c:v>3.39e-6</c:v>
                </c:pt>
                <c:pt idx="248">
                  <c:v>3.25e-6</c:v>
                </c:pt>
                <c:pt idx="249">
                  <c:v>3.11e-6</c:v>
                </c:pt>
                <c:pt idx="250">
                  <c:v>2.97e-6</c:v>
                </c:pt>
                <c:pt idx="251">
                  <c:v>2.85e-6</c:v>
                </c:pt>
                <c:pt idx="252">
                  <c:v>2.72e-6</c:v>
                </c:pt>
                <c:pt idx="253">
                  <c:v>2.61e-6</c:v>
                </c:pt>
                <c:pt idx="254">
                  <c:v>2.5e-6</c:v>
                </c:pt>
                <c:pt idx="255">
                  <c:v>2.39e-6</c:v>
                </c:pt>
                <c:pt idx="256">
                  <c:v>2.29e-6</c:v>
                </c:pt>
                <c:pt idx="257">
                  <c:v>2.19e-6</c:v>
                </c:pt>
                <c:pt idx="258">
                  <c:v>2.09e-6</c:v>
                </c:pt>
                <c:pt idx="259">
                  <c:v>2.01e-6</c:v>
                </c:pt>
                <c:pt idx="260">
                  <c:v>1.92e-6</c:v>
                </c:pt>
                <c:pt idx="261">
                  <c:v>1.84e-6</c:v>
                </c:pt>
                <c:pt idx="262">
                  <c:v>1.76e-6</c:v>
                </c:pt>
                <c:pt idx="263">
                  <c:v>1.68e-6</c:v>
                </c:pt>
                <c:pt idx="264">
                  <c:v>1.61e-6</c:v>
                </c:pt>
                <c:pt idx="265">
                  <c:v>1.54e-6</c:v>
                </c:pt>
                <c:pt idx="266">
                  <c:v>1.48e-6</c:v>
                </c:pt>
                <c:pt idx="267">
                  <c:v>1.41e-6</c:v>
                </c:pt>
                <c:pt idx="268">
                  <c:v>1.35e-6</c:v>
                </c:pt>
                <c:pt idx="269">
                  <c:v>1.3e-6</c:v>
                </c:pt>
                <c:pt idx="270">
                  <c:v>1.24e-6</c:v>
                </c:pt>
                <c:pt idx="271">
                  <c:v>1.19e-6</c:v>
                </c:pt>
                <c:pt idx="272">
                  <c:v>1.14e-6</c:v>
                </c:pt>
                <c:pt idx="273">
                  <c:v>1.09e-6</c:v>
                </c:pt>
                <c:pt idx="274">
                  <c:v>1.04e-6</c:v>
                </c:pt>
                <c:pt idx="275">
                  <c:v>9.97e-7</c:v>
                </c:pt>
                <c:pt idx="276">
                  <c:v>9.55e-7</c:v>
                </c:pt>
                <c:pt idx="277">
                  <c:v>9.14e-7</c:v>
                </c:pt>
                <c:pt idx="278">
                  <c:v>8.75e-7</c:v>
                </c:pt>
                <c:pt idx="279">
                  <c:v>8.38e-7</c:v>
                </c:pt>
                <c:pt idx="280">
                  <c:v>8.02e-7</c:v>
                </c:pt>
                <c:pt idx="281">
                  <c:v>7.68e-7</c:v>
                </c:pt>
                <c:pt idx="282">
                  <c:v>7.36e-7</c:v>
                </c:pt>
                <c:pt idx="283">
                  <c:v>7.04e-7</c:v>
                </c:pt>
                <c:pt idx="284">
                  <c:v>6.74e-7</c:v>
                </c:pt>
                <c:pt idx="285">
                  <c:v>6.46e-7</c:v>
                </c:pt>
                <c:pt idx="286">
                  <c:v>6.18e-7</c:v>
                </c:pt>
                <c:pt idx="287">
                  <c:v>5.92e-7</c:v>
                </c:pt>
                <c:pt idx="288">
                  <c:v>5.67e-7</c:v>
                </c:pt>
                <c:pt idx="289">
                  <c:v>5.43e-7</c:v>
                </c:pt>
                <c:pt idx="290">
                  <c:v>5.2e-7</c:v>
                </c:pt>
                <c:pt idx="291">
                  <c:v>4.98e-7</c:v>
                </c:pt>
                <c:pt idx="292">
                  <c:v>4.77e-7</c:v>
                </c:pt>
                <c:pt idx="293">
                  <c:v>4.56e-7</c:v>
                </c:pt>
                <c:pt idx="294">
                  <c:v>4.37e-7</c:v>
                </c:pt>
                <c:pt idx="295">
                  <c:v>4.19e-7</c:v>
                </c:pt>
                <c:pt idx="296">
                  <c:v>4.01e-7</c:v>
                </c:pt>
                <c:pt idx="297">
                  <c:v>3.84e-7</c:v>
                </c:pt>
                <c:pt idx="298">
                  <c:v>3.68e-7</c:v>
                </c:pt>
                <c:pt idx="299">
                  <c:v>3.52e-7</c:v>
                </c:pt>
                <c:pt idx="300">
                  <c:v>3.37e-7</c:v>
                </c:pt>
                <c:pt idx="301">
                  <c:v>3.23e-7</c:v>
                </c:pt>
                <c:pt idx="302">
                  <c:v>3.09e-7</c:v>
                </c:pt>
                <c:pt idx="303">
                  <c:v>2.96e-7</c:v>
                </c:pt>
                <c:pt idx="304">
                  <c:v>2.84e-7</c:v>
                </c:pt>
                <c:pt idx="305">
                  <c:v>2.72e-7</c:v>
                </c:pt>
                <c:pt idx="306">
                  <c:v>2.6e-7</c:v>
                </c:pt>
                <c:pt idx="307">
                  <c:v>2.49e-7</c:v>
                </c:pt>
                <c:pt idx="308">
                  <c:v>2.39e-7</c:v>
                </c:pt>
                <c:pt idx="309">
                  <c:v>2.29e-7</c:v>
                </c:pt>
                <c:pt idx="310">
                  <c:v>2.19e-7</c:v>
                </c:pt>
                <c:pt idx="311">
                  <c:v>2.1e-7</c:v>
                </c:pt>
                <c:pt idx="312">
                  <c:v>2.01e-7</c:v>
                </c:pt>
                <c:pt idx="313">
                  <c:v>1.92e-7</c:v>
                </c:pt>
                <c:pt idx="314">
                  <c:v>1.84e-7</c:v>
                </c:pt>
                <c:pt idx="315">
                  <c:v>1.76e-7</c:v>
                </c:pt>
                <c:pt idx="316">
                  <c:v>1.69e-7</c:v>
                </c:pt>
                <c:pt idx="317">
                  <c:v>1.62e-7</c:v>
                </c:pt>
                <c:pt idx="318">
                  <c:v>1.55e-7</c:v>
                </c:pt>
                <c:pt idx="319">
                  <c:v>1.48e-7</c:v>
                </c:pt>
                <c:pt idx="320">
                  <c:v>1.42e-7</c:v>
                </c:pt>
                <c:pt idx="321">
                  <c:v>1.36e-7</c:v>
                </c:pt>
                <c:pt idx="322">
                  <c:v>1.3e-7</c:v>
                </c:pt>
                <c:pt idx="323">
                  <c:v>1.25e-7</c:v>
                </c:pt>
                <c:pt idx="324">
                  <c:v>1.2e-7</c:v>
                </c:pt>
                <c:pt idx="325">
                  <c:v>1.15e-7</c:v>
                </c:pt>
                <c:pt idx="326">
                  <c:v>1.1e-7</c:v>
                </c:pt>
                <c:pt idx="327">
                  <c:v>1.05e-7</c:v>
                </c:pt>
                <c:pt idx="328">
                  <c:v>1.01e-7</c:v>
                </c:pt>
                <c:pt idx="329">
                  <c:v>9.66e-8</c:v>
                </c:pt>
                <c:pt idx="330">
                  <c:v>9.25e-8</c:v>
                </c:pt>
                <c:pt idx="331">
                  <c:v>8.86e-8</c:v>
                </c:pt>
                <c:pt idx="332">
                  <c:v>8.49e-8</c:v>
                </c:pt>
                <c:pt idx="333">
                  <c:v>8.13e-8</c:v>
                </c:pt>
                <c:pt idx="334">
                  <c:v>7.79e-8</c:v>
                </c:pt>
                <c:pt idx="335">
                  <c:v>7.46e-8</c:v>
                </c:pt>
                <c:pt idx="336">
                  <c:v>7.15e-8</c:v>
                </c:pt>
                <c:pt idx="337">
                  <c:v>6.85e-8</c:v>
                </c:pt>
                <c:pt idx="338">
                  <c:v>6.56e-8</c:v>
                </c:pt>
                <c:pt idx="339">
                  <c:v>6.29e-8</c:v>
                </c:pt>
                <c:pt idx="340">
                  <c:v>6.02e-8</c:v>
                </c:pt>
                <c:pt idx="341">
                  <c:v>5.77e-8</c:v>
                </c:pt>
                <c:pt idx="342">
                  <c:v>5.53e-8</c:v>
                </c:pt>
                <c:pt idx="343">
                  <c:v>5.3e-8</c:v>
                </c:pt>
                <c:pt idx="344">
                  <c:v>5.07e-8</c:v>
                </c:pt>
                <c:pt idx="345">
                  <c:v>4.86e-8</c:v>
                </c:pt>
                <c:pt idx="346">
                  <c:v>4.66e-8</c:v>
                </c:pt>
                <c:pt idx="347">
                  <c:v>4.46e-8</c:v>
                </c:pt>
                <c:pt idx="348">
                  <c:v>4.27e-8</c:v>
                </c:pt>
                <c:pt idx="349">
                  <c:v>4.1e-8</c:v>
                </c:pt>
                <c:pt idx="350">
                  <c:v>3.92e-8</c:v>
                </c:pt>
                <c:pt idx="351">
                  <c:v>3.76e-8</c:v>
                </c:pt>
                <c:pt idx="352">
                  <c:v>3.6e-8</c:v>
                </c:pt>
                <c:pt idx="353">
                  <c:v>3.45e-8</c:v>
                </c:pt>
                <c:pt idx="354">
                  <c:v>3.31e-8</c:v>
                </c:pt>
                <c:pt idx="355">
                  <c:v>3.17e-8</c:v>
                </c:pt>
                <c:pt idx="356">
                  <c:v>3.04e-8</c:v>
                </c:pt>
                <c:pt idx="357">
                  <c:v>2.91e-8</c:v>
                </c:pt>
                <c:pt idx="358">
                  <c:v>2.79e-8</c:v>
                </c:pt>
                <c:pt idx="359">
                  <c:v>2.67e-8</c:v>
                </c:pt>
                <c:pt idx="360">
                  <c:v>2.56e-8</c:v>
                </c:pt>
                <c:pt idx="361">
                  <c:v>2.45e-8</c:v>
                </c:pt>
                <c:pt idx="362">
                  <c:v>2.35e-8</c:v>
                </c:pt>
                <c:pt idx="363">
                  <c:v>2.25e-8</c:v>
                </c:pt>
                <c:pt idx="364">
                  <c:v>2.16e-8</c:v>
                </c:pt>
              </c:numCache>
            </c:numRef>
          </c:yVal>
          <c:smooth val="1"/>
        </c:ser>
        <c:dLbls>
          <c:showLegendKey val="0"/>
          <c:showVal val="0"/>
          <c:showCatName val="0"/>
          <c:showSerName val="0"/>
          <c:showPercent val="0"/>
          <c:showBubbleSize val="0"/>
        </c:dLbls>
        <c:axId val="1683285007"/>
        <c:axId val="1683311407"/>
      </c:scatterChart>
      <c:valAx>
        <c:axId val="1683285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683311407"/>
        <c:crosses val="autoZero"/>
        <c:crossBetween val="midCat"/>
      </c:valAx>
      <c:valAx>
        <c:axId val="1683311407"/>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68328500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latin typeface="Times New Roman" panose="02020603050405020304" charset="0"/>
          <a:cs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86F70E-2B33-423B-8F3A-886EBD214D1A}">
  <ds:schemaRefs/>
</ds:datastoreItem>
</file>

<file path=docProps/app.xml><?xml version="1.0" encoding="utf-8"?>
<Properties xmlns="http://schemas.openxmlformats.org/officeDocument/2006/extended-properties" xmlns:vt="http://schemas.openxmlformats.org/officeDocument/2006/docPropsVTypes">
  <Template>Normal.dotm</Template>
  <Pages>3</Pages>
  <Words>35340</Words>
  <Characters>201439</Characters>
  <Lines>1678</Lines>
  <Paragraphs>472</Paragraphs>
  <TotalTime>147</TotalTime>
  <ScaleCrop>false</ScaleCrop>
  <LinksUpToDate>false</LinksUpToDate>
  <CharactersWithSpaces>236307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2022-08-26T10:30:00Z</dcterms:created>
  <dc:creator>lc</dc:creator>
  <cp:lastModifiedBy>弦卷心</cp:lastModifiedBy>
  <cp:lastPrinted>2022-08-29T06:21:00Z</cp:lastPrinted>
  <dcterms:modified xsi:type="dcterms:W3CDTF">2024-04-18T07:25:12Z</dcterms:modified>
  <cp:revision>1657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033FB026B65D41998E917B59D60D2E54_12</vt:lpwstr>
  </property>
</Properties>
</file>