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11C5B">
      <w:pPr>
        <w:pStyle w:val="9"/>
        <w:shd w:val="clear" w:color="auto" w:fill="FFFFFF"/>
        <w:spacing w:before="0" w:beforeAutospacing="0" w:after="0" w:afterAutospacing="0" w:line="360" w:lineRule="auto"/>
        <w:jc w:val="center"/>
        <w:rPr>
          <w:rStyle w:val="14"/>
          <w:rFonts w:ascii="Times New Roman" w:hAnsi="Times New Roman" w:cs="Times New Roman"/>
          <w:color w:val="000000"/>
          <w:sz w:val="28"/>
          <w:szCs w:val="28"/>
          <w:highlight w:val="none"/>
        </w:rPr>
      </w:pPr>
      <w:r>
        <w:rPr>
          <w:rStyle w:val="14"/>
          <w:rFonts w:hint="eastAsia" w:ascii="Times New Roman" w:hAnsi="Times New Roman" w:cs="Times New Roman" w:eastAsiaTheme="minorEastAsia"/>
          <w:color w:val="000000"/>
          <w:sz w:val="28"/>
          <w:szCs w:val="28"/>
          <w:highlight w:val="none"/>
          <w:lang w:val="en-US" w:eastAsia="zh-CN"/>
        </w:rPr>
        <w:t>新乡市普尔泰医疗科技有限公司年产200吨医疗器械生产项目</w:t>
      </w:r>
      <w:r>
        <w:rPr>
          <w:rStyle w:val="14"/>
          <w:rFonts w:ascii="Times New Roman" w:hAnsi="Times New Roman" w:cs="Times New Roman" w:eastAsiaTheme="minorEastAsia"/>
          <w:color w:val="000000"/>
          <w:sz w:val="28"/>
          <w:szCs w:val="28"/>
          <w:highlight w:val="none"/>
        </w:rPr>
        <w:t>竣工环境保护验收</w:t>
      </w:r>
      <w:r>
        <w:rPr>
          <w:rStyle w:val="14"/>
          <w:rFonts w:ascii="Times New Roman" w:hAnsi="Times New Roman" w:cs="Times New Roman"/>
          <w:color w:val="000000"/>
          <w:sz w:val="28"/>
          <w:szCs w:val="28"/>
          <w:highlight w:val="none"/>
        </w:rPr>
        <w:t>意见</w:t>
      </w:r>
    </w:p>
    <w:p w14:paraId="7237D839">
      <w:pPr>
        <w:pStyle w:val="16"/>
        <w:snapToGrid w:val="0"/>
        <w:ind w:firstLine="480"/>
        <w:rPr>
          <w:bCs/>
          <w:color w:val="000000"/>
          <w:szCs w:val="24"/>
          <w:highlight w:val="none"/>
        </w:rPr>
      </w:pPr>
      <w:r>
        <w:rPr>
          <w:rFonts w:hint="eastAsia" w:hAnsi="宋体"/>
          <w:szCs w:val="24"/>
          <w:highlight w:val="none"/>
          <w:shd w:val="clear"/>
          <w:lang w:val="en-US" w:eastAsia="zh-CN"/>
        </w:rPr>
        <w:t>2026</w:t>
      </w:r>
      <w:r>
        <w:rPr>
          <w:rFonts w:hAnsi="宋体"/>
          <w:szCs w:val="24"/>
          <w:highlight w:val="none"/>
          <w:shd w:val="clear"/>
        </w:rPr>
        <w:t>年</w:t>
      </w:r>
      <w:r>
        <w:rPr>
          <w:rFonts w:hint="eastAsia" w:hAnsi="宋体"/>
          <w:szCs w:val="24"/>
          <w:highlight w:val="none"/>
          <w:shd w:val="clear"/>
          <w:lang w:val="en-US" w:eastAsia="zh-CN"/>
        </w:rPr>
        <w:t>7</w:t>
      </w:r>
      <w:r>
        <w:rPr>
          <w:rFonts w:hAnsi="宋体"/>
          <w:szCs w:val="24"/>
          <w:highlight w:val="none"/>
          <w:shd w:val="clear"/>
        </w:rPr>
        <w:t>月</w:t>
      </w:r>
      <w:r>
        <w:rPr>
          <w:rFonts w:hint="eastAsia" w:hAnsi="宋体"/>
          <w:szCs w:val="24"/>
          <w:highlight w:val="none"/>
          <w:shd w:val="clear"/>
          <w:lang w:val="en-US" w:eastAsia="zh-CN"/>
        </w:rPr>
        <w:t>1</w:t>
      </w:r>
      <w:r>
        <w:rPr>
          <w:rFonts w:hAnsi="宋体"/>
          <w:szCs w:val="24"/>
          <w:highlight w:val="none"/>
          <w:shd w:val="clear"/>
        </w:rPr>
        <w:t>日</w:t>
      </w:r>
      <w:r>
        <w:rPr>
          <w:rFonts w:hAnsi="宋体"/>
          <w:color w:val="000000"/>
          <w:szCs w:val="24"/>
          <w:highlight w:val="none"/>
        </w:rPr>
        <w:t>，</w:t>
      </w:r>
      <w:r>
        <w:rPr>
          <w:rFonts w:hint="eastAsia" w:hAnsi="宋体" w:cs="Times New Roman"/>
          <w:color w:val="000000"/>
          <w:szCs w:val="24"/>
          <w:highlight w:val="none"/>
          <w:lang w:val="en-US" w:eastAsia="zh-CN"/>
        </w:rPr>
        <w:t>新乡市普尔泰医疗科技有限公司</w:t>
      </w:r>
      <w:r>
        <w:rPr>
          <w:rFonts w:hint="eastAsia" w:ascii="Times New Roman" w:hAnsi="宋体" w:eastAsia="宋体" w:cs="Times New Roman"/>
          <w:color w:val="000000"/>
          <w:szCs w:val="24"/>
          <w:highlight w:val="none"/>
          <w:lang w:val="en-US" w:eastAsia="zh-CN"/>
        </w:rPr>
        <w:t>根据《</w:t>
      </w:r>
      <w:r>
        <w:rPr>
          <w:rFonts w:hint="eastAsia" w:hAnsi="宋体" w:cs="Times New Roman"/>
          <w:color w:val="000000"/>
          <w:szCs w:val="24"/>
          <w:highlight w:val="none"/>
          <w:lang w:val="en-US" w:eastAsia="zh-CN"/>
        </w:rPr>
        <w:t>新乡市普尔泰医疗科技有限公司年产200吨医疗器械生产项目</w:t>
      </w:r>
      <w:r>
        <w:rPr>
          <w:rFonts w:hint="default" w:ascii="Times New Roman" w:hAnsi="宋体" w:eastAsia="宋体" w:cs="Times New Roman"/>
          <w:color w:val="000000"/>
          <w:szCs w:val="24"/>
          <w:highlight w:val="none"/>
        </w:rPr>
        <w:t>竣工环境保</w:t>
      </w:r>
      <w:r>
        <w:rPr>
          <w:rFonts w:hint="default" w:ascii="Times New Roman" w:hAnsi="Times New Roman" w:cs="Times New Roman"/>
          <w:sz w:val="24"/>
          <w:szCs w:val="24"/>
          <w:highlight w:val="none"/>
        </w:rPr>
        <w:t>护验收监测报告</w:t>
      </w:r>
      <w:r>
        <w:rPr>
          <w:rFonts w:hint="eastAsia" w:hAnsi="宋体"/>
          <w:color w:val="000000"/>
          <w:szCs w:val="24"/>
          <w:highlight w:val="none"/>
          <w:lang w:val="en-US" w:eastAsia="zh-CN"/>
        </w:rPr>
        <w:t>》</w:t>
      </w:r>
      <w:r>
        <w:rPr>
          <w:rFonts w:hAnsi="宋体"/>
          <w:szCs w:val="24"/>
          <w:highlight w:val="none"/>
        </w:rPr>
        <w:t>和《建设项目竣工环境保护验收暂行办法》，严格依照国家有关法律法规、建设项目竣工</w:t>
      </w:r>
      <w:r>
        <w:rPr>
          <w:rFonts w:hAnsi="宋体"/>
          <w:color w:val="000000"/>
          <w:szCs w:val="24"/>
          <w:highlight w:val="none"/>
        </w:rPr>
        <w:t>环境保护验收技术规范、本项目环境影响评价报告</w:t>
      </w:r>
      <w:r>
        <w:rPr>
          <w:rFonts w:hint="eastAsia" w:hAnsi="宋体"/>
          <w:color w:val="000000"/>
          <w:szCs w:val="24"/>
          <w:highlight w:val="none"/>
        </w:rPr>
        <w:t>表</w:t>
      </w:r>
      <w:r>
        <w:rPr>
          <w:rFonts w:hAnsi="宋体"/>
          <w:color w:val="000000"/>
          <w:szCs w:val="24"/>
          <w:highlight w:val="none"/>
        </w:rPr>
        <w:t>和审批部门审批决定等要求对本项目进行验收，提出意见如下：</w:t>
      </w:r>
    </w:p>
    <w:p w14:paraId="6725594D">
      <w:pPr>
        <w:pStyle w:val="16"/>
        <w:spacing w:line="440" w:lineRule="exact"/>
        <w:ind w:firstLine="480"/>
        <w:outlineLvl w:val="0"/>
        <w:rPr>
          <w:color w:val="000000"/>
          <w:szCs w:val="24"/>
          <w:highlight w:val="none"/>
        </w:rPr>
      </w:pPr>
      <w:r>
        <w:rPr>
          <w:rStyle w:val="14"/>
          <w:rFonts w:hAnsi="微软雅黑" w:eastAsia="微软雅黑"/>
          <w:color w:val="000000"/>
          <w:szCs w:val="24"/>
          <w:highlight w:val="none"/>
        </w:rPr>
        <w:t>一、工程建设基本情况</w:t>
      </w:r>
    </w:p>
    <w:p w14:paraId="538AE94F">
      <w:pPr>
        <w:pStyle w:val="16"/>
        <w:snapToGrid w:val="0"/>
        <w:ind w:firstLine="480"/>
        <w:rPr>
          <w:rFonts w:hAnsi="宋体"/>
          <w:szCs w:val="24"/>
          <w:highlight w:val="none"/>
        </w:rPr>
      </w:pPr>
      <w:r>
        <w:rPr>
          <w:rFonts w:hAnsi="宋体"/>
          <w:szCs w:val="24"/>
          <w:highlight w:val="none"/>
        </w:rPr>
        <w:t>（一）建设地点、规模、主要建设内容</w:t>
      </w:r>
    </w:p>
    <w:p w14:paraId="46807517">
      <w:pPr>
        <w:pStyle w:val="16"/>
        <w:snapToGrid w:val="0"/>
        <w:ind w:firstLine="480"/>
        <w:rPr>
          <w:rFonts w:hint="default" w:hAnsi="宋体" w:eastAsia="宋体"/>
          <w:szCs w:val="24"/>
          <w:highlight w:val="none"/>
          <w:lang w:val="en-US" w:eastAsia="zh-CN"/>
        </w:rPr>
      </w:pPr>
      <w:r>
        <w:rPr>
          <w:rFonts w:hAnsi="宋体"/>
          <w:szCs w:val="24"/>
          <w:highlight w:val="none"/>
        </w:rPr>
        <w:t>建设地</w:t>
      </w:r>
      <w:r>
        <w:rPr>
          <w:rFonts w:hint="eastAsia" w:ascii="Times New Roman" w:hAnsi="宋体" w:eastAsia="宋体" w:cs="Times New Roman"/>
          <w:color w:val="000000"/>
          <w:szCs w:val="24"/>
          <w:highlight w:val="none"/>
          <w:lang w:val="en-US" w:eastAsia="zh-CN"/>
        </w:rPr>
        <w:t>点：</w:t>
      </w:r>
      <w:r>
        <w:rPr>
          <w:rFonts w:hint="eastAsia" w:cs="Times New Roman"/>
          <w:color w:val="000000"/>
          <w:kern w:val="0"/>
          <w:sz w:val="24"/>
          <w:szCs w:val="24"/>
          <w:highlight w:val="none"/>
          <w:lang w:val="en-US" w:eastAsia="zh-CN" w:bidi="ar-SA"/>
        </w:rPr>
        <w:t>河南省新乡市红旗区新儒街7号联东U谷新乡新东产业园21号楼105室</w:t>
      </w:r>
    </w:p>
    <w:p w14:paraId="61EEB85D">
      <w:pPr>
        <w:pStyle w:val="16"/>
        <w:snapToGrid w:val="0"/>
        <w:ind w:firstLine="480"/>
        <w:rPr>
          <w:rFonts w:hint="eastAsia" w:hAnsi="宋体" w:eastAsia="宋体"/>
          <w:szCs w:val="24"/>
          <w:highlight w:val="none"/>
          <w:lang w:eastAsia="zh-CN"/>
        </w:rPr>
      </w:pPr>
      <w:r>
        <w:rPr>
          <w:rFonts w:hAnsi="宋体"/>
          <w:szCs w:val="24"/>
          <w:highlight w:val="none"/>
        </w:rPr>
        <w:t>建设性质：</w:t>
      </w:r>
      <w:r>
        <w:rPr>
          <w:rFonts w:hint="eastAsia" w:hAnsi="宋体"/>
          <w:szCs w:val="24"/>
          <w:highlight w:val="none"/>
          <w:lang w:val="en-US" w:eastAsia="zh-CN"/>
        </w:rPr>
        <w:t>新建</w:t>
      </w:r>
    </w:p>
    <w:p w14:paraId="607D98E7">
      <w:pPr>
        <w:pStyle w:val="16"/>
        <w:snapToGrid w:val="0"/>
        <w:ind w:firstLine="480"/>
        <w:rPr>
          <w:rFonts w:hint="default" w:hAnsi="宋体"/>
          <w:szCs w:val="24"/>
          <w:highlight w:val="none"/>
          <w:lang w:val="en-US"/>
        </w:rPr>
      </w:pPr>
      <w:r>
        <w:rPr>
          <w:rFonts w:hAnsi="宋体"/>
          <w:szCs w:val="24"/>
          <w:highlight w:val="none"/>
        </w:rPr>
        <w:t>产品、</w:t>
      </w:r>
      <w:r>
        <w:rPr>
          <w:rFonts w:hint="default" w:ascii="Times New Roman" w:hAnsi="宋体" w:eastAsia="宋体" w:cs="Times New Roman"/>
          <w:color w:val="000000"/>
          <w:szCs w:val="24"/>
          <w:highlight w:val="none"/>
          <w:lang w:val="en-US" w:eastAsia="zh-CN"/>
        </w:rPr>
        <w:t>规</w:t>
      </w:r>
      <w:r>
        <w:rPr>
          <w:rFonts w:hint="eastAsia" w:ascii="Times New Roman" w:hAnsi="宋体" w:eastAsia="宋体" w:cs="Times New Roman"/>
          <w:color w:val="000000"/>
          <w:szCs w:val="24"/>
          <w:highlight w:val="none"/>
          <w:lang w:val="en-US" w:eastAsia="zh-CN"/>
        </w:rPr>
        <w:t>模：</w:t>
      </w:r>
      <w:r>
        <w:rPr>
          <w:rFonts w:hint="eastAsia" w:cs="Times New Roman"/>
          <w:color w:val="000000"/>
          <w:sz w:val="24"/>
          <w:szCs w:val="24"/>
          <w:highlight w:val="none"/>
          <w:lang w:val="en-US" w:eastAsia="zh-CN"/>
        </w:rPr>
        <w:t>医疗器械200万t</w:t>
      </w:r>
      <w:r>
        <w:rPr>
          <w:rFonts w:hint="eastAsia" w:ascii="Times New Roman" w:hAnsi="Times New Roman" w:eastAsia="宋体" w:cs="Times New Roman"/>
          <w:color w:val="000000"/>
          <w:sz w:val="24"/>
          <w:szCs w:val="24"/>
          <w:highlight w:val="none"/>
          <w:lang w:val="en-US" w:eastAsia="zh-CN"/>
        </w:rPr>
        <w:t>/a</w:t>
      </w:r>
    </w:p>
    <w:p w14:paraId="03B693A3">
      <w:pPr>
        <w:pStyle w:val="16"/>
        <w:snapToGrid w:val="0"/>
        <w:ind w:firstLine="480"/>
        <w:rPr>
          <w:rFonts w:hAnsi="宋体"/>
          <w:szCs w:val="24"/>
          <w:highlight w:val="none"/>
        </w:rPr>
      </w:pPr>
      <w:r>
        <w:rPr>
          <w:rFonts w:hAnsi="宋体"/>
          <w:szCs w:val="24"/>
          <w:highlight w:val="none"/>
        </w:rPr>
        <w:t>（二）建设过程及环保审批情况</w:t>
      </w:r>
    </w:p>
    <w:p w14:paraId="628C3516">
      <w:pPr>
        <w:pStyle w:val="16"/>
        <w:snapToGrid w:val="0"/>
        <w:ind w:firstLine="480"/>
        <w:rPr>
          <w:rFonts w:hint="default" w:hAnsi="宋体" w:eastAsia="宋体"/>
          <w:szCs w:val="24"/>
          <w:highlight w:val="none"/>
          <w:lang w:val="en-US" w:eastAsia="zh-CN"/>
        </w:rPr>
      </w:pPr>
      <w:r>
        <w:rPr>
          <w:rFonts w:hint="default" w:ascii="Times New Roman" w:hAnsi="Times New Roman" w:eastAsia="宋体" w:cs="Times New Roman"/>
          <w:sz w:val="24"/>
          <w:szCs w:val="24"/>
          <w:highlight w:val="none"/>
          <w:lang w:val="en-US" w:eastAsia="zh-CN"/>
        </w:rPr>
        <w:t>《</w:t>
      </w:r>
      <w:r>
        <w:rPr>
          <w:rFonts w:hint="eastAsia" w:hAnsi="宋体" w:cs="Times New Roman"/>
          <w:color w:val="000000"/>
          <w:szCs w:val="24"/>
          <w:highlight w:val="none"/>
          <w:lang w:val="en-US" w:eastAsia="zh-CN"/>
        </w:rPr>
        <w:t>新乡市普尔泰医疗科技有限公司年产200吨医疗器械生产项目</w:t>
      </w:r>
      <w:r>
        <w:rPr>
          <w:rFonts w:hint="eastAsia" w:ascii="Times New Roman" w:hAnsi="Times New Roman" w:cs="Times New Roman"/>
          <w:bCs/>
          <w:color w:val="000000"/>
          <w:sz w:val="24"/>
          <w:highlight w:val="none"/>
          <w:lang w:val="en-US" w:eastAsia="zh-CN"/>
        </w:rPr>
        <w:t>环境影响报告表</w:t>
      </w:r>
      <w:r>
        <w:rPr>
          <w:rFonts w:hint="default" w:ascii="Times New Roman" w:hAnsi="Times New Roman" w:eastAsia="宋体" w:cs="Times New Roman"/>
          <w:sz w:val="24"/>
          <w:szCs w:val="24"/>
          <w:highlight w:val="none"/>
          <w:lang w:val="en-US" w:eastAsia="zh-CN"/>
        </w:rPr>
        <w:t>》</w:t>
      </w:r>
      <w:r>
        <w:rPr>
          <w:rFonts w:hint="eastAsia" w:hAnsi="宋体"/>
          <w:szCs w:val="24"/>
          <w:highlight w:val="none"/>
        </w:rPr>
        <w:t>由</w:t>
      </w:r>
      <w:r>
        <w:rPr>
          <w:rFonts w:hint="eastAsia" w:hAnsi="宋体"/>
          <w:szCs w:val="24"/>
          <w:highlight w:val="none"/>
          <w:lang w:val="en-US" w:eastAsia="zh-CN"/>
        </w:rPr>
        <w:t>河南蓝天环境工程有限公司</w:t>
      </w:r>
      <w:r>
        <w:rPr>
          <w:rFonts w:hint="eastAsia" w:hAnsi="宋体"/>
          <w:szCs w:val="24"/>
          <w:highlight w:val="none"/>
        </w:rPr>
        <w:t>于20</w:t>
      </w:r>
      <w:r>
        <w:rPr>
          <w:rFonts w:hint="eastAsia" w:hAnsi="宋体"/>
          <w:szCs w:val="24"/>
          <w:highlight w:val="none"/>
          <w:lang w:val="en-US" w:eastAsia="zh-CN"/>
        </w:rPr>
        <w:t>24</w:t>
      </w:r>
      <w:r>
        <w:rPr>
          <w:rFonts w:hint="eastAsia" w:hAnsi="宋体"/>
          <w:szCs w:val="24"/>
          <w:highlight w:val="none"/>
        </w:rPr>
        <w:t>年</w:t>
      </w:r>
      <w:r>
        <w:rPr>
          <w:rFonts w:hint="eastAsia" w:hAnsi="宋体"/>
          <w:szCs w:val="24"/>
          <w:highlight w:val="none"/>
          <w:lang w:val="en-US" w:eastAsia="zh-CN"/>
        </w:rPr>
        <w:t>3</w:t>
      </w:r>
      <w:r>
        <w:rPr>
          <w:rFonts w:hint="eastAsia" w:hAnsi="宋体"/>
          <w:szCs w:val="24"/>
          <w:highlight w:val="none"/>
        </w:rPr>
        <w:t>月编制完成，于</w:t>
      </w:r>
      <w:r>
        <w:rPr>
          <w:rFonts w:hint="default" w:ascii="Times New Roman" w:hAnsi="Times New Roman" w:cs="Times New Roman"/>
          <w:bCs/>
          <w:color w:val="000000"/>
          <w:sz w:val="24"/>
          <w:highlight w:val="none"/>
          <w:lang w:val="en-US" w:eastAsia="zh-CN"/>
        </w:rPr>
        <w:t>20</w:t>
      </w:r>
      <w:r>
        <w:rPr>
          <w:rFonts w:hint="eastAsia" w:cs="Times New Roman"/>
          <w:bCs/>
          <w:color w:val="000000"/>
          <w:sz w:val="24"/>
          <w:highlight w:val="none"/>
          <w:lang w:val="en-US" w:eastAsia="zh-CN"/>
        </w:rPr>
        <w:t>24</w:t>
      </w:r>
      <w:r>
        <w:rPr>
          <w:rFonts w:hint="default" w:ascii="Times New Roman" w:hAnsi="Times New Roman" w:cs="Times New Roman"/>
          <w:bCs/>
          <w:color w:val="000000"/>
          <w:sz w:val="24"/>
          <w:highlight w:val="none"/>
          <w:lang w:val="en-US" w:eastAsia="zh-CN"/>
        </w:rPr>
        <w:t>年</w:t>
      </w:r>
      <w:r>
        <w:rPr>
          <w:rFonts w:hint="eastAsia" w:cs="Times New Roman"/>
          <w:bCs/>
          <w:color w:val="000000"/>
          <w:sz w:val="24"/>
          <w:highlight w:val="none"/>
          <w:lang w:val="en-US" w:eastAsia="zh-CN"/>
        </w:rPr>
        <w:t>3</w:t>
      </w:r>
      <w:r>
        <w:rPr>
          <w:rFonts w:hint="default" w:ascii="Times New Roman" w:hAnsi="Times New Roman" w:cs="Times New Roman"/>
          <w:bCs/>
          <w:color w:val="000000"/>
          <w:sz w:val="24"/>
          <w:highlight w:val="none"/>
          <w:lang w:val="en-US" w:eastAsia="zh-CN"/>
        </w:rPr>
        <w:t>月</w:t>
      </w:r>
      <w:r>
        <w:rPr>
          <w:rFonts w:hint="eastAsia" w:cs="Times New Roman"/>
          <w:bCs/>
          <w:color w:val="000000"/>
          <w:sz w:val="24"/>
          <w:highlight w:val="none"/>
          <w:lang w:val="en-US" w:eastAsia="zh-CN"/>
        </w:rPr>
        <w:t>6</w:t>
      </w:r>
      <w:r>
        <w:rPr>
          <w:rFonts w:hint="default" w:ascii="Times New Roman" w:hAnsi="Times New Roman" w:cs="Times New Roman"/>
          <w:bCs/>
          <w:color w:val="000000"/>
          <w:sz w:val="24"/>
          <w:highlight w:val="none"/>
          <w:lang w:val="en-US" w:eastAsia="zh-CN"/>
        </w:rPr>
        <w:t>日</w:t>
      </w:r>
      <w:r>
        <w:rPr>
          <w:rFonts w:hint="eastAsia" w:hAnsi="宋体"/>
          <w:szCs w:val="24"/>
          <w:highlight w:val="none"/>
        </w:rPr>
        <w:t>由</w:t>
      </w:r>
      <w:r>
        <w:rPr>
          <w:rFonts w:hint="eastAsia" w:cs="Times New Roman"/>
          <w:color w:val="000000"/>
          <w:sz w:val="24"/>
          <w:szCs w:val="24"/>
          <w:highlight w:val="none"/>
          <w:lang w:val="en-US" w:eastAsia="zh-CN"/>
        </w:rPr>
        <w:t>新乡市生态环境局红旗分局</w:t>
      </w:r>
      <w:r>
        <w:rPr>
          <w:rFonts w:hint="eastAsia" w:ascii="Times New Roman" w:hAnsi="Times New Roman" w:cs="Times New Roman"/>
          <w:bCs/>
          <w:color w:val="000000"/>
          <w:sz w:val="24"/>
          <w:highlight w:val="none"/>
          <w:lang w:val="en-US" w:eastAsia="zh-CN"/>
        </w:rPr>
        <w:t>审批通过，批复文号：</w:t>
      </w:r>
      <w:r>
        <w:rPr>
          <w:rFonts w:hint="eastAsia" w:cs="Times New Roman"/>
          <w:color w:val="000000"/>
          <w:sz w:val="24"/>
          <w:szCs w:val="24"/>
          <w:highlight w:val="none"/>
          <w:lang w:val="en-US" w:eastAsia="zh-CN"/>
        </w:rPr>
        <w:t>新环红表审〔2024〕001号</w:t>
      </w:r>
      <w:r>
        <w:rPr>
          <w:rFonts w:hAnsi="宋体"/>
          <w:szCs w:val="24"/>
          <w:highlight w:val="none"/>
        </w:rPr>
        <w:t>。</w:t>
      </w:r>
    </w:p>
    <w:p w14:paraId="6C41921A">
      <w:pPr>
        <w:pStyle w:val="16"/>
        <w:snapToGrid w:val="0"/>
        <w:ind w:firstLine="480"/>
        <w:rPr>
          <w:rFonts w:hAnsi="宋体"/>
          <w:szCs w:val="24"/>
          <w:highlight w:val="none"/>
        </w:rPr>
      </w:pPr>
      <w:r>
        <w:rPr>
          <w:rFonts w:hAnsi="宋体"/>
          <w:szCs w:val="24"/>
          <w:highlight w:val="none"/>
        </w:rPr>
        <w:t>（三）投资情况</w:t>
      </w:r>
    </w:p>
    <w:p w14:paraId="63318E3A">
      <w:pPr>
        <w:pStyle w:val="16"/>
        <w:snapToGrid w:val="0"/>
        <w:ind w:firstLine="480"/>
        <w:rPr>
          <w:rFonts w:hAnsi="宋体"/>
          <w:szCs w:val="24"/>
          <w:highlight w:val="none"/>
        </w:rPr>
      </w:pPr>
      <w:r>
        <w:rPr>
          <w:rFonts w:hAnsi="宋体"/>
          <w:szCs w:val="24"/>
          <w:highlight w:val="none"/>
        </w:rPr>
        <w:t>项目投资</w:t>
      </w:r>
      <w:r>
        <w:rPr>
          <w:rFonts w:hint="eastAsia" w:hAnsi="宋体"/>
          <w:szCs w:val="24"/>
          <w:highlight w:val="none"/>
          <w:lang w:val="en-US" w:eastAsia="zh-CN"/>
        </w:rPr>
        <w:t>2000</w:t>
      </w:r>
      <w:r>
        <w:rPr>
          <w:rFonts w:hAnsi="宋体"/>
          <w:szCs w:val="24"/>
          <w:highlight w:val="none"/>
        </w:rPr>
        <w:t>万元，其中环保投资</w:t>
      </w:r>
      <w:r>
        <w:rPr>
          <w:rFonts w:hint="eastAsia" w:hAnsi="宋体"/>
          <w:szCs w:val="24"/>
          <w:highlight w:val="none"/>
          <w:lang w:val="en-US" w:eastAsia="zh-CN"/>
        </w:rPr>
        <w:t>50</w:t>
      </w:r>
      <w:r>
        <w:rPr>
          <w:rFonts w:hAnsi="宋体"/>
          <w:szCs w:val="24"/>
          <w:highlight w:val="none"/>
        </w:rPr>
        <w:t>万元，占比约为</w:t>
      </w:r>
      <w:r>
        <w:rPr>
          <w:rFonts w:hint="eastAsia" w:hAnsi="宋体"/>
          <w:szCs w:val="24"/>
          <w:highlight w:val="none"/>
          <w:lang w:val="en-US" w:eastAsia="zh-CN"/>
        </w:rPr>
        <w:t>2.5</w:t>
      </w:r>
      <w:r>
        <w:rPr>
          <w:rFonts w:hAnsi="宋体"/>
          <w:szCs w:val="24"/>
          <w:highlight w:val="none"/>
        </w:rPr>
        <w:t>%。</w:t>
      </w:r>
    </w:p>
    <w:p w14:paraId="2F3D1E15">
      <w:pPr>
        <w:pStyle w:val="16"/>
        <w:snapToGrid w:val="0"/>
        <w:ind w:firstLine="480"/>
        <w:rPr>
          <w:rFonts w:hAnsi="宋体"/>
          <w:szCs w:val="24"/>
          <w:highlight w:val="none"/>
        </w:rPr>
      </w:pPr>
      <w:r>
        <w:rPr>
          <w:rFonts w:hAnsi="宋体"/>
          <w:szCs w:val="24"/>
          <w:highlight w:val="none"/>
        </w:rPr>
        <w:t>（四）验收范围</w:t>
      </w:r>
    </w:p>
    <w:p w14:paraId="44135E7B">
      <w:pPr>
        <w:pStyle w:val="16"/>
        <w:snapToGrid w:val="0"/>
        <w:ind w:firstLine="480"/>
        <w:rPr>
          <w:rFonts w:hAnsi="宋体"/>
          <w:szCs w:val="24"/>
          <w:highlight w:val="none"/>
        </w:rPr>
      </w:pPr>
      <w:r>
        <w:rPr>
          <w:rFonts w:hAnsi="宋体"/>
          <w:szCs w:val="24"/>
          <w:highlight w:val="none"/>
        </w:rPr>
        <w:t>本次验收</w:t>
      </w:r>
      <w:r>
        <w:rPr>
          <w:rFonts w:hint="eastAsia" w:hAnsi="宋体"/>
          <w:szCs w:val="24"/>
          <w:highlight w:val="none"/>
        </w:rPr>
        <w:t>对</w:t>
      </w:r>
      <w:r>
        <w:rPr>
          <w:rFonts w:hint="eastAsia" w:hAnsi="宋体"/>
          <w:color w:val="000000"/>
          <w:szCs w:val="24"/>
          <w:highlight w:val="none"/>
          <w:lang w:val="en-US" w:eastAsia="zh-CN"/>
        </w:rPr>
        <w:t>《</w:t>
      </w:r>
      <w:r>
        <w:rPr>
          <w:rFonts w:hint="eastAsia" w:hAnsi="宋体" w:cs="Times New Roman"/>
          <w:color w:val="000000"/>
          <w:szCs w:val="24"/>
          <w:highlight w:val="none"/>
          <w:lang w:val="en-US" w:eastAsia="zh-CN"/>
        </w:rPr>
        <w:t>新乡市普尔泰医疗科技有限公司年产200吨医疗器械生产项目</w:t>
      </w:r>
      <w:r>
        <w:rPr>
          <w:rFonts w:hint="eastAsia" w:hAnsi="宋体"/>
          <w:color w:val="000000"/>
          <w:szCs w:val="24"/>
          <w:highlight w:val="none"/>
          <w:lang w:val="en-US" w:eastAsia="zh-CN"/>
        </w:rPr>
        <w:t>》</w:t>
      </w:r>
      <w:r>
        <w:rPr>
          <w:rFonts w:hint="eastAsia" w:hAnsi="宋体"/>
          <w:szCs w:val="24"/>
          <w:highlight w:val="none"/>
        </w:rPr>
        <w:t>进行验收，主要</w:t>
      </w:r>
      <w:r>
        <w:rPr>
          <w:rFonts w:hAnsi="宋体"/>
          <w:szCs w:val="24"/>
          <w:highlight w:val="none"/>
        </w:rPr>
        <w:t>为</w:t>
      </w:r>
      <w:r>
        <w:rPr>
          <w:rFonts w:hint="eastAsia" w:hAnsi="宋体" w:cs="Times New Roman"/>
          <w:color w:val="000000"/>
          <w:szCs w:val="24"/>
          <w:highlight w:val="none"/>
          <w:lang w:val="en-US" w:eastAsia="zh-CN"/>
        </w:rPr>
        <w:t>新乡市普尔泰医疗科技有限公司年产200吨医疗器械生产项目</w:t>
      </w:r>
      <w:r>
        <w:rPr>
          <w:rFonts w:hAnsi="宋体"/>
          <w:szCs w:val="24"/>
          <w:highlight w:val="none"/>
        </w:rPr>
        <w:t>的主体工程、配套设施、辅助设施、环保设施的建设、运行及环保要求落实情况。</w:t>
      </w:r>
    </w:p>
    <w:p w14:paraId="68DC264C">
      <w:pPr>
        <w:pStyle w:val="16"/>
        <w:spacing w:line="440" w:lineRule="exact"/>
        <w:ind w:firstLine="480"/>
        <w:outlineLvl w:val="0"/>
        <w:rPr>
          <w:rFonts w:hint="eastAsia" w:ascii="Times New Roman" w:hAnsi="Times New Roman" w:eastAsia="宋体" w:cs="Times New Roman"/>
          <w:b w:val="0"/>
          <w:bCs w:val="0"/>
          <w:color w:val="000000"/>
          <w:sz w:val="24"/>
          <w:szCs w:val="24"/>
          <w:highlight w:val="none"/>
          <w:lang w:val="en-US" w:eastAsia="zh-CN"/>
        </w:rPr>
      </w:pPr>
      <w:r>
        <w:rPr>
          <w:rStyle w:val="14"/>
          <w:rFonts w:hAnsi="微软雅黑" w:eastAsia="微软雅黑"/>
          <w:color w:val="000000"/>
          <w:szCs w:val="24"/>
          <w:highlight w:val="none"/>
        </w:rPr>
        <w:t>二、工程变</w:t>
      </w:r>
      <w:r>
        <w:rPr>
          <w:rStyle w:val="14"/>
          <w:rFonts w:hint="eastAsia" w:hAnsi="微软雅黑" w:eastAsia="微软雅黑"/>
          <w:color w:val="000000"/>
          <w:szCs w:val="24"/>
          <w:highlight w:val="none"/>
        </w:rPr>
        <w:t>动</w:t>
      </w:r>
      <w:r>
        <w:rPr>
          <w:rStyle w:val="14"/>
          <w:rFonts w:hAnsi="微软雅黑" w:eastAsia="微软雅黑"/>
          <w:color w:val="000000"/>
          <w:szCs w:val="24"/>
          <w:highlight w:val="none"/>
        </w:rPr>
        <w:t>情况</w:t>
      </w:r>
    </w:p>
    <w:p w14:paraId="5745C6F3">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本次验收工程</w:t>
      </w:r>
      <w:r>
        <w:rPr>
          <w:rFonts w:hint="default" w:ascii="Times New Roman" w:hAnsi="Times New Roman" w:eastAsia="宋体" w:cs="Times New Roman"/>
          <w:b w:val="0"/>
          <w:bCs w:val="0"/>
          <w:color w:val="000000"/>
          <w:sz w:val="24"/>
          <w:szCs w:val="24"/>
          <w:highlight w:val="none"/>
          <w:lang w:val="en-US" w:eastAsia="zh-CN"/>
        </w:rPr>
        <w:t>实际建设情况、厂址位置、平面布置、原辅材料和生产工艺等方面均与环评及批复要求基本一致。与环评批复不一致的地方有：</w:t>
      </w:r>
    </w:p>
    <w:p w14:paraId="429C5F38">
      <w:pPr>
        <w:spacing w:after="0" w:line="460" w:lineRule="exact"/>
        <w:ind w:firstLine="480" w:firstLineChars="200"/>
        <w:textAlignment w:val="baseline"/>
        <w:rPr>
          <w:rFonts w:hint="eastAsia" w:ascii="Times New Roman" w:hAnsi="宋体" w:eastAsia="宋体"/>
          <w:color w:val="000000"/>
          <w:sz w:val="24"/>
          <w:szCs w:val="24"/>
          <w:highlight w:val="none"/>
          <w:lang w:val="en-US" w:eastAsia="zh-CN"/>
        </w:rPr>
      </w:pPr>
      <w:r>
        <w:rPr>
          <w:rFonts w:hint="eastAsia" w:ascii="Times New Roman" w:hAnsi="宋体" w:eastAsia="宋体"/>
          <w:color w:val="000000"/>
          <w:sz w:val="24"/>
          <w:szCs w:val="24"/>
          <w:highlight w:val="none"/>
          <w:lang w:val="en-US" w:eastAsia="zh-CN"/>
        </w:rPr>
        <w:t>①生产设备发生变动：</w:t>
      </w:r>
    </w:p>
    <w:p w14:paraId="66A4A274">
      <w:pPr>
        <w:spacing w:after="0" w:line="460" w:lineRule="exact"/>
        <w:ind w:firstLine="480" w:firstLineChars="200"/>
        <w:textAlignment w:val="baseline"/>
        <w:rPr>
          <w:rFonts w:hint="default" w:ascii="Times New Roman" w:hAnsi="宋体" w:eastAsia="宋体"/>
          <w:color w:val="000000"/>
          <w:sz w:val="24"/>
          <w:szCs w:val="24"/>
          <w:highlight w:val="none"/>
          <w:lang w:val="en-US" w:eastAsia="zh-CN"/>
        </w:rPr>
      </w:pPr>
      <w:r>
        <w:rPr>
          <w:rFonts w:hint="eastAsia" w:ascii="Times New Roman" w:hAnsi="宋体" w:eastAsia="宋体"/>
          <w:color w:val="000000"/>
          <w:sz w:val="24"/>
          <w:szCs w:val="24"/>
          <w:highlight w:val="none"/>
          <w:lang w:val="en-US" w:eastAsia="zh-CN"/>
        </w:rPr>
        <w:t>根据生产需求，包装设备不能满足现有项目产量需求，增加1台亲水涂层设备，3台加工包装设备。加工包装设备及亲水涂层设备不涉及废气、废水排放，不涉及新增产能。</w:t>
      </w:r>
    </w:p>
    <w:p w14:paraId="45240C85">
      <w:pPr>
        <w:spacing w:after="0" w:line="460" w:lineRule="exact"/>
        <w:ind w:firstLine="480" w:firstLineChars="200"/>
        <w:textAlignment w:val="baseline"/>
        <w:rPr>
          <w:rFonts w:hint="eastAsia" w:ascii="Times New Roman" w:hAnsi="宋体" w:eastAsia="宋体"/>
          <w:color w:val="000000"/>
          <w:sz w:val="24"/>
          <w:szCs w:val="24"/>
          <w:highlight w:val="none"/>
          <w:lang w:val="en-US" w:eastAsia="zh-CN"/>
        </w:rPr>
      </w:pPr>
      <w:r>
        <w:rPr>
          <w:rFonts w:hint="eastAsia" w:ascii="Times New Roman" w:hAnsi="宋体" w:eastAsia="宋体"/>
          <w:color w:val="000000"/>
          <w:sz w:val="24"/>
          <w:szCs w:val="24"/>
          <w:highlight w:val="none"/>
          <w:lang w:val="en-US" w:eastAsia="zh-CN"/>
        </w:rPr>
        <w:t>②废气治理设施发生变动：</w:t>
      </w:r>
    </w:p>
    <w:p w14:paraId="7AF2DE26">
      <w:pPr>
        <w:spacing w:after="0" w:line="460" w:lineRule="exact"/>
        <w:ind w:firstLine="480" w:firstLineChars="200"/>
        <w:textAlignment w:val="baseline"/>
        <w:rPr>
          <w:rFonts w:hint="default" w:ascii="Times New Roman" w:hAnsi="宋体" w:eastAsia="宋体"/>
          <w:color w:val="000000"/>
          <w:sz w:val="24"/>
          <w:szCs w:val="24"/>
          <w:highlight w:val="none"/>
          <w:lang w:val="en-US" w:eastAsia="zh-CN"/>
        </w:rPr>
      </w:pPr>
      <w:r>
        <w:rPr>
          <w:rFonts w:hint="eastAsia" w:ascii="Times New Roman" w:hAnsi="宋体" w:eastAsia="宋体"/>
          <w:color w:val="000000"/>
          <w:sz w:val="24"/>
          <w:szCs w:val="24"/>
          <w:highlight w:val="none"/>
          <w:lang w:val="en-US" w:eastAsia="zh-CN"/>
        </w:rPr>
        <w:t>本次项目验收废气治理设施为：</w:t>
      </w:r>
      <w:r>
        <w:rPr>
          <w:rFonts w:hint="eastAsia" w:ascii="Times New Roman" w:hAnsi="Times New Roman" w:eastAsia="宋体" w:cs="Times New Roman"/>
          <w:kern w:val="36"/>
          <w:sz w:val="24"/>
          <w:szCs w:val="24"/>
          <w:highlight w:val="none"/>
          <w:lang w:val="en-US" w:eastAsia="zh-CN" w:bidi="ar-SA"/>
        </w:rPr>
        <w:t>过滤棉+活性炭吸附/脱附+催化燃烧装置，根据</w:t>
      </w:r>
      <w:r>
        <w:rPr>
          <w:rFonts w:hint="eastAsia" w:ascii="Times New Roman" w:hAnsi="宋体" w:eastAsia="宋体"/>
          <w:color w:val="000000"/>
          <w:sz w:val="24"/>
          <w:szCs w:val="24"/>
          <w:highlight w:val="none"/>
          <w:lang w:val="en-US" w:eastAsia="zh-CN"/>
        </w:rPr>
        <w:t>《污染影响类建设项目重大变动清单（试行）》</w:t>
      </w:r>
      <w:r>
        <w:rPr>
          <w:rFonts w:hint="eastAsia" w:ascii="Times New Roman" w:hAnsi="Times New Roman" w:eastAsia="宋体" w:cs="Times New Roman"/>
          <w:kern w:val="36"/>
          <w:sz w:val="24"/>
          <w:szCs w:val="24"/>
          <w:highlight w:val="none"/>
          <w:lang w:val="en-US" w:eastAsia="zh-CN" w:bidi="ar-SA"/>
        </w:rPr>
        <w:t>第8条内容，属于污染防治措施强化或改进的措施。危险废物增加废过滤棉，危废间暂存，交由有资质单位处理。</w:t>
      </w:r>
    </w:p>
    <w:p w14:paraId="78BF27DF">
      <w:pPr>
        <w:pStyle w:val="16"/>
        <w:spacing w:line="440" w:lineRule="exact"/>
        <w:ind w:firstLine="480"/>
        <w:outlineLvl w:val="0"/>
        <w:rPr>
          <w:rFonts w:hint="eastAsia" w:ascii="Times New Roman" w:hAnsi="宋体" w:eastAsia="宋体"/>
          <w:color w:val="000000"/>
          <w:sz w:val="24"/>
          <w:szCs w:val="24"/>
          <w:highlight w:val="none"/>
          <w:lang w:val="en-US" w:eastAsia="zh-CN"/>
        </w:rPr>
      </w:pPr>
      <w:r>
        <w:rPr>
          <w:rFonts w:hint="eastAsia" w:ascii="Times New Roman" w:hAnsi="宋体" w:eastAsia="宋体"/>
          <w:color w:val="000000"/>
          <w:sz w:val="24"/>
          <w:szCs w:val="24"/>
          <w:highlight w:val="none"/>
          <w:lang w:val="en-US" w:eastAsia="zh-CN"/>
        </w:rPr>
        <w:t>对照《污染影响类建设项目重大变动清单（试行）》，本次变动不会导致文件中所列情形发生，因此不属于重大变动。</w:t>
      </w:r>
    </w:p>
    <w:p w14:paraId="154D1479">
      <w:pPr>
        <w:pStyle w:val="16"/>
        <w:spacing w:line="440" w:lineRule="exact"/>
        <w:ind w:firstLine="480"/>
        <w:outlineLvl w:val="0"/>
        <w:rPr>
          <w:rStyle w:val="14"/>
          <w:rFonts w:hAnsi="微软雅黑"/>
          <w:b w:val="0"/>
          <w:bCs w:val="0"/>
          <w:color w:val="000000"/>
          <w:szCs w:val="24"/>
          <w:highlight w:val="none"/>
        </w:rPr>
      </w:pPr>
      <w:r>
        <w:rPr>
          <w:rStyle w:val="14"/>
          <w:rFonts w:hAnsi="微软雅黑" w:eastAsia="微软雅黑"/>
          <w:color w:val="000000"/>
          <w:szCs w:val="24"/>
          <w:highlight w:val="none"/>
        </w:rPr>
        <w:t>三、环境保护设施</w:t>
      </w:r>
      <w:r>
        <w:rPr>
          <w:rStyle w:val="14"/>
          <w:rFonts w:hint="eastAsia" w:hAnsi="微软雅黑" w:eastAsia="微软雅黑"/>
          <w:color w:val="000000"/>
          <w:szCs w:val="24"/>
          <w:highlight w:val="none"/>
        </w:rPr>
        <w:t>落实</w:t>
      </w:r>
      <w:r>
        <w:rPr>
          <w:rStyle w:val="14"/>
          <w:rFonts w:hAnsi="微软雅黑" w:eastAsia="微软雅黑"/>
          <w:color w:val="000000"/>
          <w:szCs w:val="24"/>
          <w:highlight w:val="none"/>
        </w:rPr>
        <w:t>情况</w:t>
      </w:r>
    </w:p>
    <w:p w14:paraId="38D5989A">
      <w:pPr>
        <w:pStyle w:val="16"/>
        <w:snapToGrid w:val="0"/>
        <w:ind w:firstLine="482"/>
        <w:rPr>
          <w:rFonts w:hAnsi="宋体"/>
          <w:b/>
          <w:bCs/>
          <w:szCs w:val="24"/>
          <w:highlight w:val="none"/>
        </w:rPr>
      </w:pPr>
      <w:r>
        <w:rPr>
          <w:rFonts w:hint="eastAsia" w:hAnsi="宋体"/>
          <w:b/>
          <w:bCs/>
          <w:szCs w:val="24"/>
          <w:highlight w:val="none"/>
        </w:rPr>
        <w:t>（1）废气</w:t>
      </w:r>
    </w:p>
    <w:p w14:paraId="20B77564">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0" w:firstLine="480" w:firstLineChars="200"/>
        <w:jc w:val="both"/>
        <w:textAlignment w:val="auto"/>
        <w:rPr>
          <w:rFonts w:hint="default" w:ascii="Times New Roman" w:hAnsi="Times New Roman" w:eastAsia="宋体" w:cs="Times New Roman"/>
          <w:kern w:val="36"/>
          <w:sz w:val="24"/>
          <w:szCs w:val="24"/>
          <w:highlight w:val="none"/>
          <w:lang w:val="en-US" w:eastAsia="zh-CN" w:bidi="ar-SA"/>
        </w:rPr>
      </w:pPr>
      <w:r>
        <w:rPr>
          <w:rFonts w:hint="eastAsia" w:ascii="Times New Roman" w:hAnsi="Times New Roman" w:eastAsia="宋体" w:cs="Times New Roman"/>
          <w:kern w:val="36"/>
          <w:sz w:val="24"/>
          <w:szCs w:val="24"/>
          <w:highlight w:val="none"/>
          <w:lang w:val="en-US" w:eastAsia="zh-CN" w:bidi="ar-SA"/>
        </w:rPr>
        <w:t>本次验收工程</w:t>
      </w:r>
      <w:r>
        <w:rPr>
          <w:rFonts w:hint="default" w:ascii="Times New Roman" w:hAnsi="Times New Roman" w:eastAsia="宋体" w:cs="Times New Roman"/>
          <w:kern w:val="36"/>
          <w:sz w:val="24"/>
          <w:szCs w:val="24"/>
          <w:highlight w:val="none"/>
          <w:lang w:val="en-US" w:eastAsia="zh-CN" w:bidi="ar-SA"/>
        </w:rPr>
        <w:t>产生的废气主要为</w:t>
      </w:r>
      <w:r>
        <w:rPr>
          <w:rFonts w:hint="eastAsia" w:cs="Times New Roman"/>
          <w:kern w:val="36"/>
          <w:sz w:val="24"/>
          <w:szCs w:val="24"/>
          <w:highlight w:val="none"/>
          <w:lang w:val="en-US" w:eastAsia="zh-CN" w:bidi="ar-SA"/>
        </w:rPr>
        <w:t>挤出、注塑</w:t>
      </w:r>
      <w:r>
        <w:rPr>
          <w:rFonts w:hint="eastAsia" w:ascii="Times New Roman" w:hAnsi="Times New Roman" w:eastAsia="宋体" w:cs="Times New Roman"/>
          <w:kern w:val="36"/>
          <w:sz w:val="24"/>
          <w:szCs w:val="24"/>
          <w:highlight w:val="none"/>
          <w:lang w:val="en-US" w:eastAsia="zh-CN" w:bidi="ar-SA"/>
        </w:rPr>
        <w:t>生产过程中产生的</w:t>
      </w:r>
      <w:r>
        <w:rPr>
          <w:rFonts w:hint="eastAsia" w:cs="Times New Roman"/>
          <w:kern w:val="36"/>
          <w:sz w:val="24"/>
          <w:szCs w:val="24"/>
          <w:highlight w:val="none"/>
          <w:lang w:val="en-US" w:eastAsia="zh-CN" w:bidi="ar-SA"/>
        </w:rPr>
        <w:t>非甲烷总烃</w:t>
      </w:r>
      <w:r>
        <w:rPr>
          <w:rFonts w:hint="eastAsia" w:ascii="Times New Roman" w:hAnsi="Times New Roman" w:eastAsia="宋体" w:cs="Times New Roman"/>
          <w:kern w:val="36"/>
          <w:sz w:val="24"/>
          <w:szCs w:val="24"/>
          <w:highlight w:val="none"/>
          <w:lang w:val="en-US" w:eastAsia="zh-CN" w:bidi="ar-SA"/>
        </w:rPr>
        <w:t>。</w:t>
      </w:r>
    </w:p>
    <w:p w14:paraId="3D53E9C4">
      <w:pPr>
        <w:pStyle w:val="16"/>
        <w:snapToGrid w:val="0"/>
        <w:ind w:firstLine="482"/>
        <w:rPr>
          <w:rFonts w:hint="eastAsia" w:ascii="Times New Roman" w:hAnsi="Times New Roman" w:eastAsia="宋体"/>
          <w:bCs/>
          <w:color w:val="000000"/>
          <w:sz w:val="24"/>
          <w:szCs w:val="24"/>
          <w:highlight w:val="none"/>
          <w:lang w:val="en-US" w:eastAsia="zh-CN"/>
        </w:rPr>
      </w:pPr>
      <w:r>
        <w:rPr>
          <w:rFonts w:hint="eastAsia" w:cs="Times New Roman"/>
          <w:kern w:val="36"/>
          <w:sz w:val="24"/>
          <w:szCs w:val="24"/>
          <w:highlight w:val="none"/>
          <w:lang w:val="en-US" w:eastAsia="zh-CN" w:bidi="ar-SA"/>
        </w:rPr>
        <w:t>挤出、注塑</w:t>
      </w:r>
      <w:r>
        <w:rPr>
          <w:rFonts w:hint="eastAsia" w:ascii="Times New Roman" w:hAnsi="Times New Roman" w:eastAsia="宋体" w:cs="Times New Roman"/>
          <w:kern w:val="36"/>
          <w:sz w:val="24"/>
          <w:szCs w:val="24"/>
          <w:highlight w:val="none"/>
          <w:lang w:val="en-US" w:eastAsia="zh-CN" w:bidi="ar-SA"/>
        </w:rPr>
        <w:t>工序废气经</w:t>
      </w:r>
      <w:r>
        <w:rPr>
          <w:rFonts w:hint="eastAsia" w:cs="Times New Roman"/>
          <w:kern w:val="36"/>
          <w:sz w:val="24"/>
          <w:szCs w:val="24"/>
          <w:highlight w:val="none"/>
          <w:lang w:val="en-US" w:eastAsia="zh-CN" w:bidi="ar-SA"/>
        </w:rPr>
        <w:t>集气罩</w:t>
      </w:r>
      <w:r>
        <w:rPr>
          <w:rFonts w:hint="eastAsia" w:ascii="Times New Roman" w:hAnsi="Times New Roman" w:eastAsia="宋体" w:cs="Times New Roman"/>
          <w:kern w:val="36"/>
          <w:sz w:val="24"/>
          <w:szCs w:val="24"/>
          <w:highlight w:val="none"/>
          <w:lang w:val="en-US" w:eastAsia="zh-CN" w:bidi="ar-SA"/>
        </w:rPr>
        <w:t>收集，经</w:t>
      </w:r>
      <w:r>
        <w:rPr>
          <w:rFonts w:hint="eastAsia" w:cs="Times New Roman"/>
          <w:kern w:val="36"/>
          <w:sz w:val="24"/>
          <w:szCs w:val="24"/>
          <w:highlight w:val="none"/>
          <w:lang w:val="en-US" w:eastAsia="zh-CN" w:bidi="ar-SA"/>
        </w:rPr>
        <w:t>活性炭吸附/脱附+催化燃烧装置</w:t>
      </w:r>
      <w:r>
        <w:rPr>
          <w:rFonts w:hint="eastAsia" w:ascii="Times New Roman" w:hAnsi="Times New Roman" w:eastAsia="宋体" w:cs="Times New Roman"/>
          <w:kern w:val="36"/>
          <w:sz w:val="24"/>
          <w:szCs w:val="24"/>
          <w:highlight w:val="none"/>
          <w:lang w:val="en-US" w:eastAsia="zh-CN" w:bidi="ar-SA"/>
        </w:rPr>
        <w:t>（</w:t>
      </w:r>
      <w:r>
        <w:rPr>
          <w:rFonts w:hint="default" w:ascii="Times New Roman" w:hAnsi="Times New Roman" w:eastAsia="宋体" w:cs="Times New Roman"/>
          <w:kern w:val="36"/>
          <w:sz w:val="24"/>
          <w:szCs w:val="24"/>
          <w:highlight w:val="none"/>
          <w:lang w:val="en-US" w:eastAsia="zh-CN" w:bidi="ar-SA"/>
        </w:rPr>
        <w:t>TA001</w:t>
      </w:r>
      <w:r>
        <w:rPr>
          <w:rFonts w:hint="eastAsia" w:ascii="Times New Roman" w:hAnsi="Times New Roman" w:eastAsia="宋体" w:cs="Times New Roman"/>
          <w:kern w:val="36"/>
          <w:sz w:val="24"/>
          <w:szCs w:val="24"/>
          <w:highlight w:val="none"/>
          <w:lang w:val="en-US" w:eastAsia="zh-CN" w:bidi="ar-SA"/>
        </w:rPr>
        <w:t>）处理后，通过15m高排气筒DA001有组织排放。</w:t>
      </w:r>
    </w:p>
    <w:p w14:paraId="761ADC33">
      <w:pPr>
        <w:pStyle w:val="16"/>
        <w:snapToGrid w:val="0"/>
        <w:ind w:firstLine="482"/>
        <w:rPr>
          <w:rFonts w:hAnsi="宋体"/>
          <w:b/>
          <w:bCs/>
          <w:szCs w:val="24"/>
          <w:highlight w:val="none"/>
        </w:rPr>
      </w:pPr>
      <w:r>
        <w:rPr>
          <w:rFonts w:hint="eastAsia" w:hAnsi="宋体"/>
          <w:b/>
          <w:bCs/>
          <w:szCs w:val="24"/>
          <w:highlight w:val="none"/>
        </w:rPr>
        <w:t>（2）废水</w:t>
      </w:r>
    </w:p>
    <w:p w14:paraId="2F41C243">
      <w:pPr>
        <w:pStyle w:val="16"/>
        <w:snapToGrid w:val="0"/>
        <w:ind w:firstLine="482"/>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bidi="ar"/>
        </w:rPr>
        <w:t>本项目废水主要为职工生活污水。</w:t>
      </w:r>
      <w:r>
        <w:rPr>
          <w:rFonts w:hint="eastAsia" w:cs="Times New Roman"/>
          <w:sz w:val="24"/>
          <w:szCs w:val="24"/>
          <w:highlight w:val="none"/>
          <w:lang w:val="en-US" w:eastAsia="zh-CN" w:bidi="ar"/>
        </w:rPr>
        <w:t>生活污水经化粪池处理后与</w:t>
      </w:r>
      <w:r>
        <w:rPr>
          <w:rFonts w:hint="eastAsia" w:ascii="Times New Roman" w:hAnsi="Times New Roman" w:eastAsia="宋体" w:cs="Times New Roman"/>
          <w:sz w:val="24"/>
          <w:szCs w:val="24"/>
          <w:highlight w:val="none"/>
          <w:lang w:val="en-US" w:eastAsia="zh-CN" w:bidi="ar"/>
        </w:rPr>
        <w:t>导管冷却排污水、配件冷却排污水和纯水制备废水一同排入小店污水处理厂（二期）进一步处理。</w:t>
      </w:r>
    </w:p>
    <w:p w14:paraId="3AFDE45D">
      <w:pPr>
        <w:pStyle w:val="16"/>
        <w:snapToGrid w:val="0"/>
        <w:ind w:firstLine="482"/>
        <w:rPr>
          <w:rFonts w:hAnsi="宋体"/>
          <w:b/>
          <w:bCs/>
          <w:szCs w:val="24"/>
          <w:highlight w:val="none"/>
        </w:rPr>
      </w:pPr>
      <w:r>
        <w:rPr>
          <w:rFonts w:hint="eastAsia" w:hAnsi="宋体"/>
          <w:b/>
          <w:bCs/>
          <w:szCs w:val="24"/>
          <w:highlight w:val="none"/>
        </w:rPr>
        <w:t>（3）噪声</w:t>
      </w:r>
    </w:p>
    <w:p w14:paraId="52DC0261">
      <w:pPr>
        <w:keepNext w:val="0"/>
        <w:keepLines w:val="0"/>
        <w:pageBreakBefore w:val="0"/>
        <w:widowControl/>
        <w:numPr>
          <w:ilvl w:val="0"/>
          <w:numId w:val="0"/>
        </w:numPr>
        <w:kinsoku/>
        <w:wordWrap/>
        <w:overflowPunct/>
        <w:topLinePunct w:val="0"/>
        <w:autoSpaceDE/>
        <w:autoSpaceDN/>
        <w:bidi w:val="0"/>
        <w:adjustRightInd/>
        <w:snapToGrid w:val="0"/>
        <w:spacing w:after="0" w:line="460" w:lineRule="exact"/>
        <w:ind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本次验收项目主要的噪声源为</w:t>
      </w:r>
      <w:r>
        <w:rPr>
          <w:rFonts w:hint="eastAsia" w:ascii="Times New Roman" w:hAnsi="Times New Roman" w:eastAsia="宋体" w:cs="Times New Roman"/>
          <w:sz w:val="24"/>
          <w:szCs w:val="24"/>
          <w:highlight w:val="none"/>
          <w:lang w:val="en-US" w:eastAsia="zh-CN" w:bidi="ar"/>
        </w:rPr>
        <w:t>挤出机、注塑机、冷水机等</w:t>
      </w:r>
      <w:r>
        <w:rPr>
          <w:rFonts w:hint="eastAsia" w:ascii="Times New Roman" w:hAnsi="Times New Roman" w:eastAsia="宋体" w:cs="Times New Roman"/>
          <w:b w:val="0"/>
          <w:bCs w:val="0"/>
          <w:color w:val="000000"/>
          <w:sz w:val="24"/>
          <w:szCs w:val="24"/>
          <w:highlight w:val="none"/>
          <w:lang w:val="en-US" w:eastAsia="zh-CN"/>
        </w:rPr>
        <w:t>生产设备运行噪声，采取基础减振、距离</w:t>
      </w:r>
      <w:r>
        <w:rPr>
          <w:rFonts w:hint="default" w:ascii="Times New Roman" w:hAnsi="Times New Roman" w:eastAsia="宋体" w:cs="Times New Roman"/>
          <w:b w:val="0"/>
          <w:bCs w:val="0"/>
          <w:color w:val="000000"/>
          <w:sz w:val="24"/>
          <w:szCs w:val="24"/>
          <w:highlight w:val="none"/>
          <w:lang w:val="en-US" w:eastAsia="zh-CN"/>
        </w:rPr>
        <w:t>衰减和厂房隔声等相应的降噪措施</w:t>
      </w:r>
      <w:r>
        <w:rPr>
          <w:rFonts w:hint="eastAsia" w:ascii="Times New Roman" w:hAnsi="Times New Roman" w:eastAsia="宋体" w:cs="Times New Roman"/>
          <w:b w:val="0"/>
          <w:bCs w:val="0"/>
          <w:color w:val="000000"/>
          <w:sz w:val="24"/>
          <w:szCs w:val="24"/>
          <w:highlight w:val="none"/>
          <w:lang w:val="en-US" w:eastAsia="zh-CN"/>
        </w:rPr>
        <w:t>。</w:t>
      </w:r>
    </w:p>
    <w:p w14:paraId="5E128610">
      <w:pPr>
        <w:pStyle w:val="16"/>
        <w:snapToGrid w:val="0"/>
        <w:ind w:firstLine="482"/>
        <w:rPr>
          <w:rFonts w:hAnsi="宋体"/>
          <w:b/>
          <w:bCs/>
          <w:szCs w:val="24"/>
          <w:highlight w:val="none"/>
        </w:rPr>
      </w:pPr>
      <w:r>
        <w:rPr>
          <w:rFonts w:hint="eastAsia" w:hAnsi="宋体"/>
          <w:b/>
          <w:bCs/>
          <w:szCs w:val="24"/>
          <w:highlight w:val="none"/>
        </w:rPr>
        <w:t>（4）固废</w:t>
      </w:r>
    </w:p>
    <w:p w14:paraId="6728EF54">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本次验收项目一般废物为：废边角料、不合格品、废包装袋、废过滤介质和废过滤膜。</w:t>
      </w:r>
    </w:p>
    <w:p w14:paraId="21886683">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一般固废暂存于厂内一座10m</w:t>
      </w:r>
      <w:r>
        <w:rPr>
          <w:rFonts w:hint="eastAsia" w:ascii="Times New Roman" w:hAnsi="Times New Roman" w:eastAsia="宋体" w:cs="Times New Roman"/>
          <w:b w:val="0"/>
          <w:bCs w:val="0"/>
          <w:color w:val="000000"/>
          <w:sz w:val="24"/>
          <w:szCs w:val="24"/>
          <w:highlight w:val="none"/>
          <w:vertAlign w:val="superscript"/>
          <w:lang w:val="en-US" w:eastAsia="zh-CN"/>
        </w:rPr>
        <w:t>2</w:t>
      </w:r>
      <w:r>
        <w:rPr>
          <w:rFonts w:hint="eastAsia" w:ascii="Times New Roman" w:hAnsi="Times New Roman" w:eastAsia="宋体" w:cs="Times New Roman"/>
          <w:b w:val="0"/>
          <w:bCs w:val="0"/>
          <w:color w:val="000000"/>
          <w:sz w:val="24"/>
          <w:szCs w:val="24"/>
          <w:highlight w:val="none"/>
          <w:lang w:val="en-US" w:eastAsia="zh-CN"/>
        </w:rPr>
        <w:t>的一般固废暂存间内定期外售，一般固废暂存间的建设满足《一般工业固体废物贮存和填埋污染控制标准》（GB18599-2020）中的相应防渗漏、防雨淋、防扬尘等环境保护要求。</w:t>
      </w:r>
    </w:p>
    <w:p w14:paraId="6BE14A4C">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default" w:ascii="Times New Roman" w:hAnsi="Times New Roman" w:eastAsia="宋体" w:cs="Times New Roman"/>
          <w:sz w:val="24"/>
          <w:szCs w:val="24"/>
          <w:highlight w:val="none"/>
          <w:lang w:val="en-US" w:eastAsia="zh-CN" w:bidi="ar-SA"/>
        </w:rPr>
      </w:pPr>
      <w:r>
        <w:rPr>
          <w:rFonts w:hint="eastAsia" w:ascii="Times New Roman" w:hAnsi="Times New Roman" w:eastAsia="宋体" w:cs="Times New Roman"/>
          <w:sz w:val="24"/>
          <w:szCs w:val="24"/>
          <w:highlight w:val="none"/>
          <w:lang w:val="en-US" w:eastAsia="zh-CN" w:bidi="ar-SA"/>
        </w:rPr>
        <w:t>本次验收项目危废废物为：废油墨桶、废活性炭、废催化剂、废过滤棉。</w:t>
      </w:r>
    </w:p>
    <w:p w14:paraId="1E42BE3D">
      <w:pPr>
        <w:pStyle w:val="16"/>
        <w:spacing w:line="440" w:lineRule="exact"/>
        <w:ind w:firstLine="480"/>
        <w:outlineLvl w:val="0"/>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sz w:val="24"/>
          <w:szCs w:val="24"/>
          <w:highlight w:val="none"/>
          <w:lang w:val="en-US" w:eastAsia="zh-CN" w:bidi="ar-SA"/>
        </w:rPr>
        <w:t>危废暂存间满足《危险废物贮存污染控制标准》（GB18597-2023）的要求。危险废物在危废暂存间采用专用密闭容器储存，危废暂存间采取防风、防晒、防雨淋、防扬散、防流失、防渗漏措施。</w:t>
      </w:r>
    </w:p>
    <w:p w14:paraId="28E8E200">
      <w:pPr>
        <w:pStyle w:val="16"/>
        <w:spacing w:line="440" w:lineRule="exact"/>
        <w:ind w:firstLine="480"/>
        <w:outlineLvl w:val="0"/>
        <w:rPr>
          <w:rStyle w:val="14"/>
          <w:rFonts w:hAnsi="微软雅黑"/>
          <w:color w:val="000000"/>
          <w:szCs w:val="24"/>
          <w:highlight w:val="none"/>
        </w:rPr>
      </w:pPr>
      <w:r>
        <w:rPr>
          <w:rStyle w:val="14"/>
          <w:rFonts w:hAnsi="微软雅黑" w:eastAsia="微软雅黑"/>
          <w:color w:val="000000"/>
          <w:szCs w:val="24"/>
          <w:highlight w:val="none"/>
        </w:rPr>
        <w:t>四、环境保护设施调试效果</w:t>
      </w:r>
    </w:p>
    <w:p w14:paraId="4D0A0FBC">
      <w:pPr>
        <w:pStyle w:val="16"/>
        <w:snapToGrid w:val="0"/>
        <w:ind w:firstLine="482"/>
        <w:rPr>
          <w:rFonts w:hAnsi="宋体"/>
          <w:b/>
          <w:bCs/>
          <w:szCs w:val="24"/>
          <w:highlight w:val="none"/>
        </w:rPr>
      </w:pPr>
      <w:r>
        <w:rPr>
          <w:rFonts w:hint="eastAsia" w:hAnsi="宋体"/>
          <w:b/>
          <w:bCs/>
          <w:szCs w:val="24"/>
          <w:highlight w:val="none"/>
        </w:rPr>
        <w:t>（一）污染物达标排放情况</w:t>
      </w:r>
    </w:p>
    <w:p w14:paraId="046C4BEF">
      <w:pPr>
        <w:pStyle w:val="16"/>
        <w:snapToGrid w:val="0"/>
        <w:ind w:firstLine="480"/>
        <w:rPr>
          <w:rFonts w:hint="eastAsia" w:ascii="Times New Roman" w:hAnsi="Times New Roman" w:eastAsia="宋体" w:cs="宋体"/>
          <w:bCs/>
          <w:color w:val="000000"/>
          <w:sz w:val="24"/>
          <w:szCs w:val="24"/>
          <w:highlight w:val="none"/>
          <w:lang w:val="en-US" w:eastAsia="zh-CN"/>
        </w:rPr>
      </w:pPr>
      <w:r>
        <w:rPr>
          <w:rFonts w:hint="eastAsia" w:hAnsi="宋体"/>
          <w:szCs w:val="24"/>
          <w:highlight w:val="none"/>
        </w:rPr>
        <w:t>根据</w:t>
      </w:r>
      <w:r>
        <w:rPr>
          <w:rFonts w:hint="eastAsia" w:hAnsi="宋体"/>
          <w:color w:val="000000"/>
          <w:szCs w:val="24"/>
          <w:highlight w:val="none"/>
          <w:lang w:val="en-US" w:eastAsia="zh-CN"/>
        </w:rPr>
        <w:t>《</w:t>
      </w:r>
      <w:r>
        <w:rPr>
          <w:rFonts w:hint="eastAsia" w:hAnsi="宋体" w:cs="Times New Roman"/>
          <w:color w:val="000000"/>
          <w:szCs w:val="24"/>
          <w:highlight w:val="none"/>
          <w:lang w:val="en-US" w:eastAsia="zh-CN"/>
        </w:rPr>
        <w:t>新乡市普尔泰医疗科技有限公司年产200吨医疗器械生产项目</w:t>
      </w:r>
      <w:r>
        <w:rPr>
          <w:rFonts w:hint="default" w:ascii="Times New Roman" w:hAnsi="Times New Roman" w:cs="Times New Roman"/>
          <w:sz w:val="24"/>
          <w:szCs w:val="24"/>
          <w:highlight w:val="none"/>
        </w:rPr>
        <w:t>竣工环境保护验收监测报告</w:t>
      </w:r>
      <w:r>
        <w:rPr>
          <w:rFonts w:hint="eastAsia" w:hAnsi="宋体"/>
          <w:color w:val="000000"/>
          <w:szCs w:val="24"/>
          <w:highlight w:val="none"/>
          <w:lang w:val="en-US" w:eastAsia="zh-CN"/>
        </w:rPr>
        <w:t>》所示</w:t>
      </w:r>
      <w:r>
        <w:rPr>
          <w:rFonts w:hint="eastAsia" w:hAnsi="宋体"/>
          <w:szCs w:val="24"/>
          <w:highlight w:val="none"/>
        </w:rPr>
        <w:t>，检测期间，该项目正常生产，主体工程调试工况稳定，各项污染防治设施运行稳定，符合验收检测期间对生产工况的要求。检测结果表明：</w:t>
      </w:r>
    </w:p>
    <w:p w14:paraId="782D59A9">
      <w:pPr>
        <w:pStyle w:val="16"/>
        <w:snapToGrid w:val="0"/>
        <w:ind w:firstLine="482"/>
        <w:rPr>
          <w:rFonts w:hint="eastAsia" w:hAnsi="宋体" w:eastAsia="宋体"/>
          <w:b/>
          <w:bCs/>
          <w:szCs w:val="24"/>
          <w:highlight w:val="none"/>
          <w:lang w:eastAsia="zh-CN"/>
        </w:rPr>
      </w:pPr>
      <w:r>
        <w:rPr>
          <w:rFonts w:hint="eastAsia" w:hAnsi="宋体"/>
          <w:b/>
          <w:bCs/>
          <w:szCs w:val="24"/>
          <w:highlight w:val="none"/>
          <w:lang w:val="en-US" w:eastAsia="zh-CN"/>
        </w:rPr>
        <w:t>1</w:t>
      </w:r>
      <w:r>
        <w:rPr>
          <w:rFonts w:hint="eastAsia" w:hAnsi="宋体"/>
          <w:b/>
          <w:bCs/>
          <w:szCs w:val="24"/>
          <w:highlight w:val="none"/>
        </w:rPr>
        <w:t>.废</w:t>
      </w:r>
      <w:r>
        <w:rPr>
          <w:rFonts w:hint="eastAsia" w:hAnsi="宋体"/>
          <w:b/>
          <w:bCs/>
          <w:szCs w:val="24"/>
          <w:highlight w:val="none"/>
          <w:lang w:val="en-US" w:eastAsia="zh-CN"/>
        </w:rPr>
        <w:t>气</w:t>
      </w:r>
    </w:p>
    <w:p w14:paraId="201A3D34">
      <w:pPr>
        <w:keepNext w:val="0"/>
        <w:keepLines w:val="0"/>
        <w:pageBreakBefore w:val="0"/>
        <w:widowControl w:val="0"/>
        <w:numPr>
          <w:ilvl w:val="0"/>
          <w:numId w:val="0"/>
        </w:numPr>
        <w:tabs>
          <w:tab w:val="left" w:pos="869"/>
        </w:tabs>
        <w:kinsoku/>
        <w:wordWrap/>
        <w:overflowPunct/>
        <w:topLinePunct w:val="0"/>
        <w:autoSpaceDE/>
        <w:autoSpaceDN/>
        <w:bidi w:val="0"/>
        <w:adjustRightInd/>
        <w:snapToGrid/>
        <w:spacing w:after="0" w:line="460" w:lineRule="exact"/>
        <w:ind w:leftChars="0" w:firstLine="480" w:firstLineChars="200"/>
        <w:jc w:val="both"/>
        <w:textAlignment w:val="auto"/>
        <w:rPr>
          <w:rFonts w:hint="default" w:ascii="Times New Roman" w:hAnsi="Times New Roman" w:eastAsia="宋体" w:cs="Times New Roman"/>
          <w:color w:val="000000"/>
          <w:sz w:val="24"/>
          <w:szCs w:val="24"/>
          <w:highlight w:val="none"/>
          <w:vertAlign w:val="baseline"/>
          <w:lang w:val="en-US" w:eastAsia="zh-CN"/>
        </w:rPr>
      </w:pPr>
      <w:r>
        <w:rPr>
          <w:rFonts w:hint="eastAsia" w:ascii="Times New Roman" w:hAnsi="Times New Roman" w:eastAsia="宋体" w:cs="Times New Roman"/>
          <w:b w:val="0"/>
          <w:bCs w:val="0"/>
          <w:sz w:val="24"/>
          <w:szCs w:val="24"/>
          <w:highlight w:val="none"/>
          <w:lang w:val="en-US" w:eastAsia="zh-CN"/>
        </w:rPr>
        <w:t>本</w:t>
      </w:r>
      <w:r>
        <w:rPr>
          <w:rFonts w:hint="default" w:ascii="Times New Roman" w:hAnsi="Times New Roman" w:eastAsia="宋体" w:cs="Times New Roman"/>
          <w:b w:val="0"/>
          <w:bCs w:val="0"/>
          <w:sz w:val="24"/>
          <w:szCs w:val="24"/>
          <w:highlight w:val="none"/>
          <w:lang w:val="en-US" w:eastAsia="zh-CN"/>
        </w:rPr>
        <w:t>次验收项目运行期间，DA001排放口的</w:t>
      </w:r>
      <w:r>
        <w:rPr>
          <w:rFonts w:hint="eastAsia" w:ascii="Times New Roman" w:hAnsi="Times New Roman" w:eastAsia="宋体" w:cs="Times New Roman"/>
          <w:b w:val="0"/>
          <w:bCs w:val="0"/>
          <w:sz w:val="24"/>
          <w:szCs w:val="24"/>
          <w:highlight w:val="none"/>
          <w:lang w:val="en-US" w:eastAsia="zh-CN"/>
        </w:rPr>
        <w:t>非甲烷总烃</w:t>
      </w:r>
      <w:r>
        <w:rPr>
          <w:rFonts w:hint="default" w:ascii="Times New Roman" w:hAnsi="Times New Roman" w:eastAsia="宋体" w:cs="Times New Roman"/>
          <w:b w:val="0"/>
          <w:bCs w:val="0"/>
          <w:sz w:val="24"/>
          <w:szCs w:val="24"/>
          <w:highlight w:val="none"/>
          <w:lang w:val="en-US" w:eastAsia="zh-CN"/>
        </w:rPr>
        <w:t>排放浓度为</w:t>
      </w:r>
      <w:r>
        <w:rPr>
          <w:rFonts w:hint="eastAsia" w:ascii="Times New Roman" w:hAnsi="Times New Roman" w:eastAsia="宋体" w:cs="Times New Roman"/>
          <w:b w:val="0"/>
          <w:bCs w:val="0"/>
          <w:sz w:val="24"/>
          <w:szCs w:val="24"/>
          <w:highlight w:val="none"/>
          <w:lang w:val="en-US" w:eastAsia="zh-CN"/>
        </w:rPr>
        <w:t>0.26</w:t>
      </w:r>
      <w:r>
        <w:rPr>
          <w:rFonts w:hint="default" w:ascii="Times New Roman" w:hAnsi="Times New Roman" w:eastAsia="宋体" w:cs="Times New Roman"/>
          <w:b w:val="0"/>
          <w:bCs w:val="0"/>
          <w:sz w:val="24"/>
          <w:szCs w:val="24"/>
          <w:highlight w:val="none"/>
          <w:lang w:val="en-US" w:eastAsia="zh-CN"/>
        </w:rPr>
        <w:t>~</w:t>
      </w:r>
      <w:r>
        <w:rPr>
          <w:rFonts w:hint="eastAsia" w:ascii="Times New Roman" w:hAnsi="Times New Roman" w:eastAsia="宋体" w:cs="Times New Roman"/>
          <w:b w:val="0"/>
          <w:bCs w:val="0"/>
          <w:sz w:val="24"/>
          <w:szCs w:val="24"/>
          <w:highlight w:val="none"/>
          <w:lang w:val="en-US" w:eastAsia="zh-CN"/>
        </w:rPr>
        <w:t>0.33</w:t>
      </w:r>
      <w:r>
        <w:rPr>
          <w:rFonts w:hint="default" w:ascii="Times New Roman" w:hAnsi="Times New Roman" w:eastAsia="宋体" w:cs="Times New Roman"/>
          <w:b w:val="0"/>
          <w:bCs w:val="0"/>
          <w:sz w:val="24"/>
          <w:szCs w:val="24"/>
          <w:highlight w:val="none"/>
          <w:lang w:val="en-US" w:eastAsia="zh-CN"/>
        </w:rPr>
        <w:t xml:space="preserve"> mg/m</w:t>
      </w:r>
      <w:r>
        <w:rPr>
          <w:rFonts w:hint="default" w:ascii="Times New Roman" w:hAnsi="Times New Roman" w:eastAsia="宋体" w:cs="Times New Roman"/>
          <w:b w:val="0"/>
          <w:bCs w:val="0"/>
          <w:sz w:val="24"/>
          <w:szCs w:val="24"/>
          <w:highlight w:val="none"/>
          <w:vertAlign w:val="superscript"/>
          <w:lang w:val="en-US" w:eastAsia="zh-CN"/>
        </w:rPr>
        <w:t>3</w:t>
      </w:r>
      <w:r>
        <w:rPr>
          <w:rFonts w:hint="default" w:ascii="Times New Roman" w:hAnsi="Times New Roman" w:eastAsia="宋体" w:cs="Times New Roman"/>
          <w:b w:val="0"/>
          <w:bCs w:val="0"/>
          <w:sz w:val="24"/>
          <w:szCs w:val="24"/>
          <w:highlight w:val="none"/>
          <w:lang w:val="en-US" w:eastAsia="zh-CN"/>
        </w:rPr>
        <w:t>、排放速率为</w:t>
      </w:r>
      <w:r>
        <w:rPr>
          <w:rFonts w:hint="default" w:ascii="Times New Roman" w:hAnsi="Times New Roman" w:eastAsia="宋体" w:cs="Times New Roman"/>
          <w:color w:val="auto"/>
          <w:sz w:val="24"/>
          <w:szCs w:val="24"/>
          <w:lang w:val="en-US" w:eastAsia="zh-CN"/>
        </w:rPr>
        <w:t>2.22×10</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b w:val="0"/>
          <w:bCs w:val="0"/>
          <w:sz w:val="24"/>
          <w:szCs w:val="24"/>
          <w:highlight w:val="none"/>
          <w:lang w:val="en-US" w:eastAsia="zh-CN"/>
        </w:rPr>
        <w:t>~</w:t>
      </w:r>
      <w:r>
        <w:rPr>
          <w:rFonts w:hint="default" w:ascii="Times New Roman" w:hAnsi="Times New Roman" w:eastAsia="宋体" w:cs="Times New Roman"/>
          <w:color w:val="auto"/>
          <w:sz w:val="24"/>
          <w:szCs w:val="24"/>
          <w:lang w:val="en-US" w:eastAsia="zh-CN"/>
        </w:rPr>
        <w:t>2.76×10</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b w:val="0"/>
          <w:bCs w:val="0"/>
          <w:sz w:val="24"/>
          <w:szCs w:val="24"/>
          <w:highlight w:val="none"/>
          <w:lang w:val="en-US" w:eastAsia="zh-CN"/>
        </w:rPr>
        <w:t>kg/h，排放浓度能够满足《合成树脂工业污染物排放标准》（GB31572-2015）表5</w:t>
      </w:r>
      <w:r>
        <w:rPr>
          <w:rFonts w:hint="eastAsia" w:ascii="Times New Roman" w:hAnsi="Times New Roman" w:eastAsia="宋体" w:cs="Times New Roman"/>
          <w:b w:val="0"/>
          <w:bCs w:val="0"/>
          <w:sz w:val="24"/>
          <w:szCs w:val="24"/>
          <w:highlight w:val="none"/>
          <w:lang w:val="en-US" w:eastAsia="zh-CN"/>
        </w:rPr>
        <w:t>非甲</w:t>
      </w:r>
      <w:r>
        <w:rPr>
          <w:rFonts w:hint="eastAsia" w:ascii="Times New Roman" w:hAnsi="Times New Roman" w:eastAsia="宋体" w:cs="Times New Roman"/>
          <w:sz w:val="24"/>
          <w:highlight w:val="none"/>
          <w:lang w:eastAsia="zh-CN"/>
        </w:rPr>
        <w:t>烷总烃</w:t>
      </w:r>
      <w:r>
        <w:rPr>
          <w:rFonts w:hint="default" w:ascii="Times New Roman" w:hAnsi="Times New Roman" w:eastAsia="宋体" w:cs="Times New Roman"/>
          <w:sz w:val="24"/>
          <w:highlight w:val="none"/>
        </w:rPr>
        <w:t>有组织浓度</w:t>
      </w:r>
      <w:r>
        <w:rPr>
          <w:rFonts w:hint="eastAsia" w:ascii="Times New Roman" w:hAnsi="Times New Roman" w:eastAsia="宋体" w:cs="Times New Roman"/>
          <w:sz w:val="24"/>
          <w:highlight w:val="none"/>
          <w:lang w:val="en-US" w:eastAsia="zh-CN"/>
        </w:rPr>
        <w:t>60</w:t>
      </w:r>
      <w:r>
        <w:rPr>
          <w:rFonts w:hint="default" w:ascii="Times New Roman" w:hAnsi="Times New Roman" w:eastAsia="宋体" w:cs="Times New Roman"/>
          <w:sz w:val="24"/>
          <w:highlight w:val="none"/>
        </w:rPr>
        <w:t>mg/m</w:t>
      </w:r>
      <w:r>
        <w:rPr>
          <w:rFonts w:hint="default" w:ascii="Times New Roman" w:hAnsi="Times New Roman" w:eastAsia="宋体" w:cs="Times New Roman"/>
          <w:sz w:val="24"/>
          <w:highlight w:val="none"/>
          <w:vertAlign w:val="superscript"/>
        </w:rPr>
        <w:t>3</w:t>
      </w:r>
      <w:r>
        <w:rPr>
          <w:rFonts w:hint="eastAsia" w:ascii="Times New Roman" w:hAnsi="Times New Roman" w:eastAsia="宋体" w:cs="Times New Roman"/>
          <w:sz w:val="24"/>
          <w:highlight w:val="none"/>
          <w:vertAlign w:val="baseline"/>
          <w:lang w:eastAsia="zh-CN"/>
        </w:rPr>
        <w:t>、《大气污染物综合排放标准》（GB16297-1996）表2</w:t>
      </w:r>
      <w:r>
        <w:rPr>
          <w:rFonts w:hint="eastAsia" w:ascii="Times New Roman" w:hAnsi="Times New Roman" w:eastAsia="宋体" w:cs="Times New Roman"/>
          <w:sz w:val="24"/>
          <w:highlight w:val="none"/>
          <w:vertAlign w:val="baseline"/>
          <w:lang w:val="en-US" w:eastAsia="zh-CN"/>
        </w:rPr>
        <w:t>速率10kg/h</w:t>
      </w:r>
      <w:r>
        <w:rPr>
          <w:rFonts w:hint="default" w:ascii="Times New Roman" w:hAnsi="Times New Roman" w:eastAsia="宋体" w:cs="Times New Roman"/>
          <w:sz w:val="24"/>
          <w:highlight w:val="none"/>
        </w:rPr>
        <w:t>的标准限值</w:t>
      </w:r>
      <w:r>
        <w:rPr>
          <w:rFonts w:hint="default" w:ascii="Times New Roman" w:hAnsi="Times New Roman" w:eastAsia="宋体" w:cs="Times New Roman"/>
          <w:bCs/>
          <w:sz w:val="24"/>
          <w:highlight w:val="none"/>
        </w:rPr>
        <w:t>要求</w:t>
      </w:r>
      <w:r>
        <w:rPr>
          <w:rFonts w:hint="eastAsia" w:ascii="Times New Roman" w:hAnsi="Times New Roman" w:eastAsia="宋体" w:cs="Times New Roman"/>
          <w:bCs/>
          <w:sz w:val="24"/>
          <w:highlight w:val="none"/>
          <w:lang w:eastAsia="zh-CN"/>
        </w:rPr>
        <w:t>。</w:t>
      </w:r>
    </w:p>
    <w:p w14:paraId="279C5ECC">
      <w:pPr>
        <w:keepNext w:val="0"/>
        <w:keepLines w:val="0"/>
        <w:pageBreakBefore w:val="0"/>
        <w:widowControl w:val="0"/>
        <w:numPr>
          <w:ilvl w:val="0"/>
          <w:numId w:val="0"/>
        </w:numPr>
        <w:tabs>
          <w:tab w:val="left" w:pos="869"/>
        </w:tabs>
        <w:kinsoku/>
        <w:wordWrap/>
        <w:overflowPunct/>
        <w:topLinePunct w:val="0"/>
        <w:autoSpaceDE/>
        <w:autoSpaceDN/>
        <w:bidi w:val="0"/>
        <w:adjustRightInd/>
        <w:snapToGrid/>
        <w:spacing w:after="0" w:line="460" w:lineRule="exact"/>
        <w:ind w:leftChars="0" w:firstLine="480" w:firstLineChars="200"/>
        <w:jc w:val="both"/>
        <w:textAlignment w:val="auto"/>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本次验收项目运行期间，厂界无组织废气</w:t>
      </w:r>
      <w:r>
        <w:rPr>
          <w:rFonts w:hint="eastAsia" w:ascii="Times New Roman" w:hAnsi="Times New Roman" w:eastAsia="宋体" w:cs="Times New Roman"/>
          <w:b w:val="0"/>
          <w:bCs w:val="0"/>
          <w:sz w:val="24"/>
          <w:szCs w:val="24"/>
          <w:highlight w:val="none"/>
          <w:lang w:val="en-US" w:eastAsia="zh-CN"/>
        </w:rPr>
        <w:t>非甲烷总烃</w:t>
      </w:r>
      <w:r>
        <w:rPr>
          <w:rFonts w:hint="default" w:ascii="Times New Roman" w:hAnsi="Times New Roman" w:eastAsia="宋体" w:cs="Times New Roman"/>
          <w:b w:val="0"/>
          <w:bCs w:val="0"/>
          <w:sz w:val="24"/>
          <w:szCs w:val="24"/>
          <w:highlight w:val="none"/>
          <w:lang w:val="en-US" w:eastAsia="zh-CN"/>
        </w:rPr>
        <w:t>排放浓度为</w:t>
      </w:r>
      <w:r>
        <w:rPr>
          <w:rFonts w:hint="eastAsia" w:ascii="Times New Roman" w:hAnsi="Times New Roman" w:eastAsia="宋体" w:cs="Times New Roman"/>
          <w:b w:val="0"/>
          <w:bCs w:val="0"/>
          <w:sz w:val="24"/>
          <w:szCs w:val="24"/>
          <w:highlight w:val="none"/>
          <w:lang w:val="en-US" w:eastAsia="zh-CN"/>
        </w:rPr>
        <w:t>0.42</w:t>
      </w:r>
      <w:r>
        <w:rPr>
          <w:rFonts w:hint="default" w:ascii="Times New Roman" w:hAnsi="Times New Roman" w:eastAsia="宋体" w:cs="Times New Roman"/>
          <w:b w:val="0"/>
          <w:bCs w:val="0"/>
          <w:sz w:val="24"/>
          <w:szCs w:val="24"/>
          <w:highlight w:val="none"/>
          <w:lang w:val="en-US" w:eastAsia="zh-CN"/>
        </w:rPr>
        <w:t>~</w:t>
      </w:r>
      <w:r>
        <w:rPr>
          <w:rFonts w:hint="eastAsia" w:ascii="Times New Roman" w:hAnsi="Times New Roman" w:eastAsia="宋体" w:cs="Times New Roman"/>
          <w:b w:val="0"/>
          <w:bCs w:val="0"/>
          <w:sz w:val="24"/>
          <w:szCs w:val="24"/>
          <w:highlight w:val="none"/>
          <w:lang w:val="en-US" w:eastAsia="zh-CN"/>
        </w:rPr>
        <w:t>0.78</w:t>
      </w:r>
      <w:r>
        <w:rPr>
          <w:rFonts w:hint="default" w:ascii="Times New Roman" w:hAnsi="Times New Roman" w:eastAsia="宋体" w:cs="Times New Roman"/>
          <w:b w:val="0"/>
          <w:bCs w:val="0"/>
          <w:sz w:val="24"/>
          <w:szCs w:val="24"/>
          <w:highlight w:val="none"/>
          <w:lang w:val="en-US" w:eastAsia="zh-CN"/>
        </w:rPr>
        <w:t>mg/m</w:t>
      </w:r>
      <w:r>
        <w:rPr>
          <w:rFonts w:hint="default" w:ascii="Times New Roman" w:hAnsi="Times New Roman" w:eastAsia="宋体" w:cs="Times New Roman"/>
          <w:b w:val="0"/>
          <w:bCs w:val="0"/>
          <w:sz w:val="24"/>
          <w:szCs w:val="24"/>
          <w:highlight w:val="none"/>
          <w:vertAlign w:val="superscript"/>
          <w:lang w:val="en-US" w:eastAsia="zh-CN"/>
        </w:rPr>
        <w:t>3</w:t>
      </w:r>
      <w:r>
        <w:rPr>
          <w:rFonts w:hint="default" w:ascii="Times New Roman" w:hAnsi="Times New Roman" w:eastAsia="宋体" w:cs="Times New Roman"/>
          <w:b w:val="0"/>
          <w:bCs w:val="0"/>
          <w:sz w:val="24"/>
          <w:szCs w:val="24"/>
          <w:highlight w:val="none"/>
          <w:lang w:val="en-US" w:eastAsia="zh-CN"/>
        </w:rPr>
        <w:t>。</w:t>
      </w:r>
      <w:r>
        <w:rPr>
          <w:rFonts w:hint="eastAsia" w:ascii="Times New Roman" w:hAnsi="Times New Roman" w:eastAsia="宋体" w:cs="Times New Roman"/>
          <w:b w:val="0"/>
          <w:bCs w:val="0"/>
          <w:sz w:val="24"/>
          <w:szCs w:val="24"/>
          <w:highlight w:val="none"/>
          <w:lang w:val="en-US" w:eastAsia="zh-CN"/>
        </w:rPr>
        <w:t>非甲烷总烃</w:t>
      </w:r>
      <w:r>
        <w:rPr>
          <w:rFonts w:hint="default" w:ascii="Times New Roman" w:hAnsi="Times New Roman" w:eastAsia="宋体" w:cs="Times New Roman"/>
          <w:b w:val="0"/>
          <w:bCs w:val="0"/>
          <w:sz w:val="24"/>
          <w:szCs w:val="24"/>
          <w:highlight w:val="none"/>
          <w:lang w:val="en-US" w:eastAsia="zh-CN"/>
        </w:rPr>
        <w:t>排放浓度能够满足</w:t>
      </w:r>
      <w:r>
        <w:rPr>
          <w:rFonts w:hint="default" w:ascii="Times New Roman" w:hAnsi="Times New Roman" w:eastAsia="宋体" w:cs="Times New Roman"/>
          <w:color w:val="000000"/>
          <w:sz w:val="24"/>
          <w:szCs w:val="24"/>
          <w:highlight w:val="none"/>
          <w:lang w:val="en-US" w:eastAsia="zh-CN" w:bidi="ar-SA"/>
        </w:rPr>
        <w:t>《关于全省开展工业企业挥发性有机物专项治理工作中排放建议值的通知》</w:t>
      </w:r>
      <w:r>
        <w:rPr>
          <w:rFonts w:hint="eastAsia" w:ascii="Times New Roman" w:hAnsi="Times New Roman" w:eastAsia="宋体" w:cs="Times New Roman"/>
          <w:color w:val="000000"/>
          <w:sz w:val="24"/>
          <w:szCs w:val="24"/>
          <w:highlight w:val="none"/>
          <w:lang w:val="en-US" w:eastAsia="zh-CN" w:bidi="ar-SA"/>
        </w:rPr>
        <w:t>（</w:t>
      </w:r>
      <w:r>
        <w:rPr>
          <w:rFonts w:hint="default" w:ascii="Times New Roman" w:hAnsi="Times New Roman" w:eastAsia="宋体" w:cs="Times New Roman"/>
          <w:color w:val="000000"/>
          <w:sz w:val="24"/>
          <w:szCs w:val="24"/>
          <w:highlight w:val="none"/>
          <w:lang w:val="en-US" w:eastAsia="zh-CN" w:bidi="ar-SA"/>
        </w:rPr>
        <w:t>豫环攻坚办</w:t>
      </w:r>
      <w:r>
        <w:rPr>
          <w:rFonts w:hint="eastAsia" w:ascii="Times New Roman" w:hAnsi="Times New Roman" w:eastAsia="宋体" w:cs="Times New Roman"/>
          <w:color w:val="000000"/>
          <w:sz w:val="24"/>
          <w:szCs w:val="24"/>
          <w:highlight w:val="none"/>
          <w:lang w:val="en-US" w:eastAsia="zh-CN" w:bidi="ar-SA"/>
        </w:rPr>
        <w:t>〔</w:t>
      </w:r>
      <w:r>
        <w:rPr>
          <w:rFonts w:hint="default" w:ascii="Times New Roman" w:hAnsi="Times New Roman" w:eastAsia="宋体" w:cs="Times New Roman"/>
          <w:color w:val="000000"/>
          <w:sz w:val="24"/>
          <w:szCs w:val="24"/>
          <w:highlight w:val="none"/>
          <w:lang w:val="en-US" w:eastAsia="zh-CN" w:bidi="ar-SA"/>
        </w:rPr>
        <w:t>2017</w:t>
      </w:r>
      <w:r>
        <w:rPr>
          <w:rFonts w:hint="eastAsia" w:ascii="Times New Roman" w:hAnsi="Times New Roman" w:eastAsia="宋体" w:cs="Times New Roman"/>
          <w:color w:val="000000"/>
          <w:sz w:val="24"/>
          <w:szCs w:val="24"/>
          <w:highlight w:val="none"/>
          <w:lang w:val="en-US" w:eastAsia="zh-CN" w:bidi="ar-SA"/>
        </w:rPr>
        <w:t>〕</w:t>
      </w:r>
      <w:r>
        <w:rPr>
          <w:rFonts w:hint="default" w:ascii="Times New Roman" w:hAnsi="Times New Roman" w:eastAsia="宋体" w:cs="Times New Roman"/>
          <w:color w:val="000000"/>
          <w:sz w:val="24"/>
          <w:szCs w:val="24"/>
          <w:highlight w:val="none"/>
          <w:lang w:val="en-US" w:eastAsia="zh-CN" w:bidi="ar-SA"/>
        </w:rPr>
        <w:t>162号</w:t>
      </w:r>
      <w:r>
        <w:rPr>
          <w:rFonts w:hint="eastAsia" w:ascii="Times New Roman" w:hAnsi="Times New Roman" w:eastAsia="宋体" w:cs="Times New Roman"/>
          <w:color w:val="000000"/>
          <w:sz w:val="24"/>
          <w:szCs w:val="24"/>
          <w:highlight w:val="none"/>
          <w:lang w:val="en-US" w:eastAsia="zh-CN" w:bidi="ar-SA"/>
        </w:rPr>
        <w:t>）</w:t>
      </w:r>
      <w:r>
        <w:rPr>
          <w:rFonts w:hint="default" w:ascii="Times New Roman" w:hAnsi="Times New Roman" w:eastAsia="宋体" w:cs="Times New Roman"/>
          <w:b w:val="0"/>
          <w:bCs w:val="0"/>
          <w:sz w:val="24"/>
          <w:szCs w:val="24"/>
          <w:highlight w:val="none"/>
          <w:lang w:val="en-US" w:eastAsia="zh-CN"/>
        </w:rPr>
        <w:t>中企业边界</w:t>
      </w:r>
      <w:r>
        <w:rPr>
          <w:rFonts w:hint="eastAsia" w:ascii="Times New Roman" w:hAnsi="Times New Roman" w:eastAsia="宋体" w:cs="Times New Roman"/>
          <w:b w:val="0"/>
          <w:bCs w:val="0"/>
          <w:sz w:val="24"/>
          <w:szCs w:val="24"/>
          <w:highlight w:val="none"/>
          <w:lang w:val="en-US" w:eastAsia="zh-CN"/>
        </w:rPr>
        <w:t>非甲烷总烃2.0</w:t>
      </w:r>
      <w:r>
        <w:rPr>
          <w:rFonts w:hint="default" w:ascii="Times New Roman" w:hAnsi="Times New Roman" w:eastAsia="宋体" w:cs="Times New Roman"/>
          <w:b w:val="0"/>
          <w:bCs w:val="0"/>
          <w:sz w:val="24"/>
          <w:szCs w:val="24"/>
          <w:highlight w:val="none"/>
          <w:lang w:val="en-US" w:eastAsia="zh-CN"/>
        </w:rPr>
        <w:t>mg/m</w:t>
      </w:r>
      <w:r>
        <w:rPr>
          <w:rFonts w:hint="default" w:ascii="Times New Roman" w:hAnsi="Times New Roman" w:eastAsia="宋体" w:cs="Times New Roman"/>
          <w:b w:val="0"/>
          <w:bCs w:val="0"/>
          <w:sz w:val="24"/>
          <w:szCs w:val="24"/>
          <w:highlight w:val="none"/>
          <w:vertAlign w:val="superscript"/>
          <w:lang w:val="en-US" w:eastAsia="zh-CN"/>
        </w:rPr>
        <w:t>3</w:t>
      </w:r>
      <w:r>
        <w:rPr>
          <w:rFonts w:hint="default" w:ascii="Times New Roman" w:hAnsi="Times New Roman" w:eastAsia="宋体" w:cs="Times New Roman"/>
          <w:b w:val="0"/>
          <w:bCs w:val="0"/>
          <w:sz w:val="24"/>
          <w:szCs w:val="24"/>
          <w:highlight w:val="none"/>
          <w:lang w:val="en-US" w:eastAsia="zh-CN"/>
        </w:rPr>
        <w:t>的限值要求</w:t>
      </w:r>
      <w:r>
        <w:rPr>
          <w:rFonts w:hint="default" w:ascii="Times New Roman" w:hAnsi="Times New Roman" w:eastAsia="宋体" w:cs="Times New Roman"/>
          <w:color w:val="000000"/>
          <w:sz w:val="24"/>
          <w:szCs w:val="24"/>
          <w:highlight w:val="none"/>
          <w:vertAlign w:val="baseline"/>
          <w:lang w:val="en-US" w:eastAsia="zh-CN"/>
        </w:rPr>
        <w:t>。</w:t>
      </w:r>
    </w:p>
    <w:p w14:paraId="764348E5">
      <w:pPr>
        <w:pStyle w:val="16"/>
        <w:keepLines w:val="0"/>
        <w:pageBreakBefore w:val="0"/>
        <w:kinsoku/>
        <w:wordWrap/>
        <w:overflowPunct/>
        <w:topLinePunct w:val="0"/>
        <w:autoSpaceDE/>
        <w:autoSpaceDN/>
        <w:bidi w:val="0"/>
        <w:snapToGrid w:val="0"/>
        <w:spacing w:line="460" w:lineRule="exact"/>
        <w:ind w:firstLine="482"/>
        <w:textAlignment w:val="auto"/>
        <w:rPr>
          <w:rFonts w:hAnsi="宋体"/>
          <w:b/>
          <w:bCs/>
          <w:szCs w:val="24"/>
          <w:highlight w:val="none"/>
        </w:rPr>
      </w:pPr>
      <w:r>
        <w:rPr>
          <w:rFonts w:hint="eastAsia" w:hAnsi="宋体"/>
          <w:b/>
          <w:bCs/>
          <w:szCs w:val="24"/>
          <w:highlight w:val="none"/>
          <w:lang w:val="en-US" w:eastAsia="zh-CN"/>
        </w:rPr>
        <w:t>2</w:t>
      </w:r>
      <w:r>
        <w:rPr>
          <w:rFonts w:hint="eastAsia" w:hAnsi="宋体"/>
          <w:b/>
          <w:bCs/>
          <w:szCs w:val="24"/>
          <w:highlight w:val="none"/>
        </w:rPr>
        <w:t>.噪声</w:t>
      </w:r>
    </w:p>
    <w:p w14:paraId="10D0BE33">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bCs/>
          <w:color w:val="000000"/>
          <w:sz w:val="24"/>
          <w:szCs w:val="24"/>
          <w:highlight w:val="none"/>
          <w:lang w:val="en-US" w:eastAsia="zh-CN"/>
        </w:rPr>
      </w:pPr>
      <w:r>
        <w:rPr>
          <w:rFonts w:ascii="Times New Roman" w:hAnsi="Times New Roman" w:eastAsia="宋体"/>
          <w:bCs/>
          <w:color w:val="000000"/>
          <w:sz w:val="24"/>
          <w:szCs w:val="24"/>
          <w:highlight w:val="none"/>
        </w:rPr>
        <w:t>本项目厂界昼间噪声值为：</w:t>
      </w:r>
      <w:r>
        <w:rPr>
          <w:rFonts w:hint="eastAsia" w:ascii="Times New Roman" w:hAnsi="Times New Roman" w:eastAsia="宋体"/>
          <w:bCs/>
          <w:color w:val="000000"/>
          <w:sz w:val="24"/>
          <w:szCs w:val="24"/>
          <w:highlight w:val="none"/>
          <w:lang w:val="en-US" w:eastAsia="zh-CN"/>
        </w:rPr>
        <w:t>5</w:t>
      </w:r>
      <w:r>
        <w:rPr>
          <w:rFonts w:hint="eastAsia"/>
          <w:bCs/>
          <w:color w:val="000000"/>
          <w:sz w:val="24"/>
          <w:szCs w:val="24"/>
          <w:highlight w:val="none"/>
          <w:lang w:val="en-US" w:eastAsia="zh-CN"/>
        </w:rPr>
        <w:t>4</w:t>
      </w:r>
      <w:r>
        <w:rPr>
          <w:rFonts w:ascii="Times New Roman" w:hAnsi="Times New Roman" w:eastAsia="宋体"/>
          <w:bCs/>
          <w:color w:val="000000"/>
          <w:sz w:val="24"/>
          <w:szCs w:val="24"/>
          <w:highlight w:val="none"/>
        </w:rPr>
        <w:t>~</w:t>
      </w:r>
      <w:r>
        <w:rPr>
          <w:rFonts w:hint="eastAsia" w:ascii="Times New Roman" w:hAnsi="Times New Roman" w:eastAsia="宋体"/>
          <w:bCs/>
          <w:color w:val="000000"/>
          <w:sz w:val="24"/>
          <w:szCs w:val="24"/>
          <w:highlight w:val="none"/>
          <w:lang w:val="en-US" w:eastAsia="zh-CN"/>
        </w:rPr>
        <w:t>5</w:t>
      </w:r>
      <w:r>
        <w:rPr>
          <w:rFonts w:hint="eastAsia"/>
          <w:bCs/>
          <w:color w:val="000000"/>
          <w:sz w:val="24"/>
          <w:szCs w:val="24"/>
          <w:highlight w:val="none"/>
          <w:lang w:val="en-US" w:eastAsia="zh-CN"/>
        </w:rPr>
        <w:t>8</w:t>
      </w:r>
      <w:r>
        <w:rPr>
          <w:rFonts w:ascii="Times New Roman" w:hAnsi="Times New Roman" w:eastAsia="宋体"/>
          <w:bCs/>
          <w:color w:val="000000"/>
          <w:sz w:val="24"/>
          <w:szCs w:val="24"/>
          <w:highlight w:val="none"/>
        </w:rPr>
        <w:t>dB（A）</w:t>
      </w:r>
      <w:r>
        <w:rPr>
          <w:rFonts w:hint="eastAsia" w:ascii="Times New Roman" w:hAnsi="Times New Roman" w:eastAsia="宋体"/>
          <w:bCs/>
          <w:color w:val="000000"/>
          <w:sz w:val="24"/>
          <w:szCs w:val="24"/>
          <w:highlight w:val="none"/>
        </w:rPr>
        <w:t>，</w:t>
      </w:r>
      <w:r>
        <w:rPr>
          <w:rFonts w:ascii="Times New Roman" w:hAnsi="Times New Roman" w:eastAsia="宋体"/>
          <w:bCs/>
          <w:color w:val="000000"/>
          <w:sz w:val="24"/>
          <w:szCs w:val="24"/>
          <w:highlight w:val="none"/>
        </w:rPr>
        <w:t>可以满足《工业企业厂界环境噪声排放标准》（GB12348-2008）</w:t>
      </w:r>
      <w:r>
        <w:rPr>
          <w:rFonts w:hint="eastAsia" w:ascii="Times New Roman" w:hAnsi="Times New Roman" w:eastAsia="宋体"/>
          <w:bCs/>
          <w:color w:val="000000"/>
          <w:sz w:val="24"/>
          <w:szCs w:val="24"/>
          <w:highlight w:val="none"/>
          <w:lang w:val="en-US" w:eastAsia="zh-CN"/>
        </w:rPr>
        <w:t>2</w:t>
      </w:r>
      <w:r>
        <w:rPr>
          <w:rFonts w:hint="eastAsia" w:ascii="Times New Roman" w:hAnsi="Times New Roman" w:eastAsia="宋体"/>
          <w:bCs/>
          <w:color w:val="000000"/>
          <w:sz w:val="24"/>
          <w:szCs w:val="24"/>
          <w:highlight w:val="none"/>
        </w:rPr>
        <w:t>类</w:t>
      </w:r>
      <w:r>
        <w:rPr>
          <w:rFonts w:ascii="Times New Roman" w:hAnsi="Times New Roman" w:eastAsia="宋体"/>
          <w:bCs/>
          <w:color w:val="000000"/>
          <w:sz w:val="24"/>
          <w:szCs w:val="24"/>
          <w:highlight w:val="none"/>
        </w:rPr>
        <w:t>标准昼间6</w:t>
      </w:r>
      <w:r>
        <w:rPr>
          <w:rFonts w:hint="eastAsia" w:ascii="Times New Roman" w:hAnsi="Times New Roman" w:eastAsia="宋体"/>
          <w:bCs/>
          <w:color w:val="000000"/>
          <w:sz w:val="24"/>
          <w:szCs w:val="24"/>
          <w:highlight w:val="none"/>
          <w:lang w:val="en-US" w:eastAsia="zh-CN"/>
        </w:rPr>
        <w:t>0</w:t>
      </w:r>
      <w:r>
        <w:rPr>
          <w:rFonts w:ascii="Times New Roman" w:hAnsi="Times New Roman" w:eastAsia="宋体"/>
          <w:bCs/>
          <w:color w:val="000000"/>
          <w:sz w:val="24"/>
          <w:szCs w:val="24"/>
          <w:highlight w:val="none"/>
        </w:rPr>
        <w:t>dB（A）的限值要求</w:t>
      </w:r>
      <w:r>
        <w:rPr>
          <w:rFonts w:hint="eastAsia" w:ascii="Times New Roman" w:hAnsi="Times New Roman" w:eastAsia="宋体"/>
          <w:bCs/>
          <w:color w:val="000000"/>
          <w:sz w:val="24"/>
          <w:szCs w:val="24"/>
          <w:highlight w:val="none"/>
        </w:rPr>
        <w:t>。</w:t>
      </w:r>
    </w:p>
    <w:p w14:paraId="12D0EDDD">
      <w:pPr>
        <w:pStyle w:val="16"/>
        <w:keepLines w:val="0"/>
        <w:pageBreakBefore w:val="0"/>
        <w:kinsoku/>
        <w:wordWrap/>
        <w:overflowPunct/>
        <w:topLinePunct w:val="0"/>
        <w:autoSpaceDE/>
        <w:autoSpaceDN/>
        <w:bidi w:val="0"/>
        <w:snapToGrid w:val="0"/>
        <w:spacing w:line="460" w:lineRule="exact"/>
        <w:ind w:firstLine="482"/>
        <w:textAlignment w:val="auto"/>
        <w:rPr>
          <w:rFonts w:hint="default" w:hAnsi="宋体"/>
          <w:b/>
          <w:bCs/>
          <w:szCs w:val="24"/>
          <w:highlight w:val="none"/>
          <w:lang w:val="en-US" w:eastAsia="zh-CN"/>
        </w:rPr>
      </w:pPr>
      <w:r>
        <w:rPr>
          <w:rFonts w:hint="eastAsia" w:hAnsi="宋体"/>
          <w:b/>
          <w:bCs/>
          <w:szCs w:val="24"/>
          <w:highlight w:val="none"/>
          <w:lang w:val="en-US" w:eastAsia="zh-CN"/>
        </w:rPr>
        <w:t>3废水</w:t>
      </w:r>
    </w:p>
    <w:p w14:paraId="41ADE5F8">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hAnsi="宋体"/>
          <w:b/>
          <w:bCs/>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本次验收项目运行期间，</w:t>
      </w:r>
      <w:r>
        <w:rPr>
          <w:rFonts w:hint="eastAsia" w:ascii="Times New Roman" w:hAnsi="Times New Roman" w:eastAsia="宋体" w:cs="Times New Roman"/>
          <w:b w:val="0"/>
          <w:bCs w:val="0"/>
          <w:sz w:val="24"/>
          <w:szCs w:val="24"/>
          <w:highlight w:val="none"/>
          <w:lang w:val="en-US" w:eastAsia="zh-CN"/>
        </w:rPr>
        <w:t>废水污染物因子：COD 30</w:t>
      </w:r>
      <w:r>
        <w:rPr>
          <w:rFonts w:ascii="Times New Roman" w:hAnsi="Times New Roman" w:eastAsia="宋体"/>
          <w:bCs/>
          <w:color w:val="000000"/>
          <w:sz w:val="24"/>
          <w:szCs w:val="24"/>
          <w:highlight w:val="none"/>
        </w:rPr>
        <w:t>~</w:t>
      </w:r>
      <w:r>
        <w:rPr>
          <w:rFonts w:hint="eastAsia" w:ascii="Times New Roman" w:hAnsi="Times New Roman" w:eastAsia="宋体"/>
          <w:bCs/>
          <w:color w:val="000000"/>
          <w:sz w:val="24"/>
          <w:szCs w:val="24"/>
          <w:highlight w:val="none"/>
          <w:lang w:val="en-US" w:eastAsia="zh-CN"/>
        </w:rPr>
        <w:t>48mg/L、氨氮 1.06</w:t>
      </w:r>
      <w:r>
        <w:rPr>
          <w:rFonts w:ascii="Times New Roman" w:hAnsi="Times New Roman" w:eastAsia="宋体"/>
          <w:bCs/>
          <w:color w:val="000000"/>
          <w:sz w:val="24"/>
          <w:szCs w:val="24"/>
          <w:highlight w:val="none"/>
        </w:rPr>
        <w:t>~</w:t>
      </w:r>
      <w:r>
        <w:rPr>
          <w:rFonts w:hint="eastAsia" w:ascii="Times New Roman" w:hAnsi="Times New Roman" w:eastAsia="宋体"/>
          <w:bCs/>
          <w:color w:val="000000"/>
          <w:sz w:val="24"/>
          <w:szCs w:val="24"/>
          <w:highlight w:val="none"/>
          <w:lang w:val="en-US" w:eastAsia="zh-CN"/>
        </w:rPr>
        <w:t>1.18mg/L、悬浮物 14</w:t>
      </w:r>
      <w:r>
        <w:rPr>
          <w:rFonts w:ascii="Times New Roman" w:hAnsi="Times New Roman" w:eastAsia="宋体"/>
          <w:bCs/>
          <w:color w:val="000000"/>
          <w:sz w:val="24"/>
          <w:szCs w:val="24"/>
          <w:highlight w:val="none"/>
        </w:rPr>
        <w:t>~</w:t>
      </w:r>
      <w:r>
        <w:rPr>
          <w:rFonts w:hint="eastAsia" w:ascii="Times New Roman" w:hAnsi="Times New Roman" w:eastAsia="宋体"/>
          <w:bCs/>
          <w:color w:val="000000"/>
          <w:sz w:val="24"/>
          <w:szCs w:val="24"/>
          <w:highlight w:val="none"/>
          <w:lang w:val="en-US" w:eastAsia="zh-CN"/>
        </w:rPr>
        <w:t>18mg/L、总磷 1.59</w:t>
      </w:r>
      <w:r>
        <w:rPr>
          <w:rFonts w:ascii="Times New Roman" w:hAnsi="Times New Roman" w:eastAsia="宋体"/>
          <w:bCs/>
          <w:color w:val="000000"/>
          <w:sz w:val="24"/>
          <w:szCs w:val="24"/>
          <w:highlight w:val="none"/>
        </w:rPr>
        <w:t>~</w:t>
      </w:r>
      <w:r>
        <w:rPr>
          <w:rFonts w:hint="eastAsia" w:ascii="Times New Roman" w:hAnsi="Times New Roman" w:eastAsia="宋体"/>
          <w:bCs/>
          <w:color w:val="000000"/>
          <w:sz w:val="24"/>
          <w:szCs w:val="24"/>
          <w:highlight w:val="none"/>
          <w:lang w:val="en-US" w:eastAsia="zh-CN"/>
        </w:rPr>
        <w:t>1.94mg/L、总氮 0.04</w:t>
      </w:r>
      <w:r>
        <w:rPr>
          <w:rFonts w:ascii="Times New Roman" w:hAnsi="Times New Roman" w:eastAsia="宋体"/>
          <w:bCs/>
          <w:color w:val="000000"/>
          <w:sz w:val="24"/>
          <w:szCs w:val="24"/>
          <w:highlight w:val="none"/>
        </w:rPr>
        <w:t>~</w:t>
      </w:r>
      <w:r>
        <w:rPr>
          <w:rFonts w:hint="eastAsia" w:ascii="Times New Roman" w:hAnsi="Times New Roman" w:eastAsia="宋体"/>
          <w:bCs/>
          <w:color w:val="000000"/>
          <w:sz w:val="24"/>
          <w:szCs w:val="24"/>
          <w:highlight w:val="none"/>
          <w:lang w:val="en-US" w:eastAsia="zh-CN"/>
        </w:rPr>
        <w:t>0.1mg/L，</w:t>
      </w:r>
      <w:r>
        <w:rPr>
          <w:rFonts w:hint="eastAsia" w:ascii="Times New Roman" w:hAnsi="Times New Roman" w:eastAsia="宋体" w:cs="Times New Roman"/>
          <w:b w:val="0"/>
          <w:bCs w:val="0"/>
          <w:sz w:val="24"/>
          <w:szCs w:val="24"/>
          <w:highlight w:val="none"/>
          <w:lang w:val="en-US" w:eastAsia="zh-CN"/>
        </w:rPr>
        <w:t>废水排放满足《污水综合排放标准》（GB8978-1996）表4三级、小店污水处理厂收水标准限值要求。</w:t>
      </w:r>
    </w:p>
    <w:p w14:paraId="456B4067">
      <w:pPr>
        <w:pStyle w:val="16"/>
        <w:keepLines w:val="0"/>
        <w:pageBreakBefore w:val="0"/>
        <w:kinsoku/>
        <w:wordWrap/>
        <w:overflowPunct/>
        <w:topLinePunct w:val="0"/>
        <w:autoSpaceDE/>
        <w:autoSpaceDN/>
        <w:bidi w:val="0"/>
        <w:snapToGrid w:val="0"/>
        <w:spacing w:line="460" w:lineRule="exact"/>
        <w:ind w:firstLine="482"/>
        <w:textAlignment w:val="auto"/>
        <w:rPr>
          <w:rFonts w:hAnsi="宋体"/>
          <w:b/>
          <w:bCs/>
          <w:szCs w:val="24"/>
          <w:highlight w:val="none"/>
        </w:rPr>
      </w:pPr>
      <w:r>
        <w:rPr>
          <w:rFonts w:hint="eastAsia" w:hAnsi="宋体"/>
          <w:b/>
          <w:bCs/>
          <w:szCs w:val="24"/>
          <w:highlight w:val="none"/>
          <w:lang w:val="en-US" w:eastAsia="zh-CN"/>
        </w:rPr>
        <w:t>4</w:t>
      </w:r>
      <w:r>
        <w:rPr>
          <w:rFonts w:hint="eastAsia" w:hAnsi="宋体"/>
          <w:b/>
          <w:bCs/>
          <w:szCs w:val="24"/>
          <w:highlight w:val="none"/>
        </w:rPr>
        <w:t>.固废</w:t>
      </w:r>
    </w:p>
    <w:p w14:paraId="4C308D9F">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本次验收项目一般废物为：废边角料、不合格品、废包装袋、废过滤介质和废过滤膜。</w:t>
      </w:r>
    </w:p>
    <w:p w14:paraId="672F4DE8">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一般固废暂存于厂内一座10m</w:t>
      </w:r>
      <w:r>
        <w:rPr>
          <w:rFonts w:hint="eastAsia" w:ascii="Times New Roman" w:hAnsi="Times New Roman" w:eastAsia="宋体" w:cs="Times New Roman"/>
          <w:b w:val="0"/>
          <w:bCs w:val="0"/>
          <w:color w:val="000000"/>
          <w:sz w:val="24"/>
          <w:szCs w:val="24"/>
          <w:highlight w:val="none"/>
          <w:vertAlign w:val="superscript"/>
          <w:lang w:val="en-US" w:eastAsia="zh-CN"/>
        </w:rPr>
        <w:t>2</w:t>
      </w:r>
      <w:r>
        <w:rPr>
          <w:rFonts w:hint="eastAsia" w:ascii="Times New Roman" w:hAnsi="Times New Roman" w:eastAsia="宋体" w:cs="Times New Roman"/>
          <w:b w:val="0"/>
          <w:bCs w:val="0"/>
          <w:color w:val="000000"/>
          <w:sz w:val="24"/>
          <w:szCs w:val="24"/>
          <w:highlight w:val="none"/>
          <w:lang w:val="en-US" w:eastAsia="zh-CN"/>
        </w:rPr>
        <w:t>的一般固废暂存间内定期外售，一般固废暂存间的建设满足《一般工业固体废物贮存和填埋污染控制标准》（GB18599-2020）中的相应防渗漏、防雨淋、防扬尘等环境保护要求。</w:t>
      </w:r>
    </w:p>
    <w:p w14:paraId="4CB8F9A5">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default" w:ascii="Times New Roman" w:hAnsi="Times New Roman" w:eastAsia="宋体" w:cs="Times New Roman"/>
          <w:sz w:val="24"/>
          <w:szCs w:val="24"/>
          <w:highlight w:val="none"/>
          <w:lang w:val="en-US" w:eastAsia="zh-CN" w:bidi="ar-SA"/>
        </w:rPr>
      </w:pPr>
      <w:r>
        <w:rPr>
          <w:rFonts w:hint="eastAsia" w:ascii="Times New Roman" w:hAnsi="Times New Roman" w:eastAsia="宋体" w:cs="Times New Roman"/>
          <w:sz w:val="24"/>
          <w:szCs w:val="24"/>
          <w:highlight w:val="none"/>
          <w:lang w:val="en-US" w:eastAsia="zh-CN" w:bidi="ar-SA"/>
        </w:rPr>
        <w:t>本次验收项目危废废物为：废油墨桶、废活性炭、废催化剂、废过滤棉。</w:t>
      </w:r>
    </w:p>
    <w:p w14:paraId="4990FA2A">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sz w:val="24"/>
          <w:szCs w:val="24"/>
          <w:highlight w:val="none"/>
          <w:lang w:val="en-US" w:eastAsia="zh-CN" w:bidi="ar-SA"/>
        </w:rPr>
      </w:pPr>
      <w:r>
        <w:rPr>
          <w:rFonts w:hint="eastAsia" w:ascii="Times New Roman" w:hAnsi="Times New Roman" w:eastAsia="宋体" w:cs="Times New Roman"/>
          <w:sz w:val="24"/>
          <w:szCs w:val="24"/>
          <w:highlight w:val="none"/>
          <w:lang w:val="en-US" w:eastAsia="zh-CN" w:bidi="ar-SA"/>
        </w:rPr>
        <w:t>危废暂存间满足《危险废物贮存污染控制标准》（GB18597-2023）的要求。危险废物在危废暂存间采用专用密闭容器储存，危废暂存间采取防风、防晒、防雨淋、防扬散、防流失、防渗漏措施。</w:t>
      </w:r>
    </w:p>
    <w:p w14:paraId="0687D9B1">
      <w:pPr>
        <w:pStyle w:val="16"/>
        <w:keepLines w:val="0"/>
        <w:pageBreakBefore w:val="0"/>
        <w:shd w:val="clear"/>
        <w:kinsoku/>
        <w:wordWrap/>
        <w:overflowPunct/>
        <w:topLinePunct w:val="0"/>
        <w:autoSpaceDE/>
        <w:autoSpaceDN/>
        <w:bidi w:val="0"/>
        <w:snapToGrid w:val="0"/>
        <w:spacing w:line="460" w:lineRule="exact"/>
        <w:ind w:firstLine="480"/>
        <w:textAlignment w:val="auto"/>
        <w:rPr>
          <w:bCs/>
          <w:color w:val="000000"/>
          <w:sz w:val="24"/>
          <w:szCs w:val="24"/>
          <w:highlight w:val="none"/>
        </w:rPr>
      </w:pPr>
      <w:r>
        <w:rPr>
          <w:bCs/>
          <w:color w:val="000000"/>
          <w:sz w:val="24"/>
          <w:szCs w:val="24"/>
          <w:highlight w:val="none"/>
        </w:rPr>
        <w:t>项目固废处置措施符合项目环评及环评批复文件的要求，满足相关环保要求</w:t>
      </w:r>
      <w:r>
        <w:rPr>
          <w:rFonts w:hint="eastAsia"/>
          <w:bCs/>
          <w:color w:val="000000"/>
          <w:sz w:val="24"/>
          <w:szCs w:val="24"/>
          <w:highlight w:val="none"/>
        </w:rPr>
        <w:t>。</w:t>
      </w:r>
    </w:p>
    <w:p w14:paraId="68C268F1">
      <w:pPr>
        <w:pStyle w:val="16"/>
        <w:keepLines w:val="0"/>
        <w:pageBreakBefore w:val="0"/>
        <w:kinsoku/>
        <w:wordWrap/>
        <w:overflowPunct/>
        <w:topLinePunct w:val="0"/>
        <w:autoSpaceDE/>
        <w:autoSpaceDN/>
        <w:bidi w:val="0"/>
        <w:snapToGrid w:val="0"/>
        <w:spacing w:line="460" w:lineRule="exact"/>
        <w:ind w:firstLine="482"/>
        <w:textAlignment w:val="auto"/>
        <w:rPr>
          <w:rFonts w:hAnsi="宋体"/>
          <w:b/>
          <w:bCs/>
          <w:szCs w:val="24"/>
          <w:highlight w:val="none"/>
        </w:rPr>
      </w:pPr>
      <w:r>
        <w:rPr>
          <w:rFonts w:hint="eastAsia" w:hAnsi="宋体"/>
          <w:b/>
          <w:bCs/>
          <w:szCs w:val="24"/>
          <w:highlight w:val="none"/>
          <w:lang w:val="en-US" w:eastAsia="zh-CN"/>
        </w:rPr>
        <w:t>5</w:t>
      </w:r>
      <w:r>
        <w:rPr>
          <w:rFonts w:hint="eastAsia" w:hAnsi="宋体"/>
          <w:b/>
          <w:bCs/>
          <w:szCs w:val="24"/>
          <w:highlight w:val="none"/>
        </w:rPr>
        <w:t>.总量</w:t>
      </w:r>
    </w:p>
    <w:p w14:paraId="69030215">
      <w:pPr>
        <w:pStyle w:val="16"/>
        <w:keepLines w:val="0"/>
        <w:pageBreakBefore w:val="0"/>
        <w:kinsoku/>
        <w:wordWrap/>
        <w:overflowPunct/>
        <w:topLinePunct w:val="0"/>
        <w:autoSpaceDE/>
        <w:autoSpaceDN/>
        <w:bidi w:val="0"/>
        <w:spacing w:line="460" w:lineRule="exact"/>
        <w:ind w:firstLine="480"/>
        <w:textAlignment w:val="auto"/>
        <w:outlineLvl w:val="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bidi="ar-SA"/>
        </w:rPr>
        <w:t>本项目折算为满负荷情况下，全厂污染物实际排放量为非甲烷总烃0.0074t/a、COD0.0058t/a、氨氮0.0003t/a、总磷0.0001t/a，环评总量控制指标为非甲烷总烃0.0871t/a、COD0.0058t/a、氨氮0.0003t/a、总磷0.0001t/a。本项目实际排放总量未超出环评批复总量，本项目污染物排放量能够满足总量指标。</w:t>
      </w:r>
    </w:p>
    <w:p w14:paraId="52873F79">
      <w:pPr>
        <w:pStyle w:val="16"/>
        <w:keepLines w:val="0"/>
        <w:pageBreakBefore w:val="0"/>
        <w:kinsoku/>
        <w:wordWrap/>
        <w:overflowPunct/>
        <w:topLinePunct w:val="0"/>
        <w:autoSpaceDE/>
        <w:autoSpaceDN/>
        <w:bidi w:val="0"/>
        <w:spacing w:line="460" w:lineRule="exact"/>
        <w:ind w:firstLine="480"/>
        <w:textAlignment w:val="auto"/>
        <w:outlineLvl w:val="0"/>
        <w:rPr>
          <w:rStyle w:val="14"/>
          <w:rFonts w:hAnsi="微软雅黑"/>
          <w:color w:val="000000"/>
          <w:szCs w:val="24"/>
          <w:highlight w:val="none"/>
        </w:rPr>
      </w:pPr>
      <w:r>
        <w:rPr>
          <w:rStyle w:val="14"/>
          <w:rFonts w:hAnsi="微软雅黑" w:eastAsia="微软雅黑"/>
          <w:color w:val="000000"/>
          <w:szCs w:val="24"/>
          <w:highlight w:val="none"/>
        </w:rPr>
        <w:t>五、工程建设对环境的影响</w:t>
      </w:r>
    </w:p>
    <w:p w14:paraId="78C46938">
      <w:pPr>
        <w:pStyle w:val="16"/>
        <w:keepLines w:val="0"/>
        <w:pageBreakBefore w:val="0"/>
        <w:kinsoku/>
        <w:wordWrap/>
        <w:overflowPunct/>
        <w:topLinePunct w:val="0"/>
        <w:autoSpaceDE/>
        <w:autoSpaceDN/>
        <w:bidi w:val="0"/>
        <w:snapToGrid w:val="0"/>
        <w:spacing w:line="460" w:lineRule="exact"/>
        <w:ind w:firstLine="480"/>
        <w:textAlignment w:val="auto"/>
        <w:rPr>
          <w:rFonts w:hAnsi="宋体"/>
          <w:szCs w:val="24"/>
          <w:highlight w:val="none"/>
        </w:rPr>
      </w:pPr>
      <w:r>
        <w:rPr>
          <w:rFonts w:hint="eastAsia" w:hAnsi="宋体"/>
          <w:szCs w:val="24"/>
          <w:highlight w:val="none"/>
        </w:rPr>
        <w:t>本项目废气</w:t>
      </w:r>
      <w:r>
        <w:rPr>
          <w:rFonts w:hint="eastAsia" w:hAnsi="宋体"/>
          <w:szCs w:val="24"/>
          <w:highlight w:val="none"/>
          <w:lang w:eastAsia="zh-CN"/>
        </w:rPr>
        <w:t>、</w:t>
      </w:r>
      <w:r>
        <w:rPr>
          <w:rFonts w:hint="eastAsia" w:hAnsi="宋体"/>
          <w:szCs w:val="24"/>
          <w:highlight w:val="none"/>
          <w:lang w:val="en-US" w:eastAsia="zh-CN"/>
        </w:rPr>
        <w:t>废水、固废和</w:t>
      </w:r>
      <w:r>
        <w:rPr>
          <w:rFonts w:hint="eastAsia" w:hAnsi="宋体"/>
          <w:szCs w:val="24"/>
          <w:highlight w:val="none"/>
        </w:rPr>
        <w:t>噪声等污染物在采取评价要求和建议的防治措施后，各污染物均能实现达标排放或综合利用，固废处置措施合理，对区域环境影响可以接受。</w:t>
      </w:r>
      <w:bookmarkStart w:id="0" w:name="_GoBack"/>
      <w:bookmarkEnd w:id="0"/>
    </w:p>
    <w:p w14:paraId="1B9E6A17">
      <w:pPr>
        <w:pStyle w:val="16"/>
        <w:keepLines w:val="0"/>
        <w:pageBreakBefore w:val="0"/>
        <w:kinsoku/>
        <w:wordWrap/>
        <w:overflowPunct/>
        <w:topLinePunct w:val="0"/>
        <w:autoSpaceDE/>
        <w:autoSpaceDN/>
        <w:bidi w:val="0"/>
        <w:spacing w:line="460" w:lineRule="exact"/>
        <w:ind w:firstLine="480"/>
        <w:textAlignment w:val="auto"/>
        <w:outlineLvl w:val="0"/>
        <w:rPr>
          <w:rStyle w:val="14"/>
          <w:rFonts w:hAnsi="微软雅黑"/>
          <w:color w:val="000000"/>
          <w:szCs w:val="24"/>
          <w:highlight w:val="none"/>
        </w:rPr>
      </w:pPr>
      <w:r>
        <w:rPr>
          <w:rStyle w:val="14"/>
          <w:rFonts w:hAnsi="微软雅黑" w:eastAsia="微软雅黑"/>
          <w:color w:val="000000"/>
          <w:szCs w:val="24"/>
          <w:highlight w:val="none"/>
        </w:rPr>
        <w:t>六、验收结论</w:t>
      </w:r>
    </w:p>
    <w:p w14:paraId="75FA4672">
      <w:pPr>
        <w:pStyle w:val="16"/>
        <w:keepLines w:val="0"/>
        <w:pageBreakBefore w:val="0"/>
        <w:kinsoku/>
        <w:wordWrap/>
        <w:overflowPunct/>
        <w:topLinePunct w:val="0"/>
        <w:autoSpaceDE/>
        <w:autoSpaceDN/>
        <w:bidi w:val="0"/>
        <w:snapToGrid w:val="0"/>
        <w:spacing w:line="460" w:lineRule="exact"/>
        <w:ind w:firstLine="480"/>
        <w:textAlignment w:val="auto"/>
        <w:rPr>
          <w:rFonts w:hAnsi="宋体"/>
          <w:szCs w:val="24"/>
          <w:highlight w:val="none"/>
        </w:rPr>
      </w:pPr>
      <w:r>
        <w:rPr>
          <w:rFonts w:hint="eastAsia" w:hAnsi="宋体"/>
          <w:szCs w:val="24"/>
          <w:highlight w:val="none"/>
        </w:rPr>
        <w:t>根据该项目竣工环境保护验收检测报告及现场核查，该项目环保手续完备，执行了环境影响评价及三同时管理制度，基本落实了环评报告及其批复规定的各项环境污染防治措施。各项污染物能够实现达标排放或合理处理处置。</w:t>
      </w:r>
    </w:p>
    <w:p w14:paraId="005303C2">
      <w:pPr>
        <w:pStyle w:val="16"/>
        <w:keepLines w:val="0"/>
        <w:pageBreakBefore w:val="0"/>
        <w:kinsoku/>
        <w:wordWrap/>
        <w:overflowPunct/>
        <w:topLinePunct w:val="0"/>
        <w:autoSpaceDE/>
        <w:autoSpaceDN/>
        <w:bidi w:val="0"/>
        <w:snapToGrid w:val="0"/>
        <w:spacing w:line="460" w:lineRule="exact"/>
        <w:ind w:firstLine="480"/>
        <w:textAlignment w:val="auto"/>
        <w:rPr>
          <w:rFonts w:hAnsi="宋体"/>
          <w:szCs w:val="24"/>
          <w:highlight w:val="none"/>
        </w:rPr>
      </w:pPr>
      <w:r>
        <w:rPr>
          <w:rFonts w:hint="eastAsia" w:hAnsi="宋体"/>
          <w:szCs w:val="24"/>
          <w:highlight w:val="none"/>
        </w:rPr>
        <w:t>综上所述，</w:t>
      </w:r>
      <w:r>
        <w:rPr>
          <w:rFonts w:hint="eastAsia" w:hAnsi="宋体"/>
          <w:szCs w:val="24"/>
          <w:highlight w:val="none"/>
          <w:lang w:eastAsia="zh-CN"/>
        </w:rPr>
        <w:t>《</w:t>
      </w:r>
      <w:r>
        <w:rPr>
          <w:rFonts w:hint="eastAsia" w:hAnsi="宋体" w:cs="Times New Roman"/>
          <w:color w:val="000000"/>
          <w:szCs w:val="24"/>
          <w:highlight w:val="none"/>
          <w:lang w:val="en-US" w:eastAsia="zh-CN"/>
        </w:rPr>
        <w:t>新乡市普尔泰医疗科技有限公司年产200吨医疗器械生产项目》</w:t>
      </w:r>
      <w:r>
        <w:rPr>
          <w:rFonts w:hint="eastAsia" w:hAnsi="宋体"/>
          <w:szCs w:val="24"/>
          <w:highlight w:val="none"/>
        </w:rPr>
        <w:t>不存在《建设项目竣工环境保护暂行办法》中所规定的验收不合格情形，符合建设项目竣工环境保护验收合格条件，验收合格。</w:t>
      </w:r>
    </w:p>
    <w:p w14:paraId="0977FF6F">
      <w:pPr>
        <w:pStyle w:val="16"/>
        <w:keepLines w:val="0"/>
        <w:pageBreakBefore w:val="0"/>
        <w:kinsoku/>
        <w:wordWrap/>
        <w:overflowPunct/>
        <w:topLinePunct w:val="0"/>
        <w:autoSpaceDE/>
        <w:autoSpaceDN/>
        <w:bidi w:val="0"/>
        <w:spacing w:line="460" w:lineRule="exact"/>
        <w:ind w:firstLine="480"/>
        <w:textAlignment w:val="auto"/>
        <w:outlineLvl w:val="0"/>
        <w:rPr>
          <w:rStyle w:val="14"/>
          <w:rFonts w:hAnsi="微软雅黑" w:eastAsia="微软雅黑"/>
          <w:color w:val="000000"/>
          <w:szCs w:val="24"/>
          <w:highlight w:val="none"/>
        </w:rPr>
      </w:pPr>
      <w:r>
        <w:rPr>
          <w:rStyle w:val="14"/>
          <w:rFonts w:hint="eastAsia" w:hAnsi="微软雅黑" w:eastAsia="微软雅黑"/>
          <w:color w:val="000000"/>
          <w:szCs w:val="24"/>
          <w:highlight w:val="none"/>
        </w:rPr>
        <w:t>七</w:t>
      </w:r>
      <w:r>
        <w:rPr>
          <w:rStyle w:val="14"/>
          <w:rFonts w:hAnsi="微软雅黑" w:eastAsia="微软雅黑"/>
          <w:color w:val="000000"/>
          <w:szCs w:val="24"/>
          <w:highlight w:val="none"/>
        </w:rPr>
        <w:t>、</w:t>
      </w:r>
      <w:r>
        <w:rPr>
          <w:rStyle w:val="14"/>
          <w:rFonts w:hint="eastAsia" w:hAnsi="微软雅黑" w:eastAsia="微软雅黑"/>
          <w:color w:val="000000"/>
          <w:szCs w:val="24"/>
          <w:highlight w:val="none"/>
        </w:rPr>
        <w:t>后续要求</w:t>
      </w:r>
    </w:p>
    <w:p w14:paraId="01FAF3D7">
      <w:pPr>
        <w:pStyle w:val="16"/>
        <w:keepLines w:val="0"/>
        <w:pageBreakBefore w:val="0"/>
        <w:kinsoku/>
        <w:wordWrap/>
        <w:overflowPunct/>
        <w:topLinePunct w:val="0"/>
        <w:autoSpaceDE/>
        <w:autoSpaceDN/>
        <w:bidi w:val="0"/>
        <w:snapToGrid w:val="0"/>
        <w:spacing w:line="460" w:lineRule="exact"/>
        <w:ind w:firstLine="480"/>
        <w:textAlignment w:val="auto"/>
        <w:rPr>
          <w:rFonts w:hAnsi="宋体"/>
          <w:szCs w:val="24"/>
          <w:highlight w:val="none"/>
        </w:rPr>
      </w:pPr>
      <w:r>
        <w:rPr>
          <w:rFonts w:hint="eastAsia" w:hAnsi="宋体"/>
          <w:szCs w:val="24"/>
          <w:highlight w:val="none"/>
        </w:rPr>
        <w:t>企业对各种污染防治措施加强管理，发现问题及时采取措施解决，确保污染治理设施能够长期稳定运行，做到污染物稳定达标排放。</w:t>
      </w:r>
    </w:p>
    <w:p w14:paraId="67DDD62B">
      <w:pPr>
        <w:keepLines w:val="0"/>
        <w:pageBreakBefore w:val="0"/>
        <w:numPr>
          <w:ilvl w:val="0"/>
          <w:numId w:val="1"/>
        </w:numPr>
        <w:kinsoku/>
        <w:wordWrap/>
        <w:overflowPunct/>
        <w:topLinePunct w:val="0"/>
        <w:autoSpaceDE/>
        <w:autoSpaceDN/>
        <w:bidi w:val="0"/>
        <w:spacing w:line="460" w:lineRule="exact"/>
        <w:ind w:firstLine="480" w:firstLineChars="200"/>
        <w:textAlignment w:val="auto"/>
        <w:rPr>
          <w:rStyle w:val="14"/>
          <w:rFonts w:hint="eastAsia" w:hAnsi="微软雅黑" w:eastAsia="微软雅黑" w:asciiTheme="minorHAnsi" w:cstheme="minorBidi"/>
          <w:color w:val="000000"/>
          <w:sz w:val="24"/>
          <w:szCs w:val="24"/>
          <w:highlight w:val="none"/>
        </w:rPr>
      </w:pPr>
      <w:r>
        <w:rPr>
          <w:rStyle w:val="14"/>
          <w:rFonts w:hint="eastAsia" w:hAnsi="微软雅黑" w:eastAsia="微软雅黑" w:asciiTheme="minorHAnsi" w:cstheme="minorBidi"/>
          <w:color w:val="000000"/>
          <w:sz w:val="24"/>
          <w:szCs w:val="24"/>
          <w:highlight w:val="none"/>
        </w:rPr>
        <w:t>验收人员信息</w:t>
      </w:r>
    </w:p>
    <w:p w14:paraId="4CE7C67E">
      <w:pPr>
        <w:pStyle w:val="16"/>
        <w:keepLines w:val="0"/>
        <w:pageBreakBefore w:val="0"/>
        <w:kinsoku/>
        <w:wordWrap/>
        <w:overflowPunct/>
        <w:topLinePunct w:val="0"/>
        <w:autoSpaceDE/>
        <w:autoSpaceDN/>
        <w:bidi w:val="0"/>
        <w:snapToGrid w:val="0"/>
        <w:spacing w:line="460" w:lineRule="exact"/>
        <w:ind w:firstLine="480"/>
        <w:textAlignment w:val="auto"/>
        <w:rPr>
          <w:rFonts w:hint="eastAsia" w:hAnsi="宋体"/>
          <w:szCs w:val="24"/>
          <w:highlight w:val="none"/>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hAnsi="宋体"/>
          <w:szCs w:val="24"/>
          <w:highlight w:val="none"/>
          <w:lang w:val="en-US" w:eastAsia="zh-CN"/>
        </w:rPr>
        <w:t>见签名表。</w:t>
      </w:r>
    </w:p>
    <w:p w14:paraId="11DD7791">
      <w:pPr>
        <w:pStyle w:val="16"/>
        <w:keepLines w:val="0"/>
        <w:pageBreakBefore w:val="0"/>
        <w:kinsoku/>
        <w:wordWrap/>
        <w:overflowPunct/>
        <w:topLinePunct w:val="0"/>
        <w:autoSpaceDE/>
        <w:autoSpaceDN/>
        <w:bidi w:val="0"/>
        <w:snapToGrid w:val="0"/>
        <w:spacing w:line="460" w:lineRule="exact"/>
        <w:ind w:firstLine="480"/>
        <w:textAlignment w:val="auto"/>
        <w:rPr>
          <w:rFonts w:hint="eastAsia" w:hAnsi="宋体"/>
          <w:szCs w:val="24"/>
          <w:highlight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B2DB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F6EE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7F6EE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94FBF"/>
    <w:multiLevelType w:val="singleLevel"/>
    <w:tmpl w:val="B8394FB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NjYxMWRhYTdkNmE1MjNjNWY2ZjdjMjBhZDczMzUifQ=="/>
  </w:docVars>
  <w:rsids>
    <w:rsidRoot w:val="6E5735AA"/>
    <w:rsid w:val="00053181"/>
    <w:rsid w:val="00071BD3"/>
    <w:rsid w:val="000737BB"/>
    <w:rsid w:val="000D1ED4"/>
    <w:rsid w:val="001979BE"/>
    <w:rsid w:val="001A4E39"/>
    <w:rsid w:val="00266E3F"/>
    <w:rsid w:val="00282200"/>
    <w:rsid w:val="002B70E5"/>
    <w:rsid w:val="003F5A99"/>
    <w:rsid w:val="00485060"/>
    <w:rsid w:val="004D2469"/>
    <w:rsid w:val="004D4A55"/>
    <w:rsid w:val="004D52BF"/>
    <w:rsid w:val="005D2BC1"/>
    <w:rsid w:val="00643CBB"/>
    <w:rsid w:val="006E1335"/>
    <w:rsid w:val="00737BFE"/>
    <w:rsid w:val="007750D8"/>
    <w:rsid w:val="008844C2"/>
    <w:rsid w:val="00965567"/>
    <w:rsid w:val="009D7E72"/>
    <w:rsid w:val="00AF5250"/>
    <w:rsid w:val="00C4513A"/>
    <w:rsid w:val="00C540C5"/>
    <w:rsid w:val="00C8455D"/>
    <w:rsid w:val="00EE7290"/>
    <w:rsid w:val="01CA401C"/>
    <w:rsid w:val="01CC7391"/>
    <w:rsid w:val="020F1647"/>
    <w:rsid w:val="03DB41BC"/>
    <w:rsid w:val="042028A7"/>
    <w:rsid w:val="045A3D57"/>
    <w:rsid w:val="06552314"/>
    <w:rsid w:val="078C0A31"/>
    <w:rsid w:val="0E187342"/>
    <w:rsid w:val="0F193125"/>
    <w:rsid w:val="10D35C0E"/>
    <w:rsid w:val="13607761"/>
    <w:rsid w:val="13751C00"/>
    <w:rsid w:val="140C230B"/>
    <w:rsid w:val="18B9039C"/>
    <w:rsid w:val="18C059D0"/>
    <w:rsid w:val="1AFE42FC"/>
    <w:rsid w:val="1B5C4547"/>
    <w:rsid w:val="1E42335E"/>
    <w:rsid w:val="228334A4"/>
    <w:rsid w:val="238846A3"/>
    <w:rsid w:val="27A504B9"/>
    <w:rsid w:val="29690F86"/>
    <w:rsid w:val="29C42CCF"/>
    <w:rsid w:val="2ABD48D0"/>
    <w:rsid w:val="2B0C0F7B"/>
    <w:rsid w:val="2B9279F8"/>
    <w:rsid w:val="2DF3561E"/>
    <w:rsid w:val="2E334BE1"/>
    <w:rsid w:val="2F261EE0"/>
    <w:rsid w:val="2FB301BE"/>
    <w:rsid w:val="31ED6548"/>
    <w:rsid w:val="33491387"/>
    <w:rsid w:val="336760F3"/>
    <w:rsid w:val="349242DB"/>
    <w:rsid w:val="34AC2659"/>
    <w:rsid w:val="356B689E"/>
    <w:rsid w:val="39A72F6F"/>
    <w:rsid w:val="3A427431"/>
    <w:rsid w:val="3AEF39FA"/>
    <w:rsid w:val="3D8234C9"/>
    <w:rsid w:val="42640CF8"/>
    <w:rsid w:val="449F19F4"/>
    <w:rsid w:val="48E128CF"/>
    <w:rsid w:val="49AC34BD"/>
    <w:rsid w:val="4A1B6E8B"/>
    <w:rsid w:val="4AEF6019"/>
    <w:rsid w:val="4C152984"/>
    <w:rsid w:val="4C6926FE"/>
    <w:rsid w:val="4EB3590E"/>
    <w:rsid w:val="55173EF5"/>
    <w:rsid w:val="55AA3AC0"/>
    <w:rsid w:val="55FE40C6"/>
    <w:rsid w:val="577B669D"/>
    <w:rsid w:val="57CA1694"/>
    <w:rsid w:val="595C637A"/>
    <w:rsid w:val="61F250A0"/>
    <w:rsid w:val="627B0134"/>
    <w:rsid w:val="62894F3A"/>
    <w:rsid w:val="63E80DD7"/>
    <w:rsid w:val="665B5408"/>
    <w:rsid w:val="666D3936"/>
    <w:rsid w:val="683A1F7D"/>
    <w:rsid w:val="697D2FE2"/>
    <w:rsid w:val="6AE747F4"/>
    <w:rsid w:val="6BE56EEC"/>
    <w:rsid w:val="6CEB1DBA"/>
    <w:rsid w:val="6DD662A4"/>
    <w:rsid w:val="6E5735AA"/>
    <w:rsid w:val="74D22890"/>
    <w:rsid w:val="74FF3CEE"/>
    <w:rsid w:val="7A075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宋体"/>
      <w:kern w:val="2"/>
      <w:sz w:val="21"/>
      <w:szCs w:val="22"/>
      <w:lang w:val="en-US" w:eastAsia="zh-CN" w:bidi="ar-SA"/>
    </w:rPr>
  </w:style>
  <w:style w:type="paragraph" w:styleId="2">
    <w:name w:val="heading 1"/>
    <w:basedOn w:val="1"/>
    <w:next w:val="1"/>
    <w:autoRedefine/>
    <w:qFormat/>
    <w:uiPriority w:val="0"/>
    <w:pPr>
      <w:keepNext/>
      <w:jc w:val="center"/>
      <w:outlineLvl w:val="0"/>
    </w:p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style>
  <w:style w:type="paragraph" w:styleId="4">
    <w:name w:val="Body Text"/>
    <w:basedOn w:val="1"/>
    <w:next w:val="1"/>
    <w:autoRedefine/>
    <w:qFormat/>
    <w:uiPriority w:val="0"/>
    <w:pPr>
      <w:spacing w:after="120"/>
    </w:pPr>
    <w:rPr>
      <w:rFonts w:ascii="Times New Roman" w:hAnsi="Times New Roman" w:cs="Times New Roman"/>
      <w:szCs w:val="20"/>
    </w:rPr>
  </w:style>
  <w:style w:type="paragraph" w:styleId="5">
    <w:name w:val="Body Text Indent"/>
    <w:basedOn w:val="1"/>
    <w:qFormat/>
    <w:uiPriority w:val="0"/>
    <w:pPr>
      <w:spacing w:after="120"/>
      <w:ind w:left="420" w:leftChars="200"/>
    </w:pPr>
  </w:style>
  <w:style w:type="paragraph" w:styleId="6">
    <w:name w:val="Balloon Text"/>
    <w:basedOn w:val="1"/>
    <w:link w:val="19"/>
    <w:autoRedefine/>
    <w:qFormat/>
    <w:uiPriority w:val="0"/>
    <w:rPr>
      <w:sz w:val="18"/>
      <w:szCs w:val="18"/>
    </w:rPr>
  </w:style>
  <w:style w:type="paragraph" w:styleId="7">
    <w:name w:val="footer"/>
    <w:basedOn w:val="1"/>
    <w:autoRedefine/>
    <w:unhideWhenUsed/>
    <w:qFormat/>
    <w:uiPriority w:val="99"/>
    <w:pPr>
      <w:tabs>
        <w:tab w:val="center" w:pos="4153"/>
        <w:tab w:val="right" w:pos="8306"/>
      </w:tabs>
      <w:snapToGrid w:val="0"/>
      <w:jc w:val="left"/>
    </w:pPr>
    <w:rPr>
      <w:rFonts w:cs="Times New Roman"/>
      <w:kern w:val="0"/>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kern w:val="0"/>
      <w:sz w:val="24"/>
      <w:szCs w:val="24"/>
    </w:rPr>
  </w:style>
  <w:style w:type="paragraph" w:styleId="10">
    <w:name w:val="annotation subject"/>
    <w:basedOn w:val="3"/>
    <w:next w:val="3"/>
    <w:link w:val="18"/>
    <w:autoRedefine/>
    <w:qFormat/>
    <w:uiPriority w:val="0"/>
    <w:rPr>
      <w:b/>
      <w:bCs/>
    </w:rPr>
  </w:style>
  <w:style w:type="paragraph" w:styleId="11">
    <w:name w:val="Body Text First Indent 2"/>
    <w:basedOn w:val="5"/>
    <w:next w:val="1"/>
    <w:qFormat/>
    <w:uiPriority w:val="99"/>
    <w:pPr>
      <w:ind w:firstLine="420" w:firstLineChars="200"/>
    </w:pPr>
  </w:style>
  <w:style w:type="character" w:styleId="14">
    <w:name w:val="Strong"/>
    <w:autoRedefine/>
    <w:qFormat/>
    <w:uiPriority w:val="22"/>
    <w:rPr>
      <w:b/>
      <w:bCs/>
    </w:rPr>
  </w:style>
  <w:style w:type="character" w:styleId="15">
    <w:name w:val="annotation reference"/>
    <w:basedOn w:val="13"/>
    <w:autoRedefine/>
    <w:qFormat/>
    <w:uiPriority w:val="0"/>
    <w:rPr>
      <w:sz w:val="21"/>
      <w:szCs w:val="21"/>
    </w:rPr>
  </w:style>
  <w:style w:type="paragraph" w:customStyle="1" w:styleId="16">
    <w:name w:val="段落"/>
    <w:basedOn w:val="1"/>
    <w:autoRedefine/>
    <w:qFormat/>
    <w:uiPriority w:val="0"/>
    <w:pPr>
      <w:spacing w:line="460" w:lineRule="exact"/>
      <w:ind w:firstLine="200" w:firstLineChars="200"/>
    </w:pPr>
    <w:rPr>
      <w:rFonts w:cs="Times New Roman"/>
      <w:sz w:val="24"/>
      <w:szCs w:val="20"/>
    </w:rPr>
  </w:style>
  <w:style w:type="character" w:customStyle="1" w:styleId="17">
    <w:name w:val="批注文字 字符"/>
    <w:basedOn w:val="13"/>
    <w:link w:val="3"/>
    <w:autoRedefine/>
    <w:qFormat/>
    <w:uiPriority w:val="0"/>
    <w:rPr>
      <w:rFonts w:ascii="Times New Roman" w:hAnsi="Times New Roman" w:eastAsia="宋体" w:cs="宋体"/>
      <w:kern w:val="2"/>
      <w:sz w:val="21"/>
      <w:szCs w:val="22"/>
    </w:rPr>
  </w:style>
  <w:style w:type="character" w:customStyle="1" w:styleId="18">
    <w:name w:val="批注主题 字符"/>
    <w:basedOn w:val="17"/>
    <w:link w:val="10"/>
    <w:autoRedefine/>
    <w:qFormat/>
    <w:uiPriority w:val="0"/>
    <w:rPr>
      <w:rFonts w:ascii="Times New Roman" w:hAnsi="Times New Roman" w:eastAsia="宋体" w:cs="宋体"/>
      <w:b/>
      <w:bCs/>
      <w:kern w:val="2"/>
      <w:sz w:val="21"/>
      <w:szCs w:val="22"/>
    </w:rPr>
  </w:style>
  <w:style w:type="character" w:customStyle="1" w:styleId="19">
    <w:name w:val="批注框文本 字符"/>
    <w:basedOn w:val="13"/>
    <w:link w:val="6"/>
    <w:autoRedefine/>
    <w:qFormat/>
    <w:uiPriority w:val="0"/>
    <w:rPr>
      <w:rFonts w:ascii="Times New Roman" w:hAnsi="Times New Roman" w:eastAsia="宋体" w:cs="宋体"/>
      <w:kern w:val="2"/>
      <w:sz w:val="18"/>
      <w:szCs w:val="18"/>
    </w:rPr>
  </w:style>
  <w:style w:type="paragraph" w:customStyle="1" w:styleId="20">
    <w:name w:val="_Style 1"/>
    <w:basedOn w:val="1"/>
    <w:autoRedefine/>
    <w:qFormat/>
    <w:uiPriority w:val="0"/>
    <w:pPr>
      <w:spacing w:line="481" w:lineRule="atLeast"/>
      <w:ind w:firstLine="623"/>
      <w:jc w:val="both"/>
      <w:textAlignment w:val="baseline"/>
    </w:pPr>
    <w:rPr>
      <w:rFonts w:ascii="Times New Roman" w:eastAsia="仿宋_GB2312"/>
      <w:color w:val="000000"/>
      <w:sz w:val="31"/>
      <w:u w:val="none" w:color="000000"/>
      <w:vertAlign w:val="baseline"/>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2412</Words>
  <Characters>2644</Characters>
  <Lines>24</Lines>
  <Paragraphs>6</Paragraphs>
  <TotalTime>0</TotalTime>
  <ScaleCrop>false</ScaleCrop>
  <LinksUpToDate>false</LinksUpToDate>
  <CharactersWithSpaces>2657</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2021-07-29T02:23:00Z</dcterms:created>
  <dc:creator>duanyayun</dc:creator>
  <cp:lastModifiedBy>钱</cp:lastModifiedBy>
  <dcterms:modified xsi:type="dcterms:W3CDTF">2026-07-01T00:40:14Z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D23C635FFB734EE38762475C3F9B4CFC</vt:lpwstr>
  </property>
  <property fmtid="{D5CDD505-2E9C-101B-9397-08002B2CF9AE}" pid="4" name="KSOTemplateDocerSaveRecord">
    <vt:lpwstr>eyJoZGlkIjoiN2ZhYWEyMGFjNDcwM2VjNjE3MTQwMjM5ZmZkNzU5NDYiLCJ1c2VySWQiOiI3MzQ0OTA5NzAifQ==</vt:lpwstr>
  </property>
</Properties>
</file>